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51F3">
      <w:pPr>
        <w:pStyle w:val="12"/>
        <w:spacing w:line="360" w:lineRule="auto"/>
        <w:ind w:left="0"/>
        <w:jc w:val="center"/>
        <w:rPr>
          <w:rFonts w:hint="eastAsia" w:ascii="宋体" w:hAnsi="宋体" w:eastAsia="宋体" w:cs="宋体"/>
          <w:color w:val="auto"/>
          <w:sz w:val="15"/>
          <w:szCs w:val="15"/>
          <w:highlight w:val="none"/>
        </w:rPr>
      </w:pPr>
    </w:p>
    <w:p w14:paraId="61644D84">
      <w:pPr>
        <w:pStyle w:val="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color w:val="auto"/>
          <w:kern w:val="2"/>
          <w:sz w:val="36"/>
          <w:szCs w:val="36"/>
          <w:highlight w:val="none"/>
          <w:lang w:val="en-US" w:eastAsia="zh-CN" w:bidi="ar-SA"/>
        </w:rPr>
      </w:pPr>
    </w:p>
    <w:p w14:paraId="171C9597">
      <w:pPr>
        <w:pStyle w:val="12"/>
        <w:spacing w:line="360" w:lineRule="auto"/>
        <w:ind w:left="0" w:leftChars="0" w:firstLine="0" w:firstLineChars="0"/>
        <w:jc w:val="center"/>
        <w:outlineLvl w:val="0"/>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酉阳土家族苗族自治县兴隆初级中学校校园超市供应商项目（二次）</w:t>
      </w:r>
    </w:p>
    <w:p w14:paraId="547337C2">
      <w:pPr>
        <w:adjustRightInd w:val="0"/>
        <w:spacing w:line="360" w:lineRule="auto"/>
        <w:jc w:val="both"/>
        <w:rPr>
          <w:rFonts w:hint="eastAsia" w:ascii="宋体" w:hAnsi="宋体" w:eastAsia="宋体" w:cs="宋体"/>
          <w:b/>
          <w:color w:val="auto"/>
          <w:sz w:val="96"/>
          <w:szCs w:val="96"/>
          <w:highlight w:val="none"/>
        </w:rPr>
      </w:pPr>
    </w:p>
    <w:p w14:paraId="65AA649E">
      <w:pPr>
        <w:adjustRightInd w:val="0"/>
        <w:spacing w:line="360" w:lineRule="auto"/>
        <w:jc w:val="both"/>
        <w:rPr>
          <w:rFonts w:hint="eastAsia" w:ascii="宋体" w:hAnsi="宋体" w:eastAsia="宋体" w:cs="宋体"/>
          <w:b/>
          <w:color w:val="auto"/>
          <w:sz w:val="96"/>
          <w:szCs w:val="96"/>
          <w:highlight w:val="none"/>
        </w:rPr>
      </w:pPr>
    </w:p>
    <w:p w14:paraId="7B31319C">
      <w:pPr>
        <w:adjustRightInd w:val="0"/>
        <w:spacing w:line="360" w:lineRule="auto"/>
        <w:jc w:val="center"/>
        <w:outlineLvl w:val="0"/>
        <w:rPr>
          <w:rFonts w:hint="eastAsia" w:ascii="宋体" w:hAnsi="宋体" w:eastAsia="宋体" w:cs="宋体"/>
          <w:b/>
          <w:color w:val="auto"/>
          <w:sz w:val="96"/>
          <w:szCs w:val="96"/>
          <w:highlight w:val="none"/>
        </w:rPr>
      </w:pPr>
      <w:bookmarkStart w:id="0" w:name="_Toc21687"/>
      <w:bookmarkStart w:id="1" w:name="_Toc22782"/>
      <w:bookmarkStart w:id="2" w:name="_Toc8337"/>
      <w:bookmarkStart w:id="3" w:name="_Toc9418"/>
      <w:bookmarkStart w:id="4" w:name="_Toc30863"/>
      <w:r>
        <w:rPr>
          <w:rFonts w:hint="eastAsia" w:ascii="宋体" w:hAnsi="宋体" w:eastAsia="宋体" w:cs="宋体"/>
          <w:b/>
          <w:color w:val="auto"/>
          <w:sz w:val="96"/>
          <w:szCs w:val="96"/>
          <w:highlight w:val="none"/>
        </w:rPr>
        <w:t>竞争性比选文件</w:t>
      </w:r>
      <w:bookmarkEnd w:id="0"/>
      <w:bookmarkEnd w:id="1"/>
      <w:bookmarkEnd w:id="2"/>
      <w:bookmarkEnd w:id="3"/>
      <w:bookmarkEnd w:id="4"/>
    </w:p>
    <w:p w14:paraId="4A424638">
      <w:pPr>
        <w:adjustRightIn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项目编号：CQDYCYY-2025-05</w:t>
      </w:r>
    </w:p>
    <w:p w14:paraId="108AA526">
      <w:pPr>
        <w:pStyle w:val="4"/>
        <w:spacing w:line="360" w:lineRule="auto"/>
        <w:jc w:val="both"/>
        <w:outlineLvl w:val="9"/>
        <w:rPr>
          <w:rFonts w:hint="eastAsia" w:ascii="宋体" w:hAnsi="宋体" w:eastAsia="宋体" w:cs="宋体"/>
          <w:color w:val="auto"/>
          <w:highlight w:val="none"/>
        </w:rPr>
      </w:pPr>
    </w:p>
    <w:p w14:paraId="7AF856FB">
      <w:pPr>
        <w:pStyle w:val="11"/>
        <w:spacing w:line="360" w:lineRule="auto"/>
        <w:rPr>
          <w:rFonts w:hint="eastAsia" w:ascii="宋体" w:hAnsi="宋体" w:eastAsia="宋体" w:cs="宋体"/>
          <w:color w:val="auto"/>
          <w:sz w:val="32"/>
          <w:highlight w:val="none"/>
        </w:rPr>
      </w:pPr>
    </w:p>
    <w:p w14:paraId="15D78B3E">
      <w:pPr>
        <w:spacing w:line="360" w:lineRule="auto"/>
        <w:rPr>
          <w:rFonts w:hint="eastAsia" w:ascii="宋体" w:hAnsi="宋体" w:eastAsia="宋体" w:cs="宋体"/>
          <w:color w:val="auto"/>
        </w:rPr>
      </w:pPr>
    </w:p>
    <w:p w14:paraId="52AB7C6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kern w:val="2"/>
          <w:sz w:val="32"/>
          <w:szCs w:val="22"/>
          <w:highlight w:val="none"/>
          <w:lang w:val="en-US" w:eastAsia="zh-CN" w:bidi="ar-SA"/>
        </w:rPr>
      </w:pPr>
      <w:bookmarkStart w:id="5" w:name="_Toc31909"/>
      <w:bookmarkStart w:id="6" w:name="_Toc30793"/>
      <w:bookmarkStart w:id="7" w:name="_Toc4991"/>
      <w:bookmarkStart w:id="8" w:name="_Toc4205"/>
      <w:bookmarkStart w:id="9" w:name="_Toc4516"/>
    </w:p>
    <w:p w14:paraId="481D4B0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kern w:val="2"/>
          <w:sz w:val="32"/>
          <w:szCs w:val="22"/>
          <w:highlight w:val="none"/>
          <w:lang w:val="en-US" w:eastAsia="zh-CN" w:bidi="ar-SA"/>
        </w:rPr>
        <w:t>采购人：酉阳土家族苗族自治县兴隆初级中学校</w:t>
      </w:r>
      <w:bookmarkEnd w:id="5"/>
      <w:bookmarkEnd w:id="6"/>
      <w:bookmarkEnd w:id="7"/>
      <w:bookmarkEnd w:id="8"/>
      <w:bookmarkEnd w:id="9"/>
    </w:p>
    <w:p w14:paraId="7B406B3F">
      <w:pPr>
        <w:keepNext w:val="0"/>
        <w:keepLines w:val="0"/>
        <w:pageBreakBefore w:val="0"/>
        <w:widowControl w:val="0"/>
        <w:kinsoku/>
        <w:wordWrap/>
        <w:overflowPunct/>
        <w:topLinePunct w:val="0"/>
        <w:autoSpaceDE/>
        <w:autoSpaceDN/>
        <w:bidi w:val="0"/>
        <w:adjustRightInd/>
        <w:spacing w:line="360" w:lineRule="auto"/>
        <w:ind w:firstLine="964" w:firstLineChars="300"/>
        <w:jc w:val="both"/>
        <w:textAlignment w:val="auto"/>
        <w:outlineLvl w:val="0"/>
        <w:rPr>
          <w:rFonts w:hint="eastAsia" w:ascii="宋体" w:hAnsi="宋体" w:eastAsia="宋体" w:cs="宋体"/>
          <w:b/>
          <w:bCs/>
          <w:color w:val="auto"/>
          <w:kern w:val="2"/>
          <w:sz w:val="32"/>
          <w:szCs w:val="22"/>
          <w:highlight w:val="none"/>
          <w:lang w:val="en-US" w:eastAsia="zh-CN" w:bidi="ar-SA"/>
        </w:rPr>
      </w:pPr>
      <w:bookmarkStart w:id="10" w:name="_Toc26478"/>
      <w:bookmarkStart w:id="11" w:name="_Toc6518"/>
      <w:bookmarkStart w:id="12" w:name="_Toc23917"/>
      <w:bookmarkStart w:id="13" w:name="_Toc10309"/>
      <w:bookmarkStart w:id="14" w:name="_Toc11961"/>
      <w:r>
        <w:rPr>
          <w:rFonts w:hint="eastAsia" w:ascii="宋体" w:hAnsi="宋体" w:eastAsia="宋体" w:cs="宋体"/>
          <w:b/>
          <w:bCs/>
          <w:color w:val="auto"/>
          <w:kern w:val="2"/>
          <w:sz w:val="32"/>
          <w:szCs w:val="22"/>
          <w:highlight w:val="none"/>
          <w:lang w:val="en-US" w:eastAsia="zh-CN" w:bidi="ar-SA"/>
        </w:rPr>
        <w:t>采购代理机构：重庆钓鱼城建设监理咨询有限公司</w:t>
      </w:r>
      <w:bookmarkEnd w:id="10"/>
      <w:bookmarkEnd w:id="11"/>
      <w:bookmarkEnd w:id="12"/>
      <w:bookmarkEnd w:id="13"/>
      <w:bookmarkEnd w:id="14"/>
    </w:p>
    <w:p w14:paraId="73B02A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fmt="decimal" w:start="1"/>
          <w:cols w:space="720" w:num="1"/>
          <w:titlePg/>
          <w:docGrid w:linePitch="312" w:charSpace="0"/>
        </w:sectPr>
      </w:pPr>
      <w:r>
        <w:rPr>
          <w:rFonts w:hint="eastAsia" w:ascii="宋体" w:hAnsi="宋体" w:eastAsia="宋体" w:cs="宋体"/>
          <w:b/>
          <w:bCs/>
          <w:color w:val="auto"/>
          <w:kern w:val="2"/>
          <w:sz w:val="32"/>
          <w:szCs w:val="22"/>
          <w:highlight w:val="none"/>
          <w:lang w:val="en-US" w:eastAsia="zh-CN" w:bidi="ar-SA"/>
        </w:rPr>
        <w:t>二〇二五年四月</w:t>
      </w:r>
    </w:p>
    <w:sdt>
      <w:sdtPr>
        <w:rPr>
          <w:rFonts w:hint="eastAsia" w:ascii="宋体" w:hAnsi="宋体" w:eastAsia="宋体" w:cs="宋体"/>
          <w:b/>
          <w:bCs/>
          <w:color w:val="auto"/>
          <w:sz w:val="48"/>
          <w:szCs w:val="24"/>
          <w:lang w:val="en-US" w:eastAsia="zh-CN"/>
        </w:rPr>
        <w:id w:val="147476153"/>
        <w15:color w:val="DBDBDB"/>
        <w:docPartObj>
          <w:docPartGallery w:val="Table of Contents"/>
          <w:docPartUnique/>
        </w:docPartObj>
      </w:sdtPr>
      <w:sdtEndPr>
        <w:rPr>
          <w:rFonts w:hint="eastAsia" w:ascii="宋体" w:hAnsi="宋体" w:eastAsia="宋体" w:cs="宋体"/>
          <w:b/>
          <w:bCs/>
          <w:color w:val="auto"/>
          <w:sz w:val="24"/>
          <w:szCs w:val="28"/>
          <w:lang w:val="en-US" w:eastAsia="zh-CN"/>
        </w:rPr>
      </w:sdtEndPr>
      <w:sdtContent>
        <w:p w14:paraId="7A1682F1">
          <w:pPr>
            <w:pStyle w:val="11"/>
            <w:rPr>
              <w:rFonts w:hint="eastAsia" w:ascii="宋体" w:hAnsi="宋体" w:eastAsia="宋体" w:cs="宋体"/>
              <w:color w:val="auto"/>
            </w:rPr>
          </w:pPr>
        </w:p>
        <w:p w14:paraId="670D84C1">
          <w:pPr>
            <w:snapToGrid w:val="0"/>
            <w:spacing w:line="5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12D5D83E">
          <w:pPr>
            <w:pStyle w:val="11"/>
            <w:rPr>
              <w:rFonts w:hint="eastAsia" w:ascii="宋体" w:hAnsi="宋体" w:eastAsia="宋体" w:cs="宋体"/>
              <w:color w:val="auto"/>
            </w:rPr>
          </w:pPr>
        </w:p>
        <w:p w14:paraId="240AC805">
          <w:pPr>
            <w:rPr>
              <w:rFonts w:hint="eastAsia" w:ascii="宋体" w:hAnsi="宋体" w:eastAsia="宋体" w:cs="宋体"/>
              <w:color w:val="auto"/>
            </w:rPr>
          </w:pPr>
        </w:p>
        <w:p w14:paraId="01E12074">
          <w:pPr>
            <w:pStyle w:val="20"/>
            <w:tabs>
              <w:tab w:val="right" w:leader="dot" w:pos="9412"/>
              <w:tab w:val="clear" w:pos="1260"/>
              <w:tab w:val="clear" w:pos="1685"/>
              <w:tab w:val="clear" w:pos="8400"/>
            </w:tabs>
            <w:ind w:firstLine="240"/>
            <w:rPr>
              <w:rFonts w:hint="eastAsia" w:ascii="宋体" w:hAnsi="宋体" w:eastAsia="宋体" w:cs="宋体"/>
              <w:color w:val="auto"/>
              <w:sz w:val="24"/>
              <w:szCs w:val="24"/>
              <w:highlight w:val="none"/>
            </w:rPr>
          </w:pPr>
        </w:p>
        <w:p w14:paraId="390A0A3B">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_Toc22665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52"/>
              <w:highlight w:val="none"/>
            </w:rPr>
            <w:t xml:space="preserve">第一篇  </w:t>
          </w:r>
          <w:r>
            <w:rPr>
              <w:rFonts w:hint="eastAsia" w:ascii="宋体" w:hAnsi="宋体" w:eastAsia="宋体" w:cs="宋体"/>
              <w:b/>
              <w:bCs/>
              <w:color w:val="auto"/>
              <w:szCs w:val="52"/>
              <w:highlight w:val="none"/>
              <w:lang w:eastAsia="zh-CN"/>
            </w:rPr>
            <w:t>比选</w:t>
          </w:r>
          <w:r>
            <w:rPr>
              <w:rFonts w:hint="eastAsia" w:ascii="宋体" w:hAnsi="宋体" w:eastAsia="宋体" w:cs="宋体"/>
              <w:b/>
              <w:bCs/>
              <w:color w:val="auto"/>
              <w:szCs w:val="52"/>
              <w:highlight w:val="none"/>
            </w:rPr>
            <w:t>邀请书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_Toc22665 \h </w:instrText>
          </w:r>
          <w:r>
            <w:rPr>
              <w:rFonts w:hint="eastAsia" w:ascii="宋体" w:hAnsi="宋体" w:eastAsia="宋体" w:cs="宋体"/>
              <w:b/>
              <w:bCs/>
              <w:color w:val="auto"/>
            </w:rPr>
            <w:fldChar w:fldCharType="separate"/>
          </w:r>
          <w:r>
            <w:rPr>
              <w:rFonts w:hint="eastAsia" w:ascii="宋体" w:hAnsi="宋体" w:eastAsia="宋体" w:cs="宋体"/>
              <w:b/>
              <w:bCs/>
              <w:color w:val="auto"/>
            </w:rPr>
            <w:t>3</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1F46BAC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比选内容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B894D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_Toc27064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_Toc27064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DEFBE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_Toc15168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资格条件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_Toc15168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C57162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_Toc19839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四、比选有关说明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_Toc19839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96B9E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lang w:val="en-US" w:eastAsia="zh-CN"/>
            </w:rPr>
            <w:t>五、</w:t>
          </w:r>
          <w:r>
            <w:rPr>
              <w:rFonts w:hint="eastAsia" w:ascii="宋体" w:hAnsi="宋体" w:eastAsia="宋体" w:cs="宋体"/>
              <w:color w:val="auto"/>
              <w:szCs w:val="24"/>
              <w:highlight w:val="none"/>
            </w:rPr>
            <w:t>比选保证金</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无</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_Toc1710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4CA84F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六、其它有关规定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_Toc15883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7CCB7E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_Toc5929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C21646">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021046FB">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_Toc22114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rPr>
            <w:t>第二篇 项目服务需求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_Toc22114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415A77F">
          <w:pPr>
            <w:pStyle w:val="21"/>
            <w:tabs>
              <w:tab w:val="right" w:leader="dot" w:pos="9639"/>
              <w:tab w:val="clear" w:pos="8400"/>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一、项目一览表</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szCs w:val="24"/>
              <w:highlight w:val="none"/>
              <w:lang w:val="en-US" w:eastAsia="zh-CN"/>
            </w:rPr>
            <w:t xml:space="preserve">  </w:t>
          </w:r>
        </w:p>
        <w:p w14:paraId="6D7663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_Toc8301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二、项目</w:t>
          </w:r>
          <w:r>
            <w:rPr>
              <w:rFonts w:hint="eastAsia" w:ascii="宋体" w:hAnsi="宋体" w:eastAsia="宋体" w:cs="宋体"/>
              <w:bCs/>
              <w:color w:val="auto"/>
              <w:szCs w:val="28"/>
              <w:highlight w:val="none"/>
            </w:rPr>
            <w:t>服务</w:t>
          </w:r>
          <w:r>
            <w:rPr>
              <w:rFonts w:hint="eastAsia" w:ascii="宋体" w:hAnsi="宋体" w:eastAsia="宋体" w:cs="宋体"/>
              <w:bCs/>
              <w:color w:val="auto"/>
              <w:szCs w:val="28"/>
              <w:highlight w:val="none"/>
              <w:lang w:val="en-US" w:eastAsia="zh-CN"/>
            </w:rPr>
            <w:t>及质量要求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_Toc8301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3AE44F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3A92AEF6">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_Toc17122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第三篇 项目商务需求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_Toc17122 \h </w:instrText>
          </w:r>
          <w:r>
            <w:rPr>
              <w:rFonts w:hint="eastAsia" w:ascii="宋体" w:hAnsi="宋体" w:eastAsia="宋体" w:cs="宋体"/>
              <w:b/>
              <w:bCs/>
              <w:color w:val="auto"/>
            </w:rPr>
            <w:fldChar w:fldCharType="separate"/>
          </w:r>
          <w:r>
            <w:rPr>
              <w:rFonts w:hint="eastAsia" w:ascii="宋体" w:hAnsi="宋体" w:eastAsia="宋体" w:cs="宋体"/>
              <w:b/>
              <w:bCs/>
              <w:color w:val="auto"/>
            </w:rPr>
            <w:t>8</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2FD460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_Toc3601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rPr>
            <w:t>一、服务时间、地点及验收方式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_Toc3601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1A7409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_Toc26065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lang w:val="en-US" w:eastAsia="zh-CN"/>
            </w:rPr>
            <w:t>二、报价要求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_Toc26065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8A704F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三</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供货要求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_Toc19150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7B02EE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四</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质量保证及售后服务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_Toc9059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4A952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_Toc27286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五</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询定价及结算</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_Toc27286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DB581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_Toc16025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付款方式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_Toc16025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6577E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_Toc11493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七、其他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_Toc11493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8B4CB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八、其他商务要求内容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_Toc11871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DE25E08">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1FD47772">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_Toc20265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第四篇  比选程序及方法、评审标准、无效响应和采购终止</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_Toc20265 \h </w:instrText>
          </w:r>
          <w:r>
            <w:rPr>
              <w:rFonts w:hint="eastAsia" w:ascii="宋体" w:hAnsi="宋体" w:eastAsia="宋体" w:cs="宋体"/>
              <w:b/>
              <w:bCs/>
              <w:color w:val="auto"/>
            </w:rPr>
            <w:fldChar w:fldCharType="separate"/>
          </w:r>
          <w:r>
            <w:rPr>
              <w:rFonts w:hint="eastAsia" w:ascii="宋体" w:hAnsi="宋体" w:eastAsia="宋体" w:cs="宋体"/>
              <w:b/>
              <w:bCs/>
              <w:color w:val="auto"/>
            </w:rPr>
            <w:t>12</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79591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rPr>
            <w:t>一、资格审查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_Toc9359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8843D1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_Toc28329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二、评审方法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_Toc28329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3D58F18">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_Toc3558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三、评审标准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_Toc3558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95F4BE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四、无效响应</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_Toc25152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AD910A0">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五、采购终止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_Toc3828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36A1BC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2FFE132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_Toc3009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_Toc3009 \h </w:instrText>
          </w:r>
          <w:r>
            <w:rPr>
              <w:rFonts w:hint="eastAsia" w:ascii="宋体" w:hAnsi="宋体" w:eastAsia="宋体" w:cs="宋体"/>
              <w:b/>
              <w:bCs/>
              <w:color w:val="auto"/>
            </w:rPr>
            <w:fldChar w:fldCharType="separate"/>
          </w:r>
          <w:r>
            <w:rPr>
              <w:rFonts w:hint="eastAsia" w:ascii="宋体" w:hAnsi="宋体" w:eastAsia="宋体" w:cs="宋体"/>
              <w:b/>
              <w:bCs/>
              <w:color w:val="auto"/>
            </w:rPr>
            <w:t>18</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A5C61C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_Toc19471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一、比选费用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_Toc19471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A31EA">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_Toc26807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二、比选文件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_Toc26807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E1D087B">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_Toc13560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三、比选要求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_Toc13560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F4C8334">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_Toc30903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中标人</w:t>
          </w:r>
          <w:r>
            <w:rPr>
              <w:rFonts w:hint="eastAsia" w:ascii="宋体" w:hAnsi="宋体" w:eastAsia="宋体" w:cs="宋体"/>
              <w:color w:val="auto"/>
              <w:szCs w:val="24"/>
              <w:highlight w:val="none"/>
            </w:rPr>
            <w:t>的确认和变更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_Toc30903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3C655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_Toc18022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val="en-US" w:eastAsia="zh-CN"/>
            </w:rPr>
            <w:t>中标（</w:t>
          </w:r>
          <w:r>
            <w:rPr>
              <w:rFonts w:hint="eastAsia" w:ascii="宋体" w:hAnsi="宋体" w:eastAsia="宋体" w:cs="宋体"/>
              <w:color w:val="auto"/>
              <w:szCs w:val="24"/>
              <w:highlight w:val="none"/>
            </w:rPr>
            <w:t>成交</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_Toc18022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20BACD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_Toc6986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六、关于质疑和投诉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_Toc6986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178C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七、采购代理服务费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D7B572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A825BC">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4C293B1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第六篇  采购合同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_Toc2235 \h </w:instrText>
          </w:r>
          <w:r>
            <w:rPr>
              <w:rFonts w:hint="eastAsia" w:ascii="宋体" w:hAnsi="宋体" w:eastAsia="宋体" w:cs="宋体"/>
              <w:b/>
              <w:bCs/>
              <w:color w:val="auto"/>
            </w:rPr>
            <w:fldChar w:fldCharType="separate"/>
          </w:r>
          <w:r>
            <w:rPr>
              <w:rFonts w:hint="eastAsia" w:ascii="宋体" w:hAnsi="宋体" w:eastAsia="宋体" w:cs="宋体"/>
              <w:b/>
              <w:bCs/>
              <w:color w:val="auto"/>
            </w:rPr>
            <w:t>22</w:t>
          </w:r>
          <w:r>
            <w:rPr>
              <w:rFonts w:hint="eastAsia" w:ascii="宋体" w:hAnsi="宋体" w:eastAsia="宋体" w:cs="宋体"/>
              <w:b/>
              <w:bCs/>
              <w:color w:val="auto"/>
            </w:rPr>
            <w:fldChar w:fldCharType="end"/>
          </w:r>
        </w:p>
        <w:p w14:paraId="5A391014">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66A0427A">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_Toc19004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_Toc19004 \h </w:instrText>
          </w:r>
          <w:r>
            <w:rPr>
              <w:rFonts w:hint="eastAsia" w:ascii="宋体" w:hAnsi="宋体" w:eastAsia="宋体" w:cs="宋体"/>
              <w:b/>
              <w:bCs/>
              <w:color w:val="auto"/>
            </w:rPr>
            <w:fldChar w:fldCharType="separate"/>
          </w:r>
          <w:r>
            <w:rPr>
              <w:rFonts w:hint="eastAsia" w:ascii="宋体" w:hAnsi="宋体" w:eastAsia="宋体" w:cs="宋体"/>
              <w:b/>
              <w:bCs/>
              <w:color w:val="auto"/>
            </w:rPr>
            <w:t>24</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130C453">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_Toc15782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一、经济部分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_Toc15782 \h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0A478D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二、服务部分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_Toc31572 \h </w:instrText>
          </w:r>
          <w:r>
            <w:rPr>
              <w:rFonts w:hint="eastAsia" w:ascii="宋体" w:hAnsi="宋体" w:eastAsia="宋体" w:cs="宋体"/>
              <w:color w:val="auto"/>
            </w:rPr>
            <w:fldChar w:fldCharType="separate"/>
          </w:r>
          <w:r>
            <w:rPr>
              <w:rFonts w:hint="eastAsia" w:ascii="宋体" w:hAnsi="宋体" w:eastAsia="宋体" w:cs="宋体"/>
              <w:color w:val="auto"/>
            </w:rPr>
            <w:t>27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559948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_Toc31607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三、商务部分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_Toc31607 \h </w:instrText>
          </w:r>
          <w:r>
            <w:rPr>
              <w:rFonts w:hint="eastAsia" w:ascii="宋体" w:hAnsi="宋体" w:eastAsia="宋体" w:cs="宋体"/>
              <w:color w:val="auto"/>
            </w:rPr>
            <w:fldChar w:fldCharType="separate"/>
          </w:r>
          <w:r>
            <w:rPr>
              <w:rFonts w:hint="eastAsia" w:ascii="宋体" w:hAnsi="宋体" w:eastAsia="宋体" w:cs="宋体"/>
              <w:color w:val="auto"/>
            </w:rPr>
            <w:t>29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0A8D06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四、资格条件及其他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_Toc3255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E475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_Toc11375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五、其他资料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_Toc11375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7B915E">
          <w:pPr>
            <w:pStyle w:val="20"/>
            <w:tabs>
              <w:tab w:val="right" w:leader="middleDot" w:pos="9639"/>
              <w:tab w:val="clear" w:pos="1260"/>
              <w:tab w:val="clear" w:pos="1685"/>
              <w:tab w:val="clear" w:pos="8400"/>
            </w:tabs>
            <w:spacing w:line="360" w:lineRule="auto"/>
            <w:rPr>
              <w:rFonts w:hint="eastAsia" w:ascii="宋体" w:hAnsi="宋体" w:eastAsia="宋体" w:cs="宋体"/>
              <w:color w:val="auto"/>
              <w:sz w:val="24"/>
              <w:szCs w:val="28"/>
            </w:rPr>
          </w:pPr>
          <w:r>
            <w:rPr>
              <w:rFonts w:hint="eastAsia" w:ascii="宋体" w:hAnsi="宋体" w:eastAsia="宋体" w:cs="宋体"/>
              <w:color w:val="auto"/>
              <w:szCs w:val="24"/>
              <w:highlight w:val="none"/>
            </w:rPr>
            <w:fldChar w:fldCharType="end"/>
          </w:r>
        </w:p>
      </w:sdtContent>
    </w:sdt>
    <w:p w14:paraId="2F74DAE5">
      <w:pPr>
        <w:pStyle w:val="2"/>
        <w:spacing w:before="0" w:beforeLines="0" w:after="0" w:afterLines="0" w:line="360" w:lineRule="auto"/>
        <w:jc w:val="both"/>
        <w:rPr>
          <w:rFonts w:hint="eastAsia" w:ascii="宋体" w:hAnsi="宋体" w:eastAsia="宋体" w:cs="宋体"/>
          <w:b/>
          <w:bCs/>
          <w:color w:val="auto"/>
          <w:sz w:val="52"/>
          <w:szCs w:val="52"/>
          <w:highlight w:val="none"/>
        </w:rPr>
        <w:sectPr>
          <w:headerReference r:id="rId9" w:type="default"/>
          <w:footerReference r:id="rId10" w:type="default"/>
          <w:pgSz w:w="11907" w:h="16840"/>
          <w:pgMar w:top="1134" w:right="1134" w:bottom="1134" w:left="1134" w:header="851" w:footer="992" w:gutter="0"/>
          <w:pgNumType w:fmt="decimal" w:start="1"/>
          <w:cols w:space="720" w:num="1"/>
          <w:docGrid w:linePitch="380" w:charSpace="-5735"/>
        </w:sectPr>
      </w:pPr>
    </w:p>
    <w:p w14:paraId="507E23A7">
      <w:pPr>
        <w:pStyle w:val="2"/>
        <w:spacing w:before="0" w:beforeLines="0" w:after="0" w:afterLines="0" w:line="360" w:lineRule="auto"/>
        <w:jc w:val="center"/>
        <w:rPr>
          <w:rFonts w:hint="eastAsia" w:ascii="宋体" w:hAnsi="宋体" w:eastAsia="宋体" w:cs="宋体"/>
          <w:b/>
          <w:bCs/>
          <w:color w:val="auto"/>
          <w:highlight w:val="none"/>
        </w:rPr>
      </w:pPr>
      <w:bookmarkStart w:id="15" w:name="_Toc22665"/>
      <w:bookmarkStart w:id="16" w:name="_Toc22072"/>
      <w:r>
        <w:rPr>
          <w:rFonts w:hint="eastAsia" w:ascii="宋体" w:hAnsi="宋体" w:eastAsia="宋体" w:cs="宋体"/>
          <w:b/>
          <w:bCs/>
          <w:color w:val="auto"/>
          <w:sz w:val="52"/>
          <w:szCs w:val="52"/>
          <w:highlight w:val="none"/>
        </w:rPr>
        <w:t xml:space="preserve">第一篇  </w:t>
      </w:r>
      <w:r>
        <w:rPr>
          <w:rFonts w:hint="eastAsia" w:ascii="宋体" w:hAnsi="宋体" w:eastAsia="宋体" w:cs="宋体"/>
          <w:b/>
          <w:bCs/>
          <w:color w:val="auto"/>
          <w:sz w:val="52"/>
          <w:szCs w:val="52"/>
          <w:highlight w:val="none"/>
          <w:lang w:eastAsia="zh-CN"/>
        </w:rPr>
        <w:t>比选</w:t>
      </w:r>
      <w:r>
        <w:rPr>
          <w:rFonts w:hint="eastAsia" w:ascii="宋体" w:hAnsi="宋体" w:eastAsia="宋体" w:cs="宋体"/>
          <w:b/>
          <w:bCs/>
          <w:color w:val="auto"/>
          <w:sz w:val="52"/>
          <w:szCs w:val="52"/>
          <w:highlight w:val="none"/>
        </w:rPr>
        <w:t>邀请书</w:t>
      </w:r>
      <w:bookmarkEnd w:id="15"/>
      <w:bookmarkEnd w:id="16"/>
    </w:p>
    <w:p w14:paraId="4F1991CB">
      <w:pPr>
        <w:pStyle w:val="12"/>
        <w:spacing w:line="360" w:lineRule="auto"/>
        <w:ind w:left="0" w:leftChars="0"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重庆钓鱼城建设监理咨询有限公司 </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val="en-US" w:eastAsia="zh-CN"/>
        </w:rPr>
        <w:t xml:space="preserve"> 酉阳土家族苗族自治县兴隆初级中学校 （</w:t>
      </w:r>
      <w:r>
        <w:rPr>
          <w:rFonts w:hint="eastAsia" w:ascii="宋体" w:hAnsi="宋体" w:eastAsia="宋体" w:cs="宋体"/>
          <w:color w:val="auto"/>
          <w:sz w:val="24"/>
          <w:szCs w:val="24"/>
          <w:highlight w:val="none"/>
          <w:u w:val="none"/>
          <w:lang w:val="en-US" w:eastAsia="zh-CN"/>
        </w:rPr>
        <w:t>以下简称：采购人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 xml:space="preserve"> 酉阳土家族苗族自治县兴隆初级中学校校园超市供应商项目 </w:t>
      </w:r>
      <w:r>
        <w:rPr>
          <w:rFonts w:hint="eastAsia" w:ascii="宋体" w:hAnsi="宋体" w:eastAsia="宋体" w:cs="宋体"/>
          <w:color w:val="auto"/>
          <w:sz w:val="24"/>
          <w:szCs w:val="24"/>
          <w:highlight w:val="none"/>
        </w:rPr>
        <w:t>进行比选。欢迎有资格的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前来参加比选。</w:t>
      </w:r>
    </w:p>
    <w:p w14:paraId="7FF377F7">
      <w:pPr>
        <w:pStyle w:val="3"/>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eastAsia="宋体" w:cs="宋体"/>
          <w:color w:val="auto"/>
          <w:highlight w:val="none"/>
        </w:rPr>
      </w:pPr>
      <w:bookmarkStart w:id="17" w:name="_Toc9379"/>
      <w:bookmarkStart w:id="18" w:name="_Toc6064"/>
      <w:bookmarkStart w:id="19" w:name="_Toc12178"/>
      <w:bookmarkStart w:id="20" w:name="_Toc27984"/>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比选内容</w:t>
      </w:r>
      <w:bookmarkEnd w:id="17"/>
      <w:bookmarkEnd w:id="18"/>
      <w:bookmarkEnd w:id="19"/>
      <w:bookmarkEnd w:id="20"/>
    </w:p>
    <w:tbl>
      <w:tblPr>
        <w:tblStyle w:val="2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761"/>
        <w:gridCol w:w="1425"/>
        <w:gridCol w:w="1110"/>
        <w:gridCol w:w="1192"/>
        <w:gridCol w:w="1035"/>
        <w:gridCol w:w="1111"/>
      </w:tblGrid>
      <w:tr w14:paraId="6F1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35" w:type="dxa"/>
            <w:tcBorders>
              <w:top w:val="single" w:color="auto" w:sz="4" w:space="0"/>
              <w:left w:val="single" w:color="auto" w:sz="4" w:space="0"/>
              <w:right w:val="single" w:color="auto" w:sz="4" w:space="0"/>
            </w:tcBorders>
            <w:noWrap w:val="0"/>
            <w:vAlign w:val="center"/>
          </w:tcPr>
          <w:p w14:paraId="33A892C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1761" w:type="dxa"/>
            <w:tcBorders>
              <w:top w:val="single" w:color="auto" w:sz="4" w:space="0"/>
              <w:left w:val="single" w:color="auto" w:sz="4" w:space="0"/>
              <w:right w:val="single" w:color="auto" w:sz="4" w:space="0"/>
            </w:tcBorders>
            <w:noWrap w:val="0"/>
            <w:vAlign w:val="center"/>
          </w:tcPr>
          <w:p w14:paraId="468F2B45">
            <w:pPr>
              <w:pStyle w:val="12"/>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bCs/>
                <w:color w:val="auto"/>
                <w:kern w:val="0"/>
                <w:sz w:val="24"/>
                <w:szCs w:val="24"/>
                <w:highlight w:val="none"/>
              </w:rPr>
            </w:pPr>
            <w:bookmarkStart w:id="21" w:name="_Toc6654"/>
            <w:bookmarkStart w:id="22" w:name="_Toc12746"/>
            <w:bookmarkStart w:id="23" w:name="_Toc31540"/>
            <w:bookmarkStart w:id="24" w:name="_Toc5230"/>
            <w:bookmarkStart w:id="25" w:name="_Toc19535"/>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投标报价费率</w:t>
            </w:r>
            <w:r>
              <w:rPr>
                <w:rFonts w:hint="eastAsia" w:ascii="宋体" w:hAnsi="宋体" w:eastAsia="宋体" w:cs="宋体"/>
                <w:b/>
                <w:color w:val="auto"/>
                <w:sz w:val="24"/>
                <w:szCs w:val="24"/>
                <w:highlight w:val="none"/>
              </w:rPr>
              <w:t>）</w:t>
            </w:r>
            <w:bookmarkEnd w:id="21"/>
            <w:bookmarkEnd w:id="22"/>
            <w:bookmarkEnd w:id="23"/>
            <w:bookmarkEnd w:id="24"/>
            <w:bookmarkEnd w:id="25"/>
          </w:p>
        </w:tc>
        <w:tc>
          <w:tcPr>
            <w:tcW w:w="1425" w:type="dxa"/>
            <w:tcBorders>
              <w:top w:val="single" w:color="auto" w:sz="4" w:space="0"/>
              <w:left w:val="single" w:color="auto" w:sz="4" w:space="0"/>
              <w:right w:val="single" w:color="auto" w:sz="4" w:space="0"/>
            </w:tcBorders>
            <w:noWrap w:val="0"/>
            <w:vAlign w:val="center"/>
          </w:tcPr>
          <w:p w14:paraId="38E80DC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采购预算（万元</w:t>
            </w:r>
            <w:r>
              <w:rPr>
                <w:rFonts w:hint="eastAsia" w:ascii="宋体" w:hAnsi="宋体" w:eastAsia="宋体" w:cs="宋体"/>
                <w:b/>
                <w:bCs/>
                <w:color w:val="auto"/>
                <w:kern w:val="0"/>
                <w:sz w:val="24"/>
                <w:szCs w:val="24"/>
                <w:highlight w:val="none"/>
                <w:lang w:val="en-US" w:eastAsia="zh-CN"/>
              </w:rPr>
              <w:t>/年</w:t>
            </w:r>
            <w:r>
              <w:rPr>
                <w:rFonts w:hint="eastAsia" w:ascii="宋体" w:hAnsi="宋体" w:eastAsia="宋体" w:cs="宋体"/>
                <w:b/>
                <w:bCs/>
                <w:color w:val="auto"/>
                <w:kern w:val="0"/>
                <w:sz w:val="24"/>
                <w:szCs w:val="24"/>
                <w:highlight w:val="none"/>
                <w:lang w:eastAsia="zh-CN"/>
              </w:rPr>
              <w:t>）</w:t>
            </w:r>
          </w:p>
        </w:tc>
        <w:tc>
          <w:tcPr>
            <w:tcW w:w="1110" w:type="dxa"/>
            <w:tcBorders>
              <w:top w:val="single" w:color="auto" w:sz="4" w:space="0"/>
              <w:left w:val="single" w:color="auto" w:sz="4" w:space="0"/>
              <w:right w:val="single" w:color="auto" w:sz="4" w:space="0"/>
            </w:tcBorders>
            <w:noWrap w:val="0"/>
            <w:vAlign w:val="center"/>
          </w:tcPr>
          <w:p w14:paraId="69BEBE4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保证金（万元）</w:t>
            </w:r>
          </w:p>
        </w:tc>
        <w:tc>
          <w:tcPr>
            <w:tcW w:w="1192" w:type="dxa"/>
            <w:tcBorders>
              <w:top w:val="single" w:color="auto" w:sz="4" w:space="0"/>
              <w:left w:val="single" w:color="auto" w:sz="4" w:space="0"/>
              <w:right w:val="single" w:color="auto" w:sz="4" w:space="0"/>
            </w:tcBorders>
            <w:noWrap w:val="0"/>
            <w:vAlign w:val="center"/>
          </w:tcPr>
          <w:p w14:paraId="68B3377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35" w:type="dxa"/>
            <w:tcBorders>
              <w:top w:val="single" w:color="auto" w:sz="4" w:space="0"/>
              <w:left w:val="single" w:color="auto" w:sz="4" w:space="0"/>
              <w:right w:val="single" w:color="auto" w:sz="4" w:space="0"/>
            </w:tcBorders>
            <w:noWrap w:val="0"/>
            <w:vAlign w:val="center"/>
          </w:tcPr>
          <w:p w14:paraId="0171F1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服务期限</w:t>
            </w:r>
          </w:p>
        </w:tc>
        <w:tc>
          <w:tcPr>
            <w:tcW w:w="1111" w:type="dxa"/>
            <w:tcBorders>
              <w:top w:val="single" w:color="auto" w:sz="4" w:space="0"/>
              <w:left w:val="single" w:color="auto" w:sz="4" w:space="0"/>
              <w:right w:val="single" w:color="auto" w:sz="4" w:space="0"/>
            </w:tcBorders>
            <w:noWrap w:val="0"/>
            <w:vAlign w:val="center"/>
          </w:tcPr>
          <w:p w14:paraId="5FED2AB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6DF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035" w:type="dxa"/>
            <w:tcBorders>
              <w:top w:val="single" w:color="auto" w:sz="4" w:space="0"/>
              <w:left w:val="single" w:color="auto" w:sz="4" w:space="0"/>
              <w:bottom w:val="single" w:color="auto" w:sz="4" w:space="0"/>
              <w:right w:val="single" w:color="auto" w:sz="4" w:space="0"/>
            </w:tcBorders>
            <w:noWrap w:val="0"/>
            <w:vAlign w:val="center"/>
          </w:tcPr>
          <w:p w14:paraId="1702F501">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酉阳土家族苗族自治县兴隆初级中学校校园超市供应商项目</w:t>
            </w:r>
          </w:p>
        </w:tc>
        <w:tc>
          <w:tcPr>
            <w:tcW w:w="1761" w:type="dxa"/>
            <w:tcBorders>
              <w:top w:val="single" w:color="auto" w:sz="4" w:space="0"/>
              <w:left w:val="single" w:color="auto" w:sz="4" w:space="0"/>
              <w:bottom w:val="single" w:color="auto" w:sz="4" w:space="0"/>
              <w:right w:val="single" w:color="auto" w:sz="4" w:space="0"/>
            </w:tcBorders>
            <w:noWrap w:val="0"/>
            <w:vAlign w:val="center"/>
          </w:tcPr>
          <w:p w14:paraId="0443F780">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C1E1F0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12.6万</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6C7226C">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bookmarkStart w:id="342" w:name="_GoBack"/>
            <w:bookmarkEnd w:id="342"/>
            <w:r>
              <w:rPr>
                <w:rFonts w:hint="eastAsia" w:ascii="宋体" w:hAnsi="宋体" w:eastAsia="宋体" w:cs="宋体"/>
                <w:b w:val="0"/>
                <w:bCs w:val="0"/>
                <w:color w:val="auto"/>
                <w:sz w:val="24"/>
                <w:szCs w:val="24"/>
                <w:highlight w:val="none"/>
                <w:lang w:val="en-US" w:eastAsia="zh-CN"/>
              </w:rPr>
              <w:t>/</w:t>
            </w:r>
          </w:p>
        </w:tc>
        <w:tc>
          <w:tcPr>
            <w:tcW w:w="1192" w:type="dxa"/>
            <w:tcBorders>
              <w:top w:val="single" w:color="auto" w:sz="4" w:space="0"/>
              <w:left w:val="single" w:color="auto" w:sz="4" w:space="0"/>
              <w:bottom w:val="single" w:color="auto" w:sz="4" w:space="0"/>
              <w:right w:val="single" w:color="auto" w:sz="4" w:space="0"/>
            </w:tcBorders>
            <w:noWrap w:val="0"/>
            <w:vAlign w:val="center"/>
          </w:tcPr>
          <w:p w14:paraId="2FF4BD3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035" w:type="dxa"/>
            <w:tcBorders>
              <w:left w:val="single" w:color="auto" w:sz="4" w:space="0"/>
              <w:right w:val="single" w:color="auto" w:sz="4" w:space="0"/>
            </w:tcBorders>
            <w:noWrap w:val="0"/>
            <w:vAlign w:val="center"/>
          </w:tcPr>
          <w:p w14:paraId="2ED3E2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服务期3年</w:t>
            </w:r>
          </w:p>
        </w:tc>
        <w:tc>
          <w:tcPr>
            <w:tcW w:w="1111" w:type="dxa"/>
            <w:tcBorders>
              <w:left w:val="single" w:color="auto" w:sz="4" w:space="0"/>
              <w:right w:val="single" w:color="auto" w:sz="4" w:space="0"/>
            </w:tcBorders>
            <w:noWrap w:val="0"/>
            <w:vAlign w:val="center"/>
          </w:tcPr>
          <w:p w14:paraId="305F5D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校园超市货物配送</w:t>
            </w:r>
          </w:p>
        </w:tc>
      </w:tr>
      <w:tr w14:paraId="74A0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69"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2BDA5721">
            <w:pPr>
              <w:pStyle w:val="14"/>
              <w:numPr>
                <w:ilvl w:val="0"/>
                <w:numId w:val="1"/>
              </w:numPr>
              <w:bidi w:val="0"/>
              <w:spacing w:line="360" w:lineRule="auto"/>
              <w:jc w:val="left"/>
              <w:rPr>
                <w:rFonts w:hint="eastAsia" w:ascii="宋体" w:hAnsi="宋体" w:eastAsia="宋体" w:cs="宋体"/>
                <w:b w:val="0"/>
                <w:bCs w:val="0"/>
                <w:color w:val="auto"/>
                <w:sz w:val="24"/>
                <w:szCs w:val="24"/>
                <w:highlight w:val="none"/>
                <w:lang w:val="en-US" w:eastAsia="zh-CN"/>
              </w:rPr>
            </w:pPr>
            <w:bookmarkStart w:id="26" w:name="_Toc28658"/>
            <w:bookmarkStart w:id="27" w:name="_Toc21469"/>
            <w:r>
              <w:rPr>
                <w:rFonts w:hint="eastAsia" w:ascii="宋体" w:hAnsi="宋体" w:eastAsia="宋体" w:cs="宋体"/>
                <w:color w:val="auto"/>
                <w:kern w:val="2"/>
                <w:sz w:val="24"/>
                <w:szCs w:val="24"/>
                <w:lang w:val="en-US" w:eastAsia="zh-CN" w:bidi="ar-SA"/>
              </w:rPr>
              <w:t>以上表格中的数量及采购预算均为预估值，结算时以实际产生的数量和金额为准。</w:t>
            </w:r>
          </w:p>
        </w:tc>
      </w:tr>
      <w:bookmarkEnd w:id="26"/>
      <w:bookmarkEnd w:id="27"/>
    </w:tbl>
    <w:p w14:paraId="15CE645A">
      <w:pPr>
        <w:pStyle w:val="3"/>
        <w:pageBreakBefore w:val="0"/>
        <w:widowControl w:val="0"/>
        <w:numPr>
          <w:ilvl w:val="0"/>
          <w:numId w:val="2"/>
        </w:numPr>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28" w:name="_Toc3751"/>
      <w:bookmarkStart w:id="29" w:name="_Toc27064"/>
      <w:bookmarkStart w:id="30" w:name="_Toc29265"/>
      <w:bookmarkStart w:id="31" w:name="_Toc5667"/>
      <w:r>
        <w:rPr>
          <w:rFonts w:hint="eastAsia" w:ascii="宋体" w:hAnsi="宋体" w:eastAsia="宋体" w:cs="宋体"/>
          <w:b/>
          <w:color w:val="auto"/>
          <w:sz w:val="24"/>
          <w:szCs w:val="24"/>
          <w:highlight w:val="none"/>
        </w:rPr>
        <w:t>资金来源</w:t>
      </w:r>
      <w:bookmarkEnd w:id="28"/>
      <w:bookmarkEnd w:id="29"/>
      <w:bookmarkEnd w:id="30"/>
      <w:bookmarkEnd w:id="31"/>
    </w:p>
    <w:p w14:paraId="432D18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学校自筹资金。</w:t>
      </w:r>
    </w:p>
    <w:p w14:paraId="25606134">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32" w:name="_Toc30691"/>
      <w:bookmarkStart w:id="33" w:name="_Toc8003"/>
      <w:bookmarkStart w:id="34" w:name="_Toc25219"/>
      <w:bookmarkStart w:id="35" w:name="_Toc15168"/>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资格条件</w:t>
      </w:r>
      <w:bookmarkEnd w:id="32"/>
      <w:bookmarkEnd w:id="33"/>
      <w:bookmarkEnd w:id="34"/>
      <w:bookmarkEnd w:id="35"/>
    </w:p>
    <w:p w14:paraId="3C83DF5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BF09B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459D142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2、财务状况报告，依法缴纳税收和社会保障资金的相关材料；</w:t>
      </w:r>
    </w:p>
    <w:p w14:paraId="1C8199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001991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w:t>
      </w:r>
    </w:p>
    <w:p w14:paraId="0CF4A35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6406DA1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根据渝财规〔2022〕4号，供应商在参与政府采购项目投标时，可对上述第2、3、4项所要求提供的相关材料进行简化。简化后，供应商只需以书面形式提供规定格式的《基本资格条件承诺函》（详见第七篇）</w:t>
      </w:r>
    </w:p>
    <w:p w14:paraId="7F275F2C">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highlight w:val="none"/>
        </w:rPr>
        <w:t>落实政府采购政策需满足的资格要求：无</w:t>
      </w:r>
    </w:p>
    <w:p w14:paraId="595563D9">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b w:val="0"/>
          <w:bCs w:val="0"/>
          <w:color w:val="auto"/>
          <w:sz w:val="24"/>
          <w:szCs w:val="24"/>
          <w:highlight w:val="none"/>
        </w:rPr>
        <w:t>特定资格条件</w:t>
      </w:r>
      <w:bookmarkStart w:id="36" w:name="_Toc8408"/>
      <w:bookmarkStart w:id="37" w:name="_Toc38532846"/>
      <w:bookmarkStart w:id="38" w:name="_Toc9978"/>
      <w:bookmarkStart w:id="39" w:name="_Toc31712"/>
      <w:r>
        <w:rPr>
          <w:rFonts w:hint="eastAsia" w:ascii="宋体" w:hAnsi="宋体" w:eastAsia="宋体" w:cs="宋体"/>
          <w:b w:val="0"/>
          <w:bCs w:val="0"/>
          <w:color w:val="auto"/>
          <w:sz w:val="24"/>
          <w:szCs w:val="24"/>
          <w:highlight w:val="none"/>
          <w:lang w:eastAsia="zh-CN"/>
        </w:rPr>
        <w:t>：</w:t>
      </w:r>
    </w:p>
    <w:p w14:paraId="655A101C">
      <w:pPr>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highlight w:val="none"/>
          <w:lang w:val="en-US" w:eastAsia="zh-CN"/>
        </w:rPr>
        <w:t>供应商应具备有效的《营业执照》和</w:t>
      </w:r>
      <w:r>
        <w:rPr>
          <w:rFonts w:hint="eastAsia" w:ascii="宋体" w:hAnsi="宋体" w:eastAsia="宋体" w:cs="宋体"/>
          <w:b/>
          <w:bCs/>
          <w:color w:val="auto"/>
          <w:sz w:val="24"/>
          <w:szCs w:val="24"/>
        </w:rPr>
        <w:t>《食品经营许可证》</w:t>
      </w:r>
      <w:r>
        <w:rPr>
          <w:rFonts w:hint="eastAsia" w:ascii="宋体" w:hAnsi="宋体" w:eastAsia="宋体" w:cs="宋体"/>
          <w:b/>
          <w:bCs/>
          <w:color w:val="auto"/>
          <w:sz w:val="24"/>
          <w:szCs w:val="24"/>
          <w:lang w:val="en-US" w:eastAsia="zh-CN"/>
        </w:rPr>
        <w:t>，并提供证书复印件加盖供应商公章。</w:t>
      </w:r>
    </w:p>
    <w:p w14:paraId="442ED0A3">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40" w:name="_Toc19839"/>
      <w:bookmarkStart w:id="41" w:name="_Toc21035"/>
      <w:bookmarkStart w:id="42" w:name="_Toc9163"/>
      <w:bookmarkStart w:id="43" w:name="_Toc16544"/>
      <w:r>
        <w:rPr>
          <w:rFonts w:hint="eastAsia" w:ascii="宋体" w:hAnsi="宋体" w:eastAsia="宋体" w:cs="宋体"/>
          <w:b/>
          <w:color w:val="auto"/>
          <w:sz w:val="24"/>
          <w:szCs w:val="24"/>
          <w:highlight w:val="none"/>
        </w:rPr>
        <w:t>四、比选有关说明</w:t>
      </w:r>
      <w:bookmarkEnd w:id="36"/>
      <w:bookmarkEnd w:id="37"/>
      <w:bookmarkEnd w:id="38"/>
      <w:bookmarkEnd w:id="39"/>
      <w:bookmarkEnd w:id="40"/>
      <w:bookmarkEnd w:id="41"/>
      <w:bookmarkEnd w:id="42"/>
      <w:bookmarkEnd w:id="43"/>
      <w:bookmarkStart w:id="44" w:name="_Toc373860294"/>
    </w:p>
    <w:bookmarkEnd w:id="44"/>
    <w:p w14:paraId="0B8D901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45" w:name="_Toc41896028"/>
      <w:bookmarkStart w:id="46" w:name="_Toc7597"/>
      <w:bookmarkStart w:id="47" w:name="_Toc19692"/>
      <w:bookmarkStart w:id="48" w:name="_Toc3347"/>
      <w:bookmarkStart w:id="49" w:name="_Toc8938"/>
      <w:bookmarkStart w:id="50" w:name="_Toc19256"/>
      <w:r>
        <w:rPr>
          <w:rFonts w:hint="eastAsia" w:ascii="宋体" w:hAnsi="宋体" w:eastAsia="宋体" w:cs="宋体"/>
          <w:color w:val="auto"/>
          <w:sz w:val="24"/>
          <w:szCs w:val="24"/>
          <w:highlight w:val="none"/>
        </w:rPr>
        <w:t>（一）供应商需通过重庆市行采家（https://www.gec123.com/）进行注册，登记加入“重庆市政府采购供应商库”。</w:t>
      </w:r>
    </w:p>
    <w:p w14:paraId="5C1F495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（二）凡有意参加竞争性比选的供应商，请在“行采家”（https://www.gec123.com/）采购公告发布之日起至提交响应文件截止时间之前自行下载本项目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文件以及补遗等开标前公布的所有项目资料，无论供应商下载与否，均视为已知晓所有比选实质性要求内容。</w:t>
      </w:r>
    </w:p>
    <w:p w14:paraId="7F2DAA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51" w:name="_Toc2690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）公告期限：自采购公告发布之日起</w:t>
      </w:r>
      <w:r>
        <w:rPr>
          <w:rFonts w:hint="eastAsia" w:ascii="宋体" w:hAnsi="宋体" w:eastAsia="宋体" w:cs="宋体"/>
          <w:color w:val="auto"/>
          <w:sz w:val="24"/>
          <w:szCs w:val="24"/>
          <w:highlight w:val="none"/>
          <w:lang w:eastAsia="zh-CN"/>
        </w:rPr>
        <w:t>三个工作日。</w:t>
      </w:r>
    </w:p>
    <w:p w14:paraId="06CE8C1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51"/>
      <w:r>
        <w:rPr>
          <w:rFonts w:hint="eastAsia" w:ascii="宋体" w:hAnsi="宋体" w:eastAsia="宋体" w:cs="宋体"/>
          <w:color w:val="auto"/>
          <w:sz w:val="24"/>
          <w:szCs w:val="24"/>
          <w:highlight w:val="none"/>
          <w:lang w:eastAsia="zh-CN"/>
        </w:rPr>
        <w:t xml:space="preserve">竞争性比选文件发售期限： </w:t>
      </w:r>
    </w:p>
    <w:p w14:paraId="765F1BF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1、竞争性比选文件发售期：202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 xml:space="preserve">日 </w:t>
      </w:r>
    </w:p>
    <w:p w14:paraId="75C8554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2、报名方式：</w:t>
      </w:r>
    </w:p>
    <w:p w14:paraId="19C28D1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2.1在竞争性比选文件发售期内，供应商将《竞争性比选文件发售登记表》（</w:t>
      </w:r>
      <w:r>
        <w:rPr>
          <w:rFonts w:hint="eastAsia" w:ascii="宋体" w:hAnsi="宋体" w:eastAsia="宋体" w:cs="宋体"/>
          <w:color w:val="auto"/>
          <w:sz w:val="24"/>
          <w:szCs w:val="24"/>
          <w:highlight w:val="none"/>
          <w:lang w:val="en-US" w:eastAsia="zh-CN"/>
        </w:rPr>
        <w:t>填写完整并</w:t>
      </w:r>
      <w:r>
        <w:rPr>
          <w:rFonts w:hint="eastAsia" w:ascii="宋体" w:hAnsi="宋体" w:eastAsia="宋体" w:cs="宋体"/>
          <w:color w:val="auto"/>
          <w:sz w:val="24"/>
          <w:szCs w:val="24"/>
          <w:highlight w:val="none"/>
          <w:lang w:eastAsia="zh-CN"/>
        </w:rPr>
        <w:t>加盖供应商公章）扫描后发送至</w:t>
      </w:r>
      <w:r>
        <w:rPr>
          <w:rFonts w:hint="eastAsia" w:ascii="宋体" w:hAnsi="宋体" w:eastAsia="宋体" w:cs="宋体"/>
          <w:color w:val="auto"/>
          <w:sz w:val="24"/>
          <w:szCs w:val="24"/>
          <w:highlight w:val="none"/>
          <w:lang w:val="en-US" w:eastAsia="zh-CN"/>
        </w:rPr>
        <w:t>邮箱（1344395137</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报名。</w:t>
      </w:r>
    </w:p>
    <w:p w14:paraId="5FD49B7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在竞争性比选文件发售期内</w:t>
      </w:r>
      <w:r>
        <w:rPr>
          <w:rFonts w:hint="eastAsia" w:ascii="宋体" w:hAnsi="宋体" w:eastAsia="宋体" w:cs="宋体"/>
          <w:color w:val="auto"/>
          <w:sz w:val="24"/>
          <w:szCs w:val="24"/>
          <w:highlight w:val="none"/>
          <w:lang w:val="en-US" w:eastAsia="zh-CN"/>
        </w:rPr>
        <w:t>报名并</w:t>
      </w:r>
      <w:r>
        <w:rPr>
          <w:rFonts w:hint="eastAsia" w:ascii="宋体" w:hAnsi="宋体" w:eastAsia="宋体" w:cs="宋体"/>
          <w:color w:val="auto"/>
          <w:sz w:val="24"/>
          <w:szCs w:val="24"/>
          <w:highlight w:val="none"/>
        </w:rPr>
        <w:t>购买了竞争性比选文件的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才被接收。</w:t>
      </w:r>
    </w:p>
    <w:p w14:paraId="7C057E1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竞争性比选文件售价：人民币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报名时缴纳</w:t>
      </w:r>
      <w:r>
        <w:rPr>
          <w:rFonts w:hint="eastAsia" w:ascii="宋体" w:hAnsi="宋体" w:eastAsia="宋体" w:cs="宋体"/>
          <w:color w:val="auto"/>
          <w:sz w:val="24"/>
          <w:szCs w:val="24"/>
          <w:highlight w:val="none"/>
        </w:rPr>
        <w:t>。</w:t>
      </w:r>
    </w:p>
    <w:p w14:paraId="27C83AF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）投标</w:t>
      </w:r>
    </w:p>
    <w:p w14:paraId="0DC21A5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1.线上报价：报价时间为202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日9：00-1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w:t>
      </w:r>
    </w:p>
    <w:p w14:paraId="0C3ABAD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供应商应按规定的时间在“行采家”（https://www.gec123.com/）进行网上报价，并上传签字盖章后的投标文件电子文档PDF格式一份。并在规定时间内进行线下投标；未在规定时间内进行线上报价和线下投标的供应商其投标无效。</w:t>
      </w:r>
    </w:p>
    <w:p w14:paraId="1248CBE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3.线下投标</w:t>
      </w:r>
    </w:p>
    <w:p w14:paraId="1A19530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：00至</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0（逾期不予受理）</w:t>
      </w:r>
      <w:r>
        <w:rPr>
          <w:rFonts w:hint="eastAsia" w:ascii="宋体" w:hAnsi="宋体" w:eastAsia="宋体" w:cs="宋体"/>
          <w:color w:val="auto"/>
          <w:sz w:val="24"/>
          <w:szCs w:val="24"/>
          <w:highlight w:val="none"/>
          <w:lang w:val="en-US" w:eastAsia="zh-CN"/>
        </w:rPr>
        <w:t>止。</w:t>
      </w:r>
    </w:p>
    <w:p w14:paraId="18E671F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（2）投标地点：</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rPr>
        <w:t>会议室。</w:t>
      </w:r>
    </w:p>
    <w:p w14:paraId="7045F78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3）纸质</w:t>
      </w:r>
      <w:r>
        <w:rPr>
          <w:rFonts w:hint="eastAsia" w:ascii="宋体" w:hAnsi="宋体" w:eastAsia="宋体" w:cs="宋体"/>
          <w:color w:val="auto"/>
          <w:sz w:val="24"/>
          <w:szCs w:val="24"/>
          <w:highlight w:val="none"/>
        </w:rPr>
        <w:t>响应文件（一正二副共3份）。</w:t>
      </w:r>
    </w:p>
    <w:p w14:paraId="6A07AC0E">
      <w:pPr>
        <w:pStyle w:val="3"/>
        <w:pageBreakBefore w:val="0"/>
        <w:widowControl w:val="0"/>
        <w:numPr>
          <w:ilvl w:val="0"/>
          <w:numId w:val="3"/>
        </w:numPr>
        <w:kinsoku/>
        <w:wordWrap/>
        <w:overflowPunct/>
        <w:topLinePunct w:val="0"/>
        <w:autoSpaceDE/>
        <w:autoSpaceDN/>
        <w:bidi w:val="0"/>
        <w:spacing w:line="360" w:lineRule="auto"/>
        <w:textAlignment w:val="auto"/>
        <w:outlineLvl w:val="0"/>
        <w:rPr>
          <w:rFonts w:hint="eastAsia" w:ascii="宋体" w:hAnsi="宋体" w:eastAsia="宋体" w:cs="宋体"/>
          <w:color w:val="auto"/>
          <w:lang w:val="en-US" w:eastAsia="zh-CN"/>
        </w:rPr>
      </w:pPr>
      <w:bookmarkStart w:id="52" w:name="_Toc1710"/>
      <w:bookmarkStart w:id="53" w:name="_Toc29902"/>
      <w:bookmarkStart w:id="54" w:name="_Toc17953"/>
      <w:bookmarkStart w:id="55" w:name="_Toc18469"/>
      <w:r>
        <w:rPr>
          <w:rFonts w:hint="eastAsia" w:ascii="宋体" w:hAnsi="宋体" w:eastAsia="宋体" w:cs="宋体"/>
          <w:b/>
          <w:color w:val="auto"/>
          <w:sz w:val="24"/>
          <w:szCs w:val="24"/>
          <w:highlight w:val="none"/>
        </w:rPr>
        <w:t>比选保证金</w:t>
      </w:r>
      <w:bookmarkEnd w:id="45"/>
      <w:bookmarkEnd w:id="46"/>
      <w:bookmarkEnd w:id="47"/>
      <w:bookmarkEnd w:id="48"/>
      <w:bookmarkEnd w:id="49"/>
      <w:bookmarkEnd w:id="50"/>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无</w:t>
      </w:r>
      <w:bookmarkEnd w:id="52"/>
      <w:bookmarkEnd w:id="53"/>
      <w:bookmarkEnd w:id="54"/>
      <w:bookmarkEnd w:id="55"/>
    </w:p>
    <w:p w14:paraId="5E03007D">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56" w:name="_Toc26638"/>
      <w:bookmarkStart w:id="57" w:name="_Toc15883"/>
      <w:bookmarkStart w:id="58" w:name="_Toc41896029"/>
      <w:bookmarkStart w:id="59" w:name="_Toc3442"/>
      <w:bookmarkStart w:id="60" w:name="_Toc2967"/>
      <w:bookmarkStart w:id="61" w:name="_Toc20652"/>
      <w:bookmarkStart w:id="62" w:name="_Toc4679"/>
      <w:bookmarkStart w:id="63" w:name="_Toc26138"/>
      <w:bookmarkStart w:id="64" w:name="_Toc8089"/>
      <w:bookmarkStart w:id="65" w:name="_Toc8418"/>
      <w:r>
        <w:rPr>
          <w:rFonts w:hint="eastAsia" w:ascii="宋体" w:hAnsi="宋体" w:eastAsia="宋体" w:cs="宋体"/>
          <w:b/>
          <w:color w:val="auto"/>
          <w:sz w:val="24"/>
          <w:szCs w:val="24"/>
          <w:highlight w:val="none"/>
        </w:rPr>
        <w:t>六、其它有关规定</w:t>
      </w:r>
      <w:bookmarkEnd w:id="56"/>
      <w:bookmarkEnd w:id="57"/>
      <w:bookmarkEnd w:id="58"/>
      <w:bookmarkEnd w:id="59"/>
      <w:bookmarkEnd w:id="60"/>
      <w:bookmarkEnd w:id="61"/>
      <w:bookmarkEnd w:id="62"/>
      <w:bookmarkEnd w:id="63"/>
      <w:bookmarkEnd w:id="64"/>
      <w:bookmarkEnd w:id="65"/>
    </w:p>
    <w:p w14:paraId="0AAC8FD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，不得参加同一合同项下的比选活动，否则均为无效比选。</w:t>
      </w:r>
    </w:p>
    <w:p w14:paraId="0BBC89C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）本项目的补遗文件（如果有）一律在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注意自行下载；无论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已知晓本项目补遗文件（如果有）的内容。</w:t>
      </w:r>
    </w:p>
    <w:p w14:paraId="0D07A9B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）超过比选文件截止时间递交的投标文件，恕不接收。</w:t>
      </w:r>
    </w:p>
    <w:p w14:paraId="4261A55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）比选费用：无论比选结果如何，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参与本项目比选的所有费用均应由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4C3A0B1C">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）本项目不接受联合体参与比选</w:t>
      </w:r>
      <w:r>
        <w:rPr>
          <w:rFonts w:hint="eastAsia" w:ascii="宋体" w:hAnsi="宋体" w:eastAsia="宋体" w:cs="宋体"/>
          <w:b/>
          <w:bCs/>
          <w:color w:val="auto"/>
          <w:kern w:val="2"/>
          <w:sz w:val="24"/>
          <w:szCs w:val="24"/>
          <w:highlight w:val="none"/>
          <w:lang w:val="en-US" w:eastAsia="zh-CN" w:bidi="ar-SA"/>
        </w:rPr>
        <w:t>，否则按无效投标处理。</w:t>
      </w:r>
    </w:p>
    <w:p w14:paraId="65655D8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kern w:val="2"/>
          <w:sz w:val="24"/>
          <w:szCs w:val="24"/>
          <w:highlight w:val="none"/>
          <w:lang w:val="en-US" w:eastAsia="zh-CN" w:bidi="ar-SA"/>
        </w:rPr>
        <w:t>（六）本项目不接受合同分包，否则按无效投标处理。</w:t>
      </w:r>
    </w:p>
    <w:p w14:paraId="6A2D923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，将拒绝其参与比选活动。</w:t>
      </w:r>
    </w:p>
    <w:p w14:paraId="799E5650">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66" w:name="_Toc41896030"/>
      <w:bookmarkStart w:id="67" w:name="_Toc5929"/>
      <w:bookmarkStart w:id="68" w:name="_Toc1273"/>
      <w:bookmarkStart w:id="69" w:name="_Toc24760"/>
      <w:bookmarkStart w:id="70" w:name="_Toc20501"/>
      <w:bookmarkStart w:id="71" w:name="_Toc26316"/>
      <w:bookmarkStart w:id="72" w:name="_Toc2952"/>
      <w:bookmarkStart w:id="73" w:name="_Toc26174"/>
      <w:bookmarkStart w:id="74" w:name="_Toc10824"/>
      <w:bookmarkStart w:id="75" w:name="_Toc9761"/>
      <w:r>
        <w:rPr>
          <w:rFonts w:hint="eastAsia" w:ascii="宋体" w:hAnsi="宋体" w:eastAsia="宋体" w:cs="宋体"/>
          <w:b/>
          <w:color w:val="auto"/>
          <w:sz w:val="24"/>
          <w:szCs w:val="24"/>
          <w:highlight w:val="none"/>
        </w:rPr>
        <w:t>七、联系方式</w:t>
      </w:r>
      <w:bookmarkEnd w:id="66"/>
      <w:bookmarkEnd w:id="67"/>
      <w:bookmarkEnd w:id="68"/>
      <w:bookmarkEnd w:id="69"/>
      <w:bookmarkEnd w:id="70"/>
      <w:bookmarkEnd w:id="71"/>
      <w:bookmarkEnd w:id="72"/>
      <w:bookmarkEnd w:id="73"/>
      <w:bookmarkEnd w:id="74"/>
      <w:bookmarkEnd w:id="75"/>
    </w:p>
    <w:p w14:paraId="38DA334F">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u w:val="none"/>
          <w:lang w:val="en-US" w:eastAsia="zh-CN"/>
        </w:rPr>
        <w:t>酉阳土家族苗族自治县兴隆初级中学校</w:t>
      </w:r>
    </w:p>
    <w:p w14:paraId="65F5981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联系人：冉老师   </w:t>
      </w:r>
    </w:p>
    <w:p w14:paraId="6D4D71F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电话：18994975051</w:t>
      </w:r>
    </w:p>
    <w:p w14:paraId="665B876D">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lang w:val="en-US" w:eastAsia="zh-CN"/>
        </w:rPr>
        <w:t xml:space="preserve"> </w:t>
      </w:r>
    </w:p>
    <w:p w14:paraId="2DBDDD6B">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重庆钓鱼城建设监理咨询有限公司</w:t>
      </w:r>
    </w:p>
    <w:p w14:paraId="524F18FA">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李老师  </w:t>
      </w:r>
    </w:p>
    <w:p w14:paraId="547FEBF1">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13594928753   </w:t>
      </w:r>
    </w:p>
    <w:p w14:paraId="51D49473">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重庆市渝北区金开大道1003号C10栋24-6</w:t>
      </w:r>
    </w:p>
    <w:p w14:paraId="34107138">
      <w:pPr>
        <w:pStyle w:val="2"/>
        <w:bidi w:val="0"/>
        <w:spacing w:line="360" w:lineRule="auto"/>
        <w:rPr>
          <w:rFonts w:hint="eastAsia" w:ascii="宋体" w:hAnsi="宋体" w:eastAsia="宋体" w:cs="宋体"/>
          <w:color w:val="auto"/>
          <w:highlight w:val="none"/>
        </w:rPr>
      </w:pPr>
      <w:bookmarkStart w:id="76" w:name="_Toc30387"/>
      <w:r>
        <w:rPr>
          <w:rFonts w:hint="eastAsia" w:ascii="宋体" w:hAnsi="宋体" w:eastAsia="宋体" w:cs="宋体"/>
          <w:color w:val="auto"/>
          <w:szCs w:val="24"/>
          <w:highlight w:val="none"/>
        </w:rPr>
        <w:br w:type="page"/>
      </w:r>
      <w:bookmarkStart w:id="77" w:name="_Toc22114"/>
      <w:bookmarkStart w:id="78" w:name="_Toc27544"/>
      <w:bookmarkStart w:id="79" w:name="_Toc1169"/>
      <w:bookmarkStart w:id="80" w:name="_Toc16944"/>
      <w:r>
        <w:rPr>
          <w:rFonts w:hint="eastAsia" w:ascii="宋体" w:hAnsi="宋体" w:eastAsia="宋体" w:cs="宋体"/>
          <w:color w:val="auto"/>
        </w:rPr>
        <w:t>第二篇 项目服务需求</w:t>
      </w:r>
      <w:bookmarkEnd w:id="77"/>
      <w:bookmarkEnd w:id="78"/>
      <w:bookmarkEnd w:id="79"/>
      <w:bookmarkEnd w:id="80"/>
    </w:p>
    <w:p w14:paraId="7402F790">
      <w:pPr>
        <w:pStyle w:val="7"/>
        <w:bidi w:val="0"/>
        <w:spacing w:line="360" w:lineRule="auto"/>
        <w:rPr>
          <w:rFonts w:hint="eastAsia" w:ascii="宋体" w:hAnsi="宋体" w:eastAsia="宋体" w:cs="宋体"/>
          <w:color w:val="auto"/>
          <w:sz w:val="28"/>
          <w:szCs w:val="24"/>
        </w:rPr>
      </w:pPr>
      <w:bookmarkStart w:id="81" w:name="_Toc22060"/>
      <w:bookmarkStart w:id="82" w:name="_Toc31008"/>
      <w:bookmarkStart w:id="83" w:name="_Toc4123"/>
      <w:bookmarkStart w:id="84" w:name="_Toc28331"/>
      <w:r>
        <w:rPr>
          <w:rFonts w:hint="eastAsia" w:ascii="宋体" w:hAnsi="宋体" w:eastAsia="宋体" w:cs="宋体"/>
          <w:color w:val="auto"/>
          <w:sz w:val="28"/>
          <w:szCs w:val="24"/>
        </w:rPr>
        <w:t>一、项目一览表</w:t>
      </w:r>
      <w:bookmarkEnd w:id="81"/>
      <w:bookmarkEnd w:id="82"/>
      <w:bookmarkEnd w:id="83"/>
      <w:bookmarkEnd w:id="84"/>
    </w:p>
    <w:tbl>
      <w:tblPr>
        <w:tblStyle w:val="27"/>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931"/>
        <w:gridCol w:w="2403"/>
        <w:gridCol w:w="1716"/>
      </w:tblGrid>
      <w:tr w14:paraId="47D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393" w:type="dxa"/>
            <w:tcBorders>
              <w:top w:val="single" w:color="auto" w:sz="4" w:space="0"/>
              <w:left w:val="single" w:color="auto" w:sz="4" w:space="0"/>
              <w:right w:val="single" w:color="auto" w:sz="4" w:space="0"/>
            </w:tcBorders>
            <w:noWrap w:val="0"/>
            <w:vAlign w:val="center"/>
          </w:tcPr>
          <w:p w14:paraId="562737A8">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rPr>
            </w:pPr>
            <w:bookmarkStart w:id="85" w:name="_Toc29681"/>
            <w:bookmarkStart w:id="86" w:name="_Toc18345"/>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rPr>
              <w:t>名称</w:t>
            </w:r>
          </w:p>
        </w:tc>
        <w:tc>
          <w:tcPr>
            <w:tcW w:w="1931" w:type="dxa"/>
            <w:tcBorders>
              <w:top w:val="single" w:color="auto" w:sz="4" w:space="0"/>
              <w:left w:val="single" w:color="auto" w:sz="4" w:space="0"/>
              <w:right w:val="single" w:color="auto" w:sz="4" w:space="0"/>
            </w:tcBorders>
            <w:noWrap w:val="0"/>
            <w:vAlign w:val="center"/>
          </w:tcPr>
          <w:p w14:paraId="20628904">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单位/数量</w:t>
            </w:r>
          </w:p>
        </w:tc>
        <w:tc>
          <w:tcPr>
            <w:tcW w:w="2403" w:type="dxa"/>
            <w:tcBorders>
              <w:top w:val="single" w:color="auto" w:sz="4" w:space="0"/>
              <w:left w:val="single" w:color="auto" w:sz="4" w:space="0"/>
              <w:right w:val="single" w:color="auto" w:sz="4" w:space="0"/>
            </w:tcBorders>
            <w:noWrap w:val="0"/>
            <w:vAlign w:val="center"/>
          </w:tcPr>
          <w:p w14:paraId="5D526919">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服务内容</w:t>
            </w:r>
          </w:p>
        </w:tc>
        <w:tc>
          <w:tcPr>
            <w:tcW w:w="1716" w:type="dxa"/>
            <w:tcBorders>
              <w:top w:val="single" w:color="auto" w:sz="4" w:space="0"/>
              <w:left w:val="single" w:color="auto" w:sz="4" w:space="0"/>
              <w:right w:val="single" w:color="auto" w:sz="4" w:space="0"/>
            </w:tcBorders>
            <w:noWrap w:val="0"/>
            <w:vAlign w:val="center"/>
          </w:tcPr>
          <w:p w14:paraId="1D0560C3">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服务需求</w:t>
            </w:r>
          </w:p>
        </w:tc>
      </w:tr>
      <w:tr w14:paraId="6E1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393" w:type="dxa"/>
            <w:tcBorders>
              <w:top w:val="single" w:color="auto" w:sz="4" w:space="0"/>
              <w:left w:val="single" w:color="auto" w:sz="4" w:space="0"/>
              <w:right w:val="single" w:color="auto" w:sz="4" w:space="0"/>
            </w:tcBorders>
            <w:noWrap w:val="0"/>
            <w:vAlign w:val="center"/>
          </w:tcPr>
          <w:p w14:paraId="60E40DB0">
            <w:pP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lang w:val="en-US" w:eastAsia="zh-CN"/>
              </w:rPr>
              <w:t>酉阳土家族苗族自治县兴隆初级中学校校园超市供应商项目</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614AADC4">
            <w:pPr>
              <w:widowControl/>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403" w:type="dxa"/>
            <w:tcBorders>
              <w:left w:val="single" w:color="auto" w:sz="4" w:space="0"/>
              <w:right w:val="single" w:color="auto" w:sz="4" w:space="0"/>
            </w:tcBorders>
            <w:shd w:val="clear" w:color="auto" w:fill="auto"/>
            <w:noWrap w:val="0"/>
            <w:vAlign w:val="center"/>
          </w:tcPr>
          <w:p w14:paraId="173E0F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校园超市货物配送</w:t>
            </w:r>
          </w:p>
        </w:tc>
        <w:tc>
          <w:tcPr>
            <w:tcW w:w="1716" w:type="dxa"/>
            <w:tcBorders>
              <w:left w:val="single" w:color="auto" w:sz="4" w:space="0"/>
              <w:right w:val="single" w:color="auto" w:sz="4" w:space="0"/>
            </w:tcBorders>
            <w:noWrap w:val="0"/>
            <w:vAlign w:val="center"/>
          </w:tcPr>
          <w:p w14:paraId="1580A97E">
            <w:pPr>
              <w:spacing w:beforeLines="0" w:afterLines="0"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详见项目服务及质量要求</w:t>
            </w:r>
          </w:p>
        </w:tc>
      </w:tr>
    </w:tbl>
    <w:p w14:paraId="7EF4724D">
      <w:pPr>
        <w:pStyle w:val="3"/>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4"/>
          <w:szCs w:val="24"/>
          <w:highlight w:val="none"/>
        </w:rPr>
      </w:pPr>
    </w:p>
    <w:p w14:paraId="68F98147">
      <w:pPr>
        <w:pStyle w:val="3"/>
        <w:pageBreakBefore w:val="0"/>
        <w:widowControl w:val="0"/>
        <w:numPr>
          <w:ilvl w:val="0"/>
          <w:numId w:val="0"/>
        </w:numPr>
        <w:kinsoku/>
        <w:wordWrap/>
        <w:overflowPunct/>
        <w:topLinePunct w:val="0"/>
        <w:autoSpaceDE/>
        <w:autoSpaceDN/>
        <w:bidi w:val="0"/>
        <w:spacing w:line="360" w:lineRule="auto"/>
        <w:ind w:leftChars="0"/>
        <w:textAlignment w:val="auto"/>
        <w:outlineLvl w:val="0"/>
        <w:rPr>
          <w:rFonts w:hint="eastAsia" w:ascii="宋体" w:hAnsi="宋体" w:eastAsia="宋体" w:cs="宋体"/>
          <w:b/>
          <w:bCs/>
          <w:color w:val="auto"/>
          <w:sz w:val="24"/>
          <w:szCs w:val="24"/>
          <w:lang w:val="en-US" w:eastAsia="zh-CN"/>
        </w:rPr>
      </w:pPr>
      <w:bookmarkStart w:id="87" w:name="_Toc8301"/>
      <w:bookmarkStart w:id="88" w:name="_Toc710"/>
      <w:bookmarkStart w:id="89" w:name="_Toc21454"/>
      <w:bookmarkStart w:id="90" w:name="_Toc15577"/>
      <w:r>
        <w:rPr>
          <w:rFonts w:hint="eastAsia" w:ascii="宋体" w:hAnsi="宋体" w:eastAsia="宋体" w:cs="宋体"/>
          <w:b/>
          <w:bCs/>
          <w:color w:val="auto"/>
          <w:sz w:val="28"/>
          <w:szCs w:val="28"/>
          <w:highlight w:val="none"/>
          <w:lang w:val="en-US" w:eastAsia="zh-CN"/>
        </w:rPr>
        <w:t>二、项目</w:t>
      </w:r>
      <w:r>
        <w:rPr>
          <w:rFonts w:hint="eastAsia" w:ascii="宋体" w:hAnsi="宋体" w:eastAsia="宋体" w:cs="宋体"/>
          <w:b/>
          <w:bCs/>
          <w:color w:val="auto"/>
          <w:sz w:val="28"/>
          <w:szCs w:val="28"/>
          <w:highlight w:val="none"/>
        </w:rPr>
        <w:t>服务</w:t>
      </w:r>
      <w:bookmarkEnd w:id="85"/>
      <w:bookmarkEnd w:id="86"/>
      <w:bookmarkStart w:id="91" w:name="_Toc18774"/>
      <w:r>
        <w:rPr>
          <w:rFonts w:hint="eastAsia" w:ascii="宋体" w:hAnsi="宋体" w:eastAsia="宋体" w:cs="宋体"/>
          <w:b/>
          <w:bCs/>
          <w:color w:val="auto"/>
          <w:sz w:val="28"/>
          <w:szCs w:val="28"/>
          <w:highlight w:val="none"/>
          <w:lang w:val="en-US" w:eastAsia="zh-CN"/>
        </w:rPr>
        <w:t>及质量要求</w:t>
      </w:r>
      <w:bookmarkEnd w:id="87"/>
      <w:bookmarkEnd w:id="88"/>
      <w:bookmarkEnd w:id="89"/>
      <w:bookmarkEnd w:id="90"/>
    </w:p>
    <w:p w14:paraId="657C5808">
      <w:pPr>
        <w:snapToGrid w:val="0"/>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超市供货</w:t>
      </w:r>
      <w:r>
        <w:rPr>
          <w:rFonts w:hint="eastAsia" w:ascii="宋体" w:hAnsi="宋体" w:eastAsia="宋体" w:cs="宋体"/>
          <w:color w:val="auto"/>
          <w:kern w:val="2"/>
          <w:sz w:val="24"/>
          <w:szCs w:val="24"/>
          <w:highlight w:val="none"/>
          <w:u w:val="none"/>
          <w:lang w:val="zh-CN" w:eastAsia="zh-CN" w:bidi="ar-SA"/>
        </w:rPr>
        <w:t>包括</w:t>
      </w:r>
      <w:r>
        <w:rPr>
          <w:rFonts w:hint="eastAsia" w:ascii="宋体" w:hAnsi="宋体" w:eastAsia="宋体" w:cs="宋体"/>
          <w:color w:val="auto"/>
          <w:kern w:val="2"/>
          <w:sz w:val="24"/>
          <w:szCs w:val="24"/>
          <w:highlight w:val="none"/>
          <w:u w:val="none"/>
          <w:lang w:val="en-US" w:eastAsia="zh-CN" w:bidi="ar-SA"/>
        </w:rPr>
        <w:t>但不限于</w:t>
      </w:r>
      <w:bookmarkStart w:id="92" w:name="_Toc598"/>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食品类(预包装食品，纯牛奶等)、学习用品类（笔、橡皮、本子等）、日用品类（香皂、牙刷、洗衣液、卫生巾、纸巾等）、饮品类（矿泉水、各种饮料）等。</w:t>
      </w:r>
    </w:p>
    <w:p w14:paraId="6084B43A">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包装食品须保证规格品种完全符合采购人要求，包装规格、口味、种类齐全。保质期在3天以内的，必须是送货当天生产的货品；保质期在7天以内的，送货日不超过生产日两日；保质期在6个月以内的，送货日至保质期到期日的天数必须大于保质期天数的三分之二；保质期在6个月以上的，送货日至保质期到期日的天数必须大于保质期天数的二分之一。若有货物临近质保期，且货物未售出的，供应商应无条件退货。寒暑假放假前，供应商应无条件接受剩余商品的回收。（凡退货、回收货物，均不计入结算金额中。）</w:t>
      </w:r>
    </w:p>
    <w:p w14:paraId="3952EFF1">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食品类：如预包装食品，纯牛奶</w:t>
      </w:r>
      <w:bookmarkEnd w:id="92"/>
      <w:r>
        <w:rPr>
          <w:rFonts w:hint="eastAsia" w:ascii="宋体" w:hAnsi="宋体" w:eastAsia="宋体" w:cs="宋体"/>
          <w:color w:val="auto"/>
          <w:kern w:val="2"/>
          <w:sz w:val="24"/>
          <w:szCs w:val="24"/>
          <w:highlight w:val="none"/>
          <w:lang w:val="en-US" w:eastAsia="zh-CN" w:bidi="ar-SA"/>
        </w:rPr>
        <w:t>等；</w:t>
      </w:r>
      <w:bookmarkStart w:id="93" w:name="_Toc19302"/>
      <w:r>
        <w:rPr>
          <w:rFonts w:hint="eastAsia" w:ascii="宋体" w:hAnsi="宋体" w:eastAsia="宋体" w:cs="宋体"/>
          <w:color w:val="auto"/>
          <w:sz w:val="24"/>
          <w:szCs w:val="24"/>
        </w:rPr>
        <w:t>所有物资均为预包装产品，供应商所提供的产品须包装完整、生产日期、保质期或有效期、生产厂家和SC编码齐全明晰</w:t>
      </w:r>
      <w:r>
        <w:rPr>
          <w:rFonts w:hint="eastAsia" w:ascii="宋体" w:hAnsi="宋体" w:eastAsia="宋体" w:cs="宋体"/>
          <w:color w:val="auto"/>
          <w:sz w:val="24"/>
          <w:szCs w:val="24"/>
          <w:lang w:val="en-US" w:eastAsia="zh-CN"/>
        </w:rPr>
        <w:t>;</w:t>
      </w:r>
    </w:p>
    <w:p w14:paraId="7EA6C09B">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学习用品类：如笔、橡皮、本子等</w:t>
      </w:r>
      <w:bookmarkEnd w:id="93"/>
      <w:r>
        <w:rPr>
          <w:rFonts w:hint="eastAsia" w:ascii="宋体" w:hAnsi="宋体" w:eastAsia="宋体" w:cs="宋体"/>
          <w:color w:val="auto"/>
          <w:kern w:val="2"/>
          <w:sz w:val="24"/>
          <w:szCs w:val="24"/>
          <w:highlight w:val="none"/>
          <w:lang w:val="en-US" w:eastAsia="zh-CN" w:bidi="ar-SA"/>
        </w:rPr>
        <w:t>；</w:t>
      </w:r>
      <w:bookmarkStart w:id="94" w:name="_Toc29932"/>
      <w:r>
        <w:rPr>
          <w:rFonts w:hint="eastAsia" w:ascii="宋体" w:hAnsi="宋体" w:eastAsia="宋体" w:cs="宋体"/>
          <w:color w:val="auto"/>
          <w:sz w:val="24"/>
          <w:szCs w:val="24"/>
        </w:rPr>
        <w:t>用品包装上应注明的生产日期、保质期、规格、生产地等相关内容</w:t>
      </w:r>
      <w:r>
        <w:rPr>
          <w:rFonts w:hint="eastAsia" w:ascii="宋体" w:hAnsi="宋体" w:eastAsia="宋体" w:cs="宋体"/>
          <w:color w:val="auto"/>
          <w:sz w:val="24"/>
          <w:szCs w:val="24"/>
          <w:lang w:val="en-US" w:eastAsia="zh-CN"/>
        </w:rPr>
        <w:t>;</w:t>
      </w:r>
    </w:p>
    <w:p w14:paraId="49F74E3C">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日用品类：如香皂、牙刷、洗衣液、卫生巾、纸巾等</w:t>
      </w:r>
      <w:bookmarkEnd w:id="94"/>
      <w:r>
        <w:rPr>
          <w:rFonts w:hint="eastAsia" w:ascii="宋体" w:hAnsi="宋体" w:eastAsia="宋体" w:cs="宋体"/>
          <w:color w:val="auto"/>
          <w:kern w:val="2"/>
          <w:sz w:val="24"/>
          <w:szCs w:val="24"/>
          <w:highlight w:val="none"/>
          <w:lang w:val="en-US" w:eastAsia="zh-CN" w:bidi="ar-SA"/>
        </w:rPr>
        <w:t>；</w:t>
      </w:r>
      <w:bookmarkStart w:id="95" w:name="_Toc22312"/>
      <w:r>
        <w:rPr>
          <w:rFonts w:hint="eastAsia" w:ascii="宋体" w:hAnsi="宋体" w:eastAsia="宋体" w:cs="宋体"/>
          <w:color w:val="auto"/>
          <w:sz w:val="24"/>
          <w:szCs w:val="24"/>
        </w:rPr>
        <w:t>用品包装上应注明的生产日期、保质期、规格、生产地等相关内容</w:t>
      </w:r>
      <w:r>
        <w:rPr>
          <w:rFonts w:hint="eastAsia" w:ascii="宋体" w:hAnsi="宋体" w:eastAsia="宋体" w:cs="宋体"/>
          <w:color w:val="auto"/>
          <w:sz w:val="24"/>
          <w:szCs w:val="24"/>
          <w:lang w:val="en-US" w:eastAsia="zh-CN"/>
        </w:rPr>
        <w:t>;</w:t>
      </w:r>
    </w:p>
    <w:p w14:paraId="2352E316">
      <w:pPr>
        <w:numPr>
          <w:ilvl w:val="0"/>
          <w:numId w:val="4"/>
        </w:num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饮品类：如矿泉水、各种饮料</w:t>
      </w:r>
      <w:bookmarkEnd w:id="95"/>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z w:val="24"/>
          <w:szCs w:val="24"/>
        </w:rPr>
        <w:t>所有物资均为预包装产品，供应商所提供的产品须包装完整、生产日期、保质期或有效期、生产厂家和SC编码齐全明晰</w:t>
      </w:r>
      <w:r>
        <w:rPr>
          <w:rFonts w:hint="eastAsia" w:ascii="宋体" w:hAnsi="宋体" w:eastAsia="宋体" w:cs="宋体"/>
          <w:color w:val="auto"/>
          <w:sz w:val="24"/>
          <w:szCs w:val="24"/>
          <w:lang w:val="en-US" w:eastAsia="zh-CN"/>
        </w:rPr>
        <w:t>;</w:t>
      </w:r>
    </w:p>
    <w:p w14:paraId="0CE93A77">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供货时提供符合国家相关规定的食品检验报告复印件。（检验报告须在有效期内。）</w:t>
      </w:r>
    </w:p>
    <w:p w14:paraId="0A7EF40A">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外观上不能直接辨别的质量问题，在使用过程中发现不合格商品，采购人应保留样品并及时拍照传至中标人客服，中标人应对不合格商品作退货处理。</w:t>
      </w:r>
    </w:p>
    <w:p w14:paraId="6DD2D63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.凡按重量计量物资，均以物品净重方式计量结算。</w:t>
      </w:r>
    </w:p>
    <w:p w14:paraId="5CF268D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.若双方对质量问题有异议，由国家专业检测机构和部门认定。经检测无质量问题的，检测费用由采购人承担；经检测有质量问题的，检测费用由中标人承担。</w:t>
      </w:r>
    </w:p>
    <w:p w14:paraId="6A66BBBF">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.因市场特殊原因，个别商品品种不能及时提供，中标人应主动与采购人沟通协调，在征得采购人同意后更换品种，以满足采购人需要。</w:t>
      </w:r>
    </w:p>
    <w:p w14:paraId="4C21B459">
      <w:pPr>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.送货单须按市场监管局要求规范的三联单。</w:t>
      </w:r>
    </w:p>
    <w:p w14:paraId="65EDFAA3">
      <w:pPr>
        <w:snapToGrid w:val="0"/>
        <w:spacing w:line="360" w:lineRule="auto"/>
        <w:ind w:firstLine="480" w:firstLineChars="200"/>
        <w:rPr>
          <w:rFonts w:hint="eastAsia" w:ascii="宋体" w:hAnsi="宋体" w:eastAsia="宋体" w:cs="宋体"/>
          <w:color w:val="auto"/>
          <w:kern w:val="0"/>
          <w:sz w:val="24"/>
          <w:szCs w:val="24"/>
        </w:rPr>
      </w:pPr>
    </w:p>
    <w:p w14:paraId="634099DE">
      <w:pPr>
        <w:snapToGrid w:val="0"/>
        <w:spacing w:line="360" w:lineRule="auto"/>
        <w:ind w:firstLine="480" w:firstLineChars="200"/>
        <w:rPr>
          <w:rFonts w:hint="eastAsia" w:ascii="宋体" w:hAnsi="宋体" w:eastAsia="宋体" w:cs="宋体"/>
          <w:color w:val="auto"/>
          <w:kern w:val="0"/>
          <w:sz w:val="24"/>
          <w:szCs w:val="24"/>
        </w:rPr>
      </w:pPr>
    </w:p>
    <w:p w14:paraId="0D6B5263">
      <w:pPr>
        <w:snapToGrid w:val="0"/>
        <w:spacing w:line="360" w:lineRule="auto"/>
        <w:ind w:firstLine="480" w:firstLineChars="200"/>
        <w:rPr>
          <w:rFonts w:hint="eastAsia" w:ascii="宋体" w:hAnsi="宋体" w:eastAsia="宋体" w:cs="宋体"/>
          <w:color w:val="auto"/>
          <w:kern w:val="0"/>
          <w:sz w:val="24"/>
          <w:szCs w:val="24"/>
        </w:rPr>
      </w:pPr>
    </w:p>
    <w:p w14:paraId="71381AE4">
      <w:pPr>
        <w:snapToGrid w:val="0"/>
        <w:spacing w:line="360" w:lineRule="auto"/>
        <w:ind w:firstLine="480" w:firstLineChars="200"/>
        <w:rPr>
          <w:rFonts w:hint="eastAsia" w:ascii="宋体" w:hAnsi="宋体" w:eastAsia="宋体" w:cs="宋体"/>
          <w:color w:val="auto"/>
          <w:kern w:val="0"/>
          <w:sz w:val="24"/>
          <w:szCs w:val="24"/>
        </w:rPr>
      </w:pPr>
    </w:p>
    <w:p w14:paraId="2E22A43C">
      <w:pPr>
        <w:snapToGrid w:val="0"/>
        <w:spacing w:line="360" w:lineRule="auto"/>
        <w:ind w:firstLine="480" w:firstLineChars="200"/>
        <w:rPr>
          <w:rFonts w:hint="eastAsia" w:ascii="宋体" w:hAnsi="宋体" w:eastAsia="宋体" w:cs="宋体"/>
          <w:color w:val="auto"/>
          <w:kern w:val="0"/>
          <w:sz w:val="24"/>
          <w:szCs w:val="24"/>
        </w:rPr>
      </w:pPr>
    </w:p>
    <w:p w14:paraId="61F20BD3">
      <w:pPr>
        <w:snapToGrid w:val="0"/>
        <w:spacing w:line="360" w:lineRule="auto"/>
        <w:ind w:firstLine="480" w:firstLineChars="200"/>
        <w:rPr>
          <w:rFonts w:hint="eastAsia" w:ascii="宋体" w:hAnsi="宋体" w:eastAsia="宋体" w:cs="宋体"/>
          <w:color w:val="auto"/>
          <w:kern w:val="0"/>
          <w:sz w:val="24"/>
          <w:szCs w:val="24"/>
        </w:rPr>
      </w:pPr>
    </w:p>
    <w:p w14:paraId="7791ADAE">
      <w:pPr>
        <w:snapToGrid w:val="0"/>
        <w:spacing w:line="360" w:lineRule="auto"/>
        <w:ind w:firstLine="480" w:firstLineChars="200"/>
        <w:rPr>
          <w:rFonts w:hint="eastAsia" w:ascii="宋体" w:hAnsi="宋体" w:eastAsia="宋体" w:cs="宋体"/>
          <w:color w:val="auto"/>
          <w:kern w:val="0"/>
          <w:sz w:val="24"/>
          <w:szCs w:val="24"/>
        </w:rPr>
      </w:pPr>
    </w:p>
    <w:p w14:paraId="74F71A8B">
      <w:pPr>
        <w:snapToGrid w:val="0"/>
        <w:spacing w:line="360" w:lineRule="auto"/>
        <w:ind w:firstLine="480" w:firstLineChars="200"/>
        <w:rPr>
          <w:rFonts w:hint="eastAsia" w:ascii="宋体" w:hAnsi="宋体" w:eastAsia="宋体" w:cs="宋体"/>
          <w:color w:val="auto"/>
          <w:kern w:val="0"/>
          <w:sz w:val="24"/>
          <w:szCs w:val="24"/>
        </w:rPr>
      </w:pPr>
    </w:p>
    <w:p w14:paraId="1D61A272">
      <w:pPr>
        <w:snapToGrid w:val="0"/>
        <w:spacing w:line="360" w:lineRule="auto"/>
        <w:ind w:firstLine="480" w:firstLineChars="200"/>
        <w:rPr>
          <w:rFonts w:hint="eastAsia" w:ascii="宋体" w:hAnsi="宋体" w:eastAsia="宋体" w:cs="宋体"/>
          <w:color w:val="auto"/>
          <w:kern w:val="0"/>
          <w:sz w:val="24"/>
          <w:szCs w:val="24"/>
        </w:rPr>
      </w:pPr>
    </w:p>
    <w:p w14:paraId="1FECBE20">
      <w:pPr>
        <w:snapToGrid w:val="0"/>
        <w:spacing w:line="360" w:lineRule="auto"/>
        <w:ind w:firstLine="480" w:firstLineChars="200"/>
        <w:rPr>
          <w:rFonts w:hint="eastAsia" w:ascii="宋体" w:hAnsi="宋体" w:eastAsia="宋体" w:cs="宋体"/>
          <w:color w:val="auto"/>
          <w:kern w:val="0"/>
          <w:sz w:val="24"/>
          <w:szCs w:val="24"/>
        </w:rPr>
      </w:pPr>
    </w:p>
    <w:p w14:paraId="73B15324">
      <w:pPr>
        <w:snapToGrid w:val="0"/>
        <w:spacing w:line="360" w:lineRule="auto"/>
        <w:ind w:firstLine="480" w:firstLineChars="200"/>
        <w:rPr>
          <w:rFonts w:hint="eastAsia" w:ascii="宋体" w:hAnsi="宋体" w:eastAsia="宋体" w:cs="宋体"/>
          <w:color w:val="auto"/>
          <w:kern w:val="0"/>
          <w:sz w:val="24"/>
          <w:szCs w:val="24"/>
        </w:rPr>
      </w:pPr>
    </w:p>
    <w:p w14:paraId="2D178CFA">
      <w:pPr>
        <w:snapToGrid w:val="0"/>
        <w:spacing w:line="360" w:lineRule="auto"/>
        <w:ind w:firstLine="480" w:firstLineChars="200"/>
        <w:rPr>
          <w:rFonts w:hint="eastAsia" w:ascii="宋体" w:hAnsi="宋体" w:eastAsia="宋体" w:cs="宋体"/>
          <w:color w:val="auto"/>
          <w:kern w:val="0"/>
          <w:sz w:val="24"/>
          <w:szCs w:val="24"/>
        </w:rPr>
      </w:pPr>
    </w:p>
    <w:p w14:paraId="616EFABC">
      <w:pPr>
        <w:snapToGrid w:val="0"/>
        <w:spacing w:line="360" w:lineRule="auto"/>
        <w:ind w:firstLine="480" w:firstLineChars="200"/>
        <w:rPr>
          <w:rFonts w:hint="eastAsia" w:ascii="宋体" w:hAnsi="宋体" w:eastAsia="宋体" w:cs="宋体"/>
          <w:color w:val="auto"/>
          <w:kern w:val="0"/>
          <w:sz w:val="24"/>
          <w:szCs w:val="24"/>
        </w:rPr>
      </w:pPr>
    </w:p>
    <w:p w14:paraId="0CB32B10">
      <w:pPr>
        <w:snapToGrid w:val="0"/>
        <w:spacing w:line="360" w:lineRule="auto"/>
        <w:ind w:firstLine="480" w:firstLineChars="200"/>
        <w:rPr>
          <w:rFonts w:hint="eastAsia" w:ascii="宋体" w:hAnsi="宋体" w:eastAsia="宋体" w:cs="宋体"/>
          <w:color w:val="auto"/>
          <w:kern w:val="0"/>
          <w:sz w:val="24"/>
          <w:szCs w:val="24"/>
        </w:rPr>
      </w:pPr>
    </w:p>
    <w:p w14:paraId="3F02E88D">
      <w:pPr>
        <w:snapToGrid w:val="0"/>
        <w:spacing w:line="360" w:lineRule="auto"/>
        <w:ind w:firstLine="480" w:firstLineChars="200"/>
        <w:rPr>
          <w:rFonts w:hint="eastAsia" w:ascii="宋体" w:hAnsi="宋体" w:eastAsia="宋体" w:cs="宋体"/>
          <w:color w:val="auto"/>
          <w:kern w:val="0"/>
          <w:sz w:val="24"/>
          <w:szCs w:val="24"/>
        </w:rPr>
      </w:pPr>
    </w:p>
    <w:p w14:paraId="11C6F692">
      <w:pPr>
        <w:snapToGrid w:val="0"/>
        <w:spacing w:line="360" w:lineRule="auto"/>
        <w:ind w:firstLine="480" w:firstLineChars="200"/>
        <w:rPr>
          <w:rFonts w:hint="eastAsia" w:ascii="宋体" w:hAnsi="宋体" w:eastAsia="宋体" w:cs="宋体"/>
          <w:color w:val="auto"/>
          <w:kern w:val="0"/>
          <w:sz w:val="24"/>
          <w:szCs w:val="24"/>
        </w:rPr>
      </w:pPr>
    </w:p>
    <w:p w14:paraId="71D845A7">
      <w:pPr>
        <w:snapToGrid w:val="0"/>
        <w:spacing w:line="360" w:lineRule="auto"/>
        <w:ind w:firstLine="480" w:firstLineChars="200"/>
        <w:rPr>
          <w:rFonts w:hint="eastAsia" w:ascii="宋体" w:hAnsi="宋体" w:eastAsia="宋体" w:cs="宋体"/>
          <w:color w:val="auto"/>
          <w:kern w:val="0"/>
          <w:sz w:val="24"/>
          <w:szCs w:val="24"/>
        </w:rPr>
      </w:pPr>
    </w:p>
    <w:p w14:paraId="484447F3">
      <w:pPr>
        <w:snapToGrid w:val="0"/>
        <w:spacing w:line="360" w:lineRule="auto"/>
        <w:ind w:firstLine="480" w:firstLineChars="200"/>
        <w:rPr>
          <w:rFonts w:hint="eastAsia" w:ascii="宋体" w:hAnsi="宋体" w:eastAsia="宋体" w:cs="宋体"/>
          <w:color w:val="auto"/>
          <w:kern w:val="0"/>
          <w:sz w:val="24"/>
          <w:szCs w:val="24"/>
        </w:rPr>
      </w:pPr>
    </w:p>
    <w:p w14:paraId="2BB5BB03">
      <w:pPr>
        <w:snapToGrid w:val="0"/>
        <w:spacing w:line="360" w:lineRule="auto"/>
        <w:ind w:firstLine="480" w:firstLineChars="200"/>
        <w:rPr>
          <w:rFonts w:hint="eastAsia" w:ascii="宋体" w:hAnsi="宋体" w:eastAsia="宋体" w:cs="宋体"/>
          <w:color w:val="auto"/>
          <w:kern w:val="0"/>
          <w:sz w:val="24"/>
          <w:szCs w:val="24"/>
        </w:rPr>
      </w:pPr>
    </w:p>
    <w:p w14:paraId="35412749">
      <w:pPr>
        <w:snapToGrid w:val="0"/>
        <w:spacing w:line="360" w:lineRule="auto"/>
        <w:ind w:firstLine="480" w:firstLineChars="200"/>
        <w:rPr>
          <w:rFonts w:hint="eastAsia" w:ascii="宋体" w:hAnsi="宋体" w:eastAsia="宋体" w:cs="宋体"/>
          <w:color w:val="auto"/>
          <w:kern w:val="0"/>
          <w:sz w:val="24"/>
          <w:szCs w:val="24"/>
        </w:rPr>
      </w:pPr>
    </w:p>
    <w:p w14:paraId="29F5683C">
      <w:pPr>
        <w:snapToGrid w:val="0"/>
        <w:spacing w:line="360" w:lineRule="auto"/>
        <w:ind w:firstLine="480" w:firstLineChars="200"/>
        <w:rPr>
          <w:rFonts w:hint="eastAsia" w:ascii="宋体" w:hAnsi="宋体" w:eastAsia="宋体" w:cs="宋体"/>
          <w:color w:val="auto"/>
          <w:kern w:val="0"/>
          <w:sz w:val="24"/>
          <w:szCs w:val="24"/>
        </w:rPr>
      </w:pPr>
    </w:p>
    <w:p w14:paraId="6F5804AB">
      <w:pPr>
        <w:snapToGrid w:val="0"/>
        <w:spacing w:line="360" w:lineRule="auto"/>
        <w:ind w:firstLine="480" w:firstLineChars="200"/>
        <w:rPr>
          <w:rFonts w:hint="eastAsia" w:ascii="宋体" w:hAnsi="宋体" w:eastAsia="宋体" w:cs="宋体"/>
          <w:color w:val="auto"/>
          <w:kern w:val="0"/>
          <w:sz w:val="24"/>
          <w:szCs w:val="24"/>
        </w:rPr>
      </w:pPr>
    </w:p>
    <w:bookmarkEnd w:id="91"/>
    <w:p w14:paraId="71ABAF14">
      <w:pPr>
        <w:pStyle w:val="2"/>
        <w:spacing w:before="0" w:beforeLines="0" w:after="0" w:afterLines="0" w:line="360" w:lineRule="auto"/>
        <w:rPr>
          <w:rFonts w:hint="eastAsia" w:ascii="宋体" w:hAnsi="宋体" w:eastAsia="宋体" w:cs="宋体"/>
          <w:b/>
          <w:bCs/>
          <w:color w:val="auto"/>
          <w:highlight w:val="none"/>
        </w:rPr>
      </w:pPr>
      <w:bookmarkStart w:id="96" w:name="_Toc18910"/>
      <w:bookmarkStart w:id="97" w:name="_Toc17122"/>
      <w:bookmarkStart w:id="98" w:name="_Toc3450"/>
      <w:bookmarkStart w:id="99" w:name="_Toc3976"/>
      <w:r>
        <w:rPr>
          <w:rFonts w:hint="eastAsia" w:ascii="宋体" w:hAnsi="宋体" w:eastAsia="宋体" w:cs="宋体"/>
          <w:b/>
          <w:bCs/>
          <w:color w:val="auto"/>
          <w:highlight w:val="none"/>
        </w:rPr>
        <w:t>第三篇 项目商务需求</w:t>
      </w:r>
      <w:bookmarkEnd w:id="76"/>
      <w:bookmarkEnd w:id="96"/>
      <w:bookmarkEnd w:id="97"/>
      <w:bookmarkEnd w:id="98"/>
      <w:bookmarkEnd w:id="99"/>
    </w:p>
    <w:p w14:paraId="19274B9A">
      <w:pPr>
        <w:pStyle w:val="3"/>
        <w:pageBreakBefore w:val="0"/>
        <w:widowControl w:val="0"/>
        <w:kinsoku/>
        <w:wordWrap/>
        <w:overflowPunct/>
        <w:topLinePunct w:val="0"/>
        <w:autoSpaceDE/>
        <w:autoSpaceDN/>
        <w:bidi w:val="0"/>
        <w:snapToGrid w:val="0"/>
        <w:spacing w:line="360" w:lineRule="auto"/>
        <w:textAlignment w:val="auto"/>
        <w:outlineLvl w:val="0"/>
        <w:rPr>
          <w:rFonts w:hint="eastAsia" w:ascii="宋体" w:hAnsi="宋体" w:eastAsia="宋体" w:cs="宋体"/>
          <w:b/>
          <w:color w:val="auto"/>
          <w:sz w:val="28"/>
          <w:szCs w:val="28"/>
          <w:highlight w:val="none"/>
        </w:rPr>
      </w:pPr>
      <w:bookmarkStart w:id="100" w:name="_Toc20634"/>
      <w:bookmarkStart w:id="101" w:name="_Toc3601"/>
      <w:bookmarkStart w:id="102" w:name="_Toc24518"/>
      <w:bookmarkStart w:id="103" w:name="_Toc5863"/>
      <w:bookmarkStart w:id="104" w:name="_Toc32692"/>
      <w:bookmarkStart w:id="105" w:name="_Toc12789059"/>
      <w:bookmarkStart w:id="106" w:name="_Toc11641055"/>
      <w:r>
        <w:rPr>
          <w:rFonts w:hint="eastAsia" w:ascii="宋体" w:hAnsi="宋体" w:eastAsia="宋体" w:cs="宋体"/>
          <w:b/>
          <w:color w:val="auto"/>
          <w:sz w:val="28"/>
          <w:szCs w:val="28"/>
          <w:highlight w:val="none"/>
        </w:rPr>
        <w:t>一、服务时间、地点及验收方式</w:t>
      </w:r>
      <w:bookmarkEnd w:id="100"/>
      <w:bookmarkEnd w:id="101"/>
      <w:bookmarkEnd w:id="102"/>
      <w:bookmarkEnd w:id="103"/>
      <w:bookmarkEnd w:id="104"/>
    </w:p>
    <w:p w14:paraId="37B309E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服务时间：服务期3年。</w:t>
      </w:r>
    </w:p>
    <w:p w14:paraId="21C6CB4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酉阳土家族苗族自治县兴隆初级中学校</w:t>
      </w:r>
    </w:p>
    <w:p w14:paraId="6444DC7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验收方式:</w:t>
      </w:r>
    </w:p>
    <w:p w14:paraId="3C41185C">
      <w:pPr>
        <w:pStyle w:val="59"/>
        <w:keepNext w:val="0"/>
        <w:keepLines w:val="0"/>
        <w:pageBreakBefore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货物送至采购人指定交货地点后，由双方共同对货物进行验收，并签字确认。</w:t>
      </w:r>
    </w:p>
    <w:p w14:paraId="071CD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0"/>
          <w:sz w:val="24"/>
          <w:szCs w:val="24"/>
          <w:highlight w:val="none"/>
          <w:lang w:val="en-US" w:eastAsia="zh-CN" w:bidi="ar-SA"/>
        </w:rPr>
        <w:t>验收标准：</w:t>
      </w:r>
      <w:r>
        <w:rPr>
          <w:rFonts w:hint="eastAsia" w:ascii="宋体" w:hAnsi="宋体" w:eastAsia="宋体" w:cs="宋体"/>
          <w:color w:val="auto"/>
          <w:kern w:val="0"/>
          <w:sz w:val="24"/>
          <w:szCs w:val="24"/>
          <w:highlight w:val="none"/>
          <w:lang w:val="zh-CN" w:eastAsia="zh-CN" w:bidi="ar-SA"/>
        </w:rPr>
        <w:t>投标人提供的货品必须符合国家相关法律法规要求。</w:t>
      </w:r>
    </w:p>
    <w:p w14:paraId="0C8264BF">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货物到达现场后，应在超市管理人员在场情况下当面进行感官检验、外观检验或试用检验，若产品外观、包装、质量不能达到收货标准，采购人拒收配送物资，成交人应无条件迅速补充合格产品，不得影响采购人商品上架。对符合要求的产品当场作出记录，双方签字确认。</w:t>
      </w:r>
    </w:p>
    <w:p w14:paraId="3825D06C">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（2）提供货物未达到招标文件规定要求，且对采购人造成损失的，由成交人承担一切责任，并赔偿所造成损失。</w:t>
      </w:r>
    </w:p>
    <w:p w14:paraId="1C729910">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（3）采购人组织定期或不定期货品抽检和送检。对检验不合格产品无条件退、换货外，需按双方约定予以处理。</w:t>
      </w:r>
    </w:p>
    <w:p w14:paraId="0C9113DC">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（4）因验收货物时不能直接判断质量的，在使用过程中发现不合格商品，供应商应作退货处理。</w:t>
      </w:r>
    </w:p>
    <w:p w14:paraId="2F989363">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（5）凡按重量计量物资，均以物品净重方式计量结算。</w:t>
      </w:r>
    </w:p>
    <w:p w14:paraId="1C16D49D">
      <w:pPr>
        <w:spacing w:line="400" w:lineRule="exact"/>
        <w:ind w:firstLine="480" w:firstLineChars="200"/>
        <w:rPr>
          <w:rFonts w:hint="eastAsia" w:ascii="宋体" w:hAnsi="宋体" w:eastAsia="宋体" w:cs="宋体"/>
          <w:color w:val="auto"/>
          <w:kern w:val="0"/>
          <w:sz w:val="24"/>
          <w:szCs w:val="24"/>
          <w:highlight w:val="none"/>
          <w:lang w:val="en-US" w:eastAsia="zh-CN" w:bidi="ar-SA"/>
        </w:rPr>
      </w:pPr>
    </w:p>
    <w:p w14:paraId="005428E1">
      <w:pPr>
        <w:rPr>
          <w:rFonts w:hint="eastAsia" w:ascii="宋体" w:hAnsi="宋体" w:eastAsia="宋体" w:cs="宋体"/>
          <w:color w:val="auto"/>
          <w:lang w:val="en-US" w:eastAsia="zh-CN"/>
        </w:rPr>
      </w:pPr>
    </w:p>
    <w:p w14:paraId="6A3E51B9">
      <w:pPr>
        <w:pStyle w:val="3"/>
        <w:pageBreakBefore w:val="0"/>
        <w:widowControl w:val="0"/>
        <w:numPr>
          <w:ilvl w:val="0"/>
          <w:numId w:val="0"/>
        </w:numPr>
        <w:kinsoku/>
        <w:wordWrap/>
        <w:overflowPunct/>
        <w:topLinePunct w:val="0"/>
        <w:autoSpaceDE/>
        <w:autoSpaceDN/>
        <w:bidi w:val="0"/>
        <w:snapToGrid w:val="0"/>
        <w:spacing w:line="360" w:lineRule="auto"/>
        <w:ind w:leftChars="0"/>
        <w:textAlignment w:val="auto"/>
        <w:outlineLvl w:val="0"/>
        <w:rPr>
          <w:rFonts w:hint="eastAsia" w:ascii="宋体" w:hAnsi="宋体" w:eastAsia="宋体" w:cs="宋体"/>
          <w:color w:val="auto"/>
        </w:rPr>
      </w:pPr>
      <w:bookmarkStart w:id="107" w:name="_Toc31652"/>
      <w:bookmarkStart w:id="108" w:name="_Toc18427"/>
      <w:bookmarkStart w:id="109" w:name="_Toc2885"/>
      <w:bookmarkStart w:id="110" w:name="_Toc26065"/>
      <w:r>
        <w:rPr>
          <w:rFonts w:hint="eastAsia" w:ascii="宋体" w:hAnsi="宋体" w:eastAsia="宋体" w:cs="宋体"/>
          <w:b/>
          <w:color w:val="auto"/>
          <w:sz w:val="28"/>
          <w:szCs w:val="28"/>
          <w:highlight w:val="none"/>
          <w:lang w:val="en-US" w:eastAsia="zh-CN"/>
        </w:rPr>
        <w:t>二、报价要求</w:t>
      </w:r>
      <w:bookmarkEnd w:id="107"/>
      <w:bookmarkEnd w:id="108"/>
      <w:bookmarkEnd w:id="109"/>
      <w:bookmarkEnd w:id="110"/>
      <w:r>
        <w:rPr>
          <w:rFonts w:hint="eastAsia" w:ascii="宋体" w:hAnsi="宋体" w:eastAsia="宋体" w:cs="宋体"/>
          <w:b/>
          <w:color w:val="auto"/>
          <w:sz w:val="28"/>
          <w:szCs w:val="28"/>
          <w:highlight w:val="none"/>
        </w:rPr>
        <w:t xml:space="preserve"> </w:t>
      </w:r>
    </w:p>
    <w:p w14:paraId="2974713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本次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报价为</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报价，</w:t>
      </w:r>
      <w:r>
        <w:rPr>
          <w:rFonts w:hint="eastAsia" w:ascii="宋体" w:hAnsi="宋体" w:eastAsia="宋体" w:cs="宋体"/>
          <w:color w:val="auto"/>
          <w:sz w:val="24"/>
          <w:szCs w:val="24"/>
          <w:highlight w:val="none"/>
          <w:lang w:val="en-US" w:eastAsia="zh-CN"/>
        </w:rPr>
        <w:t>投标报价费率</w:t>
      </w:r>
      <w:r>
        <w:rPr>
          <w:rFonts w:hint="eastAsia" w:ascii="宋体" w:hAnsi="宋体" w:eastAsia="宋体" w:cs="宋体"/>
          <w:color w:val="auto"/>
          <w:sz w:val="24"/>
          <w:szCs w:val="24"/>
          <w:highlight w:val="none"/>
          <w:lang w:val="zh-CN" w:eastAsia="zh-CN"/>
        </w:rPr>
        <w:t>最高限价</w:t>
      </w:r>
      <w:r>
        <w:rPr>
          <w:rFonts w:hint="eastAsia" w:ascii="宋体" w:hAnsi="宋体" w:eastAsia="宋体" w:cs="宋体"/>
          <w:color w:val="auto"/>
          <w:sz w:val="24"/>
          <w:szCs w:val="24"/>
          <w:highlight w:val="none"/>
          <w:lang w:val="en-US" w:eastAsia="zh-CN"/>
        </w:rPr>
        <w:t>为100</w:t>
      </w:r>
      <w:r>
        <w:rPr>
          <w:rFonts w:hint="eastAsia" w:ascii="宋体" w:hAnsi="宋体" w:eastAsia="宋体" w:cs="宋体"/>
          <w:color w:val="auto"/>
          <w:sz w:val="24"/>
          <w:szCs w:val="24"/>
          <w:highlight w:val="none"/>
          <w:lang w:val="zh-CN" w:eastAsia="zh-CN"/>
        </w:rPr>
        <w:t>%。该</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为综合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，即各品目中无论多少种类的商品均只有一个</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，若独立品目出现了不同</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，则为无效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eastAsia="zh-CN"/>
        </w:rPr>
        <w:t>后各品目中的所有商品种类均按照综合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计算供货价格；商品进行打折后的费用包含结算时的商品价、运输费（含装卸费）、人工费、保险费、税费、培训费等送货到服务地点的所有费用以及采购代理服务费等一切费用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因供应商自身原因造成漏报、少报皆由其自行承担责任，采购人不再补偿。</w:t>
      </w:r>
    </w:p>
    <w:p w14:paraId="5BD4992A">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lang w:val="en-US" w:eastAsia="zh-CN"/>
        </w:rPr>
        <w:t>应</w:t>
      </w:r>
      <w:r>
        <w:rPr>
          <w:rFonts w:hint="eastAsia" w:ascii="宋体" w:hAnsi="宋体" w:eastAsia="宋体" w:cs="宋体"/>
          <w:color w:val="auto"/>
          <w:kern w:val="0"/>
          <w:sz w:val="24"/>
          <w:szCs w:val="24"/>
        </w:rPr>
        <w:t>结合自身实力、市场行情参照市内大型超市同品种同规格商品挂牌销售价格（特价商品除外）为标准，</w:t>
      </w:r>
      <w:r>
        <w:rPr>
          <w:rFonts w:hint="eastAsia" w:ascii="宋体" w:hAnsi="宋体" w:eastAsia="宋体" w:cs="宋体"/>
          <w:color w:val="auto"/>
          <w:kern w:val="0"/>
          <w:sz w:val="24"/>
          <w:szCs w:val="24"/>
          <w:lang w:val="en-US" w:eastAsia="zh-CN"/>
        </w:rPr>
        <w:t>综合考虑多品类商品折扣率，自行合理填报</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费率（折扣率）</w:t>
      </w:r>
      <w:r>
        <w:rPr>
          <w:rFonts w:hint="eastAsia" w:ascii="宋体" w:hAnsi="宋体" w:eastAsia="宋体" w:cs="宋体"/>
          <w:color w:val="auto"/>
          <w:kern w:val="0"/>
          <w:sz w:val="24"/>
          <w:szCs w:val="24"/>
          <w:lang w:val="en-US" w:eastAsia="zh-CN"/>
        </w:rPr>
        <w:t>报价。</w:t>
      </w:r>
    </w:p>
    <w:p w14:paraId="392656F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合同期内采购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根据中标</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和采购数量据实结算。以采购人附近永辉超市、</w:t>
      </w:r>
      <w:r>
        <w:rPr>
          <w:rFonts w:hint="eastAsia" w:ascii="宋体" w:hAnsi="宋体" w:eastAsia="宋体" w:cs="宋体"/>
          <w:color w:val="auto"/>
          <w:kern w:val="0"/>
          <w:sz w:val="24"/>
          <w:szCs w:val="24"/>
          <w:highlight w:val="none"/>
          <w:lang w:val="en-US" w:eastAsia="zh-CN"/>
        </w:rPr>
        <w:t>佳惠超市</w:t>
      </w:r>
      <w:r>
        <w:rPr>
          <w:rFonts w:hint="eastAsia" w:ascii="宋体" w:hAnsi="宋体" w:eastAsia="宋体" w:cs="宋体"/>
          <w:color w:val="auto"/>
          <w:kern w:val="0"/>
          <w:sz w:val="24"/>
          <w:szCs w:val="24"/>
          <w:highlight w:val="none"/>
        </w:rPr>
        <w:t>、农贸市场等</w:t>
      </w:r>
      <w:r>
        <w:rPr>
          <w:rFonts w:hint="eastAsia" w:ascii="宋体" w:hAnsi="宋体" w:eastAsia="宋体" w:cs="宋体"/>
          <w:color w:val="auto"/>
          <w:kern w:val="0"/>
          <w:sz w:val="24"/>
          <w:szCs w:val="24"/>
          <w:highlight w:val="none"/>
          <w:lang w:val="en-US" w:eastAsia="zh-CN"/>
        </w:rPr>
        <w:t>大型市场</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rPr>
        <w:t>商品的平均</w:t>
      </w:r>
      <w:r>
        <w:rPr>
          <w:rFonts w:hint="eastAsia" w:ascii="宋体" w:hAnsi="宋体" w:eastAsia="宋体" w:cs="宋体"/>
          <w:color w:val="auto"/>
          <w:kern w:val="0"/>
          <w:sz w:val="24"/>
          <w:szCs w:val="24"/>
          <w:highlight w:val="none"/>
        </w:rPr>
        <w:t>零售价为指导价</w:t>
      </w:r>
      <w:r>
        <w:rPr>
          <w:rFonts w:hint="eastAsia" w:ascii="宋体" w:hAnsi="宋体" w:eastAsia="宋体" w:cs="宋体"/>
          <w:color w:val="auto"/>
          <w:kern w:val="0"/>
          <w:sz w:val="24"/>
          <w:szCs w:val="24"/>
        </w:rPr>
        <w:t>为标准</w:t>
      </w:r>
      <w:r>
        <w:rPr>
          <w:rFonts w:hint="eastAsia" w:ascii="宋体" w:hAnsi="宋体" w:eastAsia="宋体" w:cs="宋体"/>
          <w:color w:val="auto"/>
          <w:kern w:val="0"/>
          <w:sz w:val="24"/>
          <w:szCs w:val="24"/>
          <w:highlight w:val="none"/>
        </w:rPr>
        <w:t>，进行</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填报。（若投标人填报的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%，若某种品目询价的不同超市的即时价格平均价为10元/</w:t>
      </w:r>
      <w:r>
        <w:rPr>
          <w:rFonts w:hint="eastAsia" w:ascii="宋体" w:hAnsi="宋体" w:eastAsia="宋体" w:cs="宋体"/>
          <w:color w:val="auto"/>
          <w:kern w:val="0"/>
          <w:sz w:val="24"/>
          <w:szCs w:val="24"/>
          <w:highlight w:val="none"/>
          <w:lang w:val="en-US" w:eastAsia="zh-CN"/>
        </w:rPr>
        <w:t>个或件</w:t>
      </w:r>
      <w:r>
        <w:rPr>
          <w:rFonts w:hint="eastAsia" w:ascii="宋体" w:hAnsi="宋体" w:eastAsia="宋体" w:cs="宋体"/>
          <w:color w:val="auto"/>
          <w:kern w:val="0"/>
          <w:sz w:val="24"/>
          <w:szCs w:val="24"/>
          <w:highlight w:val="none"/>
        </w:rPr>
        <w:t>，则该种品目的结算</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val="en-US" w:eastAsia="zh-CN"/>
        </w:rPr>
        <w:t>7.5</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份</w:t>
      </w:r>
      <w:r>
        <w:rPr>
          <w:rFonts w:hint="eastAsia" w:ascii="宋体" w:hAnsi="宋体" w:eastAsia="宋体" w:cs="宋体"/>
          <w:color w:val="auto"/>
          <w:kern w:val="0"/>
          <w:sz w:val="24"/>
          <w:szCs w:val="24"/>
          <w:highlight w:val="none"/>
        </w:rPr>
        <w:t>）。</w:t>
      </w:r>
    </w:p>
    <w:p w14:paraId="1C81A4C8">
      <w:pPr>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合同期内所有采购品目均采用相同的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。若出现了多个</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，则为无效投标。</w:t>
      </w:r>
    </w:p>
    <w:p w14:paraId="72DB66FA">
      <w:pPr>
        <w:pageBreakBefore w:val="0"/>
        <w:widowControl w:val="0"/>
        <w:kinsoku/>
        <w:wordWrap/>
        <w:overflowPunct/>
        <w:topLinePunct w:val="0"/>
        <w:autoSpaceDE/>
        <w:autoSpaceDN/>
        <w:bidi w:val="0"/>
        <w:snapToGrid w:val="0"/>
        <w:spacing w:line="480" w:lineRule="exact"/>
        <w:ind w:firstLine="482" w:firstLineChars="200"/>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注：线上报价填写格式为投标报价费率，如投标报价费率为75%，填写</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柒拾五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75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42DD4EE7">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p>
    <w:p w14:paraId="71AF5F09">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kern w:val="0"/>
          <w:sz w:val="28"/>
          <w:szCs w:val="28"/>
          <w:highlight w:val="none"/>
          <w:lang w:val="en-US" w:eastAsia="zh-CN"/>
        </w:rPr>
      </w:pPr>
      <w:bookmarkStart w:id="111" w:name="_Toc19150"/>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供货要求</w:t>
      </w:r>
      <w:bookmarkEnd w:id="111"/>
    </w:p>
    <w:p w14:paraId="3468003C">
      <w:pPr>
        <w:pStyle w:val="3"/>
        <w:pageBreakBefore w:val="0"/>
        <w:widowControl w:val="0"/>
        <w:numPr>
          <w:ilvl w:val="0"/>
          <w:numId w:val="0"/>
        </w:numPr>
        <w:kinsoku/>
        <w:wordWrap/>
        <w:overflowPunct/>
        <w:topLinePunct w:val="0"/>
        <w:autoSpaceDE/>
        <w:autoSpaceDN/>
        <w:bidi w:val="0"/>
        <w:snapToGrid w:val="0"/>
        <w:spacing w:line="360" w:lineRule="auto"/>
        <w:ind w:firstLine="240" w:firstLineChars="100"/>
        <w:textAlignment w:val="auto"/>
        <w:rPr>
          <w:rFonts w:hint="eastAsia" w:ascii="宋体" w:hAnsi="宋体" w:eastAsia="宋体" w:cs="宋体"/>
          <w:color w:val="auto"/>
          <w:sz w:val="24"/>
          <w:szCs w:val="24"/>
          <w:highlight w:val="none"/>
        </w:rPr>
      </w:pPr>
      <w:bookmarkStart w:id="112" w:name="_Toc25033"/>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供货数量要求</w:t>
      </w:r>
      <w:bookmarkEnd w:id="112"/>
    </w:p>
    <w:p w14:paraId="64B19C1C">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货物若有</w:t>
      </w:r>
      <w:r>
        <w:rPr>
          <w:rFonts w:hint="eastAsia" w:ascii="宋体" w:hAnsi="宋体" w:eastAsia="宋体" w:cs="宋体"/>
          <w:b w:val="0"/>
          <w:bCs/>
          <w:color w:val="auto"/>
          <w:sz w:val="24"/>
          <w:szCs w:val="24"/>
          <w:highlight w:val="none"/>
        </w:rPr>
        <w:t>标准件</w:t>
      </w:r>
      <w:r>
        <w:rPr>
          <w:rFonts w:hint="eastAsia" w:ascii="宋体" w:hAnsi="宋体" w:eastAsia="宋体" w:cs="宋体"/>
          <w:color w:val="auto"/>
          <w:sz w:val="24"/>
          <w:szCs w:val="24"/>
          <w:highlight w:val="none"/>
        </w:rPr>
        <w:t>按标准件抽样</w:t>
      </w:r>
      <w:r>
        <w:rPr>
          <w:rFonts w:hint="eastAsia" w:ascii="宋体" w:hAnsi="宋体" w:eastAsia="宋体" w:cs="宋体"/>
          <w:color w:val="auto"/>
          <w:sz w:val="24"/>
          <w:szCs w:val="24"/>
          <w:highlight w:val="none"/>
          <w:lang w:val="en-US" w:eastAsia="zh-CN"/>
        </w:rPr>
        <w:t>计数</w:t>
      </w:r>
      <w:r>
        <w:rPr>
          <w:rFonts w:hint="eastAsia" w:ascii="宋体" w:hAnsi="宋体" w:eastAsia="宋体" w:cs="宋体"/>
          <w:color w:val="auto"/>
          <w:sz w:val="24"/>
          <w:szCs w:val="24"/>
          <w:highlight w:val="none"/>
        </w:rPr>
        <w:t>，并按抽样</w:t>
      </w:r>
      <w:r>
        <w:rPr>
          <w:rFonts w:hint="eastAsia" w:ascii="宋体" w:hAnsi="宋体" w:eastAsia="宋体" w:cs="宋体"/>
          <w:color w:val="auto"/>
          <w:sz w:val="24"/>
          <w:szCs w:val="24"/>
          <w:highlight w:val="none"/>
          <w:lang w:val="en-US" w:eastAsia="zh-CN"/>
        </w:rPr>
        <w:t>件每件数量</w:t>
      </w:r>
      <w:r>
        <w:rPr>
          <w:rFonts w:hint="eastAsia" w:ascii="宋体" w:hAnsi="宋体" w:eastAsia="宋体" w:cs="宋体"/>
          <w:color w:val="auto"/>
          <w:sz w:val="24"/>
          <w:szCs w:val="24"/>
          <w:highlight w:val="none"/>
        </w:rPr>
        <w:t>计算，没有标准件按实际</w:t>
      </w:r>
      <w:r>
        <w:rPr>
          <w:rFonts w:hint="eastAsia" w:ascii="宋体" w:hAnsi="宋体" w:eastAsia="宋体" w:cs="宋体"/>
          <w:color w:val="auto"/>
          <w:sz w:val="24"/>
          <w:szCs w:val="24"/>
          <w:highlight w:val="none"/>
          <w:lang w:val="en-US" w:eastAsia="zh-CN"/>
        </w:rPr>
        <w:t>数量计算</w:t>
      </w:r>
      <w:r>
        <w:rPr>
          <w:rFonts w:hint="eastAsia" w:ascii="宋体" w:hAnsi="宋体" w:eastAsia="宋体" w:cs="宋体"/>
          <w:color w:val="auto"/>
          <w:sz w:val="24"/>
          <w:szCs w:val="24"/>
          <w:highlight w:val="none"/>
        </w:rPr>
        <w:t>。一个月内如有4次(含)以上抽样</w:t>
      </w:r>
      <w:r>
        <w:rPr>
          <w:rFonts w:hint="eastAsia" w:ascii="宋体" w:hAnsi="宋体" w:eastAsia="宋体" w:cs="宋体"/>
          <w:color w:val="auto"/>
          <w:sz w:val="24"/>
          <w:szCs w:val="24"/>
          <w:highlight w:val="none"/>
          <w:lang w:val="en-US" w:eastAsia="zh-CN"/>
        </w:rPr>
        <w:t>数量</w:t>
      </w:r>
      <w:r>
        <w:rPr>
          <w:rFonts w:hint="eastAsia" w:ascii="宋体" w:hAnsi="宋体" w:eastAsia="宋体" w:cs="宋体"/>
          <w:color w:val="auto"/>
          <w:sz w:val="24"/>
          <w:szCs w:val="24"/>
          <w:highlight w:val="none"/>
        </w:rPr>
        <w:t>缺少10%以上,则当月配送总费用按90%结算。</w:t>
      </w:r>
    </w:p>
    <w:p w14:paraId="6E31B0ED">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配送时间</w:t>
      </w:r>
    </w:p>
    <w:p w14:paraId="1D9EE6F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中标人应</w:t>
      </w:r>
      <w:r>
        <w:rPr>
          <w:rFonts w:hint="eastAsia" w:ascii="宋体" w:hAnsi="宋体" w:eastAsia="宋体" w:cs="宋体"/>
          <w:color w:val="auto"/>
          <w:kern w:val="0"/>
          <w:sz w:val="24"/>
          <w:szCs w:val="24"/>
          <w:highlight w:val="none"/>
          <w:lang w:val="en-US" w:eastAsia="zh-CN"/>
        </w:rPr>
        <w:t>与采购人约定</w:t>
      </w:r>
      <w:r>
        <w:rPr>
          <w:rFonts w:hint="eastAsia" w:ascii="宋体" w:hAnsi="宋体" w:eastAsia="宋体" w:cs="宋体"/>
          <w:color w:val="auto"/>
          <w:kern w:val="0"/>
          <w:sz w:val="24"/>
          <w:szCs w:val="24"/>
          <w:highlight w:val="none"/>
          <w:lang w:eastAsia="zh-CN"/>
        </w:rPr>
        <w:t>后次日</w:t>
      </w:r>
      <w:r>
        <w:rPr>
          <w:rFonts w:hint="eastAsia" w:ascii="宋体" w:hAnsi="宋体" w:eastAsia="宋体" w:cs="宋体"/>
          <w:color w:val="auto"/>
          <w:kern w:val="0"/>
          <w:sz w:val="24"/>
          <w:szCs w:val="24"/>
          <w:highlight w:val="none"/>
          <w:lang w:val="en-US" w:eastAsia="zh-CN"/>
        </w:rPr>
        <w:t>内</w:t>
      </w:r>
      <w:r>
        <w:rPr>
          <w:rFonts w:hint="eastAsia" w:ascii="宋体" w:hAnsi="宋体" w:eastAsia="宋体" w:cs="宋体"/>
          <w:color w:val="auto"/>
          <w:kern w:val="0"/>
          <w:sz w:val="24"/>
          <w:szCs w:val="24"/>
          <w:highlight w:val="none"/>
          <w:lang w:eastAsia="zh-CN"/>
        </w:rPr>
        <w:t>将采购人所订购的商品配送至采购人所在地指定位置，到货后应协助采购人工作人员核准数量进仓入库等。</w:t>
      </w:r>
      <w:r>
        <w:rPr>
          <w:rFonts w:hint="eastAsia" w:ascii="宋体" w:hAnsi="宋体" w:eastAsia="宋体" w:cs="宋体"/>
          <w:color w:val="auto"/>
          <w:sz w:val="24"/>
          <w:szCs w:val="24"/>
          <w:highlight w:val="none"/>
        </w:rPr>
        <w:t>配送时间</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根据实际情况，提前24小时约定。</w:t>
      </w:r>
    </w:p>
    <w:p w14:paraId="0740361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供货</w:t>
      </w:r>
      <w:r>
        <w:rPr>
          <w:rFonts w:hint="eastAsia" w:ascii="宋体" w:hAnsi="宋体" w:eastAsia="宋体" w:cs="宋体"/>
          <w:b w:val="0"/>
          <w:bCs/>
          <w:color w:val="auto"/>
          <w:sz w:val="24"/>
          <w:szCs w:val="24"/>
          <w:highlight w:val="none"/>
        </w:rPr>
        <w:t>措施</w:t>
      </w:r>
    </w:p>
    <w:p w14:paraId="792FA9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运输和包装：</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针对本项目配备专业配送人员和专用配送车辆，并建立货物运输车辆的定期消毒制度，避免在运输过程中出现交叉污染及货物安全性问题。用于货物包装的材料必须清洁、无污染。货物的包装和标签必须符合相应的规定和要求。用于盛放货物的容器要清洁、干燥、牢固、无异味、无霉变现象，食品包装符合有关法规、标准的要求，包装完好无破损。包装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5C13E7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食品安全措施：</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所提供货物须有货物可追溯管理程序，允许采购人随时查阅货物各环节</w:t>
      </w:r>
      <w:r>
        <w:rPr>
          <w:rFonts w:hint="eastAsia" w:ascii="宋体" w:hAnsi="宋体" w:eastAsia="宋体" w:cs="宋体"/>
          <w:b w:val="0"/>
          <w:bCs/>
          <w:color w:val="auto"/>
          <w:sz w:val="24"/>
          <w:szCs w:val="24"/>
          <w:highlight w:val="none"/>
        </w:rPr>
        <w:t>相关</w:t>
      </w:r>
      <w:r>
        <w:rPr>
          <w:rFonts w:hint="eastAsia" w:ascii="宋体" w:hAnsi="宋体" w:eastAsia="宋体" w:cs="宋体"/>
          <w:color w:val="auto"/>
          <w:kern w:val="0"/>
          <w:sz w:val="24"/>
          <w:szCs w:val="24"/>
          <w:highlight w:val="none"/>
        </w:rPr>
        <w:t>记录（包含货物采购记录、货物的合格证明及验收记录、货物进出仓记录、销售记录、须冷链运输的货物提供冷链运输记录、运输车辆和运输工具消毒记录等），记录保存期限为6个月。</w:t>
      </w:r>
    </w:p>
    <w:p w14:paraId="63C4D2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退换、更换货要求：应按采购人订单规定的品种及要求供应所需货物，货物短缺时须在采购人</w:t>
      </w:r>
      <w:r>
        <w:rPr>
          <w:rFonts w:hint="eastAsia" w:ascii="宋体" w:hAnsi="宋体" w:eastAsia="宋体" w:cs="宋体"/>
          <w:b w:val="0"/>
          <w:bCs/>
          <w:color w:val="auto"/>
          <w:sz w:val="24"/>
          <w:szCs w:val="24"/>
          <w:highlight w:val="none"/>
        </w:rPr>
        <w:t>规定</w:t>
      </w:r>
      <w:r>
        <w:rPr>
          <w:rFonts w:hint="eastAsia" w:ascii="宋体" w:hAnsi="宋体" w:eastAsia="宋体" w:cs="宋体"/>
          <w:color w:val="auto"/>
          <w:kern w:val="0"/>
          <w:sz w:val="24"/>
          <w:szCs w:val="24"/>
          <w:highlight w:val="none"/>
        </w:rPr>
        <w:t>时间内调配补齐所缺品种。若要更换品种，须提交书面申请并加盖公章，经采购人同意后方可更换。</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所送货物与采购人订单或合同要求不符时或货物送达之前损坏，经双方确认后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须接受退货或换货（</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应在接到采购人通知后1小时之内，将货物送至采购人指定地点替换原有不符或损坏的货物）。</w:t>
      </w:r>
    </w:p>
    <w:p w14:paraId="32BD4FF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风险管控</w:t>
      </w:r>
    </w:p>
    <w:p w14:paraId="1D1E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交付货物之前的加工、搬运、运输等环节中，</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自行组织，采购人不承担任何费用和安全</w:t>
      </w:r>
      <w:r>
        <w:rPr>
          <w:rFonts w:hint="eastAsia" w:ascii="宋体" w:hAnsi="宋体" w:eastAsia="宋体" w:cs="宋体"/>
          <w:b w:val="0"/>
          <w:bCs/>
          <w:color w:val="auto"/>
          <w:sz w:val="24"/>
          <w:szCs w:val="24"/>
          <w:highlight w:val="none"/>
        </w:rPr>
        <w:t>责任</w:t>
      </w:r>
      <w:r>
        <w:rPr>
          <w:rFonts w:hint="eastAsia" w:ascii="宋体" w:hAnsi="宋体" w:eastAsia="宋体" w:cs="宋体"/>
          <w:color w:val="auto"/>
          <w:kern w:val="0"/>
          <w:sz w:val="24"/>
          <w:szCs w:val="24"/>
          <w:highlight w:val="none"/>
        </w:rPr>
        <w:t>。</w:t>
      </w:r>
    </w:p>
    <w:p w14:paraId="3AEF2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送货管理：</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送货应安排专人专车，</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送货按采购人进出大门有关规定，主动出示</w:t>
      </w:r>
      <w:r>
        <w:rPr>
          <w:rFonts w:hint="eastAsia" w:ascii="宋体" w:hAnsi="宋体" w:eastAsia="宋体" w:cs="宋体"/>
          <w:b w:val="0"/>
          <w:bCs/>
          <w:color w:val="auto"/>
          <w:sz w:val="24"/>
          <w:szCs w:val="24"/>
          <w:highlight w:val="none"/>
        </w:rPr>
        <w:t>证件</w:t>
      </w:r>
      <w:r>
        <w:rPr>
          <w:rFonts w:hint="eastAsia" w:ascii="宋体" w:hAnsi="宋体" w:eastAsia="宋体" w:cs="宋体"/>
          <w:color w:val="auto"/>
          <w:kern w:val="0"/>
          <w:sz w:val="24"/>
          <w:szCs w:val="24"/>
          <w:highlight w:val="none"/>
        </w:rPr>
        <w:t>，接受安全检查；按要求停放车辆，主动接受管理，严禁携带违禁品进入，否则，采购人有权对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违反监管安全规定的行为进行处罚。情节严重的，取消供货资格，造成严重后果的移交司法机关依法处理。</w:t>
      </w:r>
    </w:p>
    <w:p w14:paraId="4BEF0E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原因，造成监管安全事故，食品安全事故、食物中毒、违规违纪的，采购人有权解除合同，造成的损失和后果一律由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11C0D1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争议</w:t>
      </w:r>
      <w:r>
        <w:rPr>
          <w:rFonts w:hint="eastAsia" w:ascii="宋体" w:hAnsi="宋体" w:eastAsia="宋体" w:cs="宋体"/>
          <w:b w:val="0"/>
          <w:bCs/>
          <w:color w:val="auto"/>
          <w:sz w:val="24"/>
          <w:szCs w:val="24"/>
          <w:highlight w:val="none"/>
        </w:rPr>
        <w:t>处理</w:t>
      </w:r>
    </w:p>
    <w:p w14:paraId="314E31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rPr>
        <w:t>不可抗力</w:t>
      </w:r>
      <w:r>
        <w:rPr>
          <w:rFonts w:hint="eastAsia" w:ascii="宋体" w:hAnsi="宋体" w:eastAsia="宋体" w:cs="宋体"/>
          <w:color w:val="auto"/>
          <w:kern w:val="0"/>
          <w:sz w:val="24"/>
          <w:szCs w:val="24"/>
          <w:highlight w:val="none"/>
        </w:rPr>
        <w:t>等特殊情况，双方任一方想提前解除合同，应提前一个月书面告知对方，在得到对方同意的前提下，本合同可提前解除。</w:t>
      </w:r>
    </w:p>
    <w:p w14:paraId="3E91F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原因造成采购人安全事故，采购人可立即解除合同。</w:t>
      </w:r>
    </w:p>
    <w:p w14:paraId="3F4D4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合同</w:t>
      </w:r>
      <w:r>
        <w:rPr>
          <w:rFonts w:hint="eastAsia" w:ascii="宋体" w:hAnsi="宋体" w:eastAsia="宋体" w:cs="宋体"/>
          <w:color w:val="auto"/>
          <w:kern w:val="0"/>
          <w:sz w:val="24"/>
          <w:szCs w:val="24"/>
          <w:highlight w:val="none"/>
        </w:rPr>
        <w:t>期限内，若与学校新制定下发的文件规定冲突，</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需无条件配合，与采购人按照学校有关文件明确的期限调整或者解除合同，不得追究采购人违约责任。</w:t>
      </w:r>
    </w:p>
    <w:p w14:paraId="1DF5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供应的货物进行定期或不定期的抽样检验，采购人对有疑议的货物有权提取样品送权威部门检验，质量不达标货物的检验费用由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支付。</w:t>
      </w:r>
    </w:p>
    <w:p w14:paraId="4E256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采购人</w:t>
      </w:r>
      <w:r>
        <w:rPr>
          <w:rFonts w:hint="eastAsia" w:ascii="宋体" w:hAnsi="宋体" w:eastAsia="宋体" w:cs="宋体"/>
          <w:b w:val="0"/>
          <w:bCs/>
          <w:color w:val="auto"/>
          <w:sz w:val="24"/>
          <w:szCs w:val="24"/>
          <w:highlight w:val="none"/>
        </w:rPr>
        <w:t>认定</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所送货物与采购人订单或合同要求不符或货物送达之前被损坏时，有权要求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退货或换货并给予</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口头整改通知；若</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有异议，应于接到采购人通知后1小时内书面（含电子邮件）回复采购人并协商处理方式，否则将视为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对不符合质量要求无异议，</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应于合同约定时间内退货或换货。</w:t>
      </w:r>
    </w:p>
    <w:p w14:paraId="235AF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对处理方式提出书面（含电子邮件）异议的，由采购人进行处理，若采购人无法最终认定货物质量的，双方均有权将提取样品送权威部门检验或鉴定。</w:t>
      </w:r>
    </w:p>
    <w:p w14:paraId="72E8E14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w:t>
      </w:r>
      <w:r>
        <w:rPr>
          <w:rFonts w:hint="eastAsia" w:ascii="宋体" w:hAnsi="宋体" w:eastAsia="宋体" w:cs="宋体"/>
          <w:b w:val="0"/>
          <w:bCs/>
          <w:color w:val="auto"/>
          <w:sz w:val="24"/>
          <w:szCs w:val="24"/>
          <w:highlight w:val="none"/>
        </w:rPr>
        <w:t>履行</w:t>
      </w:r>
      <w:r>
        <w:rPr>
          <w:rFonts w:hint="eastAsia" w:ascii="宋体" w:hAnsi="宋体" w:eastAsia="宋体" w:cs="宋体"/>
          <w:color w:val="auto"/>
          <w:kern w:val="0"/>
          <w:sz w:val="24"/>
          <w:szCs w:val="24"/>
          <w:highlight w:val="none"/>
        </w:rPr>
        <w:t>过程中发生争议的，双方应当协商解决，协商不成的可向采购人所在地人民法院提起</w:t>
      </w:r>
      <w:r>
        <w:rPr>
          <w:rFonts w:hint="eastAsia" w:ascii="宋体" w:hAnsi="宋体" w:eastAsia="宋体" w:cs="宋体"/>
          <w:color w:val="auto"/>
          <w:sz w:val="24"/>
          <w:szCs w:val="24"/>
          <w:highlight w:val="none"/>
        </w:rPr>
        <w:t>诉讼</w:t>
      </w:r>
      <w:r>
        <w:rPr>
          <w:rFonts w:hint="eastAsia" w:ascii="宋体" w:hAnsi="宋体" w:eastAsia="宋体" w:cs="宋体"/>
          <w:color w:val="auto"/>
          <w:kern w:val="0"/>
          <w:sz w:val="24"/>
          <w:szCs w:val="24"/>
          <w:highlight w:val="none"/>
        </w:rPr>
        <w:t>。</w:t>
      </w:r>
    </w:p>
    <w:p w14:paraId="5539DFAF">
      <w:pPr>
        <w:pStyle w:val="11"/>
        <w:rPr>
          <w:rFonts w:hint="eastAsia" w:ascii="宋体" w:hAnsi="宋体" w:eastAsia="宋体" w:cs="宋体"/>
          <w:color w:val="auto"/>
          <w:sz w:val="28"/>
          <w:szCs w:val="28"/>
        </w:rPr>
      </w:pPr>
    </w:p>
    <w:p w14:paraId="72286ECC">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bookmarkStart w:id="113" w:name="_Toc9059"/>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质量保证及售后服务</w:t>
      </w:r>
      <w:bookmarkEnd w:id="113"/>
    </w:p>
    <w:p w14:paraId="5A956967">
      <w:pPr>
        <w:pStyle w:val="38"/>
        <w:numPr>
          <w:ilvl w:val="0"/>
          <w:numId w:val="0"/>
        </w:numPr>
        <w:ind w:firstLine="480" w:firstLineChars="200"/>
        <w:rPr>
          <w:rFonts w:hint="eastAsia" w:ascii="宋体" w:hAnsi="宋体" w:eastAsia="宋体" w:cs="宋体"/>
          <w:color w:val="auto"/>
          <w:lang w:eastAsia="zh-TW"/>
        </w:rPr>
      </w:pPr>
      <w:r>
        <w:rPr>
          <w:rFonts w:hint="eastAsia" w:ascii="宋体" w:hAnsi="宋体" w:eastAsia="宋体" w:cs="宋体"/>
          <w:color w:val="auto"/>
          <w:lang w:eastAsia="zh-TW"/>
        </w:rPr>
        <w:t>（一）产品质量保证</w:t>
      </w:r>
    </w:p>
    <w:p w14:paraId="38D09F9F">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1.中标人应保证及时提供合格安全的商品，不得配送假冒伪劣、有毒有害、过期变质等不合格商品。属于国家规定“三包”范围的，其产品质量保证期不得低于“三包”规定。</w:t>
      </w:r>
    </w:p>
    <w:p w14:paraId="573839B3">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2.所有商品因验收时不能直接判断质量的，在使用过程中发现不合格商品，中标人作退货处理。</w:t>
      </w:r>
    </w:p>
    <w:p w14:paraId="2C74E7FA">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3.因商品质量问题引发的事故，由中标人承担经济赔偿责任以及全部法律责任。</w:t>
      </w:r>
    </w:p>
    <w:p w14:paraId="0C867FC4">
      <w:pPr>
        <w:pStyle w:val="38"/>
        <w:numPr>
          <w:ilvl w:val="0"/>
          <w:numId w:val="0"/>
        </w:numPr>
        <w:ind w:firstLine="480" w:firstLineChars="200"/>
        <w:rPr>
          <w:rFonts w:hint="eastAsia" w:ascii="宋体" w:hAnsi="宋体" w:eastAsia="宋体" w:cs="宋体"/>
          <w:color w:val="auto"/>
          <w:lang w:eastAsia="zh-TW"/>
        </w:rPr>
      </w:pPr>
      <w:r>
        <w:rPr>
          <w:rFonts w:hint="eastAsia" w:ascii="宋体" w:hAnsi="宋体" w:eastAsia="宋体" w:cs="宋体"/>
          <w:color w:val="auto"/>
          <w:lang w:eastAsia="zh-TW"/>
        </w:rPr>
        <w:t>（二）售后服务内容</w:t>
      </w:r>
    </w:p>
    <w:p w14:paraId="45A4089B">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1.因市场特殊原因，个别商品不能及时提供，中标人应与采购人沟通协调，更换品种，满足需要。</w:t>
      </w:r>
    </w:p>
    <w:p w14:paraId="01135FB1">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2.验收中不合格商品，中标人按照采购人规定时间内调换，应不影响正常工作。</w:t>
      </w:r>
    </w:p>
    <w:p w14:paraId="6CBFADB8">
      <w:pPr>
        <w:pStyle w:val="38"/>
        <w:numPr>
          <w:ilvl w:val="0"/>
          <w:numId w:val="0"/>
        </w:numPr>
        <w:ind w:firstLine="720" w:firstLineChars="300"/>
        <w:rPr>
          <w:rFonts w:hint="eastAsia" w:ascii="宋体" w:hAnsi="宋体" w:eastAsia="宋体" w:cs="宋体"/>
          <w:color w:val="auto"/>
          <w:lang w:eastAsia="zh-TW"/>
        </w:rPr>
      </w:pPr>
      <w:r>
        <w:rPr>
          <w:rFonts w:hint="eastAsia" w:ascii="宋体" w:hAnsi="宋体" w:eastAsia="宋体" w:cs="宋体"/>
          <w:color w:val="auto"/>
          <w:lang w:eastAsia="zh-TW"/>
        </w:rPr>
        <w:t>3.因商品质量导致出现安全事故，由中标人承担经济赔偿责任以及全部法律责任。</w:t>
      </w:r>
    </w:p>
    <w:p w14:paraId="4BB4E1F0">
      <w:pPr>
        <w:pStyle w:val="3"/>
        <w:pageBreakBefore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8"/>
          <w:szCs w:val="28"/>
          <w:highlight w:val="none"/>
        </w:rPr>
      </w:pPr>
      <w:bookmarkStart w:id="114" w:name="_Toc27286"/>
      <w:bookmarkStart w:id="115" w:name="_Toc5224"/>
      <w:bookmarkStart w:id="116" w:name="_Toc10946"/>
      <w:bookmarkStart w:id="117" w:name="_Toc14892"/>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询定价及结算</w:t>
      </w:r>
      <w:bookmarkEnd w:id="114"/>
      <w:bookmarkEnd w:id="115"/>
      <w:bookmarkEnd w:id="116"/>
      <w:bookmarkEnd w:id="117"/>
      <w:r>
        <w:rPr>
          <w:rFonts w:hint="eastAsia" w:ascii="宋体" w:hAnsi="宋体" w:eastAsia="宋体" w:cs="宋体"/>
          <w:b/>
          <w:bCs/>
          <w:color w:val="auto"/>
          <w:sz w:val="28"/>
          <w:szCs w:val="28"/>
          <w:highlight w:val="none"/>
        </w:rPr>
        <w:t xml:space="preserve"> </w:t>
      </w:r>
      <w:bookmarkStart w:id="118" w:name="_Toc31985"/>
    </w:p>
    <w:bookmarkEnd w:id="118"/>
    <w:p w14:paraId="772E0C6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（一）询定价</w:t>
      </w:r>
    </w:p>
    <w:p w14:paraId="1DD69E5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采购物资原则上每月询定价1次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可根据实际情况，调整询定价次数。</w:t>
      </w:r>
    </w:p>
    <w:p w14:paraId="28F6D233">
      <w:pPr>
        <w:pageBreakBefore w:val="0"/>
        <w:widowControl w:val="0"/>
        <w:kinsoku/>
        <w:wordWrap/>
        <w:overflowPunct/>
        <w:topLinePunct w:val="0"/>
        <w:bidi w:val="0"/>
        <w:snapToGrid w:val="0"/>
        <w:spacing w:line="40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TW"/>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实际结算方式</w:t>
      </w:r>
      <w:r>
        <w:rPr>
          <w:rFonts w:hint="eastAsia" w:ascii="宋体" w:hAnsi="宋体" w:eastAsia="宋体" w:cs="宋体"/>
          <w:color w:val="auto"/>
          <w:sz w:val="24"/>
          <w:highlight w:val="none"/>
          <w:lang w:val="en-US" w:eastAsia="zh-CN"/>
        </w:rPr>
        <w:t>以采购人以附近永辉超市、</w:t>
      </w:r>
      <w:r>
        <w:rPr>
          <w:rFonts w:hint="eastAsia" w:ascii="宋体" w:hAnsi="宋体" w:eastAsia="宋体" w:cs="宋体"/>
          <w:color w:val="auto"/>
          <w:sz w:val="24"/>
          <w:szCs w:val="24"/>
          <w:highlight w:val="none"/>
          <w:lang w:val="en-US" w:eastAsia="zh-CN"/>
        </w:rPr>
        <w:t>佳慧超市或农贸市场等大型市场</w:t>
      </w:r>
      <w:r>
        <w:rPr>
          <w:rFonts w:hint="eastAsia" w:ascii="宋体" w:hAnsi="宋体" w:eastAsia="宋体" w:cs="宋体"/>
          <w:color w:val="auto"/>
          <w:sz w:val="24"/>
          <w:highlight w:val="none"/>
          <w:lang w:val="en-US" w:eastAsia="zh-CN"/>
        </w:rPr>
        <w:t>同品目商品零售价为参照价，若商品销售价上涨，原则上不调整，（服务期内，若配送货物涉及调价，中标人应提供货物生产厂家出具的调价函，经采购人核验通过后，方可调价。采购人有权对中标人提供的资料进行核实，若发现弄虚作假，有权解除服务合同，其履约保证金不予退还。）</w:t>
      </w:r>
    </w:p>
    <w:p w14:paraId="59611B0A">
      <w:pPr>
        <w:pageBreakBefore w:val="0"/>
        <w:widowControl w:val="0"/>
        <w:kinsoku/>
        <w:wordWrap/>
        <w:overflowPunct/>
        <w:topLinePunct w:val="0"/>
        <w:bidi w:val="0"/>
        <w:snapToGrid w:val="0"/>
        <w:spacing w:line="400" w:lineRule="exact"/>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若商品销售价有下浮(以超市商品的正价为准)，则商品结算价需重新调整，具体以采购人要求为准。</w:t>
      </w:r>
    </w:p>
    <w:p w14:paraId="5C1DBE0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每次询价的时间由采购人确定，每月30日前确定当月的商品基准价。询价表应包含询得商品的基准价及结合中标费率后的确定价。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组织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学校采购询价小组人员至少2名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及中标人</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参与。</w:t>
      </w:r>
    </w:p>
    <w:p w14:paraId="00ABB36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个别在超市、市场无法询定价的品种或采购人有特殊要求的货物，可参照其他市场售价，双方协商定价。</w:t>
      </w:r>
    </w:p>
    <w:p w14:paraId="56CD2EF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（二）结算</w:t>
      </w:r>
    </w:p>
    <w:p w14:paraId="4FE3F449">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8"/>
          <w:highlight w:val="none"/>
        </w:rPr>
        <w:t>结算价格=结算单价基</w:t>
      </w:r>
      <w:r>
        <w:rPr>
          <w:rFonts w:hint="eastAsia" w:ascii="宋体" w:hAnsi="宋体" w:eastAsia="宋体" w:cs="宋体"/>
          <w:color w:val="auto"/>
          <w:sz w:val="24"/>
          <w:szCs w:val="28"/>
          <w:highlight w:val="none"/>
          <w:lang w:val="en-US" w:eastAsia="zh-CN"/>
        </w:rPr>
        <w:t>准</w:t>
      </w:r>
      <w:r>
        <w:rPr>
          <w:rFonts w:hint="eastAsia" w:ascii="宋体" w:hAnsi="宋体" w:eastAsia="宋体" w:cs="宋体"/>
          <w:color w:val="auto"/>
          <w:sz w:val="24"/>
          <w:szCs w:val="28"/>
          <w:highlight w:val="none"/>
        </w:rPr>
        <w:t>价*实际配送数量*</w:t>
      </w:r>
      <w:r>
        <w:rPr>
          <w:rFonts w:hint="eastAsia" w:ascii="宋体" w:hAnsi="宋体" w:eastAsia="宋体" w:cs="宋体"/>
          <w:color w:val="auto"/>
          <w:sz w:val="24"/>
          <w:szCs w:val="28"/>
          <w:highlight w:val="none"/>
          <w:lang w:val="en-US" w:eastAsia="zh-CN"/>
        </w:rPr>
        <w:t>投标报价费率</w:t>
      </w:r>
      <w:r>
        <w:rPr>
          <w:rFonts w:hint="eastAsia" w:ascii="宋体" w:hAnsi="宋体" w:eastAsia="宋体" w:cs="宋体"/>
          <w:color w:val="auto"/>
          <w:sz w:val="24"/>
          <w:szCs w:val="28"/>
          <w:highlight w:val="none"/>
        </w:rPr>
        <w:t xml:space="preserve"> </w:t>
      </w:r>
      <w:bookmarkStart w:id="119" w:name="_Toc19901"/>
      <w:bookmarkStart w:id="120" w:name="_Toc31699"/>
      <w:bookmarkStart w:id="121" w:name="_Toc13591"/>
      <w:bookmarkStart w:id="122" w:name="_Toc19638"/>
    </w:p>
    <w:p w14:paraId="032B5515">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3" w:name="_Toc11217"/>
    </w:p>
    <w:p w14:paraId="76C75500">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4" w:name="_Toc16025"/>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付款方式</w:t>
      </w:r>
      <w:bookmarkEnd w:id="119"/>
      <w:bookmarkEnd w:id="120"/>
      <w:bookmarkEnd w:id="121"/>
      <w:bookmarkEnd w:id="122"/>
      <w:bookmarkEnd w:id="123"/>
      <w:bookmarkEnd w:id="124"/>
    </w:p>
    <w:p w14:paraId="3E88B19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25" w:name="_Toc31146"/>
      <w:bookmarkStart w:id="126" w:name="_Toc14629"/>
      <w:bookmarkStart w:id="127" w:name="_Toc26951"/>
      <w:bookmarkStart w:id="128" w:name="_Toc12301"/>
      <w:bookmarkStart w:id="129" w:name="_Toc27131"/>
      <w:bookmarkStart w:id="130" w:name="_Toc7625"/>
      <w:r>
        <w:rPr>
          <w:rFonts w:hint="eastAsia" w:ascii="宋体" w:hAnsi="宋体" w:eastAsia="宋体" w:cs="宋体"/>
          <w:b w:val="0"/>
          <w:bCs/>
          <w:color w:val="auto"/>
          <w:sz w:val="24"/>
          <w:szCs w:val="24"/>
          <w:highlight w:val="none"/>
          <w:lang w:val="en-US" w:eastAsia="zh-CN"/>
        </w:rPr>
        <w:t>（一）先送货后付款，所有订购商品的配送单，经双方核对无误后，签字确认。</w:t>
      </w:r>
      <w:bookmarkEnd w:id="125"/>
    </w:p>
    <w:p w14:paraId="687739D2">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1" w:name="_Toc18262"/>
      <w:r>
        <w:rPr>
          <w:rFonts w:hint="eastAsia" w:ascii="宋体" w:hAnsi="宋体" w:eastAsia="宋体" w:cs="宋体"/>
          <w:b w:val="0"/>
          <w:bCs/>
          <w:color w:val="auto"/>
          <w:sz w:val="24"/>
          <w:szCs w:val="24"/>
          <w:highlight w:val="none"/>
          <w:lang w:val="en-US" w:eastAsia="zh-CN"/>
        </w:rPr>
        <w:t>（二）按月结算，根据当月送货单数据，据实结算。</w:t>
      </w:r>
      <w:bookmarkEnd w:id="131"/>
    </w:p>
    <w:p w14:paraId="40BC483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2" w:name="_Toc13607"/>
      <w:r>
        <w:rPr>
          <w:rFonts w:hint="eastAsia" w:ascii="宋体" w:hAnsi="宋体" w:eastAsia="宋体" w:cs="宋体"/>
          <w:b w:val="0"/>
          <w:bCs/>
          <w:color w:val="auto"/>
          <w:sz w:val="24"/>
          <w:szCs w:val="24"/>
          <w:highlight w:val="none"/>
          <w:lang w:val="en-US" w:eastAsia="zh-CN"/>
        </w:rPr>
        <w:t>（三）成交供应商开具正式税务发票，次月支付上月货款（采购人可根据财务要求调整付款时间），通过银行转账到中标人指定账户。</w:t>
      </w:r>
      <w:bookmarkEnd w:id="132"/>
    </w:p>
    <w:p w14:paraId="302BCD46">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p>
    <w:p w14:paraId="2C8CC3AA">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3" w:name="_Toc11493"/>
      <w:r>
        <w:rPr>
          <w:rFonts w:hint="eastAsia" w:ascii="宋体" w:hAnsi="宋体" w:eastAsia="宋体" w:cs="宋体"/>
          <w:b/>
          <w:color w:val="auto"/>
          <w:sz w:val="24"/>
          <w:szCs w:val="24"/>
          <w:highlight w:val="none"/>
          <w:lang w:val="en-US" w:eastAsia="zh-CN"/>
        </w:rPr>
        <w:t>七、其他</w:t>
      </w:r>
      <w:bookmarkEnd w:id="133"/>
    </w:p>
    <w:p w14:paraId="297CA056">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4" w:name="_Toc28941"/>
      <w:r>
        <w:rPr>
          <w:rFonts w:hint="eastAsia" w:ascii="宋体" w:hAnsi="宋体" w:eastAsia="宋体" w:cs="宋体"/>
          <w:b w:val="0"/>
          <w:bCs/>
          <w:color w:val="auto"/>
          <w:sz w:val="24"/>
          <w:szCs w:val="24"/>
          <w:highlight w:val="none"/>
          <w:lang w:val="en-US" w:eastAsia="zh-CN"/>
        </w:rPr>
        <w:t>（一）其他未尽事宜由供需双方在采购合同中详细约定。</w:t>
      </w:r>
      <w:bookmarkEnd w:id="134"/>
    </w:p>
    <w:p w14:paraId="771DE004">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5" w:name="_Toc5533"/>
      <w:r>
        <w:rPr>
          <w:rFonts w:hint="eastAsia" w:ascii="宋体" w:hAnsi="宋体" w:eastAsia="宋体" w:cs="宋体"/>
          <w:b w:val="0"/>
          <w:bCs/>
          <w:color w:val="auto"/>
          <w:sz w:val="24"/>
          <w:szCs w:val="24"/>
          <w:highlight w:val="none"/>
          <w:lang w:val="en-US" w:eastAsia="zh-CN"/>
        </w:rPr>
        <w:t>（二）如遇国家相关政策调整，服务合同自动终止，双方均不因合同自动终止承担违约责任。</w:t>
      </w:r>
      <w:bookmarkEnd w:id="135"/>
    </w:p>
    <w:p w14:paraId="3AEA3EB9">
      <w:pPr>
        <w:rPr>
          <w:rFonts w:hint="eastAsia" w:ascii="宋体" w:hAnsi="宋体" w:eastAsia="宋体" w:cs="宋体"/>
          <w:color w:val="auto"/>
          <w:lang w:val="en-US" w:eastAsia="zh-CN"/>
        </w:rPr>
      </w:pPr>
    </w:p>
    <w:p w14:paraId="4DD1653B">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6" w:name="_Toc11871"/>
      <w:r>
        <w:rPr>
          <w:rFonts w:hint="eastAsia" w:ascii="宋体" w:hAnsi="宋体" w:eastAsia="宋体" w:cs="宋体"/>
          <w:b/>
          <w:color w:val="auto"/>
          <w:sz w:val="24"/>
          <w:szCs w:val="24"/>
          <w:highlight w:val="none"/>
          <w:lang w:val="en-US" w:eastAsia="zh-CN"/>
        </w:rPr>
        <w:t>八、其他商务要求内容</w:t>
      </w:r>
      <w:bookmarkEnd w:id="126"/>
      <w:bookmarkEnd w:id="127"/>
      <w:bookmarkEnd w:id="128"/>
      <w:bookmarkEnd w:id="129"/>
      <w:bookmarkEnd w:id="130"/>
      <w:bookmarkEnd w:id="136"/>
    </w:p>
    <w:p w14:paraId="75E3315D">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w:t>
      </w: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必须在</w:t>
      </w:r>
      <w:r>
        <w:rPr>
          <w:rFonts w:hint="eastAsia" w:ascii="宋体" w:hAnsi="宋体" w:eastAsia="宋体" w:cs="宋体"/>
          <w:color w:val="auto"/>
          <w:sz w:val="24"/>
          <w:szCs w:val="28"/>
          <w:highlight w:val="none"/>
          <w:lang w:val="en-US" w:eastAsia="zh-CN"/>
        </w:rPr>
        <w:t>投标文件</w:t>
      </w:r>
      <w:r>
        <w:rPr>
          <w:rFonts w:hint="eastAsia" w:ascii="宋体" w:hAnsi="宋体" w:eastAsia="宋体" w:cs="宋体"/>
          <w:color w:val="auto"/>
          <w:sz w:val="24"/>
          <w:szCs w:val="28"/>
          <w:highlight w:val="none"/>
        </w:rPr>
        <w:t>中对以上条款和服务承诺明确列出，承诺内容必须达到本篇及</w:t>
      </w:r>
      <w:r>
        <w:rPr>
          <w:rFonts w:hint="eastAsia" w:ascii="宋体" w:hAnsi="宋体" w:eastAsia="宋体" w:cs="宋体"/>
          <w:color w:val="auto"/>
          <w:sz w:val="24"/>
          <w:szCs w:val="28"/>
          <w:highlight w:val="none"/>
          <w:lang w:val="en-US" w:eastAsia="zh-CN"/>
        </w:rPr>
        <w:t>招标文件</w:t>
      </w:r>
      <w:r>
        <w:rPr>
          <w:rFonts w:hint="eastAsia" w:ascii="宋体" w:hAnsi="宋体" w:eastAsia="宋体" w:cs="宋体"/>
          <w:color w:val="auto"/>
          <w:sz w:val="24"/>
          <w:szCs w:val="28"/>
          <w:highlight w:val="none"/>
        </w:rPr>
        <w:t>其他条款的要求。</w:t>
      </w:r>
    </w:p>
    <w:p w14:paraId="317D5F54">
      <w:pPr>
        <w:pStyle w:val="16"/>
        <w:pageBreakBefore w:val="0"/>
        <w:tabs>
          <w:tab w:val="left" w:pos="490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二</w:t>
      </w:r>
      <w:r>
        <w:rPr>
          <w:rFonts w:hint="eastAsia" w:ascii="宋体" w:hAnsi="宋体" w:eastAsia="宋体" w:cs="宋体"/>
          <w:color w:val="auto"/>
          <w:sz w:val="24"/>
          <w:szCs w:val="28"/>
          <w:highlight w:val="none"/>
        </w:rPr>
        <w:t>）其他未尽事宜由供需双方在采购合同中详细约定</w:t>
      </w:r>
      <w:r>
        <w:rPr>
          <w:rFonts w:hint="eastAsia" w:ascii="宋体" w:hAnsi="宋体" w:eastAsia="宋体" w:cs="宋体"/>
          <w:color w:val="auto"/>
          <w:sz w:val="24"/>
          <w:szCs w:val="24"/>
          <w:highlight w:val="none"/>
        </w:rPr>
        <w:t>。</w:t>
      </w:r>
    </w:p>
    <w:p w14:paraId="4A69DB7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05"/>
    <w:bookmarkEnd w:id="106"/>
    <w:p w14:paraId="5ADC851C">
      <w:pPr>
        <w:pStyle w:val="2"/>
        <w:spacing w:before="0" w:beforeLines="0" w:after="0" w:afterLines="0" w:line="360" w:lineRule="auto"/>
        <w:rPr>
          <w:rFonts w:hint="eastAsia" w:ascii="宋体" w:hAnsi="宋体" w:eastAsia="宋体" w:cs="宋体"/>
          <w:b/>
          <w:bCs/>
          <w:color w:val="auto"/>
          <w:highlight w:val="none"/>
        </w:rPr>
      </w:pPr>
      <w:bookmarkStart w:id="137" w:name="_Toc12577"/>
      <w:bookmarkStart w:id="138" w:name="_Toc20265"/>
      <w:bookmarkStart w:id="139" w:name="_Toc4732"/>
      <w:bookmarkStart w:id="140" w:name="_Toc15954"/>
      <w:r>
        <w:rPr>
          <w:rFonts w:hint="eastAsia" w:ascii="宋体" w:hAnsi="宋体" w:eastAsia="宋体" w:cs="宋体"/>
          <w:b/>
          <w:bCs/>
          <w:color w:val="auto"/>
          <w:highlight w:val="none"/>
        </w:rPr>
        <w:t>第四篇  比选程序及方法、评审标准、无效响应和采购终止</w:t>
      </w:r>
      <w:bookmarkEnd w:id="137"/>
      <w:bookmarkEnd w:id="138"/>
      <w:bookmarkEnd w:id="139"/>
      <w:bookmarkEnd w:id="140"/>
    </w:p>
    <w:p w14:paraId="4EB2A117">
      <w:pPr>
        <w:pStyle w:val="3"/>
        <w:bidi w:val="0"/>
        <w:spacing w:line="360" w:lineRule="auto"/>
        <w:outlineLvl w:val="0"/>
        <w:rPr>
          <w:rFonts w:hint="eastAsia" w:ascii="宋体" w:hAnsi="宋体" w:eastAsia="宋体" w:cs="宋体"/>
          <w:b/>
          <w:bCs/>
          <w:color w:val="auto"/>
          <w:sz w:val="28"/>
          <w:szCs w:val="32"/>
        </w:rPr>
      </w:pPr>
      <w:bookmarkStart w:id="141" w:name="_Toc492721015"/>
      <w:bookmarkStart w:id="142" w:name="_Toc73632179"/>
      <w:bookmarkStart w:id="143" w:name="_Toc29331"/>
      <w:bookmarkStart w:id="144" w:name="_Toc24443"/>
      <w:bookmarkStart w:id="145" w:name="_Toc14285"/>
      <w:bookmarkStart w:id="146" w:name="_Toc9359"/>
      <w:bookmarkStart w:id="147" w:name="_Toc267320057"/>
      <w:r>
        <w:rPr>
          <w:rFonts w:hint="eastAsia" w:ascii="宋体" w:hAnsi="宋体" w:eastAsia="宋体" w:cs="宋体"/>
          <w:b/>
          <w:bCs/>
          <w:color w:val="auto"/>
          <w:sz w:val="28"/>
          <w:szCs w:val="32"/>
        </w:rPr>
        <w:t>一、资格审查</w:t>
      </w:r>
      <w:bookmarkEnd w:id="141"/>
      <w:bookmarkEnd w:id="142"/>
      <w:bookmarkEnd w:id="143"/>
      <w:bookmarkEnd w:id="144"/>
      <w:bookmarkEnd w:id="145"/>
      <w:bookmarkEnd w:id="146"/>
    </w:p>
    <w:p w14:paraId="0609189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依据政府采购相关法律法规规定,由</w:t>
      </w:r>
      <w:r>
        <w:rPr>
          <w:rFonts w:hint="eastAsia" w:ascii="宋体" w:hAnsi="宋体" w:eastAsia="宋体" w:cs="宋体"/>
          <w:color w:val="auto"/>
          <w:kern w:val="0"/>
          <w:sz w:val="24"/>
          <w:szCs w:val="24"/>
          <w:highlight w:val="none"/>
          <w:lang w:val="en-US" w:eastAsia="zh-CN"/>
        </w:rPr>
        <w:t>比选小组</w:t>
      </w:r>
      <w:r>
        <w:rPr>
          <w:rFonts w:hint="eastAsia" w:ascii="宋体" w:hAnsi="宋体" w:eastAsia="宋体" w:cs="宋体"/>
          <w:color w:val="auto"/>
          <w:kern w:val="0"/>
          <w:sz w:val="24"/>
          <w:szCs w:val="24"/>
          <w:highlight w:val="none"/>
        </w:rPr>
        <w:t>对投标文件中的资格证明文件进行审查。资格审查资料表如下：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335101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8D0A0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201ABE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685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2EECD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vAlign w:val="center"/>
          </w:tcPr>
          <w:p w14:paraId="25FBDA4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118" w:type="dxa"/>
            <w:vAlign w:val="center"/>
          </w:tcPr>
          <w:p w14:paraId="6AE21A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vAlign w:val="center"/>
          </w:tcPr>
          <w:p w14:paraId="3E1096C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69A8883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446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05AC4C">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08EE8D5">
            <w:pPr>
              <w:spacing w:line="240" w:lineRule="auto"/>
              <w:rPr>
                <w:rFonts w:hint="eastAsia" w:ascii="宋体" w:hAnsi="宋体" w:eastAsia="宋体" w:cs="宋体"/>
                <w:color w:val="auto"/>
                <w:sz w:val="24"/>
                <w:szCs w:val="24"/>
                <w:highlight w:val="none"/>
                <w:lang w:val="zh-CN"/>
              </w:rPr>
            </w:pPr>
          </w:p>
        </w:tc>
        <w:tc>
          <w:tcPr>
            <w:tcW w:w="3118" w:type="dxa"/>
            <w:vAlign w:val="center"/>
          </w:tcPr>
          <w:p w14:paraId="35A79C2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vAlign w:val="center"/>
          </w:tcPr>
          <w:p w14:paraId="5354D1B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提供“基本资格条件承诺函”（详见第七篇）</w:t>
            </w:r>
          </w:p>
        </w:tc>
      </w:tr>
      <w:tr w14:paraId="37F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C4327D">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6C11183">
            <w:pPr>
              <w:spacing w:line="240" w:lineRule="auto"/>
              <w:rPr>
                <w:rFonts w:hint="eastAsia" w:ascii="宋体" w:hAnsi="宋体" w:eastAsia="宋体" w:cs="宋体"/>
                <w:color w:val="auto"/>
                <w:sz w:val="24"/>
                <w:szCs w:val="24"/>
                <w:highlight w:val="none"/>
                <w:lang w:val="zh-CN"/>
              </w:rPr>
            </w:pPr>
          </w:p>
        </w:tc>
        <w:tc>
          <w:tcPr>
            <w:tcW w:w="3118" w:type="dxa"/>
            <w:vAlign w:val="center"/>
          </w:tcPr>
          <w:p w14:paraId="46710DB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vAlign w:val="center"/>
          </w:tcPr>
          <w:p w14:paraId="69A89CA6">
            <w:pPr>
              <w:spacing w:line="240" w:lineRule="auto"/>
              <w:rPr>
                <w:rFonts w:hint="eastAsia" w:ascii="宋体" w:hAnsi="宋体" w:eastAsia="宋体" w:cs="宋体"/>
                <w:color w:val="auto"/>
                <w:sz w:val="24"/>
                <w:szCs w:val="24"/>
                <w:highlight w:val="none"/>
              </w:rPr>
            </w:pPr>
          </w:p>
        </w:tc>
      </w:tr>
      <w:tr w14:paraId="5CB1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3A964">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6BE4471">
            <w:pPr>
              <w:spacing w:line="240" w:lineRule="auto"/>
              <w:rPr>
                <w:rFonts w:hint="eastAsia" w:ascii="宋体" w:hAnsi="宋体" w:eastAsia="宋体" w:cs="宋体"/>
                <w:color w:val="auto"/>
                <w:sz w:val="24"/>
                <w:szCs w:val="24"/>
                <w:highlight w:val="none"/>
                <w:lang w:val="zh-CN"/>
              </w:rPr>
            </w:pPr>
          </w:p>
        </w:tc>
        <w:tc>
          <w:tcPr>
            <w:tcW w:w="3118" w:type="dxa"/>
            <w:vAlign w:val="center"/>
          </w:tcPr>
          <w:p w14:paraId="1240B26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vAlign w:val="center"/>
          </w:tcPr>
          <w:p w14:paraId="0A275A99">
            <w:pPr>
              <w:spacing w:line="240" w:lineRule="auto"/>
              <w:rPr>
                <w:rFonts w:hint="eastAsia" w:ascii="宋体" w:hAnsi="宋体" w:eastAsia="宋体" w:cs="宋体"/>
                <w:color w:val="auto"/>
                <w:sz w:val="24"/>
                <w:szCs w:val="24"/>
                <w:highlight w:val="none"/>
              </w:rPr>
            </w:pPr>
          </w:p>
        </w:tc>
      </w:tr>
      <w:tr w14:paraId="310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C383E">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6737C59">
            <w:pPr>
              <w:spacing w:line="240" w:lineRule="auto"/>
              <w:rPr>
                <w:rFonts w:hint="eastAsia" w:ascii="宋体" w:hAnsi="宋体" w:eastAsia="宋体" w:cs="宋体"/>
                <w:color w:val="auto"/>
                <w:sz w:val="24"/>
                <w:szCs w:val="24"/>
                <w:highlight w:val="none"/>
                <w:lang w:val="zh-CN"/>
              </w:rPr>
            </w:pPr>
          </w:p>
        </w:tc>
        <w:tc>
          <w:tcPr>
            <w:tcW w:w="3118" w:type="dxa"/>
            <w:vAlign w:val="center"/>
          </w:tcPr>
          <w:p w14:paraId="5BB1E2DF">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tc>
        <w:tc>
          <w:tcPr>
            <w:tcW w:w="4984" w:type="dxa"/>
            <w:vMerge w:val="continue"/>
            <w:vAlign w:val="center"/>
          </w:tcPr>
          <w:p w14:paraId="5BA2551C">
            <w:pPr>
              <w:spacing w:line="240" w:lineRule="auto"/>
              <w:rPr>
                <w:rFonts w:hint="eastAsia" w:ascii="宋体" w:hAnsi="宋体" w:eastAsia="宋体" w:cs="宋体"/>
                <w:color w:val="auto"/>
                <w:sz w:val="24"/>
                <w:szCs w:val="24"/>
                <w:highlight w:val="none"/>
              </w:rPr>
            </w:pPr>
          </w:p>
        </w:tc>
      </w:tr>
      <w:tr w14:paraId="177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C155A8">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4CC91A4">
            <w:pPr>
              <w:spacing w:line="240" w:lineRule="auto"/>
              <w:rPr>
                <w:rFonts w:hint="eastAsia" w:ascii="宋体" w:hAnsi="宋体" w:eastAsia="宋体" w:cs="宋体"/>
                <w:color w:val="auto"/>
                <w:sz w:val="24"/>
                <w:szCs w:val="24"/>
                <w:highlight w:val="none"/>
              </w:rPr>
            </w:pPr>
          </w:p>
        </w:tc>
        <w:tc>
          <w:tcPr>
            <w:tcW w:w="3118" w:type="dxa"/>
            <w:vAlign w:val="center"/>
          </w:tcPr>
          <w:p w14:paraId="44870D4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vAlign w:val="center"/>
          </w:tcPr>
          <w:p w14:paraId="097D14CE">
            <w:pPr>
              <w:spacing w:line="240" w:lineRule="auto"/>
              <w:jc w:val="center"/>
              <w:rPr>
                <w:rFonts w:hint="eastAsia" w:ascii="宋体" w:hAnsi="宋体" w:eastAsia="宋体" w:cs="宋体"/>
                <w:color w:val="auto"/>
                <w:sz w:val="24"/>
                <w:szCs w:val="24"/>
                <w:highlight w:val="none"/>
              </w:rPr>
            </w:pPr>
          </w:p>
        </w:tc>
      </w:tr>
      <w:tr w14:paraId="08A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4A9F73">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37BCA31">
            <w:pPr>
              <w:spacing w:line="240" w:lineRule="auto"/>
              <w:rPr>
                <w:rFonts w:hint="eastAsia" w:ascii="宋体" w:hAnsi="宋体" w:eastAsia="宋体" w:cs="宋体"/>
                <w:color w:val="auto"/>
                <w:sz w:val="24"/>
                <w:szCs w:val="24"/>
                <w:highlight w:val="none"/>
              </w:rPr>
            </w:pPr>
          </w:p>
        </w:tc>
        <w:tc>
          <w:tcPr>
            <w:tcW w:w="3118" w:type="dxa"/>
            <w:vAlign w:val="center"/>
          </w:tcPr>
          <w:p w14:paraId="6F1B2B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984" w:type="dxa"/>
            <w:vAlign w:val="center"/>
          </w:tcPr>
          <w:p w14:paraId="2731D858">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按第一篇“三、投标人资格要求（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）本项目的特定资格要求”的要求提交（如果有）。</w:t>
            </w:r>
          </w:p>
        </w:tc>
      </w:tr>
      <w:tr w14:paraId="129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D302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827" w:type="dxa"/>
            <w:gridSpan w:val="2"/>
            <w:vAlign w:val="center"/>
          </w:tcPr>
          <w:p w14:paraId="61F98E2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984" w:type="dxa"/>
            <w:vAlign w:val="center"/>
          </w:tcPr>
          <w:p w14:paraId="6BCE498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按第一篇“三、投标人资格要求（二）落实政府采购政策需满足的资格要求”的要求提交（如果有）。</w:t>
            </w:r>
          </w:p>
        </w:tc>
      </w:tr>
      <w:tr w14:paraId="3E4D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B5C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827" w:type="dxa"/>
            <w:gridSpan w:val="2"/>
            <w:vAlign w:val="center"/>
          </w:tcPr>
          <w:p w14:paraId="2033D78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984" w:type="dxa"/>
            <w:vAlign w:val="center"/>
          </w:tcPr>
          <w:p w14:paraId="0165C10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866FECF">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按“三证合一”登记制度办理营业执照的，组织机构代码证和税务登记证以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所提供的法人营业执照（副本）复印件为准。</w:t>
      </w:r>
    </w:p>
    <w:p w14:paraId="3BA50874">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应对所提供的全部资料的真实性负责，如提供虚假材料，一经查实，将取消比选资格或</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资格，并且其比选保证金不予退还，并按照相关法律法规的规定进行处理。</w:t>
      </w:r>
    </w:p>
    <w:p w14:paraId="3E243BD9">
      <w:pPr>
        <w:pStyle w:val="2"/>
        <w:bidi w:val="0"/>
        <w:spacing w:line="360" w:lineRule="auto"/>
        <w:rPr>
          <w:rFonts w:hint="eastAsia" w:ascii="宋体" w:hAnsi="宋体" w:eastAsia="宋体" w:cs="宋体"/>
          <w:color w:val="auto"/>
        </w:rPr>
      </w:pPr>
      <w:bookmarkStart w:id="148" w:name="_Toc14664"/>
      <w:bookmarkStart w:id="149" w:name="_Toc10854"/>
      <w:bookmarkStart w:id="150" w:name="_Toc492721016"/>
      <w:bookmarkStart w:id="151" w:name="_Toc28329"/>
      <w:bookmarkStart w:id="152" w:name="_Toc6849"/>
      <w:bookmarkStart w:id="153" w:name="_Toc73632180"/>
      <w:r>
        <w:rPr>
          <w:rFonts w:hint="eastAsia" w:ascii="宋体" w:hAnsi="宋体" w:eastAsia="宋体" w:cs="宋体"/>
          <w:color w:val="auto"/>
        </w:rPr>
        <w:t>二、评审方法</w:t>
      </w:r>
      <w:bookmarkEnd w:id="148"/>
      <w:bookmarkEnd w:id="149"/>
      <w:bookmarkEnd w:id="150"/>
      <w:bookmarkEnd w:id="151"/>
      <w:bookmarkEnd w:id="152"/>
      <w:bookmarkEnd w:id="153"/>
    </w:p>
    <w:p w14:paraId="28623A6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本项目采用综合评分法进行评审。</w:t>
      </w:r>
    </w:p>
    <w:p w14:paraId="1641B80A">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综合评分法，是指投标文件满足比选文件全部实质性要求且按照评审因素的量化指标评审得分最高的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的评审方法。</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总得分为价格、商务、服务等评定因素分别按照相应权重值计算分项得分后相加，满分为100分。</w:t>
      </w:r>
    </w:p>
    <w:p w14:paraId="11DD59A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（一）符合性审查</w:t>
      </w:r>
    </w:p>
    <w:p w14:paraId="5B1B23B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评审小组应当对符合资格的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的投标文件进行符合性审查，以确定其是否满足竞争性比选文件的实质性要求。符合性审查资料表如下：</w:t>
      </w:r>
    </w:p>
    <w:tbl>
      <w:tblPr>
        <w:tblStyle w:val="27"/>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5AD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D4EB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51" w:type="dxa"/>
            <w:gridSpan w:val="2"/>
            <w:vAlign w:val="center"/>
          </w:tcPr>
          <w:p w14:paraId="1C429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33B97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8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45A89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2" w:type="dxa"/>
            <w:vMerge w:val="restart"/>
            <w:vAlign w:val="center"/>
          </w:tcPr>
          <w:p w14:paraId="2E027A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809" w:type="dxa"/>
            <w:vAlign w:val="center"/>
          </w:tcPr>
          <w:p w14:paraId="342567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投标文件签署</w:t>
            </w:r>
          </w:p>
        </w:tc>
        <w:tc>
          <w:tcPr>
            <w:tcW w:w="5409" w:type="dxa"/>
            <w:vAlign w:val="center"/>
          </w:tcPr>
          <w:p w14:paraId="44ECA8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投标文件上法定代表人或其授权代表人的签字齐全。</w:t>
            </w:r>
          </w:p>
        </w:tc>
      </w:tr>
      <w:tr w14:paraId="71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706A0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26A8A9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1EBD20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参选</w:t>
            </w:r>
            <w:r>
              <w:rPr>
                <w:rFonts w:hint="eastAsia" w:ascii="宋体" w:hAnsi="宋体" w:eastAsia="宋体" w:cs="宋体"/>
                <w:color w:val="auto"/>
                <w:sz w:val="24"/>
                <w:szCs w:val="24"/>
                <w:highlight w:val="none"/>
                <w:lang w:val="zh-CN"/>
              </w:rPr>
              <w:t>方案</w:t>
            </w:r>
          </w:p>
        </w:tc>
        <w:tc>
          <w:tcPr>
            <w:tcW w:w="5409" w:type="dxa"/>
            <w:vAlign w:val="center"/>
          </w:tcPr>
          <w:p w14:paraId="16DD84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每个包只能有一个方案参选。</w:t>
            </w:r>
          </w:p>
        </w:tc>
      </w:tr>
      <w:tr w14:paraId="677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10F84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428EA7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216CE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460554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40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62A6D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515C23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809" w:type="dxa"/>
            <w:vAlign w:val="center"/>
          </w:tcPr>
          <w:p w14:paraId="1AA8E2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投标文件份数</w:t>
            </w:r>
          </w:p>
        </w:tc>
        <w:tc>
          <w:tcPr>
            <w:tcW w:w="5409" w:type="dxa"/>
            <w:vAlign w:val="center"/>
          </w:tcPr>
          <w:p w14:paraId="72302F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投标文件正、副本、</w:t>
            </w:r>
            <w:r>
              <w:rPr>
                <w:rFonts w:hint="eastAsia" w:ascii="宋体" w:hAnsi="宋体" w:eastAsia="宋体" w:cs="宋体"/>
                <w:color w:val="auto"/>
                <w:sz w:val="24"/>
                <w:szCs w:val="24"/>
                <w:highlight w:val="none"/>
                <w:lang w:val="en-US" w:eastAsia="zh-CN"/>
              </w:rPr>
              <w:t>电子文档</w:t>
            </w:r>
            <w:r>
              <w:rPr>
                <w:rFonts w:hint="eastAsia" w:ascii="宋体" w:hAnsi="宋体" w:eastAsia="宋体" w:cs="宋体"/>
                <w:color w:val="auto"/>
                <w:sz w:val="24"/>
                <w:szCs w:val="24"/>
                <w:highlight w:val="none"/>
                <w:lang w:val="zh-CN"/>
              </w:rPr>
              <w:t>数量符合比选文件要求。</w:t>
            </w:r>
          </w:p>
        </w:tc>
      </w:tr>
      <w:tr w14:paraId="70C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1B41C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6F4848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服务部分</w:t>
            </w:r>
          </w:p>
        </w:tc>
        <w:tc>
          <w:tcPr>
            <w:tcW w:w="1809" w:type="dxa"/>
            <w:vAlign w:val="center"/>
          </w:tcPr>
          <w:p w14:paraId="09BC46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D362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本比选文件第二篇规定的比选内容作出响应</w:t>
            </w:r>
          </w:p>
        </w:tc>
      </w:tr>
      <w:tr w14:paraId="4F0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D0E7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2" w:type="dxa"/>
            <w:vAlign w:val="center"/>
          </w:tcPr>
          <w:p w14:paraId="1287CF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tc>
        <w:tc>
          <w:tcPr>
            <w:tcW w:w="1809" w:type="dxa"/>
            <w:vAlign w:val="center"/>
          </w:tcPr>
          <w:p w14:paraId="1CDDB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98A98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本比选文件第三篇规定的比选内容作出响应</w:t>
            </w:r>
          </w:p>
        </w:tc>
      </w:tr>
      <w:tr w14:paraId="66C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AC62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2" w:type="dxa"/>
            <w:vAlign w:val="center"/>
          </w:tcPr>
          <w:p w14:paraId="2288E5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w:t>
            </w:r>
          </w:p>
        </w:tc>
        <w:tc>
          <w:tcPr>
            <w:tcW w:w="1809" w:type="dxa"/>
            <w:vAlign w:val="center"/>
          </w:tcPr>
          <w:p w14:paraId="6ED054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3EBF1E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选有效期为</w:t>
            </w: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选截止日期后九十天内</w:t>
            </w:r>
          </w:p>
        </w:tc>
      </w:tr>
    </w:tbl>
    <w:p w14:paraId="4B3205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（二）澄清有关问题。对投标文件中含义不明确、同类问题表述不一致或者有明显文字和计算错误的内容，评审小组可以书面形式（应当由评审小组成员签字）要求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的澄清、说明或者补正应当采用书面形式，由其法定代表人或法定代表人授权代表签字，其澄清的内容不得超出比选文件的范围或者改变比选文件的实质性内容。</w:t>
      </w:r>
    </w:p>
    <w:p w14:paraId="008800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（三）比较与评价。按竞争性比选文件中规定的评审方法和标准，对资格审查和符合性审查合格的投标文件分别进行商务、价格评分。</w:t>
      </w:r>
    </w:p>
    <w:p w14:paraId="5FF324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评审小组各成员独立对每个有效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（通过资格审查、</w:t>
      </w:r>
      <w:r>
        <w:rPr>
          <w:rFonts w:hint="eastAsia" w:ascii="宋体" w:hAnsi="宋体" w:eastAsia="宋体" w:cs="宋体"/>
          <w:color w:val="auto"/>
          <w:kern w:val="0"/>
          <w:sz w:val="24"/>
          <w:szCs w:val="24"/>
          <w:highlight w:val="none"/>
        </w:rPr>
        <w:t>符合性审查的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z w:val="24"/>
          <w:szCs w:val="24"/>
          <w:highlight w:val="none"/>
        </w:rPr>
        <w:t>）的投标文件进行评价、打分，然后由评审小组对各成员打分情况进行核查及复核，个别成员对同一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的投标文件进行再次核对，确属打分有误的，应及时进行修正。复核后，评审小组汇总每个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每项评分因素的得分。</w:t>
      </w:r>
    </w:p>
    <w:p w14:paraId="19FF519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A7879E4">
      <w:pPr>
        <w:pStyle w:val="2"/>
        <w:numPr>
          <w:ilvl w:val="0"/>
          <w:numId w:val="6"/>
        </w:numPr>
        <w:bidi w:val="0"/>
        <w:spacing w:line="360" w:lineRule="auto"/>
        <w:rPr>
          <w:rFonts w:hint="eastAsia" w:ascii="宋体" w:hAnsi="宋体" w:eastAsia="宋体" w:cs="宋体"/>
          <w:color w:val="auto"/>
        </w:rPr>
      </w:pPr>
      <w:bookmarkStart w:id="154" w:name="_Toc25501"/>
      <w:bookmarkStart w:id="155" w:name="_Toc2389"/>
      <w:bookmarkStart w:id="156" w:name="_Toc11645"/>
      <w:bookmarkStart w:id="157" w:name="_Toc3558"/>
      <w:r>
        <w:rPr>
          <w:rFonts w:hint="eastAsia" w:ascii="宋体" w:hAnsi="宋体" w:eastAsia="宋体" w:cs="宋体"/>
          <w:color w:val="auto"/>
        </w:rPr>
        <w:t>评审标准</w:t>
      </w:r>
      <w:bookmarkEnd w:id="154"/>
      <w:bookmarkEnd w:id="155"/>
      <w:bookmarkEnd w:id="156"/>
      <w:bookmarkEnd w:id="157"/>
    </w:p>
    <w:bookmarkEnd w:id="147"/>
    <w:tbl>
      <w:tblPr>
        <w:tblStyle w:val="2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99"/>
        <w:gridCol w:w="943"/>
        <w:gridCol w:w="3643"/>
        <w:gridCol w:w="3112"/>
      </w:tblGrid>
      <w:tr w14:paraId="004F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0FC857D1">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bookmarkStart w:id="158" w:name="_Toc439685496"/>
            <w:r>
              <w:rPr>
                <w:rStyle w:val="56"/>
                <w:rFonts w:hint="eastAsia" w:ascii="宋体" w:hAnsi="宋体" w:eastAsia="宋体" w:cs="宋体"/>
                <w:b/>
                <w:color w:val="auto"/>
                <w:sz w:val="24"/>
                <w:szCs w:val="24"/>
                <w:highlight w:val="none"/>
              </w:rPr>
              <w:t>序号</w:t>
            </w:r>
          </w:p>
        </w:tc>
        <w:tc>
          <w:tcPr>
            <w:tcW w:w="1399" w:type="dxa"/>
            <w:noWrap w:val="0"/>
            <w:vAlign w:val="center"/>
          </w:tcPr>
          <w:p w14:paraId="20119E75">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评分因素及权重</w:t>
            </w:r>
          </w:p>
        </w:tc>
        <w:tc>
          <w:tcPr>
            <w:tcW w:w="943" w:type="dxa"/>
            <w:noWrap w:val="0"/>
            <w:vAlign w:val="center"/>
          </w:tcPr>
          <w:p w14:paraId="602C6234">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分值</w:t>
            </w:r>
          </w:p>
        </w:tc>
        <w:tc>
          <w:tcPr>
            <w:tcW w:w="3643" w:type="dxa"/>
            <w:noWrap w:val="0"/>
            <w:vAlign w:val="center"/>
          </w:tcPr>
          <w:p w14:paraId="7C93474C">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评分标准</w:t>
            </w:r>
          </w:p>
        </w:tc>
        <w:tc>
          <w:tcPr>
            <w:tcW w:w="3112" w:type="dxa"/>
            <w:noWrap w:val="0"/>
            <w:vAlign w:val="center"/>
          </w:tcPr>
          <w:p w14:paraId="7401246E">
            <w:pPr>
              <w:pStyle w:val="68"/>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说明</w:t>
            </w:r>
          </w:p>
        </w:tc>
      </w:tr>
      <w:tr w14:paraId="54E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24BC653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1</w:t>
            </w:r>
          </w:p>
        </w:tc>
        <w:tc>
          <w:tcPr>
            <w:tcW w:w="1399" w:type="dxa"/>
            <w:noWrap w:val="0"/>
            <w:vAlign w:val="center"/>
          </w:tcPr>
          <w:p w14:paraId="6E38058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r>
              <w:rPr>
                <w:rStyle w:val="56"/>
                <w:rFonts w:hint="eastAsia" w:ascii="宋体" w:hAnsi="宋体" w:eastAsia="宋体" w:cs="宋体"/>
                <w:color w:val="auto"/>
                <w:sz w:val="24"/>
                <w:szCs w:val="24"/>
                <w:highlight w:val="none"/>
              </w:rPr>
              <w:t>报价</w:t>
            </w:r>
            <w:r>
              <w:rPr>
                <w:rStyle w:val="56"/>
                <w:rFonts w:hint="eastAsia" w:ascii="宋体" w:hAnsi="宋体" w:eastAsia="宋体" w:cs="宋体"/>
                <w:color w:val="auto"/>
                <w:sz w:val="24"/>
                <w:szCs w:val="24"/>
                <w:highlight w:val="none"/>
                <w:lang w:val="en-US" w:eastAsia="zh-CN"/>
              </w:rPr>
              <w:t>部分</w:t>
            </w:r>
          </w:p>
          <w:p w14:paraId="36CC914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30</w:t>
            </w:r>
            <w:r>
              <w:rPr>
                <w:rStyle w:val="56"/>
                <w:rFonts w:hint="eastAsia" w:ascii="宋体" w:hAnsi="宋体" w:eastAsia="宋体" w:cs="宋体"/>
                <w:color w:val="auto"/>
                <w:sz w:val="24"/>
                <w:szCs w:val="24"/>
                <w:highlight w:val="none"/>
              </w:rPr>
              <w:t>%）</w:t>
            </w:r>
          </w:p>
        </w:tc>
        <w:tc>
          <w:tcPr>
            <w:tcW w:w="943" w:type="dxa"/>
            <w:noWrap w:val="0"/>
            <w:vAlign w:val="center"/>
          </w:tcPr>
          <w:p w14:paraId="6D2E8BCB">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30分</w:t>
            </w:r>
          </w:p>
          <w:p w14:paraId="7DB8A603">
            <w:pPr>
              <w:ind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lang w:val="en-US" w:eastAsia="zh-CN"/>
              </w:rPr>
              <w:t xml:space="preserve"> </w:t>
            </w:r>
          </w:p>
        </w:tc>
        <w:tc>
          <w:tcPr>
            <w:tcW w:w="3643" w:type="dxa"/>
            <w:noWrap w:val="0"/>
            <w:vAlign w:val="center"/>
          </w:tcPr>
          <w:p w14:paraId="63A48156">
            <w:pPr>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有效的投标报价中折扣百分比最低（优惠最大）的为评标基准价，按照下列公式计算每个投标人的投标价格得分。</w:t>
            </w:r>
          </w:p>
          <w:p w14:paraId="27889BFE">
            <w:pPr>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投标报价得分＝（评标基准价/投标报价折扣）×价格权重×100。</w:t>
            </w:r>
          </w:p>
        </w:tc>
        <w:tc>
          <w:tcPr>
            <w:tcW w:w="3112" w:type="dxa"/>
            <w:noWrap w:val="0"/>
            <w:vAlign w:val="center"/>
          </w:tcPr>
          <w:p w14:paraId="64865AE6">
            <w:pPr>
              <w:ind w:left="-38"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注：得分保留至小数点后两位，小数点后第三位四舍五入。超过限价报价视为无效响应。</w:t>
            </w:r>
          </w:p>
        </w:tc>
      </w:tr>
      <w:tr w14:paraId="0D8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53044A6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2</w:t>
            </w:r>
          </w:p>
        </w:tc>
        <w:tc>
          <w:tcPr>
            <w:tcW w:w="1399" w:type="dxa"/>
            <w:noWrap w:val="0"/>
            <w:vAlign w:val="center"/>
          </w:tcPr>
          <w:p w14:paraId="768918F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服务部分</w:t>
            </w:r>
          </w:p>
          <w:p w14:paraId="06EC7BC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50</w:t>
            </w:r>
            <w:r>
              <w:rPr>
                <w:rStyle w:val="56"/>
                <w:rFonts w:hint="eastAsia" w:ascii="宋体" w:hAnsi="宋体" w:eastAsia="宋体" w:cs="宋体"/>
                <w:color w:val="auto"/>
                <w:sz w:val="24"/>
                <w:szCs w:val="24"/>
                <w:highlight w:val="none"/>
              </w:rPr>
              <w:t>%）</w:t>
            </w:r>
          </w:p>
        </w:tc>
        <w:tc>
          <w:tcPr>
            <w:tcW w:w="943" w:type="dxa"/>
            <w:noWrap w:val="0"/>
            <w:vAlign w:val="center"/>
          </w:tcPr>
          <w:p w14:paraId="4AF0FBE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50分</w:t>
            </w:r>
          </w:p>
        </w:tc>
        <w:tc>
          <w:tcPr>
            <w:tcW w:w="3643" w:type="dxa"/>
            <w:tcBorders>
              <w:bottom w:val="single" w:color="auto" w:sz="4" w:space="0"/>
            </w:tcBorders>
            <w:noWrap w:val="0"/>
            <w:vAlign w:val="center"/>
          </w:tcPr>
          <w:p w14:paraId="65B82B4F">
            <w:pPr>
              <w:keepNext w:val="0"/>
              <w:keepLines w:val="0"/>
              <w:pageBreakBefore w:val="0"/>
              <w:widowControl w:val="0"/>
              <w:kinsoku/>
              <w:wordWrap/>
              <w:overflowPunct/>
              <w:topLinePunct w:val="0"/>
              <w:autoSpaceDE/>
              <w:autoSpaceDN/>
              <w:bidi w:val="0"/>
              <w:adjustRightInd/>
              <w:snapToGrid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4"/>
                <w:szCs w:val="24"/>
                <w:highlight w:val="none"/>
                <w:lang w:val="en-US" w:eastAsia="zh-CN"/>
              </w:rPr>
              <w:t>配送服务方案（15分）</w:t>
            </w:r>
          </w:p>
          <w:p w14:paraId="440FC5C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43BC013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根据方案的合理性、条理性、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2CE672D8">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2.质量安全保证措施（15分）</w:t>
            </w:r>
          </w:p>
          <w:p w14:paraId="54089E6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质量安全保证措施包含但不限于食品卫生安全保障措施、食品安全培训计划等有关内容。</w:t>
            </w:r>
          </w:p>
          <w:p w14:paraId="379A0C7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1C2DEC17">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3.应急处理方案（10分）</w:t>
            </w:r>
          </w:p>
          <w:p w14:paraId="089B5A6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方案内容包含但不限于采购人发生突发事件需要临时增加配送时，能安排人员组织货源并及时送货方案；发生因食品质量安全问题导致的食物中毒等情况的应对措施等内容。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p w14:paraId="39FD26F1">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4.售后服务（10分）</w:t>
            </w:r>
          </w:p>
          <w:p w14:paraId="41FEBC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售后服务内容包含但不限于保证配送物资出现问题后的处理措施，提供征求意见的方式及渠道等。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tc>
        <w:tc>
          <w:tcPr>
            <w:tcW w:w="3112" w:type="dxa"/>
            <w:tcBorders>
              <w:bottom w:val="single" w:color="auto" w:sz="4" w:space="0"/>
            </w:tcBorders>
            <w:noWrap w:val="0"/>
            <w:vAlign w:val="center"/>
          </w:tcPr>
          <w:p w14:paraId="32C2EBE6">
            <w:pPr>
              <w:keepNext w:val="0"/>
              <w:keepLines w:val="0"/>
              <w:pageBreakBefore w:val="0"/>
              <w:widowControl w:val="0"/>
              <w:shd w:val="clea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供应商提供相关服务方案，评审小组各成员横向对比有效供应商的方案情况进行评比打分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取所有评审小组成员打分的算术平均值。</w:t>
            </w:r>
            <w:r>
              <w:rPr>
                <w:rFonts w:hint="eastAsia" w:ascii="宋体" w:hAnsi="宋体" w:eastAsia="宋体" w:cs="宋体"/>
                <w:color w:val="auto"/>
                <w:sz w:val="24"/>
                <w:szCs w:val="24"/>
              </w:rPr>
              <w:t>（格式自拟）</w:t>
            </w:r>
            <w:r>
              <w:rPr>
                <w:rFonts w:hint="eastAsia" w:ascii="宋体" w:hAnsi="宋体" w:eastAsia="宋体" w:cs="宋体"/>
                <w:color w:val="auto"/>
                <w:sz w:val="21"/>
                <w:szCs w:val="21"/>
                <w:highlight w:val="none"/>
              </w:rPr>
              <w:t>。</w:t>
            </w:r>
          </w:p>
        </w:tc>
      </w:tr>
      <w:tr w14:paraId="688F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639" w:type="dxa"/>
            <w:vMerge w:val="restart"/>
            <w:noWrap w:val="0"/>
            <w:vAlign w:val="center"/>
          </w:tcPr>
          <w:p w14:paraId="31D7E9C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3</w:t>
            </w:r>
          </w:p>
        </w:tc>
        <w:tc>
          <w:tcPr>
            <w:tcW w:w="1399" w:type="dxa"/>
            <w:vMerge w:val="restart"/>
            <w:noWrap w:val="0"/>
            <w:vAlign w:val="center"/>
          </w:tcPr>
          <w:p w14:paraId="1F696A0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商务部分（</w:t>
            </w:r>
            <w:r>
              <w:rPr>
                <w:rStyle w:val="56"/>
                <w:rFonts w:hint="eastAsia" w:ascii="宋体" w:hAnsi="宋体" w:eastAsia="宋体" w:cs="宋体"/>
                <w:color w:val="auto"/>
                <w:sz w:val="24"/>
                <w:szCs w:val="24"/>
                <w:highlight w:val="none"/>
                <w:lang w:val="en-US" w:eastAsia="zh-CN"/>
              </w:rPr>
              <w:t>20</w:t>
            </w:r>
            <w:r>
              <w:rPr>
                <w:rStyle w:val="56"/>
                <w:rFonts w:hint="eastAsia" w:ascii="宋体" w:hAnsi="宋体" w:eastAsia="宋体" w:cs="宋体"/>
                <w:color w:val="auto"/>
                <w:sz w:val="24"/>
                <w:szCs w:val="24"/>
                <w:highlight w:val="none"/>
              </w:rPr>
              <w:t>%）</w:t>
            </w:r>
          </w:p>
        </w:tc>
        <w:tc>
          <w:tcPr>
            <w:tcW w:w="943" w:type="dxa"/>
            <w:vMerge w:val="restart"/>
            <w:noWrap w:val="0"/>
            <w:vAlign w:val="center"/>
          </w:tcPr>
          <w:p w14:paraId="7E0CB9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lang w:val="en-US" w:eastAsia="zh-CN"/>
              </w:rPr>
              <w:t>20分</w:t>
            </w:r>
          </w:p>
        </w:tc>
        <w:tc>
          <w:tcPr>
            <w:tcW w:w="3643" w:type="dxa"/>
            <w:tcBorders>
              <w:bottom w:val="single" w:color="auto" w:sz="4" w:space="0"/>
            </w:tcBorders>
            <w:noWrap w:val="0"/>
            <w:vAlign w:val="center"/>
          </w:tcPr>
          <w:p w14:paraId="354DCB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1、配送车辆（</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分）</w:t>
            </w:r>
          </w:p>
          <w:p w14:paraId="456E7B0E">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供应商为本项目配置配送车辆，每提供1台得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w:t>
            </w:r>
            <w:r>
              <w:rPr>
                <w:rFonts w:hint="eastAsia" w:ascii="宋体" w:hAnsi="宋体" w:eastAsia="宋体" w:cs="宋体"/>
                <w:color w:val="auto"/>
                <w:sz w:val="24"/>
                <w:szCs w:val="24"/>
                <w:lang w:val="en-US" w:eastAsia="zh-CN"/>
              </w:rPr>
              <w:t>得6</w:t>
            </w:r>
            <w:r>
              <w:rPr>
                <w:rFonts w:hint="eastAsia" w:ascii="宋体" w:hAnsi="宋体" w:eastAsia="宋体" w:cs="宋体"/>
                <w:color w:val="auto"/>
                <w:sz w:val="24"/>
                <w:szCs w:val="24"/>
              </w:rPr>
              <w:t>分。</w:t>
            </w:r>
          </w:p>
        </w:tc>
        <w:tc>
          <w:tcPr>
            <w:tcW w:w="3112" w:type="dxa"/>
            <w:noWrap w:val="0"/>
            <w:vAlign w:val="center"/>
          </w:tcPr>
          <w:p w14:paraId="2AE6D428">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1.车辆为自有的，提供常温配送车辆或冷链车辆行驶证复印件，加盖供应商公章。</w:t>
            </w:r>
          </w:p>
          <w:p w14:paraId="4383686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2.车辆为租赁的，提供常温配送车辆</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冷链车辆行驶证复印件、车辆租赁合同（租赁合同的有效期须包含本项目的合同期）</w:t>
            </w:r>
          </w:p>
          <w:p w14:paraId="3B57334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3.提供配送车辆彩色实拍照片（正面、侧面、车厢内部各1张），车辆照片内容与车辆行驶证一致。</w:t>
            </w:r>
          </w:p>
        </w:tc>
      </w:tr>
      <w:tr w14:paraId="2607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39" w:type="dxa"/>
            <w:vMerge w:val="continue"/>
            <w:noWrap w:val="0"/>
            <w:vAlign w:val="center"/>
          </w:tcPr>
          <w:p w14:paraId="0A2D3B0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1399" w:type="dxa"/>
            <w:vMerge w:val="continue"/>
            <w:noWrap w:val="0"/>
            <w:vAlign w:val="center"/>
          </w:tcPr>
          <w:p w14:paraId="2F84CAB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943" w:type="dxa"/>
            <w:vMerge w:val="continue"/>
            <w:noWrap w:val="0"/>
            <w:vAlign w:val="center"/>
          </w:tcPr>
          <w:p w14:paraId="2C76C50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p>
        </w:tc>
        <w:tc>
          <w:tcPr>
            <w:tcW w:w="3643" w:type="dxa"/>
            <w:tcBorders>
              <w:bottom w:val="single" w:color="auto" w:sz="4" w:space="0"/>
            </w:tcBorders>
            <w:shd w:val="clear" w:color="auto" w:fill="auto"/>
            <w:noWrap w:val="0"/>
            <w:vAlign w:val="center"/>
          </w:tcPr>
          <w:p w14:paraId="094A6F16">
            <w:pP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、经营场所（</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14:paraId="17353FD3">
            <w:pPr>
              <w:rPr>
                <w:rFonts w:hint="eastAsia" w:ascii="宋体" w:hAnsi="宋体" w:eastAsia="宋体" w:cs="宋体"/>
                <w:color w:val="auto"/>
                <w:sz w:val="24"/>
                <w:szCs w:val="24"/>
              </w:rPr>
            </w:pPr>
            <w:r>
              <w:rPr>
                <w:rFonts w:hint="eastAsia" w:ascii="宋体" w:hAnsi="宋体" w:eastAsia="宋体" w:cs="宋体"/>
                <w:color w:val="auto"/>
                <w:sz w:val="24"/>
                <w:szCs w:val="24"/>
              </w:rPr>
              <w:t>供应商有固定经营场所（固定经营场所指门店或仓库或配送中心等）。</w:t>
            </w:r>
          </w:p>
          <w:p w14:paraId="6A27F7F8">
            <w:pPr>
              <w:rPr>
                <w:rFonts w:hint="eastAsia" w:ascii="宋体" w:hAnsi="宋体" w:eastAsia="宋体" w:cs="宋体"/>
                <w:b/>
                <w:bCs/>
                <w:color w:val="auto"/>
                <w:kern w:val="2"/>
                <w:sz w:val="24"/>
                <w:szCs w:val="24"/>
                <w:lang w:val="en-US" w:eastAsia="zh-CN" w:bidi="ar-SA"/>
              </w:rPr>
            </w:pPr>
          </w:p>
        </w:tc>
        <w:tc>
          <w:tcPr>
            <w:tcW w:w="3112" w:type="dxa"/>
            <w:shd w:val="clear" w:color="auto" w:fill="auto"/>
            <w:noWrap w:val="0"/>
            <w:vAlign w:val="center"/>
          </w:tcPr>
          <w:p w14:paraId="5BA1E25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经营场所</w:t>
            </w:r>
            <w:r>
              <w:rPr>
                <w:rFonts w:hint="eastAsia" w:ascii="宋体" w:hAnsi="宋体" w:eastAsia="宋体" w:cs="宋体"/>
                <w:color w:val="auto"/>
                <w:sz w:val="24"/>
                <w:szCs w:val="24"/>
                <w:highlight w:val="none"/>
                <w:lang w:val="en-US" w:eastAsia="zh-CN"/>
              </w:rPr>
              <w:t>相关照片</w:t>
            </w:r>
            <w:r>
              <w:rPr>
                <w:rFonts w:hint="eastAsia" w:ascii="宋体" w:hAnsi="宋体" w:eastAsia="宋体" w:cs="宋体"/>
                <w:color w:val="auto"/>
                <w:sz w:val="24"/>
                <w:szCs w:val="24"/>
                <w:highlight w:val="none"/>
              </w:rPr>
              <w:t>加盖投标单位鲜章，未提供者</w:t>
            </w:r>
            <w:r>
              <w:rPr>
                <w:rFonts w:hint="eastAsia" w:ascii="宋体" w:hAnsi="宋体" w:eastAsia="宋体" w:cs="宋体"/>
                <w:color w:val="auto"/>
                <w:sz w:val="24"/>
                <w:szCs w:val="24"/>
                <w:highlight w:val="none"/>
                <w:lang w:val="en-US" w:eastAsia="zh-CN"/>
              </w:rPr>
              <w:t>或者不符合要求的</w:t>
            </w:r>
            <w:r>
              <w:rPr>
                <w:rFonts w:hint="eastAsia" w:ascii="宋体" w:hAnsi="宋体" w:eastAsia="宋体" w:cs="宋体"/>
                <w:color w:val="auto"/>
                <w:sz w:val="24"/>
                <w:szCs w:val="24"/>
                <w:highlight w:val="none"/>
              </w:rPr>
              <w:t>不得分</w:t>
            </w:r>
          </w:p>
        </w:tc>
      </w:tr>
      <w:tr w14:paraId="466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noWrap w:val="0"/>
            <w:vAlign w:val="center"/>
          </w:tcPr>
          <w:p w14:paraId="02DB01E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471B159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A5AB00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643" w:type="dxa"/>
            <w:tcBorders>
              <w:bottom w:val="single" w:color="auto" w:sz="4" w:space="0"/>
            </w:tcBorders>
            <w:noWrap w:val="0"/>
            <w:vAlign w:val="center"/>
          </w:tcPr>
          <w:p w14:paraId="33190FC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仓储能力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lang w:eastAsia="zh-CN"/>
              </w:rPr>
              <w:t>）</w:t>
            </w:r>
          </w:p>
          <w:p w14:paraId="30F67E1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配置有冻库</w:t>
            </w:r>
            <w:r>
              <w:rPr>
                <w:rFonts w:hint="eastAsia" w:ascii="宋体" w:hAnsi="宋体" w:eastAsia="宋体" w:cs="宋体"/>
                <w:color w:val="auto"/>
                <w:sz w:val="24"/>
                <w:szCs w:val="24"/>
                <w:highlight w:val="none"/>
                <w:lang w:val="en-US" w:eastAsia="zh-CN"/>
              </w:rPr>
              <w:t>（含自有或租赁）的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FCCBAE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提供冻库配置证明材料，否则不得分。</w:t>
            </w:r>
          </w:p>
        </w:tc>
        <w:tc>
          <w:tcPr>
            <w:tcW w:w="3112" w:type="dxa"/>
            <w:tcBorders>
              <w:bottom w:val="single" w:color="auto" w:sz="4" w:space="0"/>
            </w:tcBorders>
            <w:noWrap w:val="0"/>
            <w:vAlign w:val="center"/>
          </w:tcPr>
          <w:p w14:paraId="7689460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冻库如为自有的，提供产权证复印件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冻库安装合同（冻库设备购买合同）复印件</w:t>
            </w:r>
            <w:r>
              <w:rPr>
                <w:rFonts w:hint="eastAsia" w:ascii="宋体" w:hAnsi="宋体" w:eastAsia="宋体" w:cs="宋体"/>
                <w:color w:val="auto"/>
                <w:sz w:val="24"/>
                <w:szCs w:val="24"/>
                <w:highlight w:val="none"/>
              </w:rPr>
              <w:t>及现场照片加盖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公章；冻库如为租赁的，提供租赁合同复印件</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若冻库不是直接租赁的，还需提供冻库安装合同（冻库设备购买合同）复印件</w:t>
            </w:r>
          </w:p>
        </w:tc>
      </w:tr>
      <w:tr w14:paraId="424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noWrap w:val="0"/>
            <w:vAlign w:val="center"/>
          </w:tcPr>
          <w:p w14:paraId="1B8907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30CF1DD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14A6E1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74FF102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4、安全承诺（4分）</w:t>
            </w:r>
          </w:p>
          <w:p w14:paraId="467FDC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供应商拟派专人为采购人进行配送服务，提供配送人员名单，并承诺在配送服务过程中，若因自身原因造成采购人的损失，自行承担相应责任和赔偿，资料齐备合格得4分，未提供或提供不齐不得分。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69641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需提供配送服务团队的成员名单、健康证复印件及承诺函（格式自拟）并加盖投标人公章</w:t>
            </w:r>
          </w:p>
        </w:tc>
      </w:tr>
      <w:tr w14:paraId="305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tcBorders>
              <w:bottom w:val="single" w:color="auto" w:sz="4" w:space="0"/>
            </w:tcBorders>
            <w:noWrap w:val="0"/>
            <w:vAlign w:val="center"/>
          </w:tcPr>
          <w:p w14:paraId="42BC7E0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bookmarkStart w:id="159" w:name="_Toc27384"/>
          </w:p>
        </w:tc>
        <w:tc>
          <w:tcPr>
            <w:tcW w:w="1399" w:type="dxa"/>
            <w:vMerge w:val="continue"/>
            <w:tcBorders>
              <w:bottom w:val="single" w:color="auto" w:sz="4" w:space="0"/>
            </w:tcBorders>
            <w:noWrap w:val="0"/>
            <w:vAlign w:val="center"/>
          </w:tcPr>
          <w:p w14:paraId="0782E9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tcBorders>
              <w:bottom w:val="single" w:color="auto" w:sz="4" w:space="0"/>
            </w:tcBorders>
            <w:noWrap w:val="0"/>
            <w:vAlign w:val="center"/>
          </w:tcPr>
          <w:p w14:paraId="395A979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right w:val="single" w:color="auto" w:sz="4" w:space="0"/>
            </w:tcBorders>
            <w:noWrap w:val="0"/>
            <w:vAlign w:val="center"/>
          </w:tcPr>
          <w:p w14:paraId="532B8F0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14:paraId="105AC2E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2022年1月1日至投标截止日，供应商为企事业单位或政府机关或学校等承担过：超市商品配送业绩（含已履行和正在履行）的，每提供1个业绩得2分，本项最多得4分。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2750C0B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lang w:val="en-US" w:eastAsia="zh-CN"/>
              </w:rPr>
              <w:t>提供配送合同复印件并加盖供应商公章。</w:t>
            </w:r>
          </w:p>
        </w:tc>
      </w:tr>
    </w:tbl>
    <w:p w14:paraId="6149133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说明：评标委员会认为供应商的报价明显低于其他通过符合性审查供应商的报价，有可能影响产品质量或者不能诚信履约的，应当提供书面说明及中标后履约承诺；供应商不能提供书面说明及中标后履约承诺的，评标委员会应当将其作为无效投标处理。</w:t>
      </w:r>
      <w:bookmarkEnd w:id="159"/>
    </w:p>
    <w:p w14:paraId="647E6FE6">
      <w:pPr>
        <w:pStyle w:val="3"/>
        <w:spacing w:line="360" w:lineRule="auto"/>
        <w:outlineLvl w:val="0"/>
        <w:rPr>
          <w:rFonts w:hint="eastAsia" w:ascii="宋体" w:hAnsi="宋体" w:eastAsia="宋体" w:cs="宋体"/>
          <w:b/>
          <w:color w:val="auto"/>
          <w:sz w:val="24"/>
          <w:szCs w:val="24"/>
          <w:highlight w:val="none"/>
        </w:rPr>
      </w:pPr>
      <w:bookmarkStart w:id="160" w:name="_Toc6913"/>
      <w:bookmarkStart w:id="161" w:name="_Toc10583"/>
      <w:bookmarkStart w:id="162" w:name="_Toc25152"/>
      <w:bookmarkStart w:id="163" w:name="_Toc24476"/>
      <w:r>
        <w:rPr>
          <w:rFonts w:hint="eastAsia" w:ascii="宋体" w:hAnsi="宋体" w:eastAsia="宋体" w:cs="宋体"/>
          <w:b/>
          <w:color w:val="auto"/>
          <w:sz w:val="24"/>
          <w:szCs w:val="24"/>
          <w:highlight w:val="none"/>
        </w:rPr>
        <w:t>四、无效响应</w:t>
      </w:r>
      <w:bookmarkEnd w:id="158"/>
      <w:bookmarkEnd w:id="160"/>
      <w:bookmarkEnd w:id="161"/>
      <w:bookmarkEnd w:id="162"/>
      <w:bookmarkEnd w:id="163"/>
    </w:p>
    <w:p w14:paraId="4AE8E542">
      <w:pPr>
        <w:snapToGrid w:val="0"/>
        <w:spacing w:line="360" w:lineRule="auto"/>
        <w:ind w:firstLine="465"/>
        <w:rPr>
          <w:rFonts w:hint="eastAsia" w:ascii="宋体" w:hAnsi="宋体" w:eastAsia="宋体" w:cs="宋体"/>
          <w:color w:val="auto"/>
          <w:sz w:val="24"/>
          <w:szCs w:val="24"/>
          <w:highlight w:val="none"/>
        </w:rPr>
      </w:pPr>
      <w:bookmarkStart w:id="164" w:name="_Toc439685497"/>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发生以下条款情况之一者，视为无效响应，其投标文件将被拒绝：</w:t>
      </w:r>
    </w:p>
    <w:p w14:paraId="7C0B305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42BBFDD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的法定代表人或其授权代表未参加比选；</w:t>
      </w:r>
    </w:p>
    <w:p w14:paraId="7AE71A3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未按照比选文件的要求缴纳比选保证金；</w:t>
      </w:r>
    </w:p>
    <w:p w14:paraId="6624491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所提交的投标文件不按第七篇“投标文件编制要求”规定签字、盖章；</w:t>
      </w:r>
    </w:p>
    <w:p w14:paraId="742AB30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的报价超过采购预算的；</w:t>
      </w:r>
    </w:p>
    <w:p w14:paraId="6E328FB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，参加同一合同项下的政府采购活动的；</w:t>
      </w:r>
    </w:p>
    <w:p w14:paraId="065AED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5897F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（八）所提供的产品不符合必须强制执行的国家标准的；</w:t>
      </w:r>
    </w:p>
    <w:p w14:paraId="3173BC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的服务时间、服务质保期及比选有效期不满足比选文件要求的；</w:t>
      </w:r>
    </w:p>
    <w:p w14:paraId="1A7A2376">
      <w:pPr>
        <w:snapToGrid w:val="0"/>
        <w:spacing w:line="360" w:lineRule="auto"/>
        <w:ind w:firstLine="465"/>
        <w:rPr>
          <w:rFonts w:hint="eastAsia" w:ascii="宋体" w:hAnsi="宋体" w:eastAsia="宋体" w:cs="宋体"/>
          <w:color w:val="auto"/>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投标文件内容有与国家现行法律法规相违背的内容，或附有采购人无法接受的条件。</w:t>
      </w:r>
    </w:p>
    <w:p w14:paraId="29C0A00D">
      <w:pPr>
        <w:pStyle w:val="3"/>
        <w:spacing w:line="360" w:lineRule="auto"/>
        <w:ind w:firstLine="482" w:firstLineChars="200"/>
        <w:outlineLvl w:val="0"/>
        <w:rPr>
          <w:rFonts w:hint="eastAsia" w:ascii="宋体" w:hAnsi="宋体" w:eastAsia="宋体" w:cs="宋体"/>
          <w:b/>
          <w:color w:val="auto"/>
          <w:sz w:val="24"/>
          <w:szCs w:val="24"/>
          <w:highlight w:val="none"/>
        </w:rPr>
      </w:pPr>
      <w:bookmarkStart w:id="165" w:name="_Toc30953"/>
      <w:bookmarkStart w:id="166" w:name="_Toc29434"/>
      <w:bookmarkStart w:id="167" w:name="_Toc25603"/>
      <w:bookmarkStart w:id="168" w:name="_Toc3828"/>
      <w:r>
        <w:rPr>
          <w:rFonts w:hint="eastAsia" w:ascii="宋体" w:hAnsi="宋体" w:eastAsia="宋体" w:cs="宋体"/>
          <w:b/>
          <w:color w:val="auto"/>
          <w:sz w:val="24"/>
          <w:szCs w:val="24"/>
          <w:highlight w:val="none"/>
        </w:rPr>
        <w:t>五、采购终止</w:t>
      </w:r>
      <w:bookmarkEnd w:id="164"/>
      <w:bookmarkEnd w:id="165"/>
      <w:bookmarkEnd w:id="166"/>
      <w:bookmarkEnd w:id="167"/>
      <w:bookmarkEnd w:id="168"/>
    </w:p>
    <w:p w14:paraId="40945AE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出现下列情形之一的，采购人或者采购代理机构应当终止比选采购活动，发布项目终止公告并说明原因，重新开展采购活动：</w:t>
      </w:r>
    </w:p>
    <w:p w14:paraId="449A0B9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（一）因情况变化，不再符合规定的比选采购方式适用情形的；</w:t>
      </w:r>
    </w:p>
    <w:p w14:paraId="1C23AE9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CDBCE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A486ED">
      <w:pPr>
        <w:pStyle w:val="2"/>
        <w:spacing w:before="0" w:beforeLines="0" w:after="0" w:afterLines="0" w:line="360" w:lineRule="auto"/>
        <w:jc w:val="center"/>
        <w:rPr>
          <w:rFonts w:hint="eastAsia" w:ascii="宋体" w:hAnsi="宋体" w:eastAsia="宋体" w:cs="宋体"/>
          <w:b/>
          <w:bCs/>
          <w:color w:val="auto"/>
          <w:highlight w:val="none"/>
        </w:rPr>
      </w:pPr>
      <w:bookmarkStart w:id="169" w:name="_Toc31203"/>
      <w:bookmarkStart w:id="170" w:name="_Toc2580"/>
      <w:bookmarkStart w:id="171" w:name="_Toc2919"/>
      <w:bookmarkStart w:id="172" w:name="_Toc3009"/>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69"/>
      <w:bookmarkEnd w:id="170"/>
      <w:bookmarkEnd w:id="171"/>
      <w:bookmarkEnd w:id="172"/>
    </w:p>
    <w:p w14:paraId="3CBDD18B">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3" w:name="_Toc342913389"/>
      <w:bookmarkStart w:id="174" w:name="_Toc10127"/>
      <w:bookmarkStart w:id="175" w:name="_Toc25363"/>
      <w:bookmarkStart w:id="176" w:name="_Toc19471"/>
      <w:bookmarkStart w:id="177" w:name="_Toc26107"/>
      <w:bookmarkStart w:id="178" w:name="_Toc439685499"/>
      <w:r>
        <w:rPr>
          <w:rFonts w:hint="eastAsia" w:ascii="宋体" w:hAnsi="宋体" w:eastAsia="宋体" w:cs="宋体"/>
          <w:b/>
          <w:color w:val="auto"/>
          <w:sz w:val="24"/>
          <w:szCs w:val="24"/>
          <w:highlight w:val="none"/>
        </w:rPr>
        <w:t>一、比选费用</w:t>
      </w:r>
      <w:bookmarkEnd w:id="173"/>
      <w:bookmarkEnd w:id="174"/>
      <w:bookmarkEnd w:id="175"/>
      <w:bookmarkEnd w:id="176"/>
      <w:bookmarkEnd w:id="177"/>
      <w:bookmarkEnd w:id="178"/>
    </w:p>
    <w:p w14:paraId="25371D98">
      <w:pPr>
        <w:pStyle w:val="43"/>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参与比选的</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应承担其编制投标文件与递交投标文件所涉及的一切费用，不论比选结果如何，采购人在任何情况下无义务也无责任承担这些费用。</w:t>
      </w:r>
    </w:p>
    <w:p w14:paraId="5D487AE8">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9" w:name="_Toc342913391"/>
      <w:bookmarkStart w:id="180" w:name="_Toc439685500"/>
      <w:bookmarkStart w:id="181" w:name="_Toc7174"/>
      <w:bookmarkStart w:id="182" w:name="_Toc26807"/>
      <w:bookmarkStart w:id="183" w:name="_Toc20015"/>
      <w:bookmarkStart w:id="184" w:name="_Toc1794"/>
      <w:r>
        <w:rPr>
          <w:rFonts w:hint="eastAsia" w:ascii="宋体" w:hAnsi="宋体" w:eastAsia="宋体" w:cs="宋体"/>
          <w:b/>
          <w:color w:val="auto"/>
          <w:sz w:val="24"/>
          <w:szCs w:val="24"/>
          <w:highlight w:val="none"/>
        </w:rPr>
        <w:t>二、</w:t>
      </w:r>
      <w:bookmarkEnd w:id="179"/>
      <w:bookmarkEnd w:id="180"/>
      <w:r>
        <w:rPr>
          <w:rFonts w:hint="eastAsia" w:ascii="宋体" w:hAnsi="宋体" w:eastAsia="宋体" w:cs="宋体"/>
          <w:b/>
          <w:color w:val="auto"/>
          <w:sz w:val="24"/>
          <w:szCs w:val="24"/>
          <w:highlight w:val="none"/>
        </w:rPr>
        <w:t>比选文件</w:t>
      </w:r>
      <w:bookmarkEnd w:id="181"/>
      <w:bookmarkEnd w:id="182"/>
      <w:bookmarkEnd w:id="183"/>
      <w:bookmarkEnd w:id="184"/>
    </w:p>
    <w:p w14:paraId="60CFDADC">
      <w:pPr>
        <w:snapToGrid w:val="0"/>
        <w:spacing w:line="360" w:lineRule="auto"/>
        <w:ind w:firstLine="480" w:firstLineChars="200"/>
        <w:rPr>
          <w:rFonts w:hint="eastAsia" w:ascii="宋体" w:hAnsi="宋体" w:eastAsia="宋体" w:cs="宋体"/>
          <w:color w:val="auto"/>
          <w:sz w:val="24"/>
          <w:szCs w:val="24"/>
          <w:highlight w:val="none"/>
        </w:rPr>
      </w:pPr>
      <w:bookmarkStart w:id="185" w:name="_Toc102227318"/>
      <w:bookmarkStart w:id="186" w:name="_Toc342913392"/>
      <w:bookmarkStart w:id="187" w:name="_Toc179714297"/>
      <w:bookmarkStart w:id="188" w:name="_Toc439685501"/>
      <w:r>
        <w:rPr>
          <w:rFonts w:hint="eastAsia" w:ascii="宋体" w:hAnsi="宋体" w:eastAsia="宋体" w:cs="宋体"/>
          <w:color w:val="auto"/>
          <w:sz w:val="24"/>
          <w:szCs w:val="24"/>
          <w:highlight w:val="none"/>
        </w:rPr>
        <w:t>（一）比选文件由采购邀请书、项目服务需求、项目商务需求、比选程序及方法、评审标准、无效响应和采购终止、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须知、合同草案条款、投标文件编制要求七部分组成。</w:t>
      </w:r>
    </w:p>
    <w:p w14:paraId="0A4C8C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（二）采购人或采购代理机构所作的一切有效的书面通知、修改及补充，都是比选文件不可分割的部分。</w:t>
      </w:r>
    </w:p>
    <w:p w14:paraId="0C045F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（三）比选文件的解释</w:t>
      </w:r>
    </w:p>
    <w:p w14:paraId="47F6BB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如对比选文件有疑问，必须以书面形式在提交投标文件截止时间3个工作日前向采购人或采购代理机构要求澄清，采购人或采购代理机构可视具体情况做出处理或答复。如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未提出疑问，视为完全理解并同意本比选文件。一经进入比选程序，即视为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已详细阅读全部文件资料，完全理解比选文件所有条款内容并同意放弃对这方面有不明白及误解的权利。</w:t>
      </w:r>
      <w:bookmarkStart w:id="189" w:name="_Toc318159160"/>
      <w:bookmarkStart w:id="190" w:name="_Toc318159780"/>
      <w:bookmarkStart w:id="191" w:name="_Toc318166429"/>
      <w:bookmarkStart w:id="192" w:name="_Toc318159349"/>
    </w:p>
    <w:p w14:paraId="067C15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（四）本比选文件中，比选小组根据与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进行比选可能实质性变动的内容为比选文件第二、三、六篇全部内容。</w:t>
      </w:r>
    </w:p>
    <w:p w14:paraId="0BE7882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（五）评审的依据为比选文件和投标文件（含有效的书面承诺）。比选小组判断投标文件对比选文件的响应，仅基于投标文件本身而不靠外部证据。</w:t>
      </w:r>
    </w:p>
    <w:bookmarkEnd w:id="189"/>
    <w:bookmarkEnd w:id="190"/>
    <w:bookmarkEnd w:id="191"/>
    <w:bookmarkEnd w:id="192"/>
    <w:p w14:paraId="00ED5D19">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3" w:name="_Toc13560"/>
      <w:bookmarkStart w:id="194" w:name="_Toc29891"/>
      <w:bookmarkStart w:id="195" w:name="_Toc25472"/>
      <w:bookmarkStart w:id="196" w:name="_Toc24628"/>
      <w:r>
        <w:rPr>
          <w:rFonts w:hint="eastAsia" w:ascii="宋体" w:hAnsi="宋体" w:eastAsia="宋体" w:cs="宋体"/>
          <w:b/>
          <w:color w:val="auto"/>
          <w:sz w:val="24"/>
          <w:szCs w:val="24"/>
          <w:highlight w:val="none"/>
        </w:rPr>
        <w:t>三、比选要求</w:t>
      </w:r>
      <w:bookmarkEnd w:id="185"/>
      <w:bookmarkEnd w:id="186"/>
      <w:bookmarkEnd w:id="187"/>
      <w:bookmarkEnd w:id="188"/>
      <w:bookmarkEnd w:id="193"/>
      <w:bookmarkEnd w:id="194"/>
      <w:bookmarkEnd w:id="195"/>
      <w:bookmarkEnd w:id="196"/>
    </w:p>
    <w:p w14:paraId="3312DB78">
      <w:pPr>
        <w:spacing w:line="360" w:lineRule="auto"/>
        <w:ind w:firstLine="480" w:firstLineChars="200"/>
        <w:rPr>
          <w:rFonts w:hint="eastAsia" w:ascii="宋体" w:hAnsi="宋体" w:eastAsia="宋体" w:cs="宋体"/>
          <w:color w:val="auto"/>
          <w:sz w:val="24"/>
          <w:szCs w:val="24"/>
          <w:highlight w:val="none"/>
        </w:rPr>
      </w:pPr>
      <w:bookmarkStart w:id="197" w:name="_Toc439685502"/>
      <w:r>
        <w:rPr>
          <w:rFonts w:hint="eastAsia" w:ascii="宋体" w:hAnsi="宋体" w:eastAsia="宋体" w:cs="宋体"/>
          <w:color w:val="auto"/>
          <w:sz w:val="24"/>
          <w:szCs w:val="24"/>
          <w:highlight w:val="none"/>
        </w:rPr>
        <w:t>（一）投标文件</w:t>
      </w:r>
    </w:p>
    <w:p w14:paraId="31D879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应当按照比选文件的要求编制投标文件，并对比选文件提出的要求和条件作出实质性响应，投标文件原则上采用软面订本，同时应编制完整的页码、目录。</w:t>
      </w:r>
    </w:p>
    <w:p w14:paraId="13130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2.投标文件组成</w:t>
      </w:r>
    </w:p>
    <w:p w14:paraId="234A4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投标文件由第七篇“投标文件编制要求”规定的部分和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应按照第七篇“投标文件编制要求”规定的目录顺序组织编写和装订，也可在基本格式基础上对表格进行扩展，未规定格式的由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自定格式。</w:t>
      </w:r>
    </w:p>
    <w:p w14:paraId="17E3B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005B5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本项目不接受联合体比选。</w:t>
      </w:r>
    </w:p>
    <w:p w14:paraId="33954B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（三）比选有效期：投标文件及有关承诺文件有效期为提交投标文件截止时间起90天。</w:t>
      </w:r>
    </w:p>
    <w:p w14:paraId="467E13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（四）比选保证金：</w:t>
      </w:r>
    </w:p>
    <w:p w14:paraId="62C47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提交保证金金额和方式详见本文件第一篇“五、比选保证金”；</w:t>
      </w:r>
    </w:p>
    <w:p w14:paraId="03D579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2.发生以下情况之一者，比选保证金不予退还：</w:t>
      </w:r>
    </w:p>
    <w:p w14:paraId="5A3028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w:t>
      </w:r>
    </w:p>
    <w:p w14:paraId="3159EA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在投标文件中提供虚假材料的；</w:t>
      </w:r>
    </w:p>
    <w:p w14:paraId="6D65A9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除因不可抗力或比选文件认可的情形以外，</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不与采购人签订合同的；</w:t>
      </w:r>
    </w:p>
    <w:p w14:paraId="0C638D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61554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不按规定的时间或拒绝按</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状态签订合同（即不按照竞争性比选文件确定的合同文本以及采购标的、规格型号、采购金额、采购数量、服务和</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要求等事项签订采购合同的。）。</w:t>
      </w:r>
    </w:p>
    <w:p w14:paraId="2BACE6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49EB8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所递交的投标文件中的价格出现大写金额和小写金额不一致的错误，以大写金额修正为准。</w:t>
      </w:r>
    </w:p>
    <w:p w14:paraId="5CEB7B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2.比选小组按上述修正错误的原则及方法修正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同意并签字确认后，修正后的报价对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不接受修正后的价格，将失去成为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的资格。</w:t>
      </w:r>
    </w:p>
    <w:p w14:paraId="6A7CC7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（五）提交投标文件的份数和签署</w:t>
      </w:r>
    </w:p>
    <w:p w14:paraId="2B62D0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p w14:paraId="1F5626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2.在投标文件中，正本必须按第七篇投标文件编制要求签字、盖章，副本可为正本的复印件，应与正本一致，如出现不一致情况以正本为准。</w:t>
      </w:r>
    </w:p>
    <w:p w14:paraId="30C56B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（六）投标文件的递交</w:t>
      </w:r>
    </w:p>
    <w:p w14:paraId="4E415D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1.投标文件的密封与标记</w:t>
      </w:r>
    </w:p>
    <w:p w14:paraId="40906D6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投标文件的正本一份装入一个密封袋，副本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份装入一个密封袋。密封袋上注明项目编号、项目名称、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名称、“正本”、“副本”字样。密封袋的封口应加盖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公章或法人授权代表签字并有字样：</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分（北京时间）前不得开启的密封条。</w:t>
      </w:r>
    </w:p>
    <w:p w14:paraId="7CF4EA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2.投标文件递交截止时间：参阅采购邀请书。</w:t>
      </w:r>
    </w:p>
    <w:p w14:paraId="3B720E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3.投标文件语言：简体中文</w:t>
      </w:r>
    </w:p>
    <w:p w14:paraId="41376B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参与人员</w:t>
      </w:r>
    </w:p>
    <w:p w14:paraId="3CE06E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可派1-2名代表参与比选，至少1人应为法定代表人或具有法定代表人授权委托书的授权代表。</w:t>
      </w:r>
    </w:p>
    <w:p w14:paraId="56A5F692">
      <w:pPr>
        <w:pStyle w:val="11"/>
        <w:spacing w:line="360" w:lineRule="auto"/>
        <w:rPr>
          <w:rFonts w:hint="eastAsia" w:ascii="宋体" w:hAnsi="宋体" w:eastAsia="宋体" w:cs="宋体"/>
          <w:color w:val="auto"/>
        </w:rPr>
      </w:pPr>
    </w:p>
    <w:p w14:paraId="1EBEA77C">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8" w:name="_Toc30903"/>
      <w:bookmarkStart w:id="199" w:name="_Toc13521"/>
      <w:bookmarkStart w:id="200" w:name="_Toc21851"/>
      <w:bookmarkStart w:id="201" w:name="_Toc6960"/>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的确认和变更</w:t>
      </w:r>
      <w:bookmarkEnd w:id="197"/>
      <w:bookmarkEnd w:id="198"/>
      <w:bookmarkEnd w:id="199"/>
      <w:bookmarkEnd w:id="200"/>
      <w:bookmarkEnd w:id="201"/>
    </w:p>
    <w:p w14:paraId="2B84449E">
      <w:pPr>
        <w:snapToGrid w:val="0"/>
        <w:spacing w:line="360" w:lineRule="auto"/>
        <w:ind w:firstLine="480" w:firstLineChars="200"/>
        <w:rPr>
          <w:rFonts w:hint="eastAsia" w:ascii="宋体" w:hAnsi="宋体" w:eastAsia="宋体" w:cs="宋体"/>
          <w:color w:val="auto"/>
          <w:sz w:val="24"/>
          <w:szCs w:val="24"/>
          <w:highlight w:val="none"/>
        </w:rPr>
      </w:pPr>
      <w:bookmarkStart w:id="202" w:name="_Toc439685503"/>
      <w:bookmarkStart w:id="203" w:name="_Toc102227321"/>
      <w:bookmarkStart w:id="204" w:name="_Toc34291339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的确认</w:t>
      </w:r>
    </w:p>
    <w:p w14:paraId="4F72F1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中，按照排序由高到低的原则确定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，也可以书面授权比选小组直接确定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。采购人逾期未确定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2A727D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的变更</w:t>
      </w:r>
    </w:p>
    <w:p w14:paraId="76F1CD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拒绝签订政府采购合同的，采购人可以按照评审报告推荐的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顺序，确定排名下一位的候选人为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，也可以重新开展政府采购活动。拒绝签订政府采购合同的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不得参加对该项目重新开展的采购活动。</w:t>
      </w:r>
    </w:p>
    <w:p w14:paraId="03DDB8B6">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无充分理由放弃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的，采购人将会同采购代理机构把相关情况报财政部门，财政部门将根据相关法律法规的规定对违规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进行处罚。</w:t>
      </w:r>
    </w:p>
    <w:p w14:paraId="76212F4B">
      <w:pPr>
        <w:pStyle w:val="3"/>
        <w:spacing w:line="360" w:lineRule="auto"/>
        <w:ind w:firstLine="482" w:firstLineChars="200"/>
        <w:outlineLvl w:val="0"/>
        <w:rPr>
          <w:rFonts w:hint="eastAsia" w:ascii="宋体" w:hAnsi="宋体" w:eastAsia="宋体" w:cs="宋体"/>
          <w:b/>
          <w:color w:val="auto"/>
          <w:sz w:val="24"/>
          <w:szCs w:val="24"/>
          <w:highlight w:val="none"/>
        </w:rPr>
      </w:pPr>
      <w:bookmarkStart w:id="205" w:name="_Toc18022"/>
      <w:bookmarkStart w:id="206" w:name="_Toc8404"/>
      <w:bookmarkStart w:id="207" w:name="_Toc20210"/>
      <w:bookmarkStart w:id="208" w:name="_Toc3454"/>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en-US" w:eastAsia="zh-CN"/>
        </w:rPr>
        <w:t>中标（</w:t>
      </w:r>
      <w:r>
        <w:rPr>
          <w:rFonts w:hint="eastAsia" w:ascii="宋体" w:hAnsi="宋体" w:eastAsia="宋体" w:cs="宋体"/>
          <w:b/>
          <w:color w:val="auto"/>
          <w:sz w:val="24"/>
          <w:szCs w:val="24"/>
          <w:highlight w:val="none"/>
        </w:rPr>
        <w:t>成交</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通知</w:t>
      </w:r>
      <w:bookmarkEnd w:id="202"/>
      <w:bookmarkEnd w:id="203"/>
      <w:bookmarkEnd w:id="204"/>
      <w:bookmarkEnd w:id="205"/>
      <w:bookmarkEnd w:id="206"/>
      <w:bookmarkEnd w:id="207"/>
      <w:bookmarkEnd w:id="208"/>
    </w:p>
    <w:p w14:paraId="42FAD212">
      <w:pPr>
        <w:spacing w:line="360" w:lineRule="auto"/>
        <w:ind w:firstLine="480" w:firstLineChars="200"/>
        <w:rPr>
          <w:rFonts w:hint="eastAsia" w:ascii="宋体" w:hAnsi="宋体" w:eastAsia="宋体" w:cs="宋体"/>
          <w:color w:val="auto"/>
          <w:sz w:val="24"/>
          <w:szCs w:val="24"/>
          <w:highlight w:val="none"/>
        </w:rPr>
      </w:pPr>
      <w:bookmarkStart w:id="209" w:name="_Toc43968550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确定后，采购代理机构将在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结果公告。</w:t>
      </w:r>
    </w:p>
    <w:p w14:paraId="757B1A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通知书》一经发出即发生法律效力。</w:t>
      </w:r>
    </w:p>
    <w:p w14:paraId="5E484B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通知书》将作为签订合同的依据。</w:t>
      </w:r>
    </w:p>
    <w:p w14:paraId="63513C1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（四）如有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结果提出质疑的，在质疑处理完毕后发出</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w:t>
      </w:r>
    </w:p>
    <w:p w14:paraId="72A01E5C">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0" w:name="_Toc11671"/>
      <w:bookmarkStart w:id="211" w:name="_Toc23623"/>
      <w:bookmarkStart w:id="212" w:name="_Toc7226"/>
      <w:bookmarkStart w:id="213" w:name="_Toc6986"/>
      <w:r>
        <w:rPr>
          <w:rFonts w:hint="eastAsia" w:ascii="宋体" w:hAnsi="宋体" w:eastAsia="宋体" w:cs="宋体"/>
          <w:b/>
          <w:color w:val="auto"/>
          <w:sz w:val="24"/>
          <w:szCs w:val="24"/>
          <w:highlight w:val="none"/>
        </w:rPr>
        <w:t>六、关于质疑和投诉</w:t>
      </w:r>
      <w:bookmarkEnd w:id="209"/>
      <w:bookmarkEnd w:id="210"/>
      <w:bookmarkEnd w:id="211"/>
      <w:bookmarkEnd w:id="212"/>
      <w:bookmarkEnd w:id="213"/>
    </w:p>
    <w:p w14:paraId="10E298EF">
      <w:pPr>
        <w:spacing w:line="360" w:lineRule="auto"/>
        <w:ind w:firstLine="480" w:firstLineChars="200"/>
        <w:rPr>
          <w:rFonts w:hint="eastAsia" w:ascii="宋体" w:hAnsi="宋体" w:eastAsia="宋体" w:cs="宋体"/>
          <w:color w:val="auto"/>
          <w:sz w:val="24"/>
          <w:szCs w:val="24"/>
          <w:highlight w:val="none"/>
        </w:rPr>
      </w:pPr>
      <w:bookmarkStart w:id="214" w:name="_Toc102227322"/>
      <w:bookmarkStart w:id="215" w:name="_Toc342913396"/>
      <w:bookmarkStart w:id="216" w:name="_Toc439685507"/>
      <w:r>
        <w:rPr>
          <w:rFonts w:hint="eastAsia" w:ascii="宋体" w:hAnsi="宋体" w:eastAsia="宋体" w:cs="宋体"/>
          <w:color w:val="auto"/>
          <w:sz w:val="24"/>
          <w:szCs w:val="24"/>
          <w:highlight w:val="none"/>
        </w:rPr>
        <w:t>（一）质疑</w:t>
      </w:r>
    </w:p>
    <w:p w14:paraId="216FBC3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认为竞争性比选文件、采购过程和</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结果使自己的权益收到伤害的，可向采购人或采购代理机构以书面形式提出质疑。</w:t>
      </w:r>
    </w:p>
    <w:p w14:paraId="6303AA2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F4472F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1.质疑内容、时限</w:t>
      </w:r>
    </w:p>
    <w:p w14:paraId="202EBC7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结果使自己的权益受到损害的，可以在知道或者应知其权益受到损害之日起7个工作日内，以书面形式向采购人、采购代理机构提出质疑。</w:t>
      </w:r>
    </w:p>
    <w:p w14:paraId="36533BE4">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59E9D7C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06C7D2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（2）质疑项目的名称、项目号以及招标项目编号；</w:t>
      </w:r>
    </w:p>
    <w:p w14:paraId="7F11DA6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C1CD2B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705A675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2E5EAE2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084EB4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（7）营业执照（或事业单位法人证书，或个体工商户营业执照或有效的自然人身份证明、组织机构代码证）复印件；</w:t>
      </w:r>
    </w:p>
    <w:p w14:paraId="18E24E7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（8）法定代表人授权委托书原件、法定代表人身份证复印件和其授权代表的身份证复印件（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12C97B0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5009D71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1F7C176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D859F0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03FAA0A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应按照《政府采购质疑和投诉办法》（财政部令第94号）及相关法律法规要求，在法定质疑期内一次性提出针对同一采购程序环节的质疑。</w:t>
      </w:r>
    </w:p>
    <w:p w14:paraId="2A55C8A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质疑函范本可在财政部门户网站和中国政府采购网下载。</w:t>
      </w:r>
    </w:p>
    <w:p w14:paraId="44BE44AB">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6DEC8F6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2179E7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19E03D6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424D7E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2A5525A">
      <w:pPr>
        <w:pStyle w:val="11"/>
        <w:spacing w:line="360" w:lineRule="auto"/>
        <w:rPr>
          <w:rFonts w:hint="eastAsia" w:ascii="宋体" w:hAnsi="宋体" w:eastAsia="宋体" w:cs="宋体"/>
          <w:color w:val="auto"/>
        </w:rPr>
      </w:pPr>
    </w:p>
    <w:p w14:paraId="55F0D764">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7" w:name="_Toc30375"/>
      <w:bookmarkStart w:id="218" w:name="_Toc21753"/>
      <w:bookmarkStart w:id="219" w:name="_Toc2235"/>
      <w:bookmarkStart w:id="220" w:name="_Toc26988"/>
      <w:r>
        <w:rPr>
          <w:rFonts w:hint="eastAsia" w:ascii="宋体" w:hAnsi="宋体" w:eastAsia="宋体" w:cs="宋体"/>
          <w:b/>
          <w:color w:val="auto"/>
          <w:sz w:val="24"/>
          <w:szCs w:val="24"/>
          <w:highlight w:val="none"/>
        </w:rPr>
        <w:t>七、采购代理服务费</w:t>
      </w:r>
      <w:bookmarkEnd w:id="217"/>
      <w:bookmarkEnd w:id="218"/>
      <w:bookmarkEnd w:id="219"/>
      <w:bookmarkEnd w:id="220"/>
    </w:p>
    <w:p w14:paraId="5EBEF9EB">
      <w:pPr>
        <w:spacing w:line="360" w:lineRule="auto"/>
        <w:ind w:firstLine="480" w:firstLineChars="200"/>
        <w:rPr>
          <w:rFonts w:hint="eastAsia" w:ascii="宋体" w:hAnsi="宋体" w:eastAsia="宋体" w:cs="宋体"/>
          <w:color w:val="auto"/>
          <w:sz w:val="24"/>
          <w:szCs w:val="24"/>
          <w:highlight w:val="none"/>
          <w:lang w:val="en-US" w:eastAsia="zh-CN"/>
        </w:rPr>
      </w:pPr>
      <w:bookmarkStart w:id="221" w:name="OLE_LINK8"/>
      <w:bookmarkStart w:id="222" w:name="OLE_LINK7"/>
      <w:r>
        <w:rPr>
          <w:rFonts w:hint="eastAsia" w:ascii="宋体" w:hAnsi="宋体" w:eastAsia="宋体" w:cs="宋体"/>
          <w:color w:val="auto"/>
          <w:sz w:val="24"/>
          <w:szCs w:val="24"/>
          <w:highlight w:val="none"/>
          <w:lang w:val="en-US" w:eastAsia="zh-CN"/>
        </w:rPr>
        <w:t>（一）供应商成交后向采购代理机构缴纳采购代理服务费，采购代理服务费的收取标准按照计价格[2002]1980号“货物招标”执行</w:t>
      </w:r>
      <w:bookmarkEnd w:id="221"/>
      <w:bookmarkEnd w:id="222"/>
      <w:r>
        <w:rPr>
          <w:rFonts w:hint="eastAsia" w:ascii="宋体" w:hAnsi="宋体" w:eastAsia="宋体" w:cs="宋体"/>
          <w:color w:val="auto"/>
          <w:sz w:val="24"/>
          <w:szCs w:val="24"/>
          <w:highlight w:val="none"/>
          <w:lang w:val="en-US" w:eastAsia="zh-CN"/>
        </w:rPr>
        <w:t>。</w:t>
      </w:r>
    </w:p>
    <w:p w14:paraId="3C3ADB49">
      <w:pPr>
        <w:spacing w:line="360" w:lineRule="auto"/>
        <w:ind w:firstLine="482" w:firstLineChars="200"/>
        <w:outlineLvl w:val="0"/>
        <w:rPr>
          <w:rFonts w:hint="eastAsia" w:ascii="宋体" w:hAnsi="宋体" w:eastAsia="宋体" w:cs="宋体"/>
          <w:b/>
          <w:color w:val="auto"/>
          <w:sz w:val="24"/>
          <w:szCs w:val="24"/>
          <w:highlight w:val="none"/>
        </w:rPr>
      </w:pPr>
      <w:bookmarkStart w:id="223" w:name="_Toc25672"/>
      <w:bookmarkStart w:id="224" w:name="_Toc2480"/>
      <w:r>
        <w:rPr>
          <w:rFonts w:hint="eastAsia" w:ascii="宋体" w:hAnsi="宋体" w:eastAsia="宋体" w:cs="宋体"/>
          <w:b/>
          <w:color w:val="auto"/>
          <w:sz w:val="24"/>
          <w:szCs w:val="24"/>
          <w:highlight w:val="none"/>
        </w:rPr>
        <w:t>八、签订</w:t>
      </w:r>
      <w:bookmarkEnd w:id="214"/>
      <w:r>
        <w:rPr>
          <w:rFonts w:hint="eastAsia" w:ascii="宋体" w:hAnsi="宋体" w:eastAsia="宋体" w:cs="宋体"/>
          <w:b/>
          <w:color w:val="auto"/>
          <w:sz w:val="24"/>
          <w:szCs w:val="24"/>
          <w:highlight w:val="none"/>
        </w:rPr>
        <w:t>合同</w:t>
      </w:r>
      <w:bookmarkEnd w:id="215"/>
      <w:bookmarkEnd w:id="216"/>
      <w:bookmarkEnd w:id="223"/>
      <w:bookmarkEnd w:id="224"/>
    </w:p>
    <w:p w14:paraId="2D70E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日内，按照竞争性比选文件确定的合同文本以及采购标的、规格型号、采购金额、采购数量、服务和服务要求等事项签订采购合同。</w:t>
      </w:r>
    </w:p>
    <w:p w14:paraId="5A88B5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的投标文件及有效承诺文件等，均为签订合同的依据。</w:t>
      </w:r>
    </w:p>
    <w:p w14:paraId="631D3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放弃成交项目或在签订合同时擅自改变成交状态的，采购人将按照相关法律法规处理。</w:t>
      </w:r>
    </w:p>
    <w:p w14:paraId="408D12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提出超出比选文件以外的任何要求作为签订合同的条件，不得与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订立背离比选确定的合同文本以及采购标的、规格型号、采购金额、采购数量、服务和服务要求等实质性内容的协议。</w:t>
      </w:r>
    </w:p>
    <w:p w14:paraId="45077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（五）除不可抗力等因素外，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通知书发出后，采购人改变</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拒绝签订政府采购合同的，应当承担相应的法律责任。</w:t>
      </w:r>
    </w:p>
    <w:p w14:paraId="3D713174">
      <w:pPr>
        <w:pStyle w:val="22"/>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2"/>
          <w:sz w:val="24"/>
          <w:szCs w:val="24"/>
          <w:highlight w:val="none"/>
          <w:lang w:val="en-US" w:eastAsia="zh-CN" w:bidi="ar-SA"/>
        </w:rPr>
        <w:t>（六）如在采购合同履行期间，采购人因有上级政策性有变动需要合同终止的，采购人不</w:t>
      </w:r>
      <w:r>
        <w:rPr>
          <w:rFonts w:hint="eastAsia" w:ascii="宋体" w:hAnsi="宋体" w:eastAsia="宋体" w:cs="宋体"/>
          <w:color w:val="auto"/>
          <w:sz w:val="24"/>
          <w:szCs w:val="24"/>
          <w:highlight w:val="none"/>
        </w:rPr>
        <w:t>承担相应的法律责任。</w:t>
      </w:r>
    </w:p>
    <w:p w14:paraId="1627197F">
      <w:pPr>
        <w:pStyle w:val="11"/>
        <w:spacing w:line="360" w:lineRule="auto"/>
        <w:rPr>
          <w:rFonts w:hint="eastAsia" w:ascii="宋体" w:hAnsi="宋体" w:eastAsia="宋体" w:cs="宋体"/>
          <w:color w:val="auto"/>
        </w:rPr>
      </w:pPr>
    </w:p>
    <w:p w14:paraId="55A4B8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37C5C88">
      <w:pPr>
        <w:spacing w:line="360" w:lineRule="auto"/>
        <w:ind w:firstLine="480" w:firstLineChars="200"/>
        <w:rPr>
          <w:rFonts w:hint="eastAsia" w:ascii="宋体" w:hAnsi="宋体" w:eastAsia="宋体" w:cs="宋体"/>
          <w:color w:val="auto"/>
          <w:sz w:val="24"/>
          <w:szCs w:val="24"/>
          <w:highlight w:val="none"/>
        </w:rPr>
      </w:pPr>
    </w:p>
    <w:p w14:paraId="1A7CED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lang w:val="en-US" w:eastAsia="zh-CN"/>
        </w:rPr>
      </w:pPr>
      <w:bookmarkStart w:id="225" w:name="_Toc6827"/>
      <w:bookmarkStart w:id="226" w:name="_Toc30013"/>
      <w:r>
        <w:rPr>
          <w:rFonts w:hint="eastAsia" w:ascii="宋体" w:hAnsi="宋体" w:eastAsia="宋体" w:cs="宋体"/>
          <w:b/>
          <w:bCs/>
          <w:color w:val="auto"/>
          <w:kern w:val="2"/>
          <w:sz w:val="44"/>
          <w:szCs w:val="22"/>
          <w:highlight w:val="none"/>
          <w:lang w:val="en-US" w:eastAsia="zh-CN" w:bidi="ar-SA"/>
        </w:rPr>
        <w:t>第六篇  采购合同</w:t>
      </w:r>
      <w:bookmarkEnd w:id="225"/>
      <w:bookmarkEnd w:id="226"/>
    </w:p>
    <w:p w14:paraId="4735BB3A">
      <w:pPr>
        <w:spacing w:line="360" w:lineRule="auto"/>
        <w:ind w:firstLine="720" w:firstLineChars="200"/>
        <w:rPr>
          <w:rFonts w:hint="eastAsia" w:ascii="宋体" w:hAnsi="宋体" w:eastAsia="宋体" w:cs="宋体"/>
          <w:color w:val="auto"/>
          <w:sz w:val="36"/>
          <w:szCs w:val="36"/>
          <w:highlight w:val="none"/>
          <w:lang w:val="en-US" w:eastAsia="zh-CN"/>
        </w:rPr>
      </w:pPr>
    </w:p>
    <w:p w14:paraId="4C3B09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32"/>
          <w:highlight w:val="none"/>
        </w:rPr>
        <w:t>（具体与</w:t>
      </w:r>
      <w:r>
        <w:rPr>
          <w:rFonts w:hint="eastAsia" w:ascii="宋体" w:hAnsi="宋体" w:eastAsia="宋体" w:cs="宋体"/>
          <w:color w:val="auto"/>
          <w:sz w:val="28"/>
          <w:szCs w:val="32"/>
          <w:highlight w:val="none"/>
          <w:lang w:val="en-US" w:eastAsia="zh-CN"/>
        </w:rPr>
        <w:t>采购人</w:t>
      </w:r>
      <w:r>
        <w:rPr>
          <w:rFonts w:hint="eastAsia" w:ascii="宋体" w:hAnsi="宋体" w:eastAsia="宋体" w:cs="宋体"/>
          <w:color w:val="auto"/>
          <w:sz w:val="28"/>
          <w:szCs w:val="32"/>
          <w:highlight w:val="none"/>
        </w:rPr>
        <w:t>签订的合同为准）</w:t>
      </w:r>
    </w:p>
    <w:p w14:paraId="45FD4A21">
      <w:pPr>
        <w:spacing w:line="360" w:lineRule="auto"/>
        <w:rPr>
          <w:rFonts w:hint="eastAsia" w:ascii="宋体" w:hAnsi="宋体" w:eastAsia="宋体" w:cs="宋体"/>
          <w:color w:val="auto"/>
          <w:sz w:val="24"/>
          <w:szCs w:val="24"/>
          <w:highlight w:val="none"/>
        </w:rPr>
      </w:pPr>
    </w:p>
    <w:p w14:paraId="150F08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57D3D69">
      <w:pPr>
        <w:pStyle w:val="2"/>
        <w:spacing w:before="0" w:beforeLines="0" w:after="0" w:afterLines="0" w:line="360" w:lineRule="auto"/>
        <w:rPr>
          <w:rFonts w:hint="eastAsia" w:ascii="宋体" w:hAnsi="宋体" w:eastAsia="宋体" w:cs="宋体"/>
          <w:b/>
          <w:bCs/>
          <w:color w:val="auto"/>
          <w:highlight w:val="none"/>
        </w:rPr>
      </w:pPr>
      <w:bookmarkStart w:id="227" w:name="_Toc19004"/>
      <w:bookmarkStart w:id="228" w:name="_Toc27842"/>
      <w:bookmarkStart w:id="229" w:name="_Toc9016"/>
      <w:bookmarkStart w:id="230" w:name="_Toc1139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bookmarkEnd w:id="227"/>
      <w:bookmarkEnd w:id="228"/>
      <w:bookmarkEnd w:id="229"/>
      <w:bookmarkEnd w:id="230"/>
    </w:p>
    <w:p w14:paraId="701A0148">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1" w:name="_Toc29223"/>
      <w:bookmarkStart w:id="232" w:name="_Toc1615"/>
      <w:r>
        <w:rPr>
          <w:rFonts w:hint="eastAsia" w:ascii="宋体" w:hAnsi="宋体" w:eastAsia="宋体" w:cs="宋体"/>
          <w:b/>
          <w:color w:val="auto"/>
          <w:sz w:val="24"/>
          <w:szCs w:val="24"/>
          <w:highlight w:val="none"/>
        </w:rPr>
        <w:t>一、经济部分</w:t>
      </w:r>
      <w:bookmarkEnd w:id="231"/>
      <w:bookmarkEnd w:id="232"/>
    </w:p>
    <w:p w14:paraId="54F0C697">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（一）比选报价函</w:t>
      </w:r>
    </w:p>
    <w:p w14:paraId="0B28D2F4">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3" w:name="_Toc6436"/>
      <w:bookmarkStart w:id="234" w:name="_Toc8481"/>
      <w:r>
        <w:rPr>
          <w:rFonts w:hint="eastAsia" w:ascii="宋体" w:hAnsi="宋体" w:eastAsia="宋体" w:cs="宋体"/>
          <w:b/>
          <w:color w:val="auto"/>
          <w:sz w:val="24"/>
          <w:szCs w:val="24"/>
          <w:highlight w:val="none"/>
        </w:rPr>
        <w:t>二、服务部分</w:t>
      </w:r>
      <w:bookmarkEnd w:id="233"/>
      <w:bookmarkEnd w:id="234"/>
    </w:p>
    <w:p w14:paraId="7C0C7E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1E602E6E">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（二）服务响应偏离表（本表可自行设计格式）</w:t>
      </w:r>
    </w:p>
    <w:p w14:paraId="79D0F179">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5" w:name="_Toc47"/>
      <w:bookmarkStart w:id="236" w:name="_Toc25284"/>
      <w:r>
        <w:rPr>
          <w:rFonts w:hint="eastAsia" w:ascii="宋体" w:hAnsi="宋体" w:eastAsia="宋体" w:cs="宋体"/>
          <w:b/>
          <w:color w:val="auto"/>
          <w:sz w:val="24"/>
          <w:szCs w:val="24"/>
          <w:highlight w:val="none"/>
        </w:rPr>
        <w:t>三、商务部分</w:t>
      </w:r>
      <w:bookmarkEnd w:id="235"/>
      <w:bookmarkEnd w:id="236"/>
    </w:p>
    <w:p w14:paraId="73D433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584D58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（二）商务响应偏离表（本表可自行设计格式）</w:t>
      </w:r>
    </w:p>
    <w:p w14:paraId="4A351EE5">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（三）商务评分需提供的资料</w:t>
      </w:r>
    </w:p>
    <w:p w14:paraId="62F69BB5">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7" w:name="_Toc7173"/>
      <w:bookmarkStart w:id="238" w:name="_Toc7223"/>
      <w:r>
        <w:rPr>
          <w:rFonts w:hint="eastAsia" w:ascii="宋体" w:hAnsi="宋体" w:eastAsia="宋体" w:cs="宋体"/>
          <w:b/>
          <w:color w:val="auto"/>
          <w:sz w:val="24"/>
          <w:szCs w:val="24"/>
          <w:highlight w:val="none"/>
        </w:rPr>
        <w:t>四、资格条件及其他</w:t>
      </w:r>
      <w:bookmarkEnd w:id="237"/>
      <w:bookmarkEnd w:id="238"/>
    </w:p>
    <w:p w14:paraId="32C0B83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4FADD1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14:paraId="5F4F86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14:paraId="0347952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6A706E1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）特定资格条件证明文件</w:t>
      </w:r>
    </w:p>
    <w:p w14:paraId="74397762">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9" w:name="_Toc26290"/>
      <w:bookmarkStart w:id="240" w:name="_Toc5849"/>
      <w:r>
        <w:rPr>
          <w:rFonts w:hint="eastAsia" w:ascii="宋体" w:hAnsi="宋体" w:eastAsia="宋体" w:cs="宋体"/>
          <w:b/>
          <w:color w:val="auto"/>
          <w:sz w:val="24"/>
          <w:szCs w:val="24"/>
          <w:highlight w:val="none"/>
        </w:rPr>
        <w:t>五、其他应提供的资料</w:t>
      </w:r>
      <w:bookmarkEnd w:id="239"/>
      <w:bookmarkEnd w:id="240"/>
    </w:p>
    <w:p w14:paraId="4EC8D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11E2033D">
      <w:pPr>
        <w:tabs>
          <w:tab w:val="left" w:pos="6300"/>
        </w:tabs>
        <w:snapToGrid w:val="0"/>
        <w:spacing w:line="360" w:lineRule="auto"/>
        <w:jc w:val="both"/>
        <w:outlineLvl w:val="9"/>
        <w:rPr>
          <w:rFonts w:hint="eastAsia" w:ascii="宋体" w:hAnsi="宋体" w:eastAsia="宋体" w:cs="宋体"/>
          <w:color w:val="auto"/>
          <w:sz w:val="32"/>
          <w:szCs w:val="32"/>
          <w:highlight w:val="none"/>
        </w:rPr>
      </w:pPr>
      <w:bookmarkStart w:id="241" w:name="_Toc429584884"/>
    </w:p>
    <w:p w14:paraId="216133E4">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0247A18">
      <w:pPr>
        <w:spacing w:line="360" w:lineRule="auto"/>
        <w:ind w:firstLine="360" w:firstLineChars="10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    项目名称：       </w:t>
      </w:r>
    </w:p>
    <w:p w14:paraId="22E6311E">
      <w:pPr>
        <w:pStyle w:val="11"/>
        <w:spacing w:line="360" w:lineRule="auto"/>
        <w:rPr>
          <w:rFonts w:hint="eastAsia" w:ascii="宋体" w:hAnsi="宋体" w:eastAsia="宋体" w:cs="宋体"/>
          <w:color w:val="auto"/>
          <w:sz w:val="36"/>
          <w:szCs w:val="36"/>
          <w:highlight w:val="none"/>
        </w:rPr>
      </w:pPr>
    </w:p>
    <w:p w14:paraId="2E294D85">
      <w:pPr>
        <w:spacing w:line="360" w:lineRule="auto"/>
        <w:rPr>
          <w:rFonts w:hint="eastAsia" w:ascii="宋体" w:hAnsi="宋体" w:eastAsia="宋体" w:cs="宋体"/>
          <w:color w:val="auto"/>
          <w:highlight w:val="none"/>
        </w:rPr>
      </w:pPr>
    </w:p>
    <w:p w14:paraId="58AB159E">
      <w:pPr>
        <w:spacing w:line="360" w:lineRule="auto"/>
        <w:jc w:val="center"/>
        <w:outlineLvl w:val="9"/>
        <w:rPr>
          <w:rFonts w:hint="eastAsia" w:ascii="宋体" w:hAnsi="宋体" w:eastAsia="宋体" w:cs="宋体"/>
          <w:color w:val="auto"/>
          <w:spacing w:val="80"/>
          <w:sz w:val="112"/>
          <w:szCs w:val="112"/>
          <w:highlight w:val="none"/>
        </w:rPr>
      </w:pPr>
    </w:p>
    <w:p w14:paraId="045C2878">
      <w:pPr>
        <w:spacing w:line="360" w:lineRule="auto"/>
        <w:jc w:val="center"/>
        <w:outlineLvl w:val="0"/>
        <w:rPr>
          <w:rFonts w:hint="eastAsia" w:ascii="宋体" w:hAnsi="宋体" w:eastAsia="宋体" w:cs="宋体"/>
          <w:b/>
          <w:bCs/>
          <w:color w:val="auto"/>
          <w:spacing w:val="80"/>
          <w:sz w:val="112"/>
          <w:szCs w:val="112"/>
          <w:highlight w:val="none"/>
        </w:rPr>
      </w:pPr>
      <w:bookmarkStart w:id="242" w:name="_Toc13363"/>
      <w:bookmarkStart w:id="243" w:name="_Toc4239"/>
      <w:r>
        <w:rPr>
          <w:rFonts w:hint="eastAsia" w:ascii="宋体" w:hAnsi="宋体" w:eastAsia="宋体" w:cs="宋体"/>
          <w:b/>
          <w:bCs/>
          <w:color w:val="auto"/>
          <w:spacing w:val="80"/>
          <w:sz w:val="112"/>
          <w:szCs w:val="112"/>
          <w:highlight w:val="none"/>
        </w:rPr>
        <w:t>投标文件</w:t>
      </w:r>
      <w:bookmarkEnd w:id="242"/>
      <w:bookmarkEnd w:id="243"/>
    </w:p>
    <w:p w14:paraId="4C940F07">
      <w:pPr>
        <w:spacing w:line="360" w:lineRule="auto"/>
        <w:rPr>
          <w:rFonts w:hint="eastAsia" w:ascii="宋体" w:hAnsi="宋体" w:eastAsia="宋体" w:cs="宋体"/>
          <w:color w:val="auto"/>
          <w:sz w:val="32"/>
          <w:highlight w:val="none"/>
        </w:rPr>
      </w:pPr>
    </w:p>
    <w:p w14:paraId="43367557">
      <w:pPr>
        <w:spacing w:line="360" w:lineRule="auto"/>
        <w:jc w:val="center"/>
        <w:rPr>
          <w:rFonts w:hint="eastAsia" w:ascii="宋体" w:hAnsi="宋体" w:eastAsia="宋体" w:cs="宋体"/>
          <w:b/>
          <w:color w:val="auto"/>
          <w:sz w:val="36"/>
          <w:szCs w:val="36"/>
          <w:highlight w:val="none"/>
        </w:rPr>
      </w:pPr>
    </w:p>
    <w:p w14:paraId="221EB3A7">
      <w:pPr>
        <w:spacing w:line="360" w:lineRule="auto"/>
        <w:rPr>
          <w:rFonts w:hint="eastAsia" w:ascii="宋体" w:hAnsi="宋体" w:eastAsia="宋体" w:cs="宋体"/>
          <w:b/>
          <w:color w:val="auto"/>
          <w:sz w:val="36"/>
          <w:szCs w:val="36"/>
          <w:highlight w:val="none"/>
        </w:rPr>
      </w:pPr>
    </w:p>
    <w:p w14:paraId="792597E4">
      <w:pPr>
        <w:spacing w:line="360" w:lineRule="auto"/>
        <w:rPr>
          <w:rFonts w:hint="eastAsia" w:ascii="宋体" w:hAnsi="宋体" w:eastAsia="宋体" w:cs="宋体"/>
          <w:color w:val="auto"/>
          <w:sz w:val="36"/>
          <w:szCs w:val="36"/>
          <w:highlight w:val="none"/>
        </w:rPr>
      </w:pPr>
    </w:p>
    <w:p w14:paraId="03DE3764">
      <w:pPr>
        <w:spacing w:line="360" w:lineRule="auto"/>
        <w:rPr>
          <w:rFonts w:hint="eastAsia" w:ascii="宋体" w:hAnsi="宋体" w:eastAsia="宋体" w:cs="宋体"/>
          <w:color w:val="auto"/>
          <w:sz w:val="16"/>
          <w:szCs w:val="16"/>
          <w:highlight w:val="none"/>
        </w:rPr>
      </w:pPr>
      <w:r>
        <w:rPr>
          <w:rFonts w:hint="eastAsia" w:ascii="宋体" w:hAnsi="宋体" w:eastAsia="宋体" w:cs="宋体"/>
          <w:color w:val="auto"/>
          <w:sz w:val="36"/>
          <w:szCs w:val="36"/>
          <w:highlight w:val="none"/>
          <w:lang w:eastAsia="zh-CN"/>
        </w:rPr>
        <w:t>投标人</w:t>
      </w:r>
      <w:r>
        <w:rPr>
          <w:rFonts w:hint="eastAsia" w:ascii="宋体" w:hAnsi="宋体" w:eastAsia="宋体" w:cs="宋体"/>
          <w:color w:val="auto"/>
          <w:sz w:val="36"/>
          <w:szCs w:val="36"/>
          <w:highlight w:val="none"/>
        </w:rPr>
        <w:t>（公章）：</w:t>
      </w:r>
    </w:p>
    <w:p w14:paraId="0A278882">
      <w:pPr>
        <w:spacing w:line="360" w:lineRule="auto"/>
        <w:outlineLvl w:val="0"/>
        <w:rPr>
          <w:rFonts w:hint="eastAsia" w:ascii="宋体" w:hAnsi="宋体" w:eastAsia="宋体" w:cs="宋体"/>
          <w:color w:val="auto"/>
          <w:sz w:val="36"/>
          <w:szCs w:val="36"/>
          <w:highlight w:val="none"/>
        </w:rPr>
      </w:pPr>
      <w:bookmarkStart w:id="244" w:name="_Toc30568"/>
      <w:bookmarkStart w:id="245" w:name="_Toc28117"/>
      <w:bookmarkStart w:id="246" w:name="_Toc5671"/>
      <w:bookmarkStart w:id="247" w:name="_Toc2043"/>
      <w:r>
        <w:rPr>
          <w:rFonts w:hint="eastAsia" w:ascii="宋体" w:hAnsi="宋体" w:eastAsia="宋体" w:cs="宋体"/>
          <w:color w:val="auto"/>
          <w:sz w:val="36"/>
          <w:szCs w:val="36"/>
          <w:highlight w:val="none"/>
        </w:rPr>
        <w:t>地址：</w:t>
      </w:r>
      <w:bookmarkEnd w:id="244"/>
      <w:bookmarkEnd w:id="245"/>
      <w:bookmarkEnd w:id="246"/>
      <w:bookmarkEnd w:id="247"/>
    </w:p>
    <w:p w14:paraId="2705057B">
      <w:pPr>
        <w:spacing w:line="360" w:lineRule="auto"/>
        <w:outlineLvl w:val="0"/>
        <w:rPr>
          <w:rFonts w:hint="eastAsia" w:ascii="宋体" w:hAnsi="宋体" w:eastAsia="宋体" w:cs="宋体"/>
          <w:color w:val="auto"/>
          <w:sz w:val="36"/>
          <w:szCs w:val="36"/>
          <w:highlight w:val="none"/>
        </w:rPr>
      </w:pPr>
      <w:bookmarkStart w:id="248" w:name="_Toc8076"/>
      <w:bookmarkStart w:id="249" w:name="_Toc2305"/>
      <w:bookmarkStart w:id="250" w:name="_Toc19107"/>
      <w:bookmarkStart w:id="251" w:name="_Toc4551"/>
      <w:r>
        <w:rPr>
          <w:rFonts w:hint="eastAsia" w:ascii="宋体" w:hAnsi="宋体" w:eastAsia="宋体" w:cs="宋体"/>
          <w:color w:val="auto"/>
          <w:sz w:val="36"/>
          <w:szCs w:val="36"/>
          <w:highlight w:val="none"/>
        </w:rPr>
        <w:t>法定代表人或授权代表（签字）：</w:t>
      </w:r>
      <w:bookmarkEnd w:id="248"/>
      <w:bookmarkEnd w:id="249"/>
      <w:bookmarkEnd w:id="250"/>
      <w:bookmarkEnd w:id="251"/>
    </w:p>
    <w:p w14:paraId="73554B81">
      <w:pPr>
        <w:pStyle w:val="9"/>
        <w:spacing w:line="360" w:lineRule="auto"/>
        <w:rPr>
          <w:rFonts w:hint="eastAsia" w:ascii="宋体" w:hAnsi="宋体" w:eastAsia="宋体" w:cs="宋体"/>
          <w:color w:val="auto"/>
          <w:highlight w:val="none"/>
        </w:rPr>
      </w:pPr>
      <w:r>
        <w:rPr>
          <w:rFonts w:hint="eastAsia" w:ascii="宋体" w:hAnsi="宋体" w:eastAsia="宋体" w:cs="宋体"/>
          <w:color w:val="auto"/>
          <w:sz w:val="36"/>
          <w:szCs w:val="36"/>
          <w:highlight w:val="none"/>
        </w:rPr>
        <w:t>联系电话：</w:t>
      </w:r>
    </w:p>
    <w:p w14:paraId="2B863D6E">
      <w:pPr>
        <w:spacing w:line="360" w:lineRule="auto"/>
        <w:jc w:val="center"/>
        <w:outlineLvl w:val="0"/>
        <w:rPr>
          <w:rFonts w:hint="eastAsia" w:ascii="宋体" w:hAnsi="宋体" w:eastAsia="宋体" w:cs="宋体"/>
          <w:color w:val="auto"/>
          <w:sz w:val="36"/>
          <w:szCs w:val="36"/>
          <w:highlight w:val="none"/>
        </w:rPr>
      </w:pPr>
      <w:bookmarkStart w:id="252" w:name="_Toc29568"/>
      <w:bookmarkStart w:id="253" w:name="_Toc12308"/>
      <w:bookmarkStart w:id="254" w:name="_Toc23733"/>
      <w:bookmarkStart w:id="255" w:name="_Toc22352"/>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   月   日</w:t>
      </w:r>
      <w:bookmarkEnd w:id="252"/>
      <w:bookmarkEnd w:id="253"/>
      <w:bookmarkEnd w:id="254"/>
      <w:bookmarkEnd w:id="255"/>
    </w:p>
    <w:p w14:paraId="096DE5B1">
      <w:pPr>
        <w:spacing w:line="360" w:lineRule="auto"/>
        <w:rPr>
          <w:rFonts w:hint="eastAsia" w:ascii="宋体" w:hAnsi="宋体" w:eastAsia="宋体" w:cs="宋体"/>
          <w:bCs/>
          <w:color w:val="auto"/>
          <w:sz w:val="24"/>
          <w:szCs w:val="24"/>
          <w:highlight w:val="none"/>
        </w:rPr>
      </w:pPr>
    </w:p>
    <w:p w14:paraId="5907BC0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6172B9">
      <w:pPr>
        <w:snapToGrid w:val="0"/>
        <w:spacing w:line="360" w:lineRule="auto"/>
        <w:outlineLvl w:val="0"/>
        <w:rPr>
          <w:rFonts w:hint="eastAsia" w:ascii="宋体" w:hAnsi="宋体" w:eastAsia="宋体" w:cs="宋体"/>
          <w:b/>
          <w:color w:val="auto"/>
          <w:sz w:val="24"/>
          <w:szCs w:val="24"/>
          <w:highlight w:val="none"/>
        </w:rPr>
      </w:pPr>
      <w:bookmarkStart w:id="256" w:name="_Toc21952"/>
      <w:bookmarkStart w:id="257" w:name="_Toc15782"/>
      <w:bookmarkStart w:id="258" w:name="_Toc28037"/>
      <w:bookmarkStart w:id="259" w:name="_Toc19258"/>
      <w:bookmarkStart w:id="260" w:name="_Toc16112"/>
      <w:r>
        <w:rPr>
          <w:rStyle w:val="45"/>
          <w:rFonts w:hint="eastAsia" w:ascii="宋体" w:hAnsi="宋体" w:eastAsia="宋体" w:cs="宋体"/>
          <w:b/>
          <w:bCs/>
          <w:color w:val="auto"/>
          <w:sz w:val="24"/>
          <w:szCs w:val="24"/>
          <w:highlight w:val="none"/>
        </w:rPr>
        <w:t>一、经济</w:t>
      </w:r>
      <w:bookmarkEnd w:id="241"/>
      <w:r>
        <w:rPr>
          <w:rStyle w:val="45"/>
          <w:rFonts w:hint="eastAsia" w:ascii="宋体" w:hAnsi="宋体" w:eastAsia="宋体" w:cs="宋体"/>
          <w:b/>
          <w:bCs/>
          <w:color w:val="auto"/>
          <w:sz w:val="24"/>
          <w:szCs w:val="24"/>
          <w:highlight w:val="none"/>
        </w:rPr>
        <w:t>部分</w:t>
      </w:r>
      <w:bookmarkEnd w:id="256"/>
      <w:bookmarkEnd w:id="257"/>
      <w:bookmarkEnd w:id="258"/>
      <w:bookmarkEnd w:id="259"/>
      <w:bookmarkEnd w:id="260"/>
    </w:p>
    <w:p w14:paraId="4A358315">
      <w:pPr>
        <w:snapToGrid w:val="0"/>
        <w:spacing w:line="360" w:lineRule="auto"/>
        <w:rPr>
          <w:rFonts w:hint="eastAsia" w:ascii="宋体" w:hAnsi="宋体" w:eastAsia="宋体" w:cs="宋体"/>
          <w:color w:val="auto"/>
          <w:sz w:val="24"/>
          <w:szCs w:val="44"/>
          <w:highlight w:val="none"/>
        </w:rPr>
      </w:pPr>
      <w:r>
        <w:rPr>
          <w:rFonts w:hint="eastAsia" w:ascii="宋体" w:hAnsi="宋体" w:eastAsia="宋体" w:cs="宋体"/>
          <w:color w:val="auto"/>
          <w:sz w:val="24"/>
          <w:szCs w:val="44"/>
          <w:highlight w:val="none"/>
        </w:rPr>
        <w:t>（一）比选报价函</w:t>
      </w:r>
    </w:p>
    <w:p w14:paraId="3E349163">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比选报价函</w:t>
      </w:r>
    </w:p>
    <w:p w14:paraId="029687A4">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334336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我方收到____________________________（项目名称）的竞争性比选文件，经详细研究，决定参加该项目的比选。</w:t>
      </w:r>
    </w:p>
    <w:p w14:paraId="69DDF63F">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360" w:lineRule="auto"/>
        <w:ind w:left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1、愿意按照竞争性比选文件中的一切要求，提供本项目的服务，</w:t>
      </w:r>
      <w:r>
        <w:rPr>
          <w:rFonts w:hint="eastAsia" w:ascii="宋体" w:hAnsi="宋体" w:eastAsia="宋体" w:cs="宋体"/>
          <w:color w:val="auto"/>
          <w:sz w:val="24"/>
          <w:szCs w:val="24"/>
          <w:highlight w:val="none"/>
          <w:lang w:val="en-US" w:eastAsia="zh-CN"/>
        </w:rPr>
        <w:t>本项目投标报价费率为</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33207EF0">
      <w:pPr>
        <w:tabs>
          <w:tab w:val="left" w:pos="6300"/>
        </w:tabs>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2、我方现提交的投标文件为：投标文件正本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B670BC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3、我方承诺：本次比选的有效期为90天。</w:t>
      </w:r>
    </w:p>
    <w:p w14:paraId="00CB20B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4、我方完全理解和接受贵方竞争性比选文件的一切规定和要求及评审办法。</w:t>
      </w:r>
    </w:p>
    <w:p w14:paraId="515C13D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5、在整个比选过程中，我方若有违规行为，接受按照《中华人民共和国政府采购法》和《比选文件》之规定给予惩罚。</w:t>
      </w:r>
    </w:p>
    <w:p w14:paraId="6DA088F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，将按照最终比选结果签订合同，并且严格履行合同义务。本承诺函将成为合同不可分割的一部分，与合同具有同等的法律效力。</w:t>
      </w:r>
    </w:p>
    <w:p w14:paraId="3B183EC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7、我方同意按竞争性比选文件规定，交纳竞争性比选文件要求的比选保证金。</w:t>
      </w:r>
    </w:p>
    <w:p w14:paraId="3C4EBD46">
      <w:pPr>
        <w:tabs>
          <w:tab w:val="left" w:pos="6300"/>
        </w:tabs>
        <w:snapToGrid w:val="0"/>
        <w:spacing w:line="360" w:lineRule="auto"/>
        <w:ind w:firstLine="5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，愿意按有关规定及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文件要求缴纳招标代理服务费</w:t>
      </w:r>
      <w:r>
        <w:rPr>
          <w:rFonts w:hint="eastAsia" w:ascii="宋体" w:hAnsi="宋体" w:eastAsia="宋体" w:cs="宋体"/>
          <w:color w:val="auto"/>
          <w:sz w:val="24"/>
          <w:szCs w:val="24"/>
          <w:highlight w:val="none"/>
          <w:lang w:eastAsia="zh-CN"/>
        </w:rPr>
        <w:t>。</w:t>
      </w:r>
    </w:p>
    <w:p w14:paraId="5D087798">
      <w:pPr>
        <w:tabs>
          <w:tab w:val="left" w:pos="6300"/>
        </w:tabs>
        <w:snapToGrid w:val="0"/>
        <w:spacing w:line="360" w:lineRule="auto"/>
        <w:ind w:firstLine="570"/>
        <w:rPr>
          <w:rFonts w:hint="eastAsia" w:ascii="宋体" w:hAnsi="宋体" w:eastAsia="宋体" w:cs="宋体"/>
          <w:color w:val="auto"/>
          <w:sz w:val="24"/>
          <w:szCs w:val="24"/>
          <w:highlight w:val="none"/>
        </w:rPr>
      </w:pPr>
    </w:p>
    <w:p w14:paraId="2ECAA15C">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2BEA4D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CC9E49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3C2A83FF">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A574609">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E249D51">
      <w:pPr>
        <w:tabs>
          <w:tab w:val="left" w:pos="6300"/>
        </w:tabs>
        <w:snapToGrid w:val="0"/>
        <w:spacing w:line="360" w:lineRule="auto"/>
        <w:ind w:firstLine="570"/>
        <w:rPr>
          <w:rFonts w:hint="eastAsia" w:ascii="宋体" w:hAnsi="宋体" w:eastAsia="宋体" w:cs="宋体"/>
          <w:color w:val="auto"/>
          <w:sz w:val="24"/>
          <w:szCs w:val="24"/>
          <w:highlight w:val="none"/>
        </w:rPr>
      </w:pPr>
    </w:p>
    <w:p w14:paraId="79B64EB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80D6C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AA3579">
      <w:pPr>
        <w:snapToGrid w:val="0"/>
        <w:spacing w:line="360" w:lineRule="auto"/>
        <w:outlineLvl w:val="0"/>
        <w:rPr>
          <w:rStyle w:val="45"/>
          <w:rFonts w:hint="eastAsia" w:ascii="宋体" w:hAnsi="宋体" w:eastAsia="宋体" w:cs="宋体"/>
          <w:b/>
          <w:bCs/>
          <w:color w:val="auto"/>
          <w:sz w:val="24"/>
          <w:szCs w:val="24"/>
          <w:highlight w:val="none"/>
        </w:rPr>
      </w:pPr>
      <w:bookmarkStart w:id="261" w:name="_Toc15999"/>
      <w:bookmarkStart w:id="262" w:name="_Toc19014"/>
      <w:bookmarkStart w:id="263" w:name="_Toc6315"/>
      <w:bookmarkStart w:id="264" w:name="_Toc26248"/>
      <w:bookmarkStart w:id="265" w:name="_Toc31572"/>
      <w:bookmarkStart w:id="266" w:name="_Toc439685512"/>
      <w:bookmarkStart w:id="267" w:name="_Toc313888362"/>
      <w:bookmarkStart w:id="268" w:name="_Toc342913421"/>
      <w:bookmarkStart w:id="269" w:name="_Toc313008358"/>
      <w:bookmarkStart w:id="270" w:name="_Toc429584885"/>
      <w:r>
        <w:rPr>
          <w:rStyle w:val="45"/>
          <w:rFonts w:hint="eastAsia" w:ascii="宋体" w:hAnsi="宋体" w:eastAsia="宋体" w:cs="宋体"/>
          <w:b/>
          <w:bCs/>
          <w:color w:val="auto"/>
          <w:sz w:val="24"/>
          <w:szCs w:val="24"/>
          <w:highlight w:val="none"/>
        </w:rPr>
        <w:t>二、服务部分</w:t>
      </w:r>
      <w:bookmarkEnd w:id="261"/>
      <w:bookmarkEnd w:id="262"/>
      <w:bookmarkEnd w:id="263"/>
    </w:p>
    <w:bookmarkEnd w:id="264"/>
    <w:bookmarkEnd w:id="265"/>
    <w:p w14:paraId="302F9BEE">
      <w:pPr>
        <w:tabs>
          <w:tab w:val="left" w:pos="6300"/>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22CD12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DFCFB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（二）服务响应偏离表（本表可自行设计格式）</w:t>
      </w:r>
    </w:p>
    <w:p w14:paraId="703BC3A1">
      <w:pPr>
        <w:spacing w:line="360" w:lineRule="auto"/>
        <w:ind w:firstLine="480" w:firstLineChars="200"/>
        <w:rPr>
          <w:rFonts w:hint="eastAsia" w:ascii="宋体" w:hAnsi="宋体" w:eastAsia="宋体" w:cs="宋体"/>
          <w:color w:val="auto"/>
          <w:sz w:val="24"/>
          <w:szCs w:val="24"/>
          <w:highlight w:val="none"/>
        </w:rPr>
      </w:pPr>
    </w:p>
    <w:p w14:paraId="6D8AE2FC">
      <w:pPr>
        <w:spacing w:line="360" w:lineRule="auto"/>
        <w:ind w:firstLine="723"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6"/>
          <w:szCs w:val="36"/>
          <w:highlight w:val="none"/>
        </w:rPr>
        <w:t>服务响应偏离表</w:t>
      </w:r>
    </w:p>
    <w:p w14:paraId="03717F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E003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3D8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07A03A3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1" w:name="_Toc3655"/>
            <w:bookmarkStart w:id="272" w:name="_Toc15959"/>
            <w:bookmarkStart w:id="273" w:name="_Toc9148"/>
            <w:bookmarkStart w:id="274" w:name="_Toc27970"/>
            <w:r>
              <w:rPr>
                <w:rFonts w:hint="eastAsia" w:ascii="宋体" w:hAnsi="宋体" w:eastAsia="宋体" w:cs="宋体"/>
                <w:color w:val="auto"/>
                <w:sz w:val="24"/>
                <w:szCs w:val="24"/>
                <w:highlight w:val="none"/>
              </w:rPr>
              <w:t>序号</w:t>
            </w:r>
            <w:bookmarkEnd w:id="271"/>
            <w:bookmarkEnd w:id="272"/>
            <w:bookmarkEnd w:id="273"/>
            <w:bookmarkEnd w:id="274"/>
          </w:p>
        </w:tc>
        <w:tc>
          <w:tcPr>
            <w:tcW w:w="2822" w:type="dxa"/>
            <w:vAlign w:val="center"/>
          </w:tcPr>
          <w:p w14:paraId="13D036FE">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5" w:name="_Toc17259"/>
            <w:bookmarkStart w:id="276" w:name="_Toc110"/>
            <w:bookmarkStart w:id="277" w:name="_Toc31348"/>
            <w:bookmarkStart w:id="278" w:name="_Toc7055"/>
            <w:r>
              <w:rPr>
                <w:rFonts w:hint="eastAsia" w:ascii="宋体" w:hAnsi="宋体" w:eastAsia="宋体" w:cs="宋体"/>
                <w:color w:val="auto"/>
                <w:sz w:val="24"/>
                <w:szCs w:val="24"/>
                <w:highlight w:val="none"/>
              </w:rPr>
              <w:t>采购需求</w:t>
            </w:r>
            <w:bookmarkEnd w:id="275"/>
            <w:bookmarkEnd w:id="276"/>
            <w:bookmarkEnd w:id="277"/>
            <w:bookmarkEnd w:id="278"/>
          </w:p>
        </w:tc>
        <w:tc>
          <w:tcPr>
            <w:tcW w:w="2759" w:type="dxa"/>
            <w:vAlign w:val="center"/>
          </w:tcPr>
          <w:p w14:paraId="2AAD830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9" w:name="_Toc20339"/>
            <w:bookmarkStart w:id="280" w:name="_Toc12685"/>
            <w:bookmarkStart w:id="281" w:name="_Toc11681"/>
            <w:bookmarkStart w:id="282" w:name="_Toc12475"/>
            <w:r>
              <w:rPr>
                <w:rFonts w:hint="eastAsia" w:ascii="宋体" w:hAnsi="宋体" w:eastAsia="宋体" w:cs="宋体"/>
                <w:color w:val="auto"/>
                <w:sz w:val="24"/>
                <w:szCs w:val="24"/>
                <w:highlight w:val="none"/>
              </w:rPr>
              <w:t>响应情况</w:t>
            </w:r>
            <w:bookmarkEnd w:id="279"/>
            <w:bookmarkEnd w:id="280"/>
            <w:bookmarkEnd w:id="281"/>
            <w:bookmarkEnd w:id="282"/>
          </w:p>
        </w:tc>
        <w:tc>
          <w:tcPr>
            <w:tcW w:w="2067" w:type="dxa"/>
            <w:vAlign w:val="center"/>
          </w:tcPr>
          <w:p w14:paraId="27F98D2B">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83" w:name="_Toc20030"/>
            <w:bookmarkStart w:id="284" w:name="_Toc20996"/>
            <w:bookmarkStart w:id="285" w:name="_Toc28260"/>
            <w:bookmarkStart w:id="286" w:name="_Toc22199"/>
            <w:r>
              <w:rPr>
                <w:rFonts w:hint="eastAsia" w:ascii="宋体" w:hAnsi="宋体" w:eastAsia="宋体" w:cs="宋体"/>
                <w:color w:val="auto"/>
                <w:sz w:val="24"/>
                <w:szCs w:val="24"/>
                <w:highlight w:val="none"/>
              </w:rPr>
              <w:t>偏离说明</w:t>
            </w:r>
            <w:bookmarkEnd w:id="283"/>
            <w:bookmarkEnd w:id="284"/>
            <w:bookmarkEnd w:id="285"/>
            <w:bookmarkEnd w:id="286"/>
          </w:p>
        </w:tc>
      </w:tr>
      <w:tr w14:paraId="7C7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DE1EAA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69CD53B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B6DD9F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47455EF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F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A57AD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099D887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878D13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ACB2A4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DF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CF9532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303CE2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14C95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93D609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6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1EB6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28A6D7">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E38479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764BDA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1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1C13AD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6A74CD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B28977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7B1EBB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0C6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890C0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7EB5890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CF575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26A11E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880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6272E69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48FE3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6FE117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0A21F4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B6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50F151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19B944B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B660BA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3C6871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399C06D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56014461">
      <w:pPr>
        <w:spacing w:line="360" w:lineRule="auto"/>
        <w:rPr>
          <w:rFonts w:hint="eastAsia" w:ascii="宋体" w:hAnsi="宋体" w:eastAsia="宋体" w:cs="宋体"/>
          <w:color w:val="auto"/>
          <w:sz w:val="24"/>
          <w:szCs w:val="24"/>
          <w:highlight w:val="none"/>
        </w:rPr>
      </w:pPr>
    </w:p>
    <w:p w14:paraId="09CD0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369F07C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3CFFB5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12E4012">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 xml:space="preserve">.本表即为对本项目“第二篇 </w:t>
      </w:r>
      <w:r>
        <w:rPr>
          <w:rFonts w:hint="eastAsia" w:ascii="宋体" w:hAnsi="宋体" w:eastAsia="宋体" w:cs="宋体"/>
          <w:color w:val="auto"/>
          <w:sz w:val="24"/>
          <w:highlight w:val="none"/>
          <w:lang w:val="en-US" w:eastAsia="zh-CN"/>
        </w:rPr>
        <w:t>项目服务需求</w:t>
      </w:r>
      <w:r>
        <w:rPr>
          <w:rFonts w:hint="eastAsia" w:ascii="宋体" w:hAnsi="宋体" w:eastAsia="宋体" w:cs="宋体"/>
          <w:color w:val="auto"/>
          <w:sz w:val="24"/>
          <w:highlight w:val="none"/>
        </w:rPr>
        <w:t>”中所列条款进行比较和响应；</w:t>
      </w:r>
    </w:p>
    <w:p w14:paraId="7103150C">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2.该表可拓展。</w:t>
      </w:r>
    </w:p>
    <w:p w14:paraId="6179D277">
      <w:pPr>
        <w:spacing w:line="360" w:lineRule="auto"/>
        <w:ind w:firstLine="600" w:firstLineChars="250"/>
        <w:rPr>
          <w:rFonts w:hint="eastAsia" w:ascii="宋体" w:hAnsi="宋体" w:eastAsia="宋体" w:cs="宋体"/>
          <w:color w:val="auto"/>
          <w:sz w:val="24"/>
          <w:szCs w:val="24"/>
          <w:highlight w:val="none"/>
        </w:rPr>
      </w:pPr>
    </w:p>
    <w:p w14:paraId="018E93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18819F">
      <w:pPr>
        <w:snapToGrid w:val="0"/>
        <w:spacing w:line="360" w:lineRule="auto"/>
        <w:outlineLvl w:val="0"/>
        <w:rPr>
          <w:rStyle w:val="45"/>
          <w:rFonts w:hint="eastAsia" w:ascii="宋体" w:hAnsi="宋体" w:eastAsia="宋体" w:cs="宋体"/>
          <w:b/>
          <w:bCs/>
          <w:color w:val="auto"/>
          <w:sz w:val="24"/>
          <w:szCs w:val="24"/>
          <w:highlight w:val="none"/>
        </w:rPr>
      </w:pPr>
      <w:bookmarkStart w:id="287" w:name="_Toc11245"/>
      <w:bookmarkStart w:id="288" w:name="_Toc17454"/>
      <w:bookmarkStart w:id="289" w:name="_Toc31655"/>
      <w:bookmarkStart w:id="290" w:name="_Toc2013"/>
      <w:bookmarkStart w:id="291" w:name="_Toc31607"/>
      <w:r>
        <w:rPr>
          <w:rStyle w:val="45"/>
          <w:rFonts w:hint="eastAsia" w:ascii="宋体" w:hAnsi="宋体" w:eastAsia="宋体" w:cs="宋体"/>
          <w:b/>
          <w:bCs/>
          <w:color w:val="auto"/>
          <w:sz w:val="24"/>
          <w:szCs w:val="24"/>
          <w:highlight w:val="none"/>
        </w:rPr>
        <w:t>三、商务部分</w:t>
      </w:r>
      <w:bookmarkEnd w:id="266"/>
      <w:bookmarkEnd w:id="267"/>
      <w:bookmarkEnd w:id="268"/>
      <w:bookmarkEnd w:id="269"/>
      <w:bookmarkEnd w:id="287"/>
      <w:bookmarkEnd w:id="288"/>
      <w:bookmarkEnd w:id="289"/>
    </w:p>
    <w:bookmarkEnd w:id="290"/>
    <w:bookmarkEnd w:id="291"/>
    <w:p w14:paraId="2E8F80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0D2ABD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2AA9C">
      <w:pPr>
        <w:spacing w:line="360" w:lineRule="auto"/>
        <w:ind w:firstLine="600" w:firstLineChars="250"/>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（二）商务响应偏离表（本表可自行设计格式）</w:t>
      </w:r>
    </w:p>
    <w:p w14:paraId="48774569">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商务响应偏离表</w:t>
      </w:r>
    </w:p>
    <w:p w14:paraId="73969D84">
      <w:pPr>
        <w:spacing w:line="360" w:lineRule="auto"/>
        <w:ind w:firstLine="480" w:firstLineChars="200"/>
        <w:rPr>
          <w:rFonts w:hint="eastAsia" w:ascii="宋体" w:hAnsi="宋体" w:eastAsia="宋体" w:cs="宋体"/>
          <w:color w:val="auto"/>
          <w:sz w:val="24"/>
          <w:szCs w:val="24"/>
          <w:highlight w:val="none"/>
        </w:rPr>
      </w:pPr>
    </w:p>
    <w:p w14:paraId="1FA92E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9AC3C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2E4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4E774B43">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2" w:name="_Toc19066"/>
            <w:bookmarkStart w:id="293" w:name="_Toc30351"/>
            <w:bookmarkStart w:id="294" w:name="_Toc1993"/>
            <w:bookmarkStart w:id="295" w:name="_Toc4107"/>
            <w:r>
              <w:rPr>
                <w:rFonts w:hint="eastAsia" w:ascii="宋体" w:hAnsi="宋体" w:eastAsia="宋体" w:cs="宋体"/>
                <w:color w:val="auto"/>
                <w:sz w:val="24"/>
                <w:szCs w:val="24"/>
                <w:highlight w:val="none"/>
              </w:rPr>
              <w:t>序号</w:t>
            </w:r>
            <w:bookmarkEnd w:id="292"/>
            <w:bookmarkEnd w:id="293"/>
            <w:bookmarkEnd w:id="294"/>
            <w:bookmarkEnd w:id="295"/>
          </w:p>
        </w:tc>
        <w:tc>
          <w:tcPr>
            <w:tcW w:w="3312" w:type="dxa"/>
            <w:vAlign w:val="center"/>
          </w:tcPr>
          <w:p w14:paraId="14604746">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6" w:name="_Toc25602"/>
            <w:bookmarkStart w:id="297" w:name="_Toc9592"/>
            <w:bookmarkStart w:id="298" w:name="_Toc12562"/>
            <w:bookmarkStart w:id="299" w:name="_Toc2913"/>
            <w:r>
              <w:rPr>
                <w:rFonts w:hint="eastAsia" w:ascii="宋体" w:hAnsi="宋体" w:eastAsia="宋体" w:cs="宋体"/>
                <w:color w:val="auto"/>
                <w:sz w:val="24"/>
                <w:szCs w:val="24"/>
                <w:highlight w:val="none"/>
              </w:rPr>
              <w:t>比选项目需求</w:t>
            </w:r>
            <w:bookmarkEnd w:id="296"/>
            <w:bookmarkEnd w:id="297"/>
            <w:bookmarkEnd w:id="298"/>
            <w:bookmarkEnd w:id="299"/>
          </w:p>
        </w:tc>
        <w:tc>
          <w:tcPr>
            <w:tcW w:w="2434" w:type="dxa"/>
            <w:vAlign w:val="center"/>
          </w:tcPr>
          <w:p w14:paraId="1EE53CF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0" w:name="_Toc27006"/>
            <w:bookmarkStart w:id="301" w:name="_Toc6203"/>
            <w:bookmarkStart w:id="302" w:name="_Toc20447"/>
            <w:bookmarkStart w:id="303" w:name="_Toc28760"/>
            <w:r>
              <w:rPr>
                <w:rFonts w:hint="eastAsia" w:ascii="宋体" w:hAnsi="宋体" w:eastAsia="宋体" w:cs="宋体"/>
                <w:color w:val="auto"/>
                <w:sz w:val="24"/>
                <w:szCs w:val="24"/>
                <w:highlight w:val="none"/>
              </w:rPr>
              <w:t>响应情况</w:t>
            </w:r>
            <w:bookmarkEnd w:id="300"/>
            <w:bookmarkEnd w:id="301"/>
            <w:bookmarkEnd w:id="302"/>
            <w:bookmarkEnd w:id="303"/>
          </w:p>
        </w:tc>
        <w:tc>
          <w:tcPr>
            <w:tcW w:w="2355" w:type="dxa"/>
            <w:vAlign w:val="center"/>
          </w:tcPr>
          <w:p w14:paraId="6944144A">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4" w:name="_Toc19577"/>
            <w:bookmarkStart w:id="305" w:name="_Toc22639"/>
            <w:bookmarkStart w:id="306" w:name="_Toc26105"/>
            <w:bookmarkStart w:id="307" w:name="_Toc32172"/>
            <w:r>
              <w:rPr>
                <w:rFonts w:hint="eastAsia" w:ascii="宋体" w:hAnsi="宋体" w:eastAsia="宋体" w:cs="宋体"/>
                <w:color w:val="auto"/>
                <w:sz w:val="24"/>
                <w:szCs w:val="24"/>
                <w:highlight w:val="none"/>
              </w:rPr>
              <w:t>偏离说明</w:t>
            </w:r>
            <w:bookmarkEnd w:id="304"/>
            <w:bookmarkEnd w:id="305"/>
            <w:bookmarkEnd w:id="306"/>
            <w:bookmarkEnd w:id="307"/>
          </w:p>
        </w:tc>
      </w:tr>
      <w:tr w14:paraId="078C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75093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4ACBDFE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2ADB34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008AC71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0A8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83F91E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E8F5A4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5253B20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C8375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A6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1170E1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37A27F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F3F33E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392C5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70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A92473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1B7E219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78C882F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CB4FF9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29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EB909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611F45F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5F89F2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BED74E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EB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45995C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A76799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0937D90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EC87A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064B1B16">
      <w:pPr>
        <w:snapToGrid w:val="0"/>
        <w:spacing w:line="360" w:lineRule="auto"/>
        <w:ind w:firstLine="465"/>
        <w:rPr>
          <w:rFonts w:hint="eastAsia" w:ascii="宋体" w:hAnsi="宋体" w:eastAsia="宋体" w:cs="宋体"/>
          <w:color w:val="auto"/>
          <w:sz w:val="24"/>
          <w:szCs w:val="24"/>
          <w:highlight w:val="none"/>
        </w:rPr>
      </w:pPr>
    </w:p>
    <w:p w14:paraId="28E081D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445D9FA4">
      <w:pPr>
        <w:spacing w:line="360" w:lineRule="auto"/>
        <w:rPr>
          <w:rFonts w:hint="eastAsia" w:ascii="宋体" w:hAnsi="宋体" w:eastAsia="宋体" w:cs="宋体"/>
          <w:color w:val="auto"/>
          <w:sz w:val="24"/>
          <w:szCs w:val="24"/>
          <w:highlight w:val="none"/>
        </w:rPr>
      </w:pPr>
    </w:p>
    <w:p w14:paraId="77D97D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22F0A77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539CF9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8103306">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 xml:space="preserve">篇 </w:t>
      </w:r>
      <w:r>
        <w:rPr>
          <w:rFonts w:hint="eastAsia" w:ascii="宋体" w:hAnsi="宋体" w:eastAsia="宋体" w:cs="宋体"/>
          <w:color w:val="auto"/>
          <w:sz w:val="24"/>
          <w:highlight w:val="none"/>
          <w:lang w:val="en-US" w:eastAsia="zh-CN"/>
        </w:rPr>
        <w:t>项目商务需求</w:t>
      </w:r>
      <w:r>
        <w:rPr>
          <w:rFonts w:hint="eastAsia" w:ascii="宋体" w:hAnsi="宋体" w:eastAsia="宋体" w:cs="宋体"/>
          <w:color w:val="auto"/>
          <w:sz w:val="24"/>
          <w:highlight w:val="none"/>
        </w:rPr>
        <w:t>”中所列条款进行比较和响应；</w:t>
      </w:r>
    </w:p>
    <w:p w14:paraId="49B335D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2.该表可拓展</w:t>
      </w:r>
    </w:p>
    <w:p w14:paraId="3EB83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BCD7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（三）商务评分需提供的资料</w:t>
      </w:r>
    </w:p>
    <w:p w14:paraId="5D72C29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根据“第四篇 评审标准”提供相关材料（格式自定）</w:t>
      </w:r>
    </w:p>
    <w:p w14:paraId="46FB6AE9">
      <w:pPr>
        <w:spacing w:line="360" w:lineRule="auto"/>
        <w:ind w:firstLine="480" w:firstLineChars="200"/>
        <w:jc w:val="right"/>
        <w:rPr>
          <w:rFonts w:hint="eastAsia" w:ascii="宋体" w:hAnsi="宋体" w:eastAsia="宋体" w:cs="宋体"/>
          <w:color w:val="auto"/>
          <w:sz w:val="24"/>
          <w:szCs w:val="24"/>
          <w:highlight w:val="none"/>
        </w:rPr>
      </w:pPr>
    </w:p>
    <w:p w14:paraId="51A36F2A">
      <w:pPr>
        <w:spacing w:line="360" w:lineRule="auto"/>
        <w:ind w:firstLine="480" w:firstLineChars="200"/>
        <w:rPr>
          <w:rFonts w:hint="eastAsia" w:ascii="宋体" w:hAnsi="宋体" w:eastAsia="宋体" w:cs="宋体"/>
          <w:color w:val="auto"/>
          <w:sz w:val="24"/>
          <w:szCs w:val="24"/>
          <w:highlight w:val="none"/>
        </w:rPr>
        <w:sectPr>
          <w:footerReference r:id="rId11" w:type="default"/>
          <w:pgSz w:w="11907" w:h="16840"/>
          <w:pgMar w:top="1134" w:right="1134" w:bottom="1134" w:left="1134" w:header="851" w:footer="992" w:gutter="0"/>
          <w:pgNumType w:fmt="decimal"/>
          <w:cols w:space="720" w:num="1"/>
          <w:docGrid w:linePitch="380" w:charSpace="-5735"/>
        </w:sectPr>
      </w:pPr>
    </w:p>
    <w:bookmarkEnd w:id="270"/>
    <w:p w14:paraId="28A82ECC">
      <w:pPr>
        <w:snapToGrid w:val="0"/>
        <w:spacing w:line="360" w:lineRule="auto"/>
        <w:outlineLvl w:val="0"/>
        <w:rPr>
          <w:rStyle w:val="45"/>
          <w:rFonts w:hint="eastAsia" w:ascii="宋体" w:hAnsi="宋体" w:eastAsia="宋体" w:cs="宋体"/>
          <w:b/>
          <w:bCs/>
          <w:color w:val="auto"/>
          <w:sz w:val="24"/>
          <w:szCs w:val="24"/>
          <w:highlight w:val="none"/>
        </w:rPr>
      </w:pPr>
      <w:bookmarkStart w:id="308" w:name="_Toc31073"/>
      <w:bookmarkStart w:id="309" w:name="_Toc506310400"/>
      <w:bookmarkStart w:id="310" w:name="_Toc313888363"/>
      <w:bookmarkStart w:id="311" w:name="_Toc12555"/>
      <w:bookmarkStart w:id="312" w:name="_Toc11032"/>
      <w:bookmarkStart w:id="313" w:name="_Toc313008359"/>
      <w:bookmarkStart w:id="314" w:name="_Toc342913422"/>
      <w:bookmarkStart w:id="315" w:name="_Toc17415"/>
      <w:bookmarkStart w:id="316" w:name="_Toc3255"/>
      <w:r>
        <w:rPr>
          <w:rStyle w:val="45"/>
          <w:rFonts w:hint="eastAsia" w:ascii="宋体" w:hAnsi="宋体" w:eastAsia="宋体" w:cs="宋体"/>
          <w:b/>
          <w:bCs/>
          <w:color w:val="auto"/>
          <w:sz w:val="24"/>
          <w:szCs w:val="24"/>
          <w:highlight w:val="none"/>
        </w:rPr>
        <w:t>四、资格条件及其他</w:t>
      </w:r>
      <w:bookmarkEnd w:id="308"/>
      <w:bookmarkEnd w:id="309"/>
      <w:bookmarkEnd w:id="310"/>
      <w:bookmarkEnd w:id="311"/>
      <w:bookmarkEnd w:id="312"/>
      <w:bookmarkEnd w:id="313"/>
      <w:bookmarkEnd w:id="314"/>
    </w:p>
    <w:bookmarkEnd w:id="315"/>
    <w:bookmarkEnd w:id="316"/>
    <w:p w14:paraId="5E22E1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15D30C21">
      <w:pPr>
        <w:spacing w:line="360" w:lineRule="auto"/>
        <w:rPr>
          <w:rFonts w:hint="eastAsia" w:ascii="宋体" w:hAnsi="宋体" w:eastAsia="宋体" w:cs="宋体"/>
          <w:color w:val="auto"/>
          <w:sz w:val="24"/>
          <w:szCs w:val="24"/>
          <w:highlight w:val="none"/>
        </w:rPr>
      </w:pPr>
    </w:p>
    <w:p w14:paraId="514A57C8">
      <w:pPr>
        <w:spacing w:line="360" w:lineRule="auto"/>
        <w:rPr>
          <w:rFonts w:hint="eastAsia" w:ascii="宋体" w:hAnsi="宋体" w:eastAsia="宋体" w:cs="宋体"/>
          <w:color w:val="auto"/>
          <w:sz w:val="24"/>
          <w:szCs w:val="24"/>
          <w:highlight w:val="none"/>
        </w:rPr>
      </w:pPr>
    </w:p>
    <w:p w14:paraId="0A048BEF">
      <w:pPr>
        <w:spacing w:line="360" w:lineRule="auto"/>
        <w:rPr>
          <w:rFonts w:hint="eastAsia" w:ascii="宋体" w:hAnsi="宋体" w:eastAsia="宋体" w:cs="宋体"/>
          <w:color w:val="auto"/>
          <w:sz w:val="24"/>
          <w:szCs w:val="24"/>
          <w:highlight w:val="none"/>
        </w:rPr>
      </w:pPr>
    </w:p>
    <w:p w14:paraId="13CA274A">
      <w:pPr>
        <w:spacing w:line="360" w:lineRule="auto"/>
        <w:rPr>
          <w:rFonts w:hint="eastAsia" w:ascii="宋体" w:hAnsi="宋体" w:eastAsia="宋体" w:cs="宋体"/>
          <w:color w:val="auto"/>
          <w:sz w:val="24"/>
          <w:szCs w:val="24"/>
          <w:highlight w:val="none"/>
        </w:rPr>
      </w:pPr>
    </w:p>
    <w:p w14:paraId="1F6C6A6A">
      <w:pPr>
        <w:spacing w:line="360" w:lineRule="auto"/>
        <w:rPr>
          <w:rFonts w:hint="eastAsia" w:ascii="宋体" w:hAnsi="宋体" w:eastAsia="宋体" w:cs="宋体"/>
          <w:color w:val="auto"/>
          <w:sz w:val="24"/>
          <w:szCs w:val="24"/>
          <w:highlight w:val="none"/>
        </w:rPr>
      </w:pPr>
    </w:p>
    <w:p w14:paraId="0580CA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（二）法定代表人身份证明书（格式）</w:t>
      </w:r>
    </w:p>
    <w:p w14:paraId="07BC24F0">
      <w:pPr>
        <w:spacing w:line="360" w:lineRule="auto"/>
        <w:rPr>
          <w:rFonts w:hint="eastAsia" w:ascii="宋体" w:hAnsi="宋体" w:eastAsia="宋体" w:cs="宋体"/>
          <w:color w:val="auto"/>
          <w:sz w:val="24"/>
          <w:szCs w:val="24"/>
          <w:highlight w:val="none"/>
        </w:rPr>
      </w:pPr>
    </w:p>
    <w:p w14:paraId="491C04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4A292690">
      <w:pPr>
        <w:spacing w:line="360" w:lineRule="auto"/>
        <w:rPr>
          <w:rFonts w:hint="eastAsia" w:ascii="宋体" w:hAnsi="宋体" w:eastAsia="宋体" w:cs="宋体"/>
          <w:color w:val="auto"/>
          <w:sz w:val="24"/>
          <w:szCs w:val="24"/>
          <w:highlight w:val="none"/>
        </w:rPr>
      </w:pPr>
    </w:p>
    <w:p w14:paraId="6AD8A10F">
      <w:pPr>
        <w:spacing w:line="360" w:lineRule="auto"/>
        <w:rPr>
          <w:rFonts w:hint="eastAsia" w:ascii="宋体" w:hAnsi="宋体" w:eastAsia="宋体" w:cs="宋体"/>
          <w:color w:val="auto"/>
          <w:sz w:val="24"/>
          <w:szCs w:val="24"/>
          <w:highlight w:val="none"/>
        </w:rPr>
      </w:pPr>
    </w:p>
    <w:p w14:paraId="700C35E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6ABFD42E">
      <w:pPr>
        <w:spacing w:line="360" w:lineRule="auto"/>
        <w:rPr>
          <w:rFonts w:hint="eastAsia" w:ascii="宋体" w:hAnsi="宋体" w:eastAsia="宋体" w:cs="宋体"/>
          <w:color w:val="auto"/>
          <w:sz w:val="24"/>
          <w:szCs w:val="24"/>
          <w:highlight w:val="none"/>
        </w:rPr>
      </w:pPr>
    </w:p>
    <w:p w14:paraId="595CC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16C94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FC9314">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（法定代表人姓名）在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37DC5457">
      <w:pPr>
        <w:spacing w:line="360" w:lineRule="auto"/>
        <w:rPr>
          <w:rFonts w:hint="eastAsia" w:ascii="宋体" w:hAnsi="宋体" w:eastAsia="宋体" w:cs="宋体"/>
          <w:color w:val="auto"/>
          <w:sz w:val="24"/>
          <w:szCs w:val="24"/>
          <w:highlight w:val="none"/>
        </w:rPr>
      </w:pPr>
    </w:p>
    <w:p w14:paraId="05D2B9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33EBC0">
      <w:pPr>
        <w:spacing w:line="360" w:lineRule="auto"/>
        <w:rPr>
          <w:rFonts w:hint="eastAsia" w:ascii="宋体" w:hAnsi="宋体" w:eastAsia="宋体" w:cs="宋体"/>
          <w:color w:val="auto"/>
          <w:sz w:val="24"/>
          <w:szCs w:val="24"/>
          <w:highlight w:val="none"/>
        </w:rPr>
      </w:pPr>
    </w:p>
    <w:p w14:paraId="44092D7B">
      <w:pPr>
        <w:spacing w:line="360" w:lineRule="auto"/>
        <w:rPr>
          <w:rFonts w:hint="eastAsia" w:ascii="宋体" w:hAnsi="宋体" w:eastAsia="宋体" w:cs="宋体"/>
          <w:color w:val="auto"/>
          <w:sz w:val="24"/>
          <w:szCs w:val="24"/>
          <w:highlight w:val="none"/>
        </w:rPr>
      </w:pPr>
    </w:p>
    <w:p w14:paraId="46242D63">
      <w:pPr>
        <w:spacing w:line="360" w:lineRule="auto"/>
        <w:rPr>
          <w:rFonts w:hint="eastAsia" w:ascii="宋体" w:hAnsi="宋体" w:eastAsia="宋体" w:cs="宋体"/>
          <w:color w:val="auto"/>
          <w:sz w:val="24"/>
          <w:szCs w:val="24"/>
          <w:highlight w:val="none"/>
        </w:rPr>
      </w:pPr>
    </w:p>
    <w:p w14:paraId="04876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14412F6B">
      <w:pPr>
        <w:spacing w:line="360" w:lineRule="auto"/>
        <w:rPr>
          <w:rFonts w:hint="eastAsia" w:ascii="宋体" w:hAnsi="宋体" w:eastAsia="宋体" w:cs="宋体"/>
          <w:color w:val="auto"/>
          <w:sz w:val="24"/>
          <w:szCs w:val="24"/>
          <w:highlight w:val="none"/>
        </w:rPr>
      </w:pPr>
    </w:p>
    <w:p w14:paraId="7723DC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5F69B24">
      <w:pPr>
        <w:tabs>
          <w:tab w:val="left" w:pos="6300"/>
        </w:tabs>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电子邮箱：XXXXXX@XXXXX（若授权他人办理并签署投标文件的可不填写）</w:t>
      </w:r>
    </w:p>
    <w:p w14:paraId="24B33E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4DE9C48F">
      <w:pPr>
        <w:spacing w:line="360" w:lineRule="auto"/>
        <w:rPr>
          <w:rFonts w:hint="eastAsia" w:ascii="宋体" w:hAnsi="宋体" w:eastAsia="宋体" w:cs="宋体"/>
          <w:color w:val="auto"/>
          <w:sz w:val="24"/>
          <w:szCs w:val="24"/>
          <w:highlight w:val="none"/>
        </w:rPr>
      </w:pPr>
    </w:p>
    <w:p w14:paraId="04348994">
      <w:pPr>
        <w:spacing w:line="360" w:lineRule="auto"/>
        <w:rPr>
          <w:rFonts w:hint="eastAsia" w:ascii="宋体" w:hAnsi="宋体" w:eastAsia="宋体" w:cs="宋体"/>
          <w:color w:val="auto"/>
          <w:sz w:val="24"/>
          <w:szCs w:val="24"/>
          <w:highlight w:val="none"/>
        </w:rPr>
      </w:pPr>
    </w:p>
    <w:p w14:paraId="5BC5F2FC">
      <w:pPr>
        <w:spacing w:line="360" w:lineRule="auto"/>
        <w:rPr>
          <w:rFonts w:hint="eastAsia" w:ascii="宋体" w:hAnsi="宋体" w:eastAsia="宋体" w:cs="宋体"/>
          <w:color w:val="auto"/>
          <w:sz w:val="24"/>
          <w:szCs w:val="24"/>
          <w:highlight w:val="none"/>
        </w:rPr>
      </w:pPr>
    </w:p>
    <w:p w14:paraId="5EB1B5D2">
      <w:pPr>
        <w:spacing w:line="360" w:lineRule="auto"/>
        <w:rPr>
          <w:rFonts w:hint="eastAsia" w:ascii="宋体" w:hAnsi="宋体" w:eastAsia="宋体" w:cs="宋体"/>
          <w:color w:val="auto"/>
          <w:sz w:val="24"/>
          <w:szCs w:val="24"/>
          <w:highlight w:val="none"/>
        </w:rPr>
      </w:pPr>
    </w:p>
    <w:p w14:paraId="3A198C1A">
      <w:pPr>
        <w:spacing w:line="360" w:lineRule="auto"/>
        <w:rPr>
          <w:rFonts w:hint="eastAsia" w:ascii="宋体" w:hAnsi="宋体" w:eastAsia="宋体" w:cs="宋体"/>
          <w:color w:val="auto"/>
          <w:sz w:val="24"/>
          <w:szCs w:val="24"/>
          <w:highlight w:val="none"/>
        </w:rPr>
      </w:pPr>
    </w:p>
    <w:p w14:paraId="08E8B7F2">
      <w:pPr>
        <w:spacing w:line="360" w:lineRule="auto"/>
        <w:rPr>
          <w:rFonts w:hint="eastAsia" w:ascii="宋体" w:hAnsi="宋体" w:eastAsia="宋体" w:cs="宋体"/>
          <w:color w:val="auto"/>
          <w:sz w:val="24"/>
          <w:szCs w:val="24"/>
          <w:highlight w:val="none"/>
        </w:rPr>
      </w:pPr>
    </w:p>
    <w:p w14:paraId="2B3B0A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（三）法定代表人授权委托书（格式）</w:t>
      </w:r>
    </w:p>
    <w:p w14:paraId="3A306B42">
      <w:pPr>
        <w:spacing w:line="360" w:lineRule="auto"/>
        <w:rPr>
          <w:rFonts w:hint="eastAsia" w:ascii="宋体" w:hAnsi="宋体" w:eastAsia="宋体" w:cs="宋体"/>
          <w:color w:val="auto"/>
          <w:sz w:val="24"/>
          <w:szCs w:val="24"/>
          <w:highlight w:val="none"/>
        </w:rPr>
      </w:pPr>
    </w:p>
    <w:p w14:paraId="13F4030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法定代表人授权委托书</w:t>
      </w:r>
    </w:p>
    <w:p w14:paraId="3B94E9CB">
      <w:pPr>
        <w:spacing w:line="360" w:lineRule="auto"/>
        <w:rPr>
          <w:rFonts w:hint="eastAsia" w:ascii="宋体" w:hAnsi="宋体" w:eastAsia="宋体" w:cs="宋体"/>
          <w:color w:val="auto"/>
          <w:sz w:val="24"/>
          <w:szCs w:val="24"/>
          <w:highlight w:val="none"/>
        </w:rPr>
      </w:pPr>
    </w:p>
    <w:p w14:paraId="3BF092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B8C0C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1AD8B1AD">
      <w:pPr>
        <w:spacing w:line="360" w:lineRule="auto"/>
        <w:rPr>
          <w:rFonts w:hint="eastAsia" w:ascii="宋体" w:hAnsi="宋体" w:eastAsia="宋体" w:cs="宋体"/>
          <w:color w:val="auto"/>
          <w:sz w:val="24"/>
          <w:szCs w:val="24"/>
          <w:highlight w:val="none"/>
        </w:rPr>
      </w:pPr>
    </w:p>
    <w:p w14:paraId="547458F5">
      <w:pPr>
        <w:spacing w:line="360" w:lineRule="auto"/>
        <w:rPr>
          <w:rFonts w:hint="eastAsia" w:ascii="宋体" w:hAnsi="宋体" w:eastAsia="宋体" w:cs="宋体"/>
          <w:color w:val="auto"/>
          <w:sz w:val="24"/>
          <w:szCs w:val="24"/>
          <w:highlight w:val="none"/>
        </w:rPr>
      </w:pPr>
    </w:p>
    <w:p w14:paraId="128565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B084F24">
      <w:pPr>
        <w:spacing w:line="360" w:lineRule="auto"/>
        <w:rPr>
          <w:rFonts w:hint="eastAsia" w:ascii="宋体" w:hAnsi="宋体" w:eastAsia="宋体" w:cs="宋体"/>
          <w:color w:val="auto"/>
          <w:sz w:val="24"/>
          <w:szCs w:val="24"/>
          <w:highlight w:val="none"/>
          <w:u w:val="single"/>
        </w:rPr>
      </w:pPr>
    </w:p>
    <w:p w14:paraId="33FB9C71">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名称）的法定代表人，特授权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（被授权人姓名及身份证号码）代表我单位全权办理上述项目的比选、签约等具体工作，并签署全部有关文件、协议及合同。</w:t>
      </w:r>
    </w:p>
    <w:p w14:paraId="0D55B2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44458D4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2837BB30">
      <w:pPr>
        <w:spacing w:line="360" w:lineRule="auto"/>
        <w:rPr>
          <w:rFonts w:hint="eastAsia" w:ascii="宋体" w:hAnsi="宋体" w:eastAsia="宋体" w:cs="宋体"/>
          <w:color w:val="auto"/>
          <w:sz w:val="24"/>
          <w:szCs w:val="24"/>
          <w:highlight w:val="none"/>
        </w:rPr>
      </w:pPr>
    </w:p>
    <w:p w14:paraId="301CECE9">
      <w:pPr>
        <w:spacing w:line="360" w:lineRule="auto"/>
        <w:rPr>
          <w:rFonts w:hint="eastAsia" w:ascii="宋体" w:hAnsi="宋体" w:eastAsia="宋体" w:cs="宋体"/>
          <w:color w:val="auto"/>
          <w:sz w:val="24"/>
          <w:szCs w:val="24"/>
          <w:highlight w:val="none"/>
        </w:rPr>
      </w:pPr>
    </w:p>
    <w:p w14:paraId="7CFAFE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w:t>
      </w:r>
    </w:p>
    <w:p w14:paraId="428C705D">
      <w:pPr>
        <w:spacing w:line="360" w:lineRule="auto"/>
        <w:rPr>
          <w:rFonts w:hint="eastAsia" w:ascii="宋体" w:hAnsi="宋体" w:eastAsia="宋体" w:cs="宋体"/>
          <w:color w:val="auto"/>
          <w:sz w:val="24"/>
          <w:szCs w:val="24"/>
          <w:highlight w:val="none"/>
        </w:rPr>
      </w:pPr>
    </w:p>
    <w:p w14:paraId="43E87B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625789F3">
      <w:pPr>
        <w:spacing w:line="360" w:lineRule="auto"/>
        <w:rPr>
          <w:rFonts w:hint="eastAsia" w:ascii="宋体" w:hAnsi="宋体" w:eastAsia="宋体" w:cs="宋体"/>
          <w:color w:val="auto"/>
          <w:sz w:val="24"/>
          <w:szCs w:val="24"/>
          <w:highlight w:val="none"/>
        </w:rPr>
      </w:pPr>
    </w:p>
    <w:p w14:paraId="3CA3573B">
      <w:pPr>
        <w:spacing w:line="360" w:lineRule="auto"/>
        <w:rPr>
          <w:rFonts w:hint="eastAsia" w:ascii="宋体" w:hAnsi="宋体" w:eastAsia="宋体" w:cs="宋体"/>
          <w:color w:val="auto"/>
          <w:sz w:val="24"/>
          <w:szCs w:val="24"/>
          <w:highlight w:val="none"/>
        </w:rPr>
      </w:pPr>
    </w:p>
    <w:p w14:paraId="6F31C0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277B0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42401F">
      <w:pPr>
        <w:spacing w:line="360" w:lineRule="auto"/>
        <w:rPr>
          <w:rFonts w:hint="eastAsia" w:ascii="宋体" w:hAnsi="宋体" w:eastAsia="宋体" w:cs="宋体"/>
          <w:color w:val="auto"/>
          <w:sz w:val="24"/>
          <w:szCs w:val="24"/>
          <w:highlight w:val="none"/>
        </w:rPr>
      </w:pPr>
    </w:p>
    <w:p w14:paraId="730B76C1">
      <w:pPr>
        <w:spacing w:line="360" w:lineRule="auto"/>
        <w:rPr>
          <w:rFonts w:hint="eastAsia" w:ascii="宋体" w:hAnsi="宋体" w:eastAsia="宋体" w:cs="宋体"/>
          <w:color w:val="auto"/>
          <w:sz w:val="24"/>
          <w:szCs w:val="24"/>
          <w:highlight w:val="none"/>
        </w:rPr>
      </w:pPr>
    </w:p>
    <w:p w14:paraId="10532EEB">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D8E70AB">
      <w:pPr>
        <w:spacing w:line="360" w:lineRule="auto"/>
        <w:rPr>
          <w:rFonts w:hint="eastAsia" w:ascii="宋体" w:hAnsi="宋体" w:eastAsia="宋体" w:cs="宋体"/>
          <w:color w:val="auto"/>
          <w:sz w:val="24"/>
          <w:szCs w:val="24"/>
          <w:highlight w:val="none"/>
        </w:rPr>
      </w:pPr>
    </w:p>
    <w:p w14:paraId="0993CEC2">
      <w:pPr>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6540CA">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电子邮箱：XXXXXX@XXXXX（若法定代表人办理并签署投标文件的可不填写）</w:t>
      </w:r>
    </w:p>
    <w:p w14:paraId="165105F7">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3C6A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1.若为法定代表人办理并签署投标文件的，不提供此文件。</w:t>
      </w:r>
    </w:p>
    <w:p w14:paraId="14C2A7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（四）基本资格条件承诺函</w:t>
      </w:r>
    </w:p>
    <w:p w14:paraId="270F4848">
      <w:pPr>
        <w:spacing w:line="360" w:lineRule="auto"/>
        <w:rPr>
          <w:rFonts w:hint="eastAsia" w:ascii="宋体" w:hAnsi="宋体" w:eastAsia="宋体" w:cs="宋体"/>
          <w:color w:val="auto"/>
          <w:sz w:val="24"/>
          <w:szCs w:val="24"/>
          <w:highlight w:val="none"/>
        </w:rPr>
      </w:pPr>
    </w:p>
    <w:p w14:paraId="13676D63">
      <w:pPr>
        <w:tabs>
          <w:tab w:val="left" w:pos="6300"/>
        </w:tabs>
        <w:snapToGrid w:val="0"/>
        <w:spacing w:line="360" w:lineRule="auto"/>
        <w:ind w:firstLine="57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0C4EAE0">
      <w:pPr>
        <w:tabs>
          <w:tab w:val="left" w:pos="6300"/>
        </w:tabs>
        <w:snapToGrid w:val="0"/>
        <w:spacing w:line="360" w:lineRule="auto"/>
        <w:rPr>
          <w:rFonts w:hint="eastAsia" w:ascii="宋体" w:hAnsi="宋体" w:eastAsia="宋体" w:cs="宋体"/>
          <w:color w:val="auto"/>
          <w:sz w:val="24"/>
          <w:szCs w:val="24"/>
          <w:highlight w:val="none"/>
        </w:rPr>
      </w:pPr>
    </w:p>
    <w:p w14:paraId="2AD27F20">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DD99B4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名称）郑重承诺：</w:t>
      </w:r>
    </w:p>
    <w:p w14:paraId="0DB87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1796B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8C0E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基本资格条件。</w:t>
      </w:r>
    </w:p>
    <w:p w14:paraId="719F33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6DD93CA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E70A0E3">
      <w:pPr>
        <w:tabs>
          <w:tab w:val="left" w:pos="6300"/>
        </w:tabs>
        <w:snapToGrid w:val="0"/>
        <w:spacing w:line="360" w:lineRule="auto"/>
        <w:rPr>
          <w:rFonts w:hint="eastAsia" w:ascii="宋体" w:hAnsi="宋体" w:eastAsia="宋体" w:cs="宋体"/>
          <w:color w:val="auto"/>
          <w:sz w:val="24"/>
          <w:szCs w:val="24"/>
          <w:highlight w:val="none"/>
        </w:rPr>
      </w:pPr>
    </w:p>
    <w:p w14:paraId="49EF39F3">
      <w:pPr>
        <w:tabs>
          <w:tab w:val="left" w:pos="6300"/>
        </w:tabs>
        <w:snapToGrid w:val="0"/>
        <w:spacing w:line="360" w:lineRule="auto"/>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860C065">
      <w:pPr>
        <w:tabs>
          <w:tab w:val="left" w:pos="6300"/>
        </w:tabs>
        <w:snapToGrid w:val="0"/>
        <w:spacing w:line="360" w:lineRule="auto"/>
        <w:ind w:firstLine="7440" w:firstLineChars="3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9DAEA60">
      <w:pPr>
        <w:spacing w:line="360" w:lineRule="auto"/>
        <w:ind w:firstLine="7680" w:firstLineChars="3200"/>
        <w:rPr>
          <w:rFonts w:hint="eastAsia" w:ascii="宋体" w:hAnsi="宋体" w:eastAsia="宋体" w:cs="宋体"/>
          <w:color w:val="auto"/>
          <w:sz w:val="24"/>
          <w:szCs w:val="24"/>
          <w:highlight w:val="none"/>
        </w:rPr>
      </w:pPr>
    </w:p>
    <w:p w14:paraId="4B766BA1">
      <w:pPr>
        <w:spacing w:line="360" w:lineRule="auto"/>
        <w:rPr>
          <w:rFonts w:hint="eastAsia" w:ascii="宋体" w:hAnsi="宋体" w:eastAsia="宋体" w:cs="宋体"/>
          <w:color w:val="auto"/>
          <w:sz w:val="24"/>
          <w:szCs w:val="24"/>
          <w:highlight w:val="none"/>
        </w:rPr>
      </w:pPr>
    </w:p>
    <w:p w14:paraId="33E0F80A">
      <w:pPr>
        <w:spacing w:line="360" w:lineRule="auto"/>
        <w:rPr>
          <w:rFonts w:hint="eastAsia" w:ascii="宋体" w:hAnsi="宋体" w:eastAsia="宋体" w:cs="宋体"/>
          <w:color w:val="auto"/>
          <w:sz w:val="24"/>
          <w:szCs w:val="24"/>
          <w:highlight w:val="none"/>
        </w:rPr>
      </w:pPr>
    </w:p>
    <w:p w14:paraId="6C569C33">
      <w:pPr>
        <w:spacing w:line="360" w:lineRule="auto"/>
        <w:rPr>
          <w:rFonts w:hint="eastAsia" w:ascii="宋体" w:hAnsi="宋体" w:eastAsia="宋体" w:cs="宋体"/>
          <w:color w:val="auto"/>
          <w:sz w:val="24"/>
          <w:szCs w:val="24"/>
          <w:highlight w:val="none"/>
        </w:rPr>
      </w:pPr>
    </w:p>
    <w:p w14:paraId="262CED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3F5B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7DE5E5BC">
      <w:pPr>
        <w:spacing w:line="360" w:lineRule="auto"/>
        <w:rPr>
          <w:rFonts w:hint="eastAsia" w:ascii="宋体" w:hAnsi="宋体" w:eastAsia="宋体" w:cs="宋体"/>
          <w:color w:val="auto"/>
          <w:sz w:val="24"/>
          <w:szCs w:val="24"/>
          <w:highlight w:val="none"/>
        </w:rPr>
      </w:pPr>
    </w:p>
    <w:p w14:paraId="6B82F2B2">
      <w:pPr>
        <w:spacing w:line="360" w:lineRule="auto"/>
        <w:outlineLvl w:val="0"/>
        <w:rPr>
          <w:rFonts w:hint="eastAsia" w:ascii="宋体" w:hAnsi="宋体" w:eastAsia="宋体" w:cs="宋体"/>
          <w:color w:val="auto"/>
          <w:sz w:val="24"/>
          <w:szCs w:val="24"/>
          <w:highlight w:val="none"/>
        </w:rPr>
      </w:pPr>
      <w:bookmarkStart w:id="317" w:name="_Toc14422"/>
      <w:r>
        <w:rPr>
          <w:rFonts w:hint="eastAsia" w:ascii="宋体" w:hAnsi="宋体" w:eastAsia="宋体" w:cs="宋体"/>
          <w:color w:val="auto"/>
          <w:sz w:val="24"/>
          <w:szCs w:val="24"/>
          <w:highlight w:val="none"/>
        </w:rPr>
        <w:br w:type="page"/>
      </w:r>
      <w:bookmarkStart w:id="318" w:name="_Toc11457"/>
      <w:bookmarkStart w:id="319" w:name="_Toc4757"/>
      <w:bookmarkStart w:id="320" w:name="_Toc11375"/>
      <w:bookmarkStart w:id="321" w:name="_Toc49431877"/>
      <w:bookmarkStart w:id="322" w:name="_Toc1632"/>
      <w:bookmarkStart w:id="323" w:name="_Toc7549"/>
      <w:bookmarkStart w:id="324" w:name="_Toc16968"/>
      <w:bookmarkStart w:id="325" w:name="_Toc4738"/>
      <w:bookmarkStart w:id="326" w:name="_Toc23612"/>
      <w:bookmarkStart w:id="327" w:name="_Toc18407"/>
      <w:r>
        <w:rPr>
          <w:rStyle w:val="45"/>
          <w:rFonts w:hint="eastAsia" w:ascii="宋体" w:hAnsi="宋体" w:eastAsia="宋体" w:cs="宋体"/>
          <w:b/>
          <w:bCs/>
          <w:color w:val="auto"/>
          <w:sz w:val="24"/>
          <w:szCs w:val="24"/>
          <w:highlight w:val="none"/>
        </w:rPr>
        <w:t>五、其他资料</w:t>
      </w:r>
      <w:bookmarkEnd w:id="317"/>
      <w:bookmarkEnd w:id="318"/>
      <w:bookmarkEnd w:id="319"/>
      <w:bookmarkEnd w:id="320"/>
      <w:bookmarkEnd w:id="321"/>
      <w:bookmarkEnd w:id="322"/>
      <w:bookmarkEnd w:id="323"/>
      <w:bookmarkEnd w:id="324"/>
      <w:bookmarkEnd w:id="325"/>
      <w:bookmarkEnd w:id="326"/>
      <w:bookmarkEnd w:id="327"/>
    </w:p>
    <w:p w14:paraId="07E068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20528A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总体情况介绍、其他与本项目有关的资料等。</w:t>
      </w:r>
    </w:p>
    <w:p w14:paraId="2C7ED2CD">
      <w:pPr>
        <w:spacing w:line="360" w:lineRule="auto"/>
        <w:rPr>
          <w:rFonts w:hint="eastAsia" w:ascii="宋体" w:hAnsi="宋体" w:eastAsia="宋体" w:cs="宋体"/>
          <w:color w:val="auto"/>
          <w:sz w:val="24"/>
          <w:szCs w:val="24"/>
          <w:highlight w:val="none"/>
        </w:rPr>
      </w:pPr>
    </w:p>
    <w:p w14:paraId="2CC233BC">
      <w:pPr>
        <w:spacing w:line="360" w:lineRule="auto"/>
        <w:rPr>
          <w:rFonts w:hint="eastAsia" w:ascii="宋体" w:hAnsi="宋体" w:eastAsia="宋体" w:cs="宋体"/>
          <w:color w:val="auto"/>
          <w:sz w:val="24"/>
          <w:szCs w:val="24"/>
          <w:highlight w:val="none"/>
        </w:rPr>
      </w:pPr>
    </w:p>
    <w:p w14:paraId="0B6FDC31">
      <w:pPr>
        <w:spacing w:line="360" w:lineRule="auto"/>
        <w:rPr>
          <w:rFonts w:hint="eastAsia" w:ascii="宋体" w:hAnsi="宋体" w:eastAsia="宋体" w:cs="宋体"/>
          <w:color w:val="auto"/>
          <w:sz w:val="24"/>
          <w:szCs w:val="24"/>
          <w:highlight w:val="none"/>
        </w:rPr>
      </w:pPr>
    </w:p>
    <w:p w14:paraId="460DDCCA">
      <w:pPr>
        <w:spacing w:line="360" w:lineRule="auto"/>
        <w:rPr>
          <w:rFonts w:hint="eastAsia" w:ascii="宋体" w:hAnsi="宋体" w:eastAsia="宋体" w:cs="宋体"/>
          <w:color w:val="auto"/>
          <w:sz w:val="24"/>
          <w:szCs w:val="24"/>
          <w:highlight w:val="none"/>
        </w:rPr>
      </w:pPr>
    </w:p>
    <w:p w14:paraId="28513525">
      <w:pPr>
        <w:spacing w:line="360" w:lineRule="auto"/>
        <w:rPr>
          <w:rFonts w:hint="eastAsia" w:ascii="宋体" w:hAnsi="宋体" w:eastAsia="宋体" w:cs="宋体"/>
          <w:color w:val="auto"/>
          <w:sz w:val="24"/>
          <w:szCs w:val="24"/>
          <w:highlight w:val="none"/>
        </w:rPr>
      </w:pPr>
    </w:p>
    <w:p w14:paraId="5C285FA8">
      <w:pPr>
        <w:spacing w:line="360" w:lineRule="auto"/>
        <w:rPr>
          <w:rFonts w:hint="eastAsia" w:ascii="宋体" w:hAnsi="宋体" w:eastAsia="宋体" w:cs="宋体"/>
          <w:color w:val="auto"/>
          <w:sz w:val="24"/>
          <w:szCs w:val="24"/>
          <w:highlight w:val="none"/>
        </w:rPr>
      </w:pPr>
    </w:p>
    <w:p w14:paraId="1E21546E">
      <w:pPr>
        <w:spacing w:line="360" w:lineRule="auto"/>
        <w:rPr>
          <w:rFonts w:hint="eastAsia" w:ascii="宋体" w:hAnsi="宋体" w:eastAsia="宋体" w:cs="宋体"/>
          <w:color w:val="auto"/>
          <w:sz w:val="24"/>
          <w:szCs w:val="24"/>
          <w:highlight w:val="none"/>
        </w:rPr>
      </w:pPr>
    </w:p>
    <w:p w14:paraId="1D26E192">
      <w:pPr>
        <w:spacing w:line="360" w:lineRule="auto"/>
        <w:rPr>
          <w:rFonts w:hint="eastAsia" w:ascii="宋体" w:hAnsi="宋体" w:eastAsia="宋体" w:cs="宋体"/>
          <w:color w:val="auto"/>
          <w:sz w:val="24"/>
          <w:szCs w:val="24"/>
          <w:highlight w:val="none"/>
        </w:rPr>
      </w:pPr>
    </w:p>
    <w:p w14:paraId="0F602BCD">
      <w:pPr>
        <w:spacing w:line="360" w:lineRule="auto"/>
        <w:rPr>
          <w:rFonts w:hint="eastAsia" w:ascii="宋体" w:hAnsi="宋体" w:eastAsia="宋体" w:cs="宋体"/>
          <w:color w:val="auto"/>
          <w:sz w:val="24"/>
          <w:szCs w:val="24"/>
          <w:highlight w:val="none"/>
        </w:rPr>
      </w:pPr>
    </w:p>
    <w:p w14:paraId="26BB274B">
      <w:pPr>
        <w:spacing w:line="360" w:lineRule="auto"/>
        <w:rPr>
          <w:rFonts w:hint="eastAsia" w:ascii="宋体" w:hAnsi="宋体" w:eastAsia="宋体" w:cs="宋体"/>
          <w:color w:val="auto"/>
          <w:sz w:val="24"/>
          <w:szCs w:val="24"/>
          <w:highlight w:val="none"/>
        </w:rPr>
      </w:pPr>
    </w:p>
    <w:p w14:paraId="5CEF1A93">
      <w:pPr>
        <w:spacing w:line="360" w:lineRule="auto"/>
        <w:rPr>
          <w:rFonts w:hint="eastAsia" w:ascii="宋体" w:hAnsi="宋体" w:eastAsia="宋体" w:cs="宋体"/>
          <w:color w:val="auto"/>
          <w:sz w:val="24"/>
          <w:szCs w:val="24"/>
          <w:highlight w:val="none"/>
        </w:rPr>
      </w:pPr>
    </w:p>
    <w:p w14:paraId="7B6D2488">
      <w:pPr>
        <w:spacing w:line="360" w:lineRule="auto"/>
        <w:rPr>
          <w:rFonts w:hint="eastAsia" w:ascii="宋体" w:hAnsi="宋体" w:eastAsia="宋体" w:cs="宋体"/>
          <w:color w:val="auto"/>
          <w:sz w:val="24"/>
          <w:szCs w:val="24"/>
          <w:highlight w:val="none"/>
        </w:rPr>
      </w:pPr>
    </w:p>
    <w:p w14:paraId="14212E32">
      <w:pPr>
        <w:spacing w:line="360" w:lineRule="auto"/>
        <w:rPr>
          <w:rFonts w:hint="eastAsia" w:ascii="宋体" w:hAnsi="宋体" w:eastAsia="宋体" w:cs="宋体"/>
          <w:color w:val="auto"/>
          <w:sz w:val="24"/>
          <w:szCs w:val="24"/>
          <w:highlight w:val="none"/>
        </w:rPr>
      </w:pPr>
    </w:p>
    <w:p w14:paraId="484D0107">
      <w:pPr>
        <w:spacing w:line="360" w:lineRule="auto"/>
        <w:rPr>
          <w:rFonts w:hint="eastAsia" w:ascii="宋体" w:hAnsi="宋体" w:eastAsia="宋体" w:cs="宋体"/>
          <w:color w:val="auto"/>
          <w:sz w:val="24"/>
          <w:szCs w:val="24"/>
          <w:highlight w:val="none"/>
        </w:rPr>
      </w:pPr>
    </w:p>
    <w:p w14:paraId="313364DE">
      <w:pPr>
        <w:spacing w:line="360" w:lineRule="auto"/>
        <w:rPr>
          <w:rFonts w:hint="eastAsia" w:ascii="宋体" w:hAnsi="宋体" w:eastAsia="宋体" w:cs="宋体"/>
          <w:color w:val="auto"/>
          <w:sz w:val="24"/>
          <w:szCs w:val="24"/>
          <w:highlight w:val="none"/>
        </w:rPr>
      </w:pPr>
    </w:p>
    <w:p w14:paraId="52CE8909">
      <w:pPr>
        <w:spacing w:line="360" w:lineRule="auto"/>
        <w:rPr>
          <w:rFonts w:hint="eastAsia" w:ascii="宋体" w:hAnsi="宋体" w:eastAsia="宋体" w:cs="宋体"/>
          <w:color w:val="auto"/>
          <w:sz w:val="24"/>
          <w:szCs w:val="24"/>
          <w:highlight w:val="none"/>
        </w:rPr>
      </w:pPr>
    </w:p>
    <w:p w14:paraId="7C1974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7423335C">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AC843B5">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DDF4A1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22B514A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B1BA289">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C2C0F7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E60BC0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047A32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1CA37C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78706DE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CDCC4FE">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4A850C2">
      <w:pPr>
        <w:pStyle w:val="4"/>
        <w:spacing w:line="360" w:lineRule="auto"/>
        <w:jc w:val="both"/>
        <w:outlineLvl w:val="0"/>
        <w:rPr>
          <w:rFonts w:hint="eastAsia" w:ascii="宋体" w:hAnsi="宋体" w:eastAsia="宋体" w:cs="宋体"/>
          <w:color w:val="auto"/>
          <w:highlight w:val="none"/>
        </w:rPr>
      </w:pPr>
      <w:bookmarkStart w:id="328" w:name="_Toc21097"/>
      <w:bookmarkStart w:id="329" w:name="_Toc32296"/>
      <w:bookmarkStart w:id="330" w:name="_Toc12461"/>
      <w:bookmarkStart w:id="331" w:name="_Toc19176"/>
      <w:bookmarkStart w:id="332" w:name="_Toc29206"/>
      <w:bookmarkStart w:id="333" w:name="_Toc21421"/>
      <w:r>
        <w:rPr>
          <w:rFonts w:hint="eastAsia" w:ascii="宋体" w:hAnsi="宋体" w:eastAsia="宋体" w:cs="宋体"/>
          <w:color w:val="auto"/>
          <w:sz w:val="24"/>
          <w:szCs w:val="24"/>
          <w:highlight w:val="none"/>
        </w:rPr>
        <w:t>附件：竞争性比选文件发售登记表</w:t>
      </w:r>
      <w:bookmarkEnd w:id="328"/>
      <w:bookmarkEnd w:id="329"/>
      <w:bookmarkEnd w:id="330"/>
      <w:bookmarkEnd w:id="331"/>
      <w:bookmarkEnd w:id="332"/>
      <w:bookmarkEnd w:id="333"/>
      <w:r>
        <w:rPr>
          <w:rFonts w:hint="eastAsia" w:ascii="宋体" w:hAnsi="宋体" w:eastAsia="宋体" w:cs="宋体"/>
          <w:color w:val="auto"/>
          <w:highlight w:val="none"/>
        </w:rPr>
        <w:t xml:space="preserve">         </w:t>
      </w:r>
    </w:p>
    <w:p w14:paraId="7B23A336">
      <w:pPr>
        <w:spacing w:line="360" w:lineRule="auto"/>
        <w:jc w:val="center"/>
        <w:outlineLvl w:val="0"/>
        <w:rPr>
          <w:rFonts w:hint="eastAsia" w:ascii="宋体" w:hAnsi="宋体" w:eastAsia="宋体" w:cs="宋体"/>
          <w:b/>
          <w:bCs/>
          <w:color w:val="auto"/>
          <w:spacing w:val="40"/>
          <w:highlight w:val="none"/>
        </w:rPr>
      </w:pPr>
      <w:bookmarkStart w:id="334" w:name="_Toc11576"/>
      <w:bookmarkStart w:id="335" w:name="_Toc20651"/>
      <w:bookmarkStart w:id="336" w:name="_Toc30933"/>
      <w:bookmarkStart w:id="337" w:name="_Toc24514"/>
      <w:r>
        <w:rPr>
          <w:rFonts w:hint="eastAsia" w:ascii="宋体" w:hAnsi="宋体" w:eastAsia="宋体" w:cs="宋体"/>
          <w:color w:val="auto"/>
          <w:sz w:val="44"/>
          <w:szCs w:val="44"/>
          <w:highlight w:val="none"/>
        </w:rPr>
        <w:t>竞争性比选文件发售登记表</w:t>
      </w:r>
      <w:bookmarkEnd w:id="334"/>
      <w:bookmarkEnd w:id="335"/>
      <w:bookmarkEnd w:id="336"/>
      <w:bookmarkEnd w:id="337"/>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260"/>
        <w:gridCol w:w="4835"/>
      </w:tblGrid>
      <w:tr w14:paraId="41887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4EB8672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tc>
        <w:tc>
          <w:tcPr>
            <w:tcW w:w="7938" w:type="dxa"/>
            <w:gridSpan w:val="3"/>
            <w:noWrap w:val="0"/>
            <w:vAlign w:val="center"/>
          </w:tcPr>
          <w:p w14:paraId="6F7F1CC4">
            <w:pPr>
              <w:adjustRightInd w:val="0"/>
              <w:spacing w:line="360" w:lineRule="auto"/>
              <w:jc w:val="center"/>
              <w:rPr>
                <w:rFonts w:hint="eastAsia" w:ascii="宋体" w:hAnsi="宋体" w:eastAsia="宋体" w:cs="宋体"/>
                <w:color w:val="auto"/>
                <w:sz w:val="30"/>
                <w:szCs w:val="30"/>
                <w:lang w:val="en-US" w:eastAsia="zh-CN"/>
              </w:rPr>
            </w:pPr>
            <w:r>
              <w:rPr>
                <w:rFonts w:hint="eastAsia" w:ascii="宋体" w:hAnsi="宋体" w:eastAsia="宋体" w:cs="宋体"/>
                <w:b/>
                <w:color w:val="auto"/>
                <w:sz w:val="32"/>
                <w:szCs w:val="32"/>
                <w:highlight w:val="none"/>
                <w:lang w:val="en-US" w:eastAsia="zh-CN"/>
              </w:rPr>
              <w:t>CQDYC-2025-05</w:t>
            </w:r>
          </w:p>
        </w:tc>
      </w:tr>
      <w:tr w14:paraId="0F68E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09" w:type="dxa"/>
            <w:noWrap w:val="0"/>
            <w:vAlign w:val="center"/>
          </w:tcPr>
          <w:p w14:paraId="5CEAD73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7938" w:type="dxa"/>
            <w:gridSpan w:val="3"/>
            <w:noWrap w:val="0"/>
            <w:vAlign w:val="center"/>
          </w:tcPr>
          <w:p w14:paraId="1BDB18AB">
            <w:pPr>
              <w:spacing w:line="360" w:lineRule="auto"/>
              <w:jc w:val="center"/>
              <w:outlineLvl w:val="9"/>
              <w:rPr>
                <w:rFonts w:hint="eastAsia" w:ascii="宋体" w:hAnsi="宋体" w:eastAsia="宋体" w:cs="宋体"/>
                <w:color w:val="auto"/>
                <w:sz w:val="30"/>
                <w:szCs w:val="30"/>
              </w:rPr>
            </w:pPr>
          </w:p>
        </w:tc>
      </w:tr>
      <w:tr w14:paraId="0FEF6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9" w:type="dxa"/>
            <w:noWrap w:val="0"/>
            <w:vAlign w:val="center"/>
          </w:tcPr>
          <w:p w14:paraId="55357DC3">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供应商名称</w:t>
            </w:r>
          </w:p>
        </w:tc>
        <w:tc>
          <w:tcPr>
            <w:tcW w:w="7938" w:type="dxa"/>
            <w:gridSpan w:val="3"/>
            <w:noWrap w:val="0"/>
            <w:vAlign w:val="center"/>
          </w:tcPr>
          <w:p w14:paraId="5240D56E">
            <w:pPr>
              <w:spacing w:line="360" w:lineRule="auto"/>
              <w:jc w:val="center"/>
              <w:rPr>
                <w:rFonts w:hint="eastAsia" w:ascii="宋体" w:hAnsi="宋体" w:eastAsia="宋体" w:cs="宋体"/>
                <w:color w:val="auto"/>
                <w:sz w:val="30"/>
                <w:szCs w:val="30"/>
              </w:rPr>
            </w:pPr>
          </w:p>
        </w:tc>
      </w:tr>
      <w:tr w14:paraId="7048E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66E4B933">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w:t>
            </w:r>
          </w:p>
        </w:tc>
        <w:tc>
          <w:tcPr>
            <w:tcW w:w="1843" w:type="dxa"/>
            <w:noWrap w:val="0"/>
            <w:vAlign w:val="center"/>
          </w:tcPr>
          <w:p w14:paraId="02006BD2">
            <w:pPr>
              <w:spacing w:line="360" w:lineRule="auto"/>
              <w:jc w:val="left"/>
              <w:rPr>
                <w:rFonts w:hint="eastAsia" w:ascii="宋体" w:hAnsi="宋体" w:eastAsia="宋体" w:cs="宋体"/>
                <w:color w:val="auto"/>
                <w:sz w:val="30"/>
                <w:szCs w:val="30"/>
              </w:rPr>
            </w:pPr>
          </w:p>
        </w:tc>
        <w:tc>
          <w:tcPr>
            <w:tcW w:w="1260" w:type="dxa"/>
            <w:noWrap w:val="0"/>
            <w:vAlign w:val="center"/>
          </w:tcPr>
          <w:p w14:paraId="5CB84EAD">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手机</w:t>
            </w:r>
          </w:p>
        </w:tc>
        <w:tc>
          <w:tcPr>
            <w:tcW w:w="4835" w:type="dxa"/>
            <w:noWrap w:val="0"/>
            <w:vAlign w:val="center"/>
          </w:tcPr>
          <w:p w14:paraId="2C20D1D3">
            <w:pPr>
              <w:spacing w:line="360" w:lineRule="auto"/>
              <w:jc w:val="left"/>
              <w:rPr>
                <w:rFonts w:hint="eastAsia" w:ascii="宋体" w:hAnsi="宋体" w:eastAsia="宋体" w:cs="宋体"/>
                <w:color w:val="auto"/>
                <w:sz w:val="30"/>
                <w:szCs w:val="30"/>
              </w:rPr>
            </w:pPr>
          </w:p>
        </w:tc>
      </w:tr>
      <w:tr w14:paraId="1C62C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28587497">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1843" w:type="dxa"/>
            <w:noWrap w:val="0"/>
            <w:vAlign w:val="center"/>
          </w:tcPr>
          <w:p w14:paraId="6B5886E8">
            <w:pPr>
              <w:spacing w:line="360" w:lineRule="auto"/>
              <w:jc w:val="left"/>
              <w:rPr>
                <w:rFonts w:hint="eastAsia" w:ascii="宋体" w:hAnsi="宋体" w:eastAsia="宋体" w:cs="宋体"/>
                <w:color w:val="auto"/>
                <w:sz w:val="30"/>
                <w:szCs w:val="30"/>
              </w:rPr>
            </w:pPr>
          </w:p>
        </w:tc>
        <w:tc>
          <w:tcPr>
            <w:tcW w:w="1260" w:type="dxa"/>
            <w:noWrap w:val="0"/>
            <w:vAlign w:val="center"/>
          </w:tcPr>
          <w:p w14:paraId="2C865B21">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传真</w:t>
            </w:r>
          </w:p>
        </w:tc>
        <w:tc>
          <w:tcPr>
            <w:tcW w:w="4835" w:type="dxa"/>
            <w:noWrap w:val="0"/>
            <w:vAlign w:val="center"/>
          </w:tcPr>
          <w:p w14:paraId="7DEE42A4">
            <w:pPr>
              <w:spacing w:line="360" w:lineRule="auto"/>
              <w:jc w:val="left"/>
              <w:rPr>
                <w:rFonts w:hint="eastAsia" w:ascii="宋体" w:hAnsi="宋体" w:eastAsia="宋体" w:cs="宋体"/>
                <w:color w:val="auto"/>
                <w:sz w:val="30"/>
                <w:szCs w:val="30"/>
              </w:rPr>
            </w:pPr>
          </w:p>
        </w:tc>
      </w:tr>
      <w:tr w14:paraId="023E9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D537615">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E-mail</w:t>
            </w:r>
          </w:p>
        </w:tc>
        <w:tc>
          <w:tcPr>
            <w:tcW w:w="7938" w:type="dxa"/>
            <w:gridSpan w:val="3"/>
            <w:noWrap w:val="0"/>
            <w:vAlign w:val="center"/>
          </w:tcPr>
          <w:p w14:paraId="2642D33E">
            <w:pPr>
              <w:spacing w:line="360" w:lineRule="auto"/>
              <w:jc w:val="left"/>
              <w:rPr>
                <w:rFonts w:hint="eastAsia" w:ascii="宋体" w:hAnsi="宋体" w:eastAsia="宋体" w:cs="宋体"/>
                <w:color w:val="auto"/>
                <w:sz w:val="30"/>
                <w:szCs w:val="30"/>
              </w:rPr>
            </w:pPr>
          </w:p>
          <w:p w14:paraId="50FFFBBF">
            <w:pPr>
              <w:pStyle w:val="4"/>
              <w:spacing w:line="360" w:lineRule="auto"/>
              <w:outlineLvl w:val="9"/>
              <w:rPr>
                <w:rFonts w:hint="eastAsia" w:ascii="宋体" w:hAnsi="宋体" w:eastAsia="宋体" w:cs="宋体"/>
                <w:color w:val="auto"/>
              </w:rPr>
            </w:pPr>
          </w:p>
        </w:tc>
      </w:tr>
      <w:tr w14:paraId="7754B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B101E28">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单位地址</w:t>
            </w:r>
          </w:p>
        </w:tc>
        <w:tc>
          <w:tcPr>
            <w:tcW w:w="7938" w:type="dxa"/>
            <w:gridSpan w:val="3"/>
            <w:noWrap w:val="0"/>
            <w:vAlign w:val="center"/>
          </w:tcPr>
          <w:p w14:paraId="5652AA29">
            <w:pPr>
              <w:spacing w:line="360" w:lineRule="auto"/>
              <w:jc w:val="left"/>
              <w:rPr>
                <w:rFonts w:hint="eastAsia" w:ascii="宋体" w:hAnsi="宋体" w:eastAsia="宋体" w:cs="宋体"/>
                <w:color w:val="auto"/>
                <w:sz w:val="30"/>
                <w:szCs w:val="30"/>
              </w:rPr>
            </w:pPr>
          </w:p>
          <w:p w14:paraId="371AFFF5">
            <w:pPr>
              <w:pStyle w:val="4"/>
              <w:spacing w:line="360" w:lineRule="auto"/>
              <w:outlineLvl w:val="9"/>
              <w:rPr>
                <w:rFonts w:hint="eastAsia" w:ascii="宋体" w:hAnsi="宋体" w:eastAsia="宋体" w:cs="宋体"/>
                <w:color w:val="auto"/>
              </w:rPr>
            </w:pPr>
          </w:p>
        </w:tc>
      </w:tr>
      <w:tr w14:paraId="64DC5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747" w:type="dxa"/>
            <w:gridSpan w:val="4"/>
            <w:noWrap w:val="0"/>
            <w:vAlign w:val="center"/>
          </w:tcPr>
          <w:p w14:paraId="3E4142D2">
            <w:pPr>
              <w:spacing w:line="360" w:lineRule="auto"/>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分包号及分包名称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w:t>
            </w:r>
          </w:p>
        </w:tc>
      </w:tr>
      <w:tr w14:paraId="4C460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7" w:type="dxa"/>
            <w:gridSpan w:val="4"/>
            <w:noWrap w:val="0"/>
            <w:vAlign w:val="center"/>
          </w:tcPr>
          <w:p w14:paraId="22508229">
            <w:pPr>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分包号：</w:t>
            </w:r>
            <w:r>
              <w:rPr>
                <w:rFonts w:hint="eastAsia" w:ascii="宋体" w:hAnsi="宋体" w:eastAsia="宋体" w:cs="宋体"/>
                <w:color w:val="auto"/>
                <w:sz w:val="28"/>
                <w:szCs w:val="28"/>
                <w:lang w:val="en-US" w:eastAsia="zh-CN"/>
              </w:rPr>
              <w:t>/</w:t>
            </w:r>
          </w:p>
        </w:tc>
      </w:tr>
      <w:tr w14:paraId="150AF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7" w:type="dxa"/>
            <w:gridSpan w:val="4"/>
            <w:noWrap w:val="0"/>
            <w:vAlign w:val="center"/>
          </w:tcPr>
          <w:p w14:paraId="1F3BF32C">
            <w:pPr>
              <w:spacing w:line="360" w:lineRule="auto"/>
              <w:outlineLvl w:val="0"/>
              <w:rPr>
                <w:rFonts w:hint="eastAsia" w:ascii="宋体" w:hAnsi="宋体" w:eastAsia="宋体" w:cs="宋体"/>
                <w:color w:val="auto"/>
                <w:sz w:val="28"/>
                <w:szCs w:val="28"/>
                <w:lang w:val="en-US" w:eastAsia="zh-CN"/>
              </w:rPr>
            </w:pPr>
            <w:bookmarkStart w:id="338" w:name="_Toc522"/>
            <w:bookmarkStart w:id="339" w:name="_Toc1178"/>
            <w:bookmarkStart w:id="340" w:name="_Toc16031"/>
            <w:bookmarkStart w:id="341" w:name="_Toc14158"/>
            <w:r>
              <w:rPr>
                <w:rFonts w:hint="eastAsia" w:ascii="宋体" w:hAnsi="宋体" w:eastAsia="宋体" w:cs="宋体"/>
                <w:color w:val="auto"/>
                <w:sz w:val="28"/>
                <w:szCs w:val="28"/>
              </w:rPr>
              <w:t>分包名称</w:t>
            </w:r>
            <w:r>
              <w:rPr>
                <w:rFonts w:hint="eastAsia" w:ascii="宋体" w:hAnsi="宋体" w:eastAsia="宋体" w:cs="宋体"/>
                <w:color w:val="auto"/>
                <w:sz w:val="30"/>
                <w:szCs w:val="30"/>
              </w:rPr>
              <w:t>：</w:t>
            </w:r>
            <w:bookmarkEnd w:id="338"/>
            <w:bookmarkEnd w:id="339"/>
            <w:bookmarkEnd w:id="340"/>
            <w:bookmarkEnd w:id="341"/>
            <w:r>
              <w:rPr>
                <w:rFonts w:hint="eastAsia" w:ascii="宋体" w:hAnsi="宋体" w:eastAsia="宋体" w:cs="宋体"/>
                <w:color w:val="auto"/>
                <w:sz w:val="30"/>
                <w:szCs w:val="30"/>
                <w:lang w:val="en-US" w:eastAsia="zh-CN"/>
              </w:rPr>
              <w:t>/</w:t>
            </w:r>
          </w:p>
        </w:tc>
      </w:tr>
      <w:tr w14:paraId="21006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747" w:type="dxa"/>
            <w:gridSpan w:val="4"/>
            <w:noWrap w:val="0"/>
            <w:vAlign w:val="center"/>
          </w:tcPr>
          <w:p w14:paraId="7B29C8B2">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78C72648">
            <w:pPr>
              <w:spacing w:line="360" w:lineRule="auto"/>
              <w:jc w:val="left"/>
              <w:rPr>
                <w:rFonts w:hint="eastAsia" w:ascii="宋体" w:hAnsi="宋体" w:eastAsia="宋体" w:cs="宋体"/>
                <w:color w:val="auto"/>
                <w:sz w:val="30"/>
                <w:szCs w:val="30"/>
              </w:rPr>
            </w:pPr>
          </w:p>
          <w:p w14:paraId="5C7FAFBE">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日    </w:t>
            </w:r>
          </w:p>
        </w:tc>
      </w:tr>
    </w:tbl>
    <w:p w14:paraId="641AAACA">
      <w:pPr>
        <w:tabs>
          <w:tab w:val="left" w:pos="6300"/>
        </w:tabs>
        <w:snapToGrid w:val="0"/>
        <w:spacing w:line="360" w:lineRule="auto"/>
        <w:ind w:firstLine="560"/>
        <w:jc w:val="center"/>
        <w:rPr>
          <w:rFonts w:hint="eastAsia" w:ascii="宋体" w:hAnsi="宋体" w:eastAsia="宋体" w:cs="宋体"/>
          <w:color w:val="auto"/>
          <w:sz w:val="24"/>
          <w:szCs w:val="24"/>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05EEDB09-5FDA-40AA-94D6-BF2872C99C52}"/>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F9EFF319-E3C0-4687-9239-CF69432DDC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C7C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2FD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22FD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5BEC">
    <w:pPr>
      <w:pStyle w:val="18"/>
      <w:framePr w:wrap="around" w:vAnchor="text" w:hAnchor="margin" w:xAlign="center" w:y="1"/>
      <w:rPr>
        <w:rStyle w:val="31"/>
      </w:rPr>
    </w:pPr>
    <w:r>
      <w:fldChar w:fldCharType="begin"/>
    </w:r>
    <w:r>
      <w:rPr>
        <w:rStyle w:val="31"/>
      </w:rPr>
      <w:instrText xml:space="preserve">PAGE  </w:instrText>
    </w:r>
    <w:r>
      <w:fldChar w:fldCharType="separate"/>
    </w:r>
    <w:r>
      <w:fldChar w:fldCharType="end"/>
    </w:r>
  </w:p>
  <w:p w14:paraId="13CB072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F167">
    <w:pPr>
      <w:pStyle w:val="1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23A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B423A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2C48">
    <w:pPr>
      <w:pStyle w:val="18"/>
      <w:tabs>
        <w:tab w:val="center" w:pos="4819"/>
        <w:tab w:val="clear" w:pos="4153"/>
      </w:tabs>
      <w:rPr>
        <w:b/>
        <w:bC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0C9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20C9B8">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EF08">
    <w:pPr>
      <w:pStyle w:val="18"/>
      <w:tabs>
        <w:tab w:val="center" w:pos="4819"/>
        <w:tab w:val="clear" w:pos="4153"/>
      </w:tabs>
      <w:rPr>
        <w:b/>
        <w:b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670CE">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7670CE">
                    <w:pPr>
                      <w:pStyle w:val="1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BEDB">
    <w:pPr>
      <w:pStyle w:val="19"/>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A89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A7EE">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9CC">
    <w:pPr>
      <w:pStyle w:val="19"/>
      <w:jc w:val="both"/>
      <w:rPr>
        <w:rFonts w:hint="eastAsia" w:ascii="仿宋" w:hAnsi="仿宋" w:eastAsia="仿宋" w:cs="仿宋"/>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9F45"/>
    <w:multiLevelType w:val="singleLevel"/>
    <w:tmpl w:val="A1C29F45"/>
    <w:lvl w:ilvl="0" w:tentative="0">
      <w:start w:val="5"/>
      <w:numFmt w:val="chineseCounting"/>
      <w:suff w:val="nothing"/>
      <w:lvlText w:val="%1、"/>
      <w:lvlJc w:val="left"/>
      <w:rPr>
        <w:rFonts w:hint="eastAsia"/>
      </w:rPr>
    </w:lvl>
  </w:abstractNum>
  <w:abstractNum w:abstractNumId="1">
    <w:nsid w:val="A2CCBCEB"/>
    <w:multiLevelType w:val="singleLevel"/>
    <w:tmpl w:val="A2CCBCEB"/>
    <w:lvl w:ilvl="0" w:tentative="0">
      <w:start w:val="1"/>
      <w:numFmt w:val="decimal"/>
      <w:lvlText w:val="%1."/>
      <w:lvlJc w:val="left"/>
      <w:pPr>
        <w:tabs>
          <w:tab w:val="left" w:pos="312"/>
        </w:tabs>
      </w:pPr>
    </w:lvl>
  </w:abstractNum>
  <w:abstractNum w:abstractNumId="2">
    <w:nsid w:val="A620B950"/>
    <w:multiLevelType w:val="singleLevel"/>
    <w:tmpl w:val="A620B950"/>
    <w:lvl w:ilvl="0" w:tentative="0">
      <w:start w:val="1"/>
      <w:numFmt w:val="decimal"/>
      <w:suff w:val="nothing"/>
      <w:lvlText w:val="%1、"/>
      <w:lvlJc w:val="left"/>
    </w:lvl>
  </w:abstractNum>
  <w:abstractNum w:abstractNumId="3">
    <w:nsid w:val="AF5E6BD6"/>
    <w:multiLevelType w:val="singleLevel"/>
    <w:tmpl w:val="AF5E6BD6"/>
    <w:lvl w:ilvl="0" w:tentative="0">
      <w:start w:val="3"/>
      <w:numFmt w:val="chineseCounting"/>
      <w:suff w:val="nothing"/>
      <w:lvlText w:val="%1、"/>
      <w:lvlJc w:val="left"/>
      <w:rPr>
        <w:rFonts w:hint="eastAsia"/>
      </w:rPr>
    </w:lvl>
  </w:abstractNum>
  <w:abstractNum w:abstractNumId="4">
    <w:nsid w:val="2864A663"/>
    <w:multiLevelType w:val="singleLevel"/>
    <w:tmpl w:val="2864A663"/>
    <w:lvl w:ilvl="0" w:tentative="0">
      <w:start w:val="2"/>
      <w:numFmt w:val="chineseCounting"/>
      <w:suff w:val="nothing"/>
      <w:lvlText w:val="（%1）"/>
      <w:lvlJc w:val="left"/>
      <w:rPr>
        <w:rFonts w:hint="eastAsia"/>
      </w:rPr>
    </w:lvl>
  </w:abstractNum>
  <w:abstractNum w:abstractNumId="5">
    <w:nsid w:val="40DC5BB8"/>
    <w:multiLevelType w:val="singleLevel"/>
    <w:tmpl w:val="40DC5BB8"/>
    <w:lvl w:ilvl="0" w:tentative="0">
      <w:start w:val="2"/>
      <w:numFmt w:val="chineseCounting"/>
      <w:suff w:val="nothing"/>
      <w:lvlText w:val="%1、"/>
      <w:lvlJc w:val="left"/>
      <w:rPr>
        <w:rFonts w:hint="eastAsia"/>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ODg4ODI0ZjczZjBkMWQyMjRjOWU4M2Q0MzZmODkifQ=="/>
  </w:docVars>
  <w:rsids>
    <w:rsidRoot w:val="007A16A6"/>
    <w:rsid w:val="00001F79"/>
    <w:rsid w:val="000E7463"/>
    <w:rsid w:val="004371E3"/>
    <w:rsid w:val="00483F46"/>
    <w:rsid w:val="00485C2C"/>
    <w:rsid w:val="00591057"/>
    <w:rsid w:val="006E5E11"/>
    <w:rsid w:val="007A16A6"/>
    <w:rsid w:val="00967338"/>
    <w:rsid w:val="00972965"/>
    <w:rsid w:val="009A23AB"/>
    <w:rsid w:val="00AC648B"/>
    <w:rsid w:val="00B12A73"/>
    <w:rsid w:val="00BA5DF6"/>
    <w:rsid w:val="00D10673"/>
    <w:rsid w:val="00D51730"/>
    <w:rsid w:val="00D52756"/>
    <w:rsid w:val="00D53746"/>
    <w:rsid w:val="00E91541"/>
    <w:rsid w:val="00FA10C8"/>
    <w:rsid w:val="00FC5295"/>
    <w:rsid w:val="00FE3AF9"/>
    <w:rsid w:val="011801B4"/>
    <w:rsid w:val="01583118"/>
    <w:rsid w:val="015E3A12"/>
    <w:rsid w:val="01872593"/>
    <w:rsid w:val="01D41FEB"/>
    <w:rsid w:val="01E0649E"/>
    <w:rsid w:val="01EA636A"/>
    <w:rsid w:val="01F11601"/>
    <w:rsid w:val="02013B6C"/>
    <w:rsid w:val="02016828"/>
    <w:rsid w:val="02186A33"/>
    <w:rsid w:val="02362B3B"/>
    <w:rsid w:val="024C0DD3"/>
    <w:rsid w:val="02531CA3"/>
    <w:rsid w:val="02533878"/>
    <w:rsid w:val="02555213"/>
    <w:rsid w:val="028E2BE3"/>
    <w:rsid w:val="02900CBF"/>
    <w:rsid w:val="0294794D"/>
    <w:rsid w:val="02AD7D25"/>
    <w:rsid w:val="02B67E79"/>
    <w:rsid w:val="02BD7F57"/>
    <w:rsid w:val="02C848FD"/>
    <w:rsid w:val="02D07A91"/>
    <w:rsid w:val="02D50DC8"/>
    <w:rsid w:val="02EC19C0"/>
    <w:rsid w:val="02FC0103"/>
    <w:rsid w:val="03011D41"/>
    <w:rsid w:val="030B47EA"/>
    <w:rsid w:val="031B20B6"/>
    <w:rsid w:val="032338E1"/>
    <w:rsid w:val="032A1D61"/>
    <w:rsid w:val="032D0F7E"/>
    <w:rsid w:val="033428D7"/>
    <w:rsid w:val="03465822"/>
    <w:rsid w:val="035241C7"/>
    <w:rsid w:val="035B02C4"/>
    <w:rsid w:val="035E0DBD"/>
    <w:rsid w:val="036C5B3B"/>
    <w:rsid w:val="038A570F"/>
    <w:rsid w:val="03955EC9"/>
    <w:rsid w:val="03975CFC"/>
    <w:rsid w:val="039E10EB"/>
    <w:rsid w:val="03B510E0"/>
    <w:rsid w:val="03B66D3C"/>
    <w:rsid w:val="03EF6039"/>
    <w:rsid w:val="03F93983"/>
    <w:rsid w:val="03FF7DE1"/>
    <w:rsid w:val="04162652"/>
    <w:rsid w:val="041D6583"/>
    <w:rsid w:val="04274F2B"/>
    <w:rsid w:val="044B0558"/>
    <w:rsid w:val="04574102"/>
    <w:rsid w:val="0473288B"/>
    <w:rsid w:val="048644D3"/>
    <w:rsid w:val="04866AD2"/>
    <w:rsid w:val="048A2FCF"/>
    <w:rsid w:val="04BE4941"/>
    <w:rsid w:val="04C210B5"/>
    <w:rsid w:val="04D806FC"/>
    <w:rsid w:val="04DA26C6"/>
    <w:rsid w:val="04F35297"/>
    <w:rsid w:val="04FB243E"/>
    <w:rsid w:val="051C0AFA"/>
    <w:rsid w:val="05243941"/>
    <w:rsid w:val="05545379"/>
    <w:rsid w:val="058E1529"/>
    <w:rsid w:val="05912AC6"/>
    <w:rsid w:val="05924D4E"/>
    <w:rsid w:val="05A21435"/>
    <w:rsid w:val="05AE3AE8"/>
    <w:rsid w:val="05C55124"/>
    <w:rsid w:val="05CF5FA2"/>
    <w:rsid w:val="05E21BDB"/>
    <w:rsid w:val="05E7729D"/>
    <w:rsid w:val="05ED5DDC"/>
    <w:rsid w:val="05FC0C11"/>
    <w:rsid w:val="06075142"/>
    <w:rsid w:val="06106453"/>
    <w:rsid w:val="062C120A"/>
    <w:rsid w:val="0633208D"/>
    <w:rsid w:val="065546FA"/>
    <w:rsid w:val="066466EB"/>
    <w:rsid w:val="06647D53"/>
    <w:rsid w:val="06683691"/>
    <w:rsid w:val="06745A21"/>
    <w:rsid w:val="067A40B5"/>
    <w:rsid w:val="069B7C33"/>
    <w:rsid w:val="06B86A37"/>
    <w:rsid w:val="06CE1DB6"/>
    <w:rsid w:val="070B125C"/>
    <w:rsid w:val="071023CF"/>
    <w:rsid w:val="07183F2F"/>
    <w:rsid w:val="071C6FC5"/>
    <w:rsid w:val="07231007"/>
    <w:rsid w:val="072D6361"/>
    <w:rsid w:val="072E5CE5"/>
    <w:rsid w:val="073A1725"/>
    <w:rsid w:val="07487DBA"/>
    <w:rsid w:val="0765096C"/>
    <w:rsid w:val="0768045D"/>
    <w:rsid w:val="07853019"/>
    <w:rsid w:val="078B414B"/>
    <w:rsid w:val="078E4A89"/>
    <w:rsid w:val="07A34FF1"/>
    <w:rsid w:val="07C826CF"/>
    <w:rsid w:val="07CD1340"/>
    <w:rsid w:val="07E35D35"/>
    <w:rsid w:val="07ED0962"/>
    <w:rsid w:val="080D4B60"/>
    <w:rsid w:val="0826408A"/>
    <w:rsid w:val="082C148A"/>
    <w:rsid w:val="0830253D"/>
    <w:rsid w:val="08314CF2"/>
    <w:rsid w:val="083640B7"/>
    <w:rsid w:val="08404F36"/>
    <w:rsid w:val="084E7652"/>
    <w:rsid w:val="089D4B4D"/>
    <w:rsid w:val="089D5EE4"/>
    <w:rsid w:val="08A2174C"/>
    <w:rsid w:val="08AC4379"/>
    <w:rsid w:val="08FB476A"/>
    <w:rsid w:val="08FF3F01"/>
    <w:rsid w:val="094822F4"/>
    <w:rsid w:val="096A2333"/>
    <w:rsid w:val="09862E1C"/>
    <w:rsid w:val="09A74F2C"/>
    <w:rsid w:val="09AA4D5C"/>
    <w:rsid w:val="09AD03A9"/>
    <w:rsid w:val="09C06C05"/>
    <w:rsid w:val="09D0079B"/>
    <w:rsid w:val="09E00043"/>
    <w:rsid w:val="09F63AFE"/>
    <w:rsid w:val="09FB1114"/>
    <w:rsid w:val="0A0A1357"/>
    <w:rsid w:val="0A0C30B6"/>
    <w:rsid w:val="0A3463D4"/>
    <w:rsid w:val="0A516121"/>
    <w:rsid w:val="0A621193"/>
    <w:rsid w:val="0A83110A"/>
    <w:rsid w:val="0A901F39"/>
    <w:rsid w:val="0A904DE1"/>
    <w:rsid w:val="0A9D56F2"/>
    <w:rsid w:val="0A9F0CE3"/>
    <w:rsid w:val="0AA90B70"/>
    <w:rsid w:val="0ACC485F"/>
    <w:rsid w:val="0AD100C7"/>
    <w:rsid w:val="0AD37F74"/>
    <w:rsid w:val="0AD72553"/>
    <w:rsid w:val="0AF03457"/>
    <w:rsid w:val="0AF10769"/>
    <w:rsid w:val="0AFD5233"/>
    <w:rsid w:val="0AFF2E86"/>
    <w:rsid w:val="0B0E131B"/>
    <w:rsid w:val="0B1D0446"/>
    <w:rsid w:val="0B21487A"/>
    <w:rsid w:val="0B64584D"/>
    <w:rsid w:val="0B680A2B"/>
    <w:rsid w:val="0B7E74F7"/>
    <w:rsid w:val="0B980BE5"/>
    <w:rsid w:val="0B9C2483"/>
    <w:rsid w:val="0BA85C6E"/>
    <w:rsid w:val="0BBD429F"/>
    <w:rsid w:val="0BBE064B"/>
    <w:rsid w:val="0BC11EE9"/>
    <w:rsid w:val="0BC5122A"/>
    <w:rsid w:val="0C0A3ED7"/>
    <w:rsid w:val="0C1A35AD"/>
    <w:rsid w:val="0C2601D9"/>
    <w:rsid w:val="0C2B3807"/>
    <w:rsid w:val="0C340E02"/>
    <w:rsid w:val="0C50326D"/>
    <w:rsid w:val="0C6122B2"/>
    <w:rsid w:val="0C6D06E2"/>
    <w:rsid w:val="0C727688"/>
    <w:rsid w:val="0C7F57E9"/>
    <w:rsid w:val="0CB35CD6"/>
    <w:rsid w:val="0CC46135"/>
    <w:rsid w:val="0CE31135"/>
    <w:rsid w:val="0CE94E0E"/>
    <w:rsid w:val="0CF06F2A"/>
    <w:rsid w:val="0CF956B3"/>
    <w:rsid w:val="0D135FD2"/>
    <w:rsid w:val="0D2F254C"/>
    <w:rsid w:val="0D5A6955"/>
    <w:rsid w:val="0D6C40D7"/>
    <w:rsid w:val="0D780CCE"/>
    <w:rsid w:val="0D9345EC"/>
    <w:rsid w:val="0DC15B08"/>
    <w:rsid w:val="0DD644D9"/>
    <w:rsid w:val="0DF800CB"/>
    <w:rsid w:val="0E12593E"/>
    <w:rsid w:val="0E2055ED"/>
    <w:rsid w:val="0E460DCC"/>
    <w:rsid w:val="0E49753B"/>
    <w:rsid w:val="0E9E3195"/>
    <w:rsid w:val="0EA63619"/>
    <w:rsid w:val="0EA909C5"/>
    <w:rsid w:val="0EBA1B76"/>
    <w:rsid w:val="0ECA4CFE"/>
    <w:rsid w:val="0ECE329B"/>
    <w:rsid w:val="0EEB0949"/>
    <w:rsid w:val="0EED3AD5"/>
    <w:rsid w:val="0F126B2F"/>
    <w:rsid w:val="0F1420B5"/>
    <w:rsid w:val="0F1A028E"/>
    <w:rsid w:val="0F4C41C0"/>
    <w:rsid w:val="0F4F5A5E"/>
    <w:rsid w:val="0F7A6104"/>
    <w:rsid w:val="0FA933C0"/>
    <w:rsid w:val="0FAF179D"/>
    <w:rsid w:val="0FF744AF"/>
    <w:rsid w:val="10172A20"/>
    <w:rsid w:val="101833B4"/>
    <w:rsid w:val="102B2027"/>
    <w:rsid w:val="102D2243"/>
    <w:rsid w:val="107C6D27"/>
    <w:rsid w:val="108765D6"/>
    <w:rsid w:val="108E2A27"/>
    <w:rsid w:val="10905347"/>
    <w:rsid w:val="10C009C2"/>
    <w:rsid w:val="10CA5CE4"/>
    <w:rsid w:val="10D91A83"/>
    <w:rsid w:val="10F644F5"/>
    <w:rsid w:val="110A4F79"/>
    <w:rsid w:val="110C1E59"/>
    <w:rsid w:val="112836B9"/>
    <w:rsid w:val="11317B11"/>
    <w:rsid w:val="1134315E"/>
    <w:rsid w:val="11496C09"/>
    <w:rsid w:val="114B1B78"/>
    <w:rsid w:val="11542D1E"/>
    <w:rsid w:val="11553800"/>
    <w:rsid w:val="11625F1D"/>
    <w:rsid w:val="116574B4"/>
    <w:rsid w:val="11836E7B"/>
    <w:rsid w:val="118801A1"/>
    <w:rsid w:val="11A27B01"/>
    <w:rsid w:val="11D840DD"/>
    <w:rsid w:val="11D84797"/>
    <w:rsid w:val="11E01CC0"/>
    <w:rsid w:val="11E10C03"/>
    <w:rsid w:val="12137217"/>
    <w:rsid w:val="121470EA"/>
    <w:rsid w:val="121E4192"/>
    <w:rsid w:val="1232769D"/>
    <w:rsid w:val="125C6E10"/>
    <w:rsid w:val="12701699"/>
    <w:rsid w:val="12863E8D"/>
    <w:rsid w:val="12887666"/>
    <w:rsid w:val="12AD544A"/>
    <w:rsid w:val="12E017EF"/>
    <w:rsid w:val="12EB0137"/>
    <w:rsid w:val="12EE4D0D"/>
    <w:rsid w:val="130A5D94"/>
    <w:rsid w:val="13150595"/>
    <w:rsid w:val="133B7018"/>
    <w:rsid w:val="133D36D6"/>
    <w:rsid w:val="134202B1"/>
    <w:rsid w:val="13682F98"/>
    <w:rsid w:val="13715B2A"/>
    <w:rsid w:val="139C2A90"/>
    <w:rsid w:val="13BC3EEE"/>
    <w:rsid w:val="13CB5EF3"/>
    <w:rsid w:val="13CB5FFB"/>
    <w:rsid w:val="13EC1FE4"/>
    <w:rsid w:val="13F6026F"/>
    <w:rsid w:val="142B6A9A"/>
    <w:rsid w:val="14327E28"/>
    <w:rsid w:val="144638D4"/>
    <w:rsid w:val="144D6A10"/>
    <w:rsid w:val="14627FE2"/>
    <w:rsid w:val="14902DA1"/>
    <w:rsid w:val="149A41EF"/>
    <w:rsid w:val="14A95C11"/>
    <w:rsid w:val="14AA1005"/>
    <w:rsid w:val="14B81816"/>
    <w:rsid w:val="14CE474B"/>
    <w:rsid w:val="150115A9"/>
    <w:rsid w:val="15035321"/>
    <w:rsid w:val="150712B5"/>
    <w:rsid w:val="150B3A74"/>
    <w:rsid w:val="15273705"/>
    <w:rsid w:val="155D250F"/>
    <w:rsid w:val="156027F9"/>
    <w:rsid w:val="156404B5"/>
    <w:rsid w:val="157B24DC"/>
    <w:rsid w:val="157B50AD"/>
    <w:rsid w:val="15A9236C"/>
    <w:rsid w:val="15BC4035"/>
    <w:rsid w:val="15C33ED5"/>
    <w:rsid w:val="15CA64A3"/>
    <w:rsid w:val="15ED2CEB"/>
    <w:rsid w:val="15FF01DE"/>
    <w:rsid w:val="160550C9"/>
    <w:rsid w:val="160F08DF"/>
    <w:rsid w:val="1615355E"/>
    <w:rsid w:val="162605E4"/>
    <w:rsid w:val="1638724C"/>
    <w:rsid w:val="16473933"/>
    <w:rsid w:val="164E4CC1"/>
    <w:rsid w:val="166521AC"/>
    <w:rsid w:val="166C5F35"/>
    <w:rsid w:val="16866FCF"/>
    <w:rsid w:val="168C1346"/>
    <w:rsid w:val="16970CA9"/>
    <w:rsid w:val="16AC5558"/>
    <w:rsid w:val="16C5033A"/>
    <w:rsid w:val="16C76BDA"/>
    <w:rsid w:val="16CB00C0"/>
    <w:rsid w:val="16CB6A64"/>
    <w:rsid w:val="16CF5E02"/>
    <w:rsid w:val="16E30B31"/>
    <w:rsid w:val="16F72C63"/>
    <w:rsid w:val="16FA09A5"/>
    <w:rsid w:val="170B0B62"/>
    <w:rsid w:val="171D1C21"/>
    <w:rsid w:val="172C5003"/>
    <w:rsid w:val="174E544F"/>
    <w:rsid w:val="176D73C9"/>
    <w:rsid w:val="177B7D38"/>
    <w:rsid w:val="178A7F7B"/>
    <w:rsid w:val="178E7A6B"/>
    <w:rsid w:val="17914E66"/>
    <w:rsid w:val="17B212C8"/>
    <w:rsid w:val="17BA0860"/>
    <w:rsid w:val="17BB0135"/>
    <w:rsid w:val="17C57205"/>
    <w:rsid w:val="17C7342C"/>
    <w:rsid w:val="17DC76E8"/>
    <w:rsid w:val="17E458DD"/>
    <w:rsid w:val="17EB784A"/>
    <w:rsid w:val="1813400F"/>
    <w:rsid w:val="184B14B9"/>
    <w:rsid w:val="18690A6B"/>
    <w:rsid w:val="18694035"/>
    <w:rsid w:val="1872464D"/>
    <w:rsid w:val="18745314"/>
    <w:rsid w:val="188D751D"/>
    <w:rsid w:val="188F1A4B"/>
    <w:rsid w:val="189310B2"/>
    <w:rsid w:val="18B20FCE"/>
    <w:rsid w:val="18BB3140"/>
    <w:rsid w:val="18C64D24"/>
    <w:rsid w:val="18CB43A7"/>
    <w:rsid w:val="18DC0363"/>
    <w:rsid w:val="18E216F1"/>
    <w:rsid w:val="18E53E06"/>
    <w:rsid w:val="18F558C8"/>
    <w:rsid w:val="18FE477D"/>
    <w:rsid w:val="190E4FD7"/>
    <w:rsid w:val="194D74B2"/>
    <w:rsid w:val="195715A3"/>
    <w:rsid w:val="195A572B"/>
    <w:rsid w:val="196D6140"/>
    <w:rsid w:val="197D7D98"/>
    <w:rsid w:val="19882298"/>
    <w:rsid w:val="199724DC"/>
    <w:rsid w:val="19BF413C"/>
    <w:rsid w:val="19EF40C6"/>
    <w:rsid w:val="1A147FD0"/>
    <w:rsid w:val="1A5907D2"/>
    <w:rsid w:val="1A5F166A"/>
    <w:rsid w:val="1A606D71"/>
    <w:rsid w:val="1A6A3334"/>
    <w:rsid w:val="1A7F18ED"/>
    <w:rsid w:val="1A8C697D"/>
    <w:rsid w:val="1AAE3F81"/>
    <w:rsid w:val="1AC12C8C"/>
    <w:rsid w:val="1AC35C7E"/>
    <w:rsid w:val="1AC76058"/>
    <w:rsid w:val="1AE06B70"/>
    <w:rsid w:val="1B0173E1"/>
    <w:rsid w:val="1B081436"/>
    <w:rsid w:val="1B155DAE"/>
    <w:rsid w:val="1B252495"/>
    <w:rsid w:val="1B2B737F"/>
    <w:rsid w:val="1B763A45"/>
    <w:rsid w:val="1B7B2D5E"/>
    <w:rsid w:val="1B9F2C40"/>
    <w:rsid w:val="1BAF7FB0"/>
    <w:rsid w:val="1BB35CDF"/>
    <w:rsid w:val="1BF0493A"/>
    <w:rsid w:val="1BF6566B"/>
    <w:rsid w:val="1C004A47"/>
    <w:rsid w:val="1C0B07A6"/>
    <w:rsid w:val="1C1C4F1A"/>
    <w:rsid w:val="1C230AC0"/>
    <w:rsid w:val="1C252021"/>
    <w:rsid w:val="1C294ACB"/>
    <w:rsid w:val="1C2F10F1"/>
    <w:rsid w:val="1C3E5A1F"/>
    <w:rsid w:val="1C4C57FF"/>
    <w:rsid w:val="1C4F3541"/>
    <w:rsid w:val="1C56667E"/>
    <w:rsid w:val="1C662D65"/>
    <w:rsid w:val="1C7573D9"/>
    <w:rsid w:val="1C7A236C"/>
    <w:rsid w:val="1CA4563B"/>
    <w:rsid w:val="1CB13310"/>
    <w:rsid w:val="1CC979D3"/>
    <w:rsid w:val="1CD777BF"/>
    <w:rsid w:val="1CDC4DD5"/>
    <w:rsid w:val="1CE011BF"/>
    <w:rsid w:val="1CEE613C"/>
    <w:rsid w:val="1CFA0420"/>
    <w:rsid w:val="1D1D719C"/>
    <w:rsid w:val="1D1D7575"/>
    <w:rsid w:val="1D886D0B"/>
    <w:rsid w:val="1DAD35B6"/>
    <w:rsid w:val="1DB16111"/>
    <w:rsid w:val="1DE15557"/>
    <w:rsid w:val="1E0068A1"/>
    <w:rsid w:val="1E062289"/>
    <w:rsid w:val="1E0A3384"/>
    <w:rsid w:val="1E1113B2"/>
    <w:rsid w:val="1E301B9F"/>
    <w:rsid w:val="1E46140E"/>
    <w:rsid w:val="1E4A3FC0"/>
    <w:rsid w:val="1E8707A4"/>
    <w:rsid w:val="1E934DDA"/>
    <w:rsid w:val="1E9640D5"/>
    <w:rsid w:val="1EA00084"/>
    <w:rsid w:val="1EAC7F7A"/>
    <w:rsid w:val="1F016D75"/>
    <w:rsid w:val="1F06438B"/>
    <w:rsid w:val="1F4A26C0"/>
    <w:rsid w:val="1F582F19"/>
    <w:rsid w:val="1FA94D17"/>
    <w:rsid w:val="1FB44CEF"/>
    <w:rsid w:val="1FD67160"/>
    <w:rsid w:val="1FE741BD"/>
    <w:rsid w:val="1FED5F05"/>
    <w:rsid w:val="1FF64400"/>
    <w:rsid w:val="20036B1D"/>
    <w:rsid w:val="20173F0C"/>
    <w:rsid w:val="202C6073"/>
    <w:rsid w:val="20607ACB"/>
    <w:rsid w:val="207D067D"/>
    <w:rsid w:val="20A36969"/>
    <w:rsid w:val="20A7394C"/>
    <w:rsid w:val="20B0742B"/>
    <w:rsid w:val="20B07673"/>
    <w:rsid w:val="20B37A89"/>
    <w:rsid w:val="20B64731"/>
    <w:rsid w:val="20D65FDF"/>
    <w:rsid w:val="20E73FDC"/>
    <w:rsid w:val="20E95D13"/>
    <w:rsid w:val="20F17404"/>
    <w:rsid w:val="20F86C66"/>
    <w:rsid w:val="21085534"/>
    <w:rsid w:val="21112E5D"/>
    <w:rsid w:val="21115269"/>
    <w:rsid w:val="2122506F"/>
    <w:rsid w:val="21317460"/>
    <w:rsid w:val="213B5E42"/>
    <w:rsid w:val="21515666"/>
    <w:rsid w:val="21535882"/>
    <w:rsid w:val="215947D8"/>
    <w:rsid w:val="215A276C"/>
    <w:rsid w:val="21A83D12"/>
    <w:rsid w:val="21BC429F"/>
    <w:rsid w:val="21D54581"/>
    <w:rsid w:val="21F63227"/>
    <w:rsid w:val="22226997"/>
    <w:rsid w:val="22352B64"/>
    <w:rsid w:val="22383E87"/>
    <w:rsid w:val="22464D50"/>
    <w:rsid w:val="224F429B"/>
    <w:rsid w:val="224F6049"/>
    <w:rsid w:val="22565BC1"/>
    <w:rsid w:val="225B3769"/>
    <w:rsid w:val="228C06EB"/>
    <w:rsid w:val="228C2DF9"/>
    <w:rsid w:val="22D71F89"/>
    <w:rsid w:val="22D868D3"/>
    <w:rsid w:val="230865AC"/>
    <w:rsid w:val="231150AD"/>
    <w:rsid w:val="23675344"/>
    <w:rsid w:val="236E6FF8"/>
    <w:rsid w:val="23850189"/>
    <w:rsid w:val="23897339"/>
    <w:rsid w:val="239D0A0C"/>
    <w:rsid w:val="23BA3996"/>
    <w:rsid w:val="23BE6B4B"/>
    <w:rsid w:val="23D60ACB"/>
    <w:rsid w:val="23E3039C"/>
    <w:rsid w:val="23F46EA8"/>
    <w:rsid w:val="23F724F4"/>
    <w:rsid w:val="24007AC0"/>
    <w:rsid w:val="24186342"/>
    <w:rsid w:val="244D65E7"/>
    <w:rsid w:val="24575689"/>
    <w:rsid w:val="245E2574"/>
    <w:rsid w:val="24992DAF"/>
    <w:rsid w:val="24997A50"/>
    <w:rsid w:val="2506571D"/>
    <w:rsid w:val="250A6257"/>
    <w:rsid w:val="252C028A"/>
    <w:rsid w:val="2568677F"/>
    <w:rsid w:val="257B3F09"/>
    <w:rsid w:val="25950217"/>
    <w:rsid w:val="259D3570"/>
    <w:rsid w:val="259D70CC"/>
    <w:rsid w:val="25AA2303"/>
    <w:rsid w:val="25BB0AAA"/>
    <w:rsid w:val="25CE6CA7"/>
    <w:rsid w:val="25D67605"/>
    <w:rsid w:val="25E74730"/>
    <w:rsid w:val="26061115"/>
    <w:rsid w:val="260E10FE"/>
    <w:rsid w:val="26261652"/>
    <w:rsid w:val="264810FF"/>
    <w:rsid w:val="265D6E93"/>
    <w:rsid w:val="2674607E"/>
    <w:rsid w:val="26874B33"/>
    <w:rsid w:val="26C540E2"/>
    <w:rsid w:val="26C62652"/>
    <w:rsid w:val="26D21EAD"/>
    <w:rsid w:val="26EF7DFB"/>
    <w:rsid w:val="270F12F9"/>
    <w:rsid w:val="271D59D0"/>
    <w:rsid w:val="27286E69"/>
    <w:rsid w:val="272E26D1"/>
    <w:rsid w:val="27461345"/>
    <w:rsid w:val="27C11484"/>
    <w:rsid w:val="27D8088F"/>
    <w:rsid w:val="2826784C"/>
    <w:rsid w:val="282E191D"/>
    <w:rsid w:val="28393256"/>
    <w:rsid w:val="284657F9"/>
    <w:rsid w:val="286B6F94"/>
    <w:rsid w:val="287E1436"/>
    <w:rsid w:val="28885E11"/>
    <w:rsid w:val="28A6518C"/>
    <w:rsid w:val="28A671D2"/>
    <w:rsid w:val="28C01A4F"/>
    <w:rsid w:val="28C96CBB"/>
    <w:rsid w:val="28DA4193"/>
    <w:rsid w:val="28E43737"/>
    <w:rsid w:val="28EA2628"/>
    <w:rsid w:val="28FB2A87"/>
    <w:rsid w:val="29017971"/>
    <w:rsid w:val="290D1A3C"/>
    <w:rsid w:val="291453F2"/>
    <w:rsid w:val="29360622"/>
    <w:rsid w:val="295771C4"/>
    <w:rsid w:val="29614AE4"/>
    <w:rsid w:val="29622B06"/>
    <w:rsid w:val="296454DF"/>
    <w:rsid w:val="29712A36"/>
    <w:rsid w:val="29AC6A1D"/>
    <w:rsid w:val="29B03871"/>
    <w:rsid w:val="29C5549C"/>
    <w:rsid w:val="29CB2141"/>
    <w:rsid w:val="29FA2D3E"/>
    <w:rsid w:val="29FF4B88"/>
    <w:rsid w:val="2A0B547C"/>
    <w:rsid w:val="2A0C024B"/>
    <w:rsid w:val="2A0E2346"/>
    <w:rsid w:val="2A1D4C7F"/>
    <w:rsid w:val="2A677E90"/>
    <w:rsid w:val="2A6C2367"/>
    <w:rsid w:val="2A74307D"/>
    <w:rsid w:val="2A862824"/>
    <w:rsid w:val="2A9A62D0"/>
    <w:rsid w:val="2AC624D6"/>
    <w:rsid w:val="2ADA5A13"/>
    <w:rsid w:val="2AF15A7A"/>
    <w:rsid w:val="2B0426A5"/>
    <w:rsid w:val="2B116592"/>
    <w:rsid w:val="2B141BDE"/>
    <w:rsid w:val="2B180563"/>
    <w:rsid w:val="2B4B6F96"/>
    <w:rsid w:val="2B62401D"/>
    <w:rsid w:val="2B813779"/>
    <w:rsid w:val="2B8F21F0"/>
    <w:rsid w:val="2B942D1F"/>
    <w:rsid w:val="2B980A61"/>
    <w:rsid w:val="2BB02D46"/>
    <w:rsid w:val="2BB90F47"/>
    <w:rsid w:val="2BB97D84"/>
    <w:rsid w:val="2BCE0689"/>
    <w:rsid w:val="2BD15D21"/>
    <w:rsid w:val="2BD96984"/>
    <w:rsid w:val="2BE03161"/>
    <w:rsid w:val="2BE05F64"/>
    <w:rsid w:val="2BF35C97"/>
    <w:rsid w:val="2BF437BD"/>
    <w:rsid w:val="2C016606"/>
    <w:rsid w:val="2C0B2F55"/>
    <w:rsid w:val="2C2C2F57"/>
    <w:rsid w:val="2C384B42"/>
    <w:rsid w:val="2C6018A8"/>
    <w:rsid w:val="2C6E3570"/>
    <w:rsid w:val="2C73502A"/>
    <w:rsid w:val="2C737F26"/>
    <w:rsid w:val="2C931228"/>
    <w:rsid w:val="2CA94D64"/>
    <w:rsid w:val="2CE87E3E"/>
    <w:rsid w:val="2CF12C21"/>
    <w:rsid w:val="2CF96FB4"/>
    <w:rsid w:val="2D061C45"/>
    <w:rsid w:val="2D104627"/>
    <w:rsid w:val="2D241F75"/>
    <w:rsid w:val="2D26209C"/>
    <w:rsid w:val="2D330463"/>
    <w:rsid w:val="2D366C89"/>
    <w:rsid w:val="2D483AF4"/>
    <w:rsid w:val="2D711922"/>
    <w:rsid w:val="2D766B80"/>
    <w:rsid w:val="2D995F29"/>
    <w:rsid w:val="2D9C02BF"/>
    <w:rsid w:val="2D9F1767"/>
    <w:rsid w:val="2DC0604D"/>
    <w:rsid w:val="2DCC629E"/>
    <w:rsid w:val="2E045F3A"/>
    <w:rsid w:val="2E112405"/>
    <w:rsid w:val="2E1E4D06"/>
    <w:rsid w:val="2E307FA8"/>
    <w:rsid w:val="2EAE2349"/>
    <w:rsid w:val="2EAE5EA6"/>
    <w:rsid w:val="2EBD258D"/>
    <w:rsid w:val="2EC41B6D"/>
    <w:rsid w:val="2EE54BFF"/>
    <w:rsid w:val="2EF07656"/>
    <w:rsid w:val="2F1E22C8"/>
    <w:rsid w:val="2F236894"/>
    <w:rsid w:val="2F246BF9"/>
    <w:rsid w:val="2F277487"/>
    <w:rsid w:val="2F2F348A"/>
    <w:rsid w:val="2F3E1694"/>
    <w:rsid w:val="2F422728"/>
    <w:rsid w:val="2F566C69"/>
    <w:rsid w:val="2F6046B5"/>
    <w:rsid w:val="2F642EBB"/>
    <w:rsid w:val="2F6B1FE9"/>
    <w:rsid w:val="2F9C74F7"/>
    <w:rsid w:val="2FA96899"/>
    <w:rsid w:val="2FBB4D1E"/>
    <w:rsid w:val="2FE80256"/>
    <w:rsid w:val="2FFA3A98"/>
    <w:rsid w:val="2FFD0189"/>
    <w:rsid w:val="300C557A"/>
    <w:rsid w:val="303348B4"/>
    <w:rsid w:val="303705CB"/>
    <w:rsid w:val="30433499"/>
    <w:rsid w:val="304C3BC8"/>
    <w:rsid w:val="3062519A"/>
    <w:rsid w:val="307D0225"/>
    <w:rsid w:val="3089665D"/>
    <w:rsid w:val="30AC0D80"/>
    <w:rsid w:val="30B71989"/>
    <w:rsid w:val="30DA7426"/>
    <w:rsid w:val="30ED7159"/>
    <w:rsid w:val="30F71D86"/>
    <w:rsid w:val="30FA5FEE"/>
    <w:rsid w:val="30FF5EFC"/>
    <w:rsid w:val="31050127"/>
    <w:rsid w:val="31195387"/>
    <w:rsid w:val="31283ADD"/>
    <w:rsid w:val="313E192D"/>
    <w:rsid w:val="31413001"/>
    <w:rsid w:val="31532D34"/>
    <w:rsid w:val="317E6003"/>
    <w:rsid w:val="3192385D"/>
    <w:rsid w:val="31CA6FEB"/>
    <w:rsid w:val="31D2634F"/>
    <w:rsid w:val="31E17E6B"/>
    <w:rsid w:val="31E93C49"/>
    <w:rsid w:val="31EB11BF"/>
    <w:rsid w:val="31EE2735"/>
    <w:rsid w:val="31F36F75"/>
    <w:rsid w:val="320329AC"/>
    <w:rsid w:val="320A370E"/>
    <w:rsid w:val="320F0AA4"/>
    <w:rsid w:val="322112BA"/>
    <w:rsid w:val="32594BD2"/>
    <w:rsid w:val="325E6763"/>
    <w:rsid w:val="32894C60"/>
    <w:rsid w:val="328D5DB9"/>
    <w:rsid w:val="3292549E"/>
    <w:rsid w:val="32C24F9D"/>
    <w:rsid w:val="32C35957"/>
    <w:rsid w:val="32DC56D7"/>
    <w:rsid w:val="32FA0324"/>
    <w:rsid w:val="330A1A52"/>
    <w:rsid w:val="33134E71"/>
    <w:rsid w:val="331537EB"/>
    <w:rsid w:val="33242A7F"/>
    <w:rsid w:val="332B7BEF"/>
    <w:rsid w:val="33366406"/>
    <w:rsid w:val="334E5A9F"/>
    <w:rsid w:val="3381639C"/>
    <w:rsid w:val="33866FA8"/>
    <w:rsid w:val="33A43D3B"/>
    <w:rsid w:val="33B331B5"/>
    <w:rsid w:val="33BB3FC3"/>
    <w:rsid w:val="33D50520"/>
    <w:rsid w:val="33EF143A"/>
    <w:rsid w:val="34016560"/>
    <w:rsid w:val="34060532"/>
    <w:rsid w:val="340E6427"/>
    <w:rsid w:val="341B5A49"/>
    <w:rsid w:val="342514E8"/>
    <w:rsid w:val="34256C0A"/>
    <w:rsid w:val="342D5ABF"/>
    <w:rsid w:val="345179FF"/>
    <w:rsid w:val="34B8182C"/>
    <w:rsid w:val="34BF6C8F"/>
    <w:rsid w:val="35064C8D"/>
    <w:rsid w:val="35284C04"/>
    <w:rsid w:val="353C420B"/>
    <w:rsid w:val="35417A73"/>
    <w:rsid w:val="35694D08"/>
    <w:rsid w:val="356B120A"/>
    <w:rsid w:val="356B6309"/>
    <w:rsid w:val="3589141A"/>
    <w:rsid w:val="35A40002"/>
    <w:rsid w:val="35B205C3"/>
    <w:rsid w:val="35B75F88"/>
    <w:rsid w:val="35C67F79"/>
    <w:rsid w:val="35D46F87"/>
    <w:rsid w:val="35D703D8"/>
    <w:rsid w:val="35DA1C76"/>
    <w:rsid w:val="35DC0741"/>
    <w:rsid w:val="35DF3F1C"/>
    <w:rsid w:val="3628478F"/>
    <w:rsid w:val="363219AB"/>
    <w:rsid w:val="364E6A9B"/>
    <w:rsid w:val="36533F02"/>
    <w:rsid w:val="36541A28"/>
    <w:rsid w:val="36572D3F"/>
    <w:rsid w:val="365D08DD"/>
    <w:rsid w:val="36634B09"/>
    <w:rsid w:val="36637357"/>
    <w:rsid w:val="366B04D8"/>
    <w:rsid w:val="368F0CB2"/>
    <w:rsid w:val="369167D9"/>
    <w:rsid w:val="369C3F7E"/>
    <w:rsid w:val="36BE0654"/>
    <w:rsid w:val="36C46BAE"/>
    <w:rsid w:val="370945C1"/>
    <w:rsid w:val="3733163E"/>
    <w:rsid w:val="37384DC5"/>
    <w:rsid w:val="373B350A"/>
    <w:rsid w:val="3752696B"/>
    <w:rsid w:val="37597553"/>
    <w:rsid w:val="376965A9"/>
    <w:rsid w:val="378150C3"/>
    <w:rsid w:val="37833A11"/>
    <w:rsid w:val="37851194"/>
    <w:rsid w:val="37894DEF"/>
    <w:rsid w:val="378C0D4E"/>
    <w:rsid w:val="37976071"/>
    <w:rsid w:val="379A21E5"/>
    <w:rsid w:val="37A97B52"/>
    <w:rsid w:val="37AC5E06"/>
    <w:rsid w:val="37C77810"/>
    <w:rsid w:val="37E81288"/>
    <w:rsid w:val="380F690B"/>
    <w:rsid w:val="3812164A"/>
    <w:rsid w:val="381A63F5"/>
    <w:rsid w:val="382D42DF"/>
    <w:rsid w:val="38314D5D"/>
    <w:rsid w:val="38396895"/>
    <w:rsid w:val="386A72E1"/>
    <w:rsid w:val="388D1222"/>
    <w:rsid w:val="388E0998"/>
    <w:rsid w:val="38A26A7B"/>
    <w:rsid w:val="38C227B0"/>
    <w:rsid w:val="38C57E86"/>
    <w:rsid w:val="38E43C81"/>
    <w:rsid w:val="38FB3191"/>
    <w:rsid w:val="390154AF"/>
    <w:rsid w:val="39073ED2"/>
    <w:rsid w:val="39093876"/>
    <w:rsid w:val="39152412"/>
    <w:rsid w:val="391758F5"/>
    <w:rsid w:val="39184F8F"/>
    <w:rsid w:val="392C4597"/>
    <w:rsid w:val="39400042"/>
    <w:rsid w:val="394915ED"/>
    <w:rsid w:val="39513FFD"/>
    <w:rsid w:val="3953201A"/>
    <w:rsid w:val="397F214F"/>
    <w:rsid w:val="39810D86"/>
    <w:rsid w:val="39B7228B"/>
    <w:rsid w:val="39EF6D30"/>
    <w:rsid w:val="3A142705"/>
    <w:rsid w:val="3A173238"/>
    <w:rsid w:val="3A1B7675"/>
    <w:rsid w:val="3A1F5B1B"/>
    <w:rsid w:val="3A2D16FD"/>
    <w:rsid w:val="3A301E36"/>
    <w:rsid w:val="3A3302E2"/>
    <w:rsid w:val="3A4A1178"/>
    <w:rsid w:val="3A541787"/>
    <w:rsid w:val="3A6209E7"/>
    <w:rsid w:val="3A6F5083"/>
    <w:rsid w:val="3A791A5E"/>
    <w:rsid w:val="3A812174"/>
    <w:rsid w:val="3AAA452C"/>
    <w:rsid w:val="3AE0561C"/>
    <w:rsid w:val="3AEC0481"/>
    <w:rsid w:val="3AFB06C4"/>
    <w:rsid w:val="3B051543"/>
    <w:rsid w:val="3B153A8E"/>
    <w:rsid w:val="3B22542B"/>
    <w:rsid w:val="3B36136A"/>
    <w:rsid w:val="3B43343F"/>
    <w:rsid w:val="3B660234"/>
    <w:rsid w:val="3B6E1810"/>
    <w:rsid w:val="3B702E61"/>
    <w:rsid w:val="3B762441"/>
    <w:rsid w:val="3B9823B7"/>
    <w:rsid w:val="3BB276B2"/>
    <w:rsid w:val="3BDC4BF4"/>
    <w:rsid w:val="3BE06C7E"/>
    <w:rsid w:val="3BE253E0"/>
    <w:rsid w:val="3BFA4E20"/>
    <w:rsid w:val="3C314ADE"/>
    <w:rsid w:val="3C395948"/>
    <w:rsid w:val="3C4D4F50"/>
    <w:rsid w:val="3C4E7CED"/>
    <w:rsid w:val="3C576F2F"/>
    <w:rsid w:val="3C601127"/>
    <w:rsid w:val="3C613C0E"/>
    <w:rsid w:val="3C743664"/>
    <w:rsid w:val="3C830972"/>
    <w:rsid w:val="3C856F2B"/>
    <w:rsid w:val="3CEA09F1"/>
    <w:rsid w:val="3CEB6988"/>
    <w:rsid w:val="3CEC7805"/>
    <w:rsid w:val="3CFB2BFE"/>
    <w:rsid w:val="3D136199"/>
    <w:rsid w:val="3D2757A1"/>
    <w:rsid w:val="3D3E5B6F"/>
    <w:rsid w:val="3D4A6ED2"/>
    <w:rsid w:val="3D612090"/>
    <w:rsid w:val="3D807B1A"/>
    <w:rsid w:val="3D931088"/>
    <w:rsid w:val="3D9848F1"/>
    <w:rsid w:val="3D9A2417"/>
    <w:rsid w:val="3D9B618F"/>
    <w:rsid w:val="3DB6523D"/>
    <w:rsid w:val="3DBB238D"/>
    <w:rsid w:val="3DBD4B3F"/>
    <w:rsid w:val="3DC0664E"/>
    <w:rsid w:val="3DC079A3"/>
    <w:rsid w:val="3DE1436E"/>
    <w:rsid w:val="3DE90CA8"/>
    <w:rsid w:val="3DEA4545"/>
    <w:rsid w:val="3DEB23F1"/>
    <w:rsid w:val="3DEC1BA3"/>
    <w:rsid w:val="3E012496"/>
    <w:rsid w:val="3E057E5C"/>
    <w:rsid w:val="3E0870F1"/>
    <w:rsid w:val="3E2B12C1"/>
    <w:rsid w:val="3E4578E6"/>
    <w:rsid w:val="3E573E64"/>
    <w:rsid w:val="3E6E56EE"/>
    <w:rsid w:val="3E6F7B87"/>
    <w:rsid w:val="3E8E7DEC"/>
    <w:rsid w:val="3E916FCA"/>
    <w:rsid w:val="3E937510"/>
    <w:rsid w:val="3EA30D21"/>
    <w:rsid w:val="3EA37367"/>
    <w:rsid w:val="3EB47508"/>
    <w:rsid w:val="3EE03F1C"/>
    <w:rsid w:val="3EE84604"/>
    <w:rsid w:val="3EFE4C27"/>
    <w:rsid w:val="3F044850"/>
    <w:rsid w:val="3F223B34"/>
    <w:rsid w:val="3F2C3542"/>
    <w:rsid w:val="3F3142F6"/>
    <w:rsid w:val="3F327BFC"/>
    <w:rsid w:val="3F3C12AC"/>
    <w:rsid w:val="3F446B1E"/>
    <w:rsid w:val="3F47037C"/>
    <w:rsid w:val="3F4F1C13"/>
    <w:rsid w:val="3F547054"/>
    <w:rsid w:val="3F6F78D3"/>
    <w:rsid w:val="3F71532A"/>
    <w:rsid w:val="3F737426"/>
    <w:rsid w:val="3F78563A"/>
    <w:rsid w:val="3F8D5C9F"/>
    <w:rsid w:val="3F934C4B"/>
    <w:rsid w:val="3F984734"/>
    <w:rsid w:val="3FB928FC"/>
    <w:rsid w:val="3FD634AE"/>
    <w:rsid w:val="3FEE07F8"/>
    <w:rsid w:val="3FFE510E"/>
    <w:rsid w:val="4001677D"/>
    <w:rsid w:val="40086045"/>
    <w:rsid w:val="400E0926"/>
    <w:rsid w:val="40202D27"/>
    <w:rsid w:val="402828F4"/>
    <w:rsid w:val="40430557"/>
    <w:rsid w:val="405A5E8D"/>
    <w:rsid w:val="4061225A"/>
    <w:rsid w:val="40A9536C"/>
    <w:rsid w:val="40CE503D"/>
    <w:rsid w:val="41001EB1"/>
    <w:rsid w:val="41006A35"/>
    <w:rsid w:val="41175B2C"/>
    <w:rsid w:val="41365B3D"/>
    <w:rsid w:val="41511846"/>
    <w:rsid w:val="416C170D"/>
    <w:rsid w:val="4172527C"/>
    <w:rsid w:val="418C02C8"/>
    <w:rsid w:val="419B675D"/>
    <w:rsid w:val="41A05B22"/>
    <w:rsid w:val="41A50EAD"/>
    <w:rsid w:val="41B14053"/>
    <w:rsid w:val="41B85EB6"/>
    <w:rsid w:val="41CC0E2E"/>
    <w:rsid w:val="41EF2605"/>
    <w:rsid w:val="42293D69"/>
    <w:rsid w:val="422C5607"/>
    <w:rsid w:val="423B584A"/>
    <w:rsid w:val="42531754"/>
    <w:rsid w:val="425F778B"/>
    <w:rsid w:val="42750D64"/>
    <w:rsid w:val="428764D3"/>
    <w:rsid w:val="428C0621"/>
    <w:rsid w:val="42A96B18"/>
    <w:rsid w:val="42D23768"/>
    <w:rsid w:val="42D53D7E"/>
    <w:rsid w:val="42E20147"/>
    <w:rsid w:val="42E278AA"/>
    <w:rsid w:val="42E5074D"/>
    <w:rsid w:val="42E908C7"/>
    <w:rsid w:val="43164FEF"/>
    <w:rsid w:val="43247C2B"/>
    <w:rsid w:val="432602A9"/>
    <w:rsid w:val="432E070E"/>
    <w:rsid w:val="43566DE0"/>
    <w:rsid w:val="436A16A6"/>
    <w:rsid w:val="43785ED1"/>
    <w:rsid w:val="437F530D"/>
    <w:rsid w:val="438A12F4"/>
    <w:rsid w:val="438D20D6"/>
    <w:rsid w:val="43BE2B29"/>
    <w:rsid w:val="43D321DE"/>
    <w:rsid w:val="43EA7528"/>
    <w:rsid w:val="43F403A7"/>
    <w:rsid w:val="43FD0C1E"/>
    <w:rsid w:val="44055CF9"/>
    <w:rsid w:val="44120BB1"/>
    <w:rsid w:val="444829E0"/>
    <w:rsid w:val="445B5DD8"/>
    <w:rsid w:val="44623562"/>
    <w:rsid w:val="44655E14"/>
    <w:rsid w:val="4467501D"/>
    <w:rsid w:val="44727C49"/>
    <w:rsid w:val="44901E7E"/>
    <w:rsid w:val="449A0F4E"/>
    <w:rsid w:val="449F5DD3"/>
    <w:rsid w:val="44B32010"/>
    <w:rsid w:val="44C25364"/>
    <w:rsid w:val="44DC42BA"/>
    <w:rsid w:val="44ED2FD3"/>
    <w:rsid w:val="44ED5522"/>
    <w:rsid w:val="44F67147"/>
    <w:rsid w:val="4509503D"/>
    <w:rsid w:val="452B1BA6"/>
    <w:rsid w:val="45312942"/>
    <w:rsid w:val="45446354"/>
    <w:rsid w:val="454E132D"/>
    <w:rsid w:val="455F7AA2"/>
    <w:rsid w:val="45644F92"/>
    <w:rsid w:val="456B4699"/>
    <w:rsid w:val="45C10B4B"/>
    <w:rsid w:val="45D0372E"/>
    <w:rsid w:val="463F7FFF"/>
    <w:rsid w:val="464C1D63"/>
    <w:rsid w:val="464E1FF0"/>
    <w:rsid w:val="46730342"/>
    <w:rsid w:val="467414CE"/>
    <w:rsid w:val="467F664E"/>
    <w:rsid w:val="46824E5A"/>
    <w:rsid w:val="46EF6F8D"/>
    <w:rsid w:val="47044DA5"/>
    <w:rsid w:val="470E1780"/>
    <w:rsid w:val="47356E70"/>
    <w:rsid w:val="473867FC"/>
    <w:rsid w:val="477E06B3"/>
    <w:rsid w:val="477F6E0D"/>
    <w:rsid w:val="478D4D9A"/>
    <w:rsid w:val="479C7DAA"/>
    <w:rsid w:val="47B16162"/>
    <w:rsid w:val="47DC362C"/>
    <w:rsid w:val="47EB37C9"/>
    <w:rsid w:val="480C40F9"/>
    <w:rsid w:val="480F755D"/>
    <w:rsid w:val="48174664"/>
    <w:rsid w:val="481903DC"/>
    <w:rsid w:val="481B4154"/>
    <w:rsid w:val="481E1B94"/>
    <w:rsid w:val="482753AB"/>
    <w:rsid w:val="483F3CD3"/>
    <w:rsid w:val="48461DA8"/>
    <w:rsid w:val="48592243"/>
    <w:rsid w:val="48592ECE"/>
    <w:rsid w:val="485D0ECC"/>
    <w:rsid w:val="48627FD5"/>
    <w:rsid w:val="48677399"/>
    <w:rsid w:val="486907AD"/>
    <w:rsid w:val="48741AB6"/>
    <w:rsid w:val="48757D08"/>
    <w:rsid w:val="488100CD"/>
    <w:rsid w:val="489435D0"/>
    <w:rsid w:val="489857A5"/>
    <w:rsid w:val="489932CB"/>
    <w:rsid w:val="489D2DBB"/>
    <w:rsid w:val="48C7550C"/>
    <w:rsid w:val="48F13107"/>
    <w:rsid w:val="48FA2194"/>
    <w:rsid w:val="49064A23"/>
    <w:rsid w:val="490B241B"/>
    <w:rsid w:val="491C0184"/>
    <w:rsid w:val="492B175F"/>
    <w:rsid w:val="493D08D6"/>
    <w:rsid w:val="49485A93"/>
    <w:rsid w:val="49543DC1"/>
    <w:rsid w:val="49773DAE"/>
    <w:rsid w:val="49AE00AE"/>
    <w:rsid w:val="49B303BC"/>
    <w:rsid w:val="49B605D8"/>
    <w:rsid w:val="49BC2509"/>
    <w:rsid w:val="49F25388"/>
    <w:rsid w:val="49F770B6"/>
    <w:rsid w:val="49FF706F"/>
    <w:rsid w:val="4A225C6E"/>
    <w:rsid w:val="4A280C46"/>
    <w:rsid w:val="4A3C09D0"/>
    <w:rsid w:val="4A5144F5"/>
    <w:rsid w:val="4A563B69"/>
    <w:rsid w:val="4A5B4CDC"/>
    <w:rsid w:val="4A832F04"/>
    <w:rsid w:val="4A9B5A20"/>
    <w:rsid w:val="4A9E2E1A"/>
    <w:rsid w:val="4A9F72BE"/>
    <w:rsid w:val="4AF13892"/>
    <w:rsid w:val="4AF762F7"/>
    <w:rsid w:val="4B022911"/>
    <w:rsid w:val="4B09298A"/>
    <w:rsid w:val="4B0C73E6"/>
    <w:rsid w:val="4B2139B4"/>
    <w:rsid w:val="4B33219C"/>
    <w:rsid w:val="4B3F45FD"/>
    <w:rsid w:val="4B693428"/>
    <w:rsid w:val="4B6A1E13"/>
    <w:rsid w:val="4B735932"/>
    <w:rsid w:val="4B771FE9"/>
    <w:rsid w:val="4BAF37F7"/>
    <w:rsid w:val="4BB40B47"/>
    <w:rsid w:val="4BD9235C"/>
    <w:rsid w:val="4BE70EF5"/>
    <w:rsid w:val="4BF76C86"/>
    <w:rsid w:val="4C0D05F7"/>
    <w:rsid w:val="4C147838"/>
    <w:rsid w:val="4C2102EA"/>
    <w:rsid w:val="4C253ED6"/>
    <w:rsid w:val="4C405C18"/>
    <w:rsid w:val="4C4D4AF8"/>
    <w:rsid w:val="4C505F95"/>
    <w:rsid w:val="4C6940F1"/>
    <w:rsid w:val="4C785E03"/>
    <w:rsid w:val="4C854292"/>
    <w:rsid w:val="4C8E208B"/>
    <w:rsid w:val="4CA30709"/>
    <w:rsid w:val="4CAC64B5"/>
    <w:rsid w:val="4CCD5AED"/>
    <w:rsid w:val="4CD34FFD"/>
    <w:rsid w:val="4CDD7C2A"/>
    <w:rsid w:val="4CDF1BF4"/>
    <w:rsid w:val="4CE459C5"/>
    <w:rsid w:val="4CFF2296"/>
    <w:rsid w:val="4D072EF9"/>
    <w:rsid w:val="4D13416C"/>
    <w:rsid w:val="4D2D04DF"/>
    <w:rsid w:val="4D337862"/>
    <w:rsid w:val="4D467EC5"/>
    <w:rsid w:val="4D4D1254"/>
    <w:rsid w:val="4D722A68"/>
    <w:rsid w:val="4D925B1F"/>
    <w:rsid w:val="4D9D6B08"/>
    <w:rsid w:val="4DAB5F7A"/>
    <w:rsid w:val="4DB937C7"/>
    <w:rsid w:val="4DC82688"/>
    <w:rsid w:val="4DDC2416"/>
    <w:rsid w:val="4E120C96"/>
    <w:rsid w:val="4E7445BE"/>
    <w:rsid w:val="4E9407BC"/>
    <w:rsid w:val="4E9D1D67"/>
    <w:rsid w:val="4E9E662E"/>
    <w:rsid w:val="4EA0101E"/>
    <w:rsid w:val="4EA604F0"/>
    <w:rsid w:val="4EAB356F"/>
    <w:rsid w:val="4EB57961"/>
    <w:rsid w:val="4EBE7F2F"/>
    <w:rsid w:val="4EC13F43"/>
    <w:rsid w:val="4ECF13C9"/>
    <w:rsid w:val="4ED8534D"/>
    <w:rsid w:val="4ED96B17"/>
    <w:rsid w:val="4EE01C53"/>
    <w:rsid w:val="4F100246"/>
    <w:rsid w:val="4F2558B8"/>
    <w:rsid w:val="4F38383D"/>
    <w:rsid w:val="4F3A21CB"/>
    <w:rsid w:val="4F3B63E4"/>
    <w:rsid w:val="4F400944"/>
    <w:rsid w:val="4F4072EC"/>
    <w:rsid w:val="4F5023DA"/>
    <w:rsid w:val="4F5519E2"/>
    <w:rsid w:val="4F724648"/>
    <w:rsid w:val="4F9F47EA"/>
    <w:rsid w:val="4FA011B1"/>
    <w:rsid w:val="4FA70E9E"/>
    <w:rsid w:val="4FE018A1"/>
    <w:rsid w:val="4FFC0D0F"/>
    <w:rsid w:val="4FFC2ABD"/>
    <w:rsid w:val="50083210"/>
    <w:rsid w:val="501446FD"/>
    <w:rsid w:val="50175B49"/>
    <w:rsid w:val="502838B2"/>
    <w:rsid w:val="5033485E"/>
    <w:rsid w:val="50412F77"/>
    <w:rsid w:val="504306EC"/>
    <w:rsid w:val="50441BF3"/>
    <w:rsid w:val="504F7091"/>
    <w:rsid w:val="50631D4D"/>
    <w:rsid w:val="506B379F"/>
    <w:rsid w:val="50720FD1"/>
    <w:rsid w:val="50760AC1"/>
    <w:rsid w:val="508807F5"/>
    <w:rsid w:val="50920ED6"/>
    <w:rsid w:val="50AD3DB7"/>
    <w:rsid w:val="50BB2978"/>
    <w:rsid w:val="51071719"/>
    <w:rsid w:val="51190299"/>
    <w:rsid w:val="511F6F5C"/>
    <w:rsid w:val="51217A74"/>
    <w:rsid w:val="51237AAF"/>
    <w:rsid w:val="51354F21"/>
    <w:rsid w:val="513872E4"/>
    <w:rsid w:val="51450494"/>
    <w:rsid w:val="51581F75"/>
    <w:rsid w:val="5176689F"/>
    <w:rsid w:val="51857589"/>
    <w:rsid w:val="51C615D4"/>
    <w:rsid w:val="51C63383"/>
    <w:rsid w:val="51D33CF1"/>
    <w:rsid w:val="51DB4D99"/>
    <w:rsid w:val="51E04FA9"/>
    <w:rsid w:val="520B5239"/>
    <w:rsid w:val="52171194"/>
    <w:rsid w:val="521A2D60"/>
    <w:rsid w:val="52240AA0"/>
    <w:rsid w:val="524D7600"/>
    <w:rsid w:val="528C228E"/>
    <w:rsid w:val="52904DEF"/>
    <w:rsid w:val="52911BE2"/>
    <w:rsid w:val="52F1442F"/>
    <w:rsid w:val="52FF09A0"/>
    <w:rsid w:val="53155E76"/>
    <w:rsid w:val="532A7E16"/>
    <w:rsid w:val="533342DD"/>
    <w:rsid w:val="53492B23"/>
    <w:rsid w:val="534E18C5"/>
    <w:rsid w:val="539F192F"/>
    <w:rsid w:val="53A54309"/>
    <w:rsid w:val="53B01CF2"/>
    <w:rsid w:val="53F377A8"/>
    <w:rsid w:val="541A0123"/>
    <w:rsid w:val="541C1980"/>
    <w:rsid w:val="54415213"/>
    <w:rsid w:val="5463135D"/>
    <w:rsid w:val="54640C31"/>
    <w:rsid w:val="54790B80"/>
    <w:rsid w:val="548D63DA"/>
    <w:rsid w:val="54A379AB"/>
    <w:rsid w:val="54BF6BB7"/>
    <w:rsid w:val="54D66671"/>
    <w:rsid w:val="54D933CD"/>
    <w:rsid w:val="54EE09C5"/>
    <w:rsid w:val="54EF2BF0"/>
    <w:rsid w:val="550A4368"/>
    <w:rsid w:val="55214D74"/>
    <w:rsid w:val="55355BDF"/>
    <w:rsid w:val="553F41FA"/>
    <w:rsid w:val="55450A62"/>
    <w:rsid w:val="5552514E"/>
    <w:rsid w:val="555F263A"/>
    <w:rsid w:val="559A3874"/>
    <w:rsid w:val="559A4FB0"/>
    <w:rsid w:val="55EE2161"/>
    <w:rsid w:val="55F47CCA"/>
    <w:rsid w:val="561E0534"/>
    <w:rsid w:val="562A41F7"/>
    <w:rsid w:val="563167DC"/>
    <w:rsid w:val="565C2507"/>
    <w:rsid w:val="56707BDA"/>
    <w:rsid w:val="568763F0"/>
    <w:rsid w:val="568E6439"/>
    <w:rsid w:val="56993870"/>
    <w:rsid w:val="56C667BE"/>
    <w:rsid w:val="56CB4F97"/>
    <w:rsid w:val="56D976B4"/>
    <w:rsid w:val="56DB5BC3"/>
    <w:rsid w:val="56ED7CB4"/>
    <w:rsid w:val="56F24B88"/>
    <w:rsid w:val="56F73A0D"/>
    <w:rsid w:val="56FE00DA"/>
    <w:rsid w:val="571164F6"/>
    <w:rsid w:val="571679F1"/>
    <w:rsid w:val="571A713B"/>
    <w:rsid w:val="574B7E86"/>
    <w:rsid w:val="575B4C3B"/>
    <w:rsid w:val="576553EC"/>
    <w:rsid w:val="577A6460"/>
    <w:rsid w:val="57811AFA"/>
    <w:rsid w:val="57835872"/>
    <w:rsid w:val="57845D25"/>
    <w:rsid w:val="578A4E52"/>
    <w:rsid w:val="57A852D8"/>
    <w:rsid w:val="57BA40CB"/>
    <w:rsid w:val="57DF519E"/>
    <w:rsid w:val="58100414"/>
    <w:rsid w:val="58123253"/>
    <w:rsid w:val="58242BB1"/>
    <w:rsid w:val="58386C06"/>
    <w:rsid w:val="58392AF0"/>
    <w:rsid w:val="584414A5"/>
    <w:rsid w:val="58675193"/>
    <w:rsid w:val="588303AC"/>
    <w:rsid w:val="588B4C8B"/>
    <w:rsid w:val="58A261CC"/>
    <w:rsid w:val="58E54CC3"/>
    <w:rsid w:val="58F13D00"/>
    <w:rsid w:val="590D1127"/>
    <w:rsid w:val="590F5E8A"/>
    <w:rsid w:val="59396B30"/>
    <w:rsid w:val="593F3679"/>
    <w:rsid w:val="59480B21"/>
    <w:rsid w:val="595D13D8"/>
    <w:rsid w:val="59771406"/>
    <w:rsid w:val="59802D45"/>
    <w:rsid w:val="598C3104"/>
    <w:rsid w:val="599872FD"/>
    <w:rsid w:val="59A2301C"/>
    <w:rsid w:val="59B51489"/>
    <w:rsid w:val="59D61B39"/>
    <w:rsid w:val="59D85DF8"/>
    <w:rsid w:val="59E06C63"/>
    <w:rsid w:val="59FB5B93"/>
    <w:rsid w:val="5A282BA3"/>
    <w:rsid w:val="5A292701"/>
    <w:rsid w:val="5A2E1B19"/>
    <w:rsid w:val="5A2F3A8F"/>
    <w:rsid w:val="5A3E3CD2"/>
    <w:rsid w:val="5A8262B5"/>
    <w:rsid w:val="5A831E2F"/>
    <w:rsid w:val="5A8A2B8D"/>
    <w:rsid w:val="5AD3266C"/>
    <w:rsid w:val="5AD703AE"/>
    <w:rsid w:val="5ADF3707"/>
    <w:rsid w:val="5AF7771D"/>
    <w:rsid w:val="5AFE1DDF"/>
    <w:rsid w:val="5B033869"/>
    <w:rsid w:val="5B1E0E25"/>
    <w:rsid w:val="5B51013E"/>
    <w:rsid w:val="5B6D0D13"/>
    <w:rsid w:val="5B774531"/>
    <w:rsid w:val="5B8322E4"/>
    <w:rsid w:val="5BA90C0A"/>
    <w:rsid w:val="5BAD110F"/>
    <w:rsid w:val="5BD26DC8"/>
    <w:rsid w:val="5C043425"/>
    <w:rsid w:val="5C074CC3"/>
    <w:rsid w:val="5C384E7D"/>
    <w:rsid w:val="5C401F83"/>
    <w:rsid w:val="5C437F40"/>
    <w:rsid w:val="5C462241"/>
    <w:rsid w:val="5C4868CC"/>
    <w:rsid w:val="5C930305"/>
    <w:rsid w:val="5C974299"/>
    <w:rsid w:val="5CAB56E7"/>
    <w:rsid w:val="5CB169DD"/>
    <w:rsid w:val="5CB85B17"/>
    <w:rsid w:val="5CD77DE6"/>
    <w:rsid w:val="5CDF179C"/>
    <w:rsid w:val="5CFF3299"/>
    <w:rsid w:val="5D0E3E30"/>
    <w:rsid w:val="5D52169E"/>
    <w:rsid w:val="5D5A0A98"/>
    <w:rsid w:val="5D5C2DED"/>
    <w:rsid w:val="5D616655"/>
    <w:rsid w:val="5D621401"/>
    <w:rsid w:val="5D6323CD"/>
    <w:rsid w:val="5D6B7EBD"/>
    <w:rsid w:val="5D722610"/>
    <w:rsid w:val="5D850596"/>
    <w:rsid w:val="5DB833BF"/>
    <w:rsid w:val="5DCA7D57"/>
    <w:rsid w:val="5DE27796"/>
    <w:rsid w:val="5DE4727B"/>
    <w:rsid w:val="5E5166CA"/>
    <w:rsid w:val="5E5B4E53"/>
    <w:rsid w:val="5E68756F"/>
    <w:rsid w:val="5E714676"/>
    <w:rsid w:val="5E736640"/>
    <w:rsid w:val="5E9860A7"/>
    <w:rsid w:val="5E9D7136"/>
    <w:rsid w:val="5EAC3900"/>
    <w:rsid w:val="5EB266CD"/>
    <w:rsid w:val="5EB872A8"/>
    <w:rsid w:val="5EEC63F2"/>
    <w:rsid w:val="5F3F29C6"/>
    <w:rsid w:val="5F5928DB"/>
    <w:rsid w:val="5F6366B5"/>
    <w:rsid w:val="5F6D4899"/>
    <w:rsid w:val="5F771D87"/>
    <w:rsid w:val="5F7A13D9"/>
    <w:rsid w:val="5F7A1C50"/>
    <w:rsid w:val="5F930AF8"/>
    <w:rsid w:val="5FA840C8"/>
    <w:rsid w:val="5FC15189"/>
    <w:rsid w:val="5FC80BD7"/>
    <w:rsid w:val="5FD411DB"/>
    <w:rsid w:val="60003F04"/>
    <w:rsid w:val="60065292"/>
    <w:rsid w:val="600D2A18"/>
    <w:rsid w:val="600F2399"/>
    <w:rsid w:val="60295997"/>
    <w:rsid w:val="60624BBE"/>
    <w:rsid w:val="60786190"/>
    <w:rsid w:val="60794FF2"/>
    <w:rsid w:val="607A1B92"/>
    <w:rsid w:val="60AA20C1"/>
    <w:rsid w:val="60AF1486"/>
    <w:rsid w:val="60B66CB8"/>
    <w:rsid w:val="60C17234"/>
    <w:rsid w:val="60D630E7"/>
    <w:rsid w:val="60DC3129"/>
    <w:rsid w:val="60DD7536"/>
    <w:rsid w:val="60E46F03"/>
    <w:rsid w:val="60E5134B"/>
    <w:rsid w:val="60F33A68"/>
    <w:rsid w:val="60F93303"/>
    <w:rsid w:val="60FB291D"/>
    <w:rsid w:val="61220E83"/>
    <w:rsid w:val="612B1454"/>
    <w:rsid w:val="612B4288"/>
    <w:rsid w:val="61300818"/>
    <w:rsid w:val="6131633F"/>
    <w:rsid w:val="613A45BD"/>
    <w:rsid w:val="61512DC3"/>
    <w:rsid w:val="61572249"/>
    <w:rsid w:val="617D3332"/>
    <w:rsid w:val="61AF635B"/>
    <w:rsid w:val="61C92272"/>
    <w:rsid w:val="61CB4DFE"/>
    <w:rsid w:val="61D70C94"/>
    <w:rsid w:val="61D90741"/>
    <w:rsid w:val="61DB5A7C"/>
    <w:rsid w:val="61ED495B"/>
    <w:rsid w:val="620123E4"/>
    <w:rsid w:val="62407431"/>
    <w:rsid w:val="6242341B"/>
    <w:rsid w:val="62450C5C"/>
    <w:rsid w:val="626B78E0"/>
    <w:rsid w:val="6280757E"/>
    <w:rsid w:val="62875C56"/>
    <w:rsid w:val="62882B1C"/>
    <w:rsid w:val="62A0552A"/>
    <w:rsid w:val="62E231B2"/>
    <w:rsid w:val="63035AB9"/>
    <w:rsid w:val="630F26B0"/>
    <w:rsid w:val="630F506C"/>
    <w:rsid w:val="63144C61"/>
    <w:rsid w:val="631A5652"/>
    <w:rsid w:val="63273E9D"/>
    <w:rsid w:val="634379A6"/>
    <w:rsid w:val="637C7D45"/>
    <w:rsid w:val="637F7680"/>
    <w:rsid w:val="63A80222"/>
    <w:rsid w:val="63AC3405"/>
    <w:rsid w:val="63B70D7D"/>
    <w:rsid w:val="63C57AD8"/>
    <w:rsid w:val="63D556A7"/>
    <w:rsid w:val="63DC0629"/>
    <w:rsid w:val="63F22891"/>
    <w:rsid w:val="63FB4D53"/>
    <w:rsid w:val="640A735C"/>
    <w:rsid w:val="64340620"/>
    <w:rsid w:val="643E1DDB"/>
    <w:rsid w:val="644338BB"/>
    <w:rsid w:val="644A4BFD"/>
    <w:rsid w:val="644C3818"/>
    <w:rsid w:val="644D348F"/>
    <w:rsid w:val="646B538C"/>
    <w:rsid w:val="647D600E"/>
    <w:rsid w:val="64AD3F2E"/>
    <w:rsid w:val="64B82FFF"/>
    <w:rsid w:val="64BA34FF"/>
    <w:rsid w:val="64DF6129"/>
    <w:rsid w:val="64F14763"/>
    <w:rsid w:val="64F222AF"/>
    <w:rsid w:val="651C3508"/>
    <w:rsid w:val="652A0504"/>
    <w:rsid w:val="652C50A4"/>
    <w:rsid w:val="653E102A"/>
    <w:rsid w:val="65640A91"/>
    <w:rsid w:val="6569747A"/>
    <w:rsid w:val="65875F01"/>
    <w:rsid w:val="6588405D"/>
    <w:rsid w:val="658B2E93"/>
    <w:rsid w:val="65A25A5D"/>
    <w:rsid w:val="65AE016F"/>
    <w:rsid w:val="65D86BEF"/>
    <w:rsid w:val="65DC0990"/>
    <w:rsid w:val="661C7ED9"/>
    <w:rsid w:val="6630477D"/>
    <w:rsid w:val="664072C6"/>
    <w:rsid w:val="664408C2"/>
    <w:rsid w:val="669E5544"/>
    <w:rsid w:val="66B34B97"/>
    <w:rsid w:val="66BC0BE7"/>
    <w:rsid w:val="66CC0FE3"/>
    <w:rsid w:val="66CC2D91"/>
    <w:rsid w:val="66D659BE"/>
    <w:rsid w:val="66FE4C4B"/>
    <w:rsid w:val="67144738"/>
    <w:rsid w:val="671E1113"/>
    <w:rsid w:val="67241546"/>
    <w:rsid w:val="6727560C"/>
    <w:rsid w:val="67317098"/>
    <w:rsid w:val="67363981"/>
    <w:rsid w:val="674535A5"/>
    <w:rsid w:val="674C1365"/>
    <w:rsid w:val="6764746E"/>
    <w:rsid w:val="679B7614"/>
    <w:rsid w:val="67B37AAD"/>
    <w:rsid w:val="67BA52E0"/>
    <w:rsid w:val="67C24194"/>
    <w:rsid w:val="67D839B8"/>
    <w:rsid w:val="67E450A9"/>
    <w:rsid w:val="67F87BB6"/>
    <w:rsid w:val="681D761D"/>
    <w:rsid w:val="68212C69"/>
    <w:rsid w:val="68214B88"/>
    <w:rsid w:val="68224C33"/>
    <w:rsid w:val="687C2595"/>
    <w:rsid w:val="68831F2D"/>
    <w:rsid w:val="68C55CEA"/>
    <w:rsid w:val="68D036B7"/>
    <w:rsid w:val="68DD005D"/>
    <w:rsid w:val="68E86BFA"/>
    <w:rsid w:val="6906356D"/>
    <w:rsid w:val="69270753"/>
    <w:rsid w:val="692F053C"/>
    <w:rsid w:val="69430BDA"/>
    <w:rsid w:val="694A3E5D"/>
    <w:rsid w:val="69836693"/>
    <w:rsid w:val="69A262CD"/>
    <w:rsid w:val="69A41DA4"/>
    <w:rsid w:val="69B76692"/>
    <w:rsid w:val="69C17F22"/>
    <w:rsid w:val="69C34EFD"/>
    <w:rsid w:val="6A191710"/>
    <w:rsid w:val="6A246A40"/>
    <w:rsid w:val="6A505A87"/>
    <w:rsid w:val="6A5A10B5"/>
    <w:rsid w:val="6A5D25AF"/>
    <w:rsid w:val="6A6908F7"/>
    <w:rsid w:val="6A87001A"/>
    <w:rsid w:val="6ABC50DC"/>
    <w:rsid w:val="6AC23D01"/>
    <w:rsid w:val="6AD803A3"/>
    <w:rsid w:val="6AF74155"/>
    <w:rsid w:val="6AFD58BD"/>
    <w:rsid w:val="6B0C3C5A"/>
    <w:rsid w:val="6B0D4FFE"/>
    <w:rsid w:val="6B221C24"/>
    <w:rsid w:val="6B4F5D3F"/>
    <w:rsid w:val="6B667A77"/>
    <w:rsid w:val="6B774D46"/>
    <w:rsid w:val="6B7F265D"/>
    <w:rsid w:val="6BB107A8"/>
    <w:rsid w:val="6BB12556"/>
    <w:rsid w:val="6BD91AAD"/>
    <w:rsid w:val="6BF83B8E"/>
    <w:rsid w:val="6C0F147A"/>
    <w:rsid w:val="6C1E7B69"/>
    <w:rsid w:val="6C287B41"/>
    <w:rsid w:val="6C303757"/>
    <w:rsid w:val="6C6F1EA4"/>
    <w:rsid w:val="6C8B2DA7"/>
    <w:rsid w:val="6CA6400E"/>
    <w:rsid w:val="6D214429"/>
    <w:rsid w:val="6D324605"/>
    <w:rsid w:val="6D401DE3"/>
    <w:rsid w:val="6D7101EF"/>
    <w:rsid w:val="6D716441"/>
    <w:rsid w:val="6D910891"/>
    <w:rsid w:val="6DB34AC8"/>
    <w:rsid w:val="6DC01C88"/>
    <w:rsid w:val="6DD00132"/>
    <w:rsid w:val="6DDE6CE4"/>
    <w:rsid w:val="6DF606F4"/>
    <w:rsid w:val="6E162B44"/>
    <w:rsid w:val="6E18729E"/>
    <w:rsid w:val="6E2E7ECC"/>
    <w:rsid w:val="6E3206D6"/>
    <w:rsid w:val="6E5642A5"/>
    <w:rsid w:val="6E602011"/>
    <w:rsid w:val="6E6243E1"/>
    <w:rsid w:val="6E6721D9"/>
    <w:rsid w:val="6E82467D"/>
    <w:rsid w:val="6E8403F6"/>
    <w:rsid w:val="6E95110E"/>
    <w:rsid w:val="6EB72579"/>
    <w:rsid w:val="6EB81D8F"/>
    <w:rsid w:val="6EC735FE"/>
    <w:rsid w:val="6ECA348F"/>
    <w:rsid w:val="6EF47329"/>
    <w:rsid w:val="6EF70BC7"/>
    <w:rsid w:val="6EF74724"/>
    <w:rsid w:val="6EFF42EB"/>
    <w:rsid w:val="6F1B3AA8"/>
    <w:rsid w:val="6F203A84"/>
    <w:rsid w:val="6F2E3EBD"/>
    <w:rsid w:val="6F364493"/>
    <w:rsid w:val="6F5558EE"/>
    <w:rsid w:val="6F5B1156"/>
    <w:rsid w:val="6F6A6316"/>
    <w:rsid w:val="6F751AEC"/>
    <w:rsid w:val="6F7F4719"/>
    <w:rsid w:val="6F832989"/>
    <w:rsid w:val="6F861031"/>
    <w:rsid w:val="6F8A4B2B"/>
    <w:rsid w:val="6F8B0B99"/>
    <w:rsid w:val="6FA11970"/>
    <w:rsid w:val="6FB95E7D"/>
    <w:rsid w:val="6FC33ACF"/>
    <w:rsid w:val="6FCF56A0"/>
    <w:rsid w:val="6FD2082A"/>
    <w:rsid w:val="6FD418AD"/>
    <w:rsid w:val="702A251B"/>
    <w:rsid w:val="70381498"/>
    <w:rsid w:val="705A4C09"/>
    <w:rsid w:val="70617EC8"/>
    <w:rsid w:val="707A20B1"/>
    <w:rsid w:val="707E0282"/>
    <w:rsid w:val="70812E3F"/>
    <w:rsid w:val="708F4524"/>
    <w:rsid w:val="70991D7A"/>
    <w:rsid w:val="70BA3C5B"/>
    <w:rsid w:val="70E20A02"/>
    <w:rsid w:val="70E248CD"/>
    <w:rsid w:val="70F52EE5"/>
    <w:rsid w:val="712156AB"/>
    <w:rsid w:val="71593474"/>
    <w:rsid w:val="715B3690"/>
    <w:rsid w:val="71681909"/>
    <w:rsid w:val="7185070D"/>
    <w:rsid w:val="71B11502"/>
    <w:rsid w:val="71B22914"/>
    <w:rsid w:val="71D5345C"/>
    <w:rsid w:val="71DC2593"/>
    <w:rsid w:val="71E73175"/>
    <w:rsid w:val="720751EB"/>
    <w:rsid w:val="722872EA"/>
    <w:rsid w:val="722E1077"/>
    <w:rsid w:val="72473C14"/>
    <w:rsid w:val="725A3947"/>
    <w:rsid w:val="72750CA3"/>
    <w:rsid w:val="728409C4"/>
    <w:rsid w:val="72943314"/>
    <w:rsid w:val="7295792B"/>
    <w:rsid w:val="72A961B1"/>
    <w:rsid w:val="72C12EE0"/>
    <w:rsid w:val="72CE6C35"/>
    <w:rsid w:val="72F826A1"/>
    <w:rsid w:val="73010267"/>
    <w:rsid w:val="73214BA5"/>
    <w:rsid w:val="73374BA6"/>
    <w:rsid w:val="734B3E2F"/>
    <w:rsid w:val="73522870"/>
    <w:rsid w:val="73696D7E"/>
    <w:rsid w:val="736E51D0"/>
    <w:rsid w:val="737E7D7B"/>
    <w:rsid w:val="739015EB"/>
    <w:rsid w:val="73AA445A"/>
    <w:rsid w:val="73AF1221"/>
    <w:rsid w:val="73CC1F06"/>
    <w:rsid w:val="73DE2356"/>
    <w:rsid w:val="73EA0CFB"/>
    <w:rsid w:val="7400407A"/>
    <w:rsid w:val="74037AB7"/>
    <w:rsid w:val="74040D09"/>
    <w:rsid w:val="74054DCB"/>
    <w:rsid w:val="7420296E"/>
    <w:rsid w:val="745F66ED"/>
    <w:rsid w:val="747448B2"/>
    <w:rsid w:val="74826A17"/>
    <w:rsid w:val="74A013B9"/>
    <w:rsid w:val="74E514C2"/>
    <w:rsid w:val="74E90725"/>
    <w:rsid w:val="74F00593"/>
    <w:rsid w:val="74F30675"/>
    <w:rsid w:val="74F51705"/>
    <w:rsid w:val="750078FB"/>
    <w:rsid w:val="75175B20"/>
    <w:rsid w:val="751C3E82"/>
    <w:rsid w:val="75230E5D"/>
    <w:rsid w:val="752635D2"/>
    <w:rsid w:val="752B5127"/>
    <w:rsid w:val="752F3287"/>
    <w:rsid w:val="75324707"/>
    <w:rsid w:val="7534591D"/>
    <w:rsid w:val="753C3B04"/>
    <w:rsid w:val="757B54AB"/>
    <w:rsid w:val="759772D7"/>
    <w:rsid w:val="75BE243F"/>
    <w:rsid w:val="75C34064"/>
    <w:rsid w:val="75DF337B"/>
    <w:rsid w:val="75EB3220"/>
    <w:rsid w:val="760746A1"/>
    <w:rsid w:val="760C31AA"/>
    <w:rsid w:val="761958C7"/>
    <w:rsid w:val="762640F9"/>
    <w:rsid w:val="762C5A1A"/>
    <w:rsid w:val="763A6791"/>
    <w:rsid w:val="766C2F2B"/>
    <w:rsid w:val="767679C0"/>
    <w:rsid w:val="7682346D"/>
    <w:rsid w:val="768B79A1"/>
    <w:rsid w:val="76CA0970"/>
    <w:rsid w:val="76CB4EF4"/>
    <w:rsid w:val="76D55916"/>
    <w:rsid w:val="76F61765"/>
    <w:rsid w:val="77040325"/>
    <w:rsid w:val="772D6E8E"/>
    <w:rsid w:val="77430769"/>
    <w:rsid w:val="77554E39"/>
    <w:rsid w:val="775D7F99"/>
    <w:rsid w:val="777519E2"/>
    <w:rsid w:val="777D1E86"/>
    <w:rsid w:val="77940F04"/>
    <w:rsid w:val="77955421"/>
    <w:rsid w:val="77996CC0"/>
    <w:rsid w:val="779B7915"/>
    <w:rsid w:val="77CB2D2F"/>
    <w:rsid w:val="77F14573"/>
    <w:rsid w:val="77FF289B"/>
    <w:rsid w:val="78101336"/>
    <w:rsid w:val="781A0349"/>
    <w:rsid w:val="781C3334"/>
    <w:rsid w:val="7827085A"/>
    <w:rsid w:val="782F13D2"/>
    <w:rsid w:val="7855323B"/>
    <w:rsid w:val="78A25FC3"/>
    <w:rsid w:val="78A74E1C"/>
    <w:rsid w:val="78B33A12"/>
    <w:rsid w:val="78B410C1"/>
    <w:rsid w:val="78F14974"/>
    <w:rsid w:val="7917715F"/>
    <w:rsid w:val="795B7FA5"/>
    <w:rsid w:val="795C4A93"/>
    <w:rsid w:val="796B01E8"/>
    <w:rsid w:val="798B075D"/>
    <w:rsid w:val="79A60B66"/>
    <w:rsid w:val="79AD76D8"/>
    <w:rsid w:val="79C142AC"/>
    <w:rsid w:val="79C30024"/>
    <w:rsid w:val="79C9773E"/>
    <w:rsid w:val="79D73ACF"/>
    <w:rsid w:val="79E35140"/>
    <w:rsid w:val="79F10352"/>
    <w:rsid w:val="79FA5A10"/>
    <w:rsid w:val="79FE105C"/>
    <w:rsid w:val="7A066163"/>
    <w:rsid w:val="7A1F5BDD"/>
    <w:rsid w:val="7A230AC3"/>
    <w:rsid w:val="7A2D7B93"/>
    <w:rsid w:val="7A3743B5"/>
    <w:rsid w:val="7A4131B6"/>
    <w:rsid w:val="7A55402C"/>
    <w:rsid w:val="7A756769"/>
    <w:rsid w:val="7A791842"/>
    <w:rsid w:val="7A9521FB"/>
    <w:rsid w:val="7A980753"/>
    <w:rsid w:val="7AA339B1"/>
    <w:rsid w:val="7AA5597C"/>
    <w:rsid w:val="7ADD5115"/>
    <w:rsid w:val="7AE04C06"/>
    <w:rsid w:val="7AEA5A84"/>
    <w:rsid w:val="7AF95CC7"/>
    <w:rsid w:val="7B3B5D1E"/>
    <w:rsid w:val="7B474C85"/>
    <w:rsid w:val="7B4A4AE8"/>
    <w:rsid w:val="7B512E8E"/>
    <w:rsid w:val="7B5C2D88"/>
    <w:rsid w:val="7B713AB0"/>
    <w:rsid w:val="7B7703D1"/>
    <w:rsid w:val="7B810197"/>
    <w:rsid w:val="7B95105C"/>
    <w:rsid w:val="7B9B28DB"/>
    <w:rsid w:val="7BBA5457"/>
    <w:rsid w:val="7BE95A94"/>
    <w:rsid w:val="7BF5648F"/>
    <w:rsid w:val="7BFC781D"/>
    <w:rsid w:val="7BFF3890"/>
    <w:rsid w:val="7C0B413F"/>
    <w:rsid w:val="7C134B67"/>
    <w:rsid w:val="7C136915"/>
    <w:rsid w:val="7C3D13B9"/>
    <w:rsid w:val="7C567507"/>
    <w:rsid w:val="7C5E5DE2"/>
    <w:rsid w:val="7C63164A"/>
    <w:rsid w:val="7C8204B4"/>
    <w:rsid w:val="7CA3413D"/>
    <w:rsid w:val="7CBD2C36"/>
    <w:rsid w:val="7CD3115D"/>
    <w:rsid w:val="7CFB1883"/>
    <w:rsid w:val="7CFBD1B6"/>
    <w:rsid w:val="7D1444F3"/>
    <w:rsid w:val="7D2A2168"/>
    <w:rsid w:val="7D412A8D"/>
    <w:rsid w:val="7D576338"/>
    <w:rsid w:val="7D58558B"/>
    <w:rsid w:val="7D731D61"/>
    <w:rsid w:val="7D7D2BE0"/>
    <w:rsid w:val="7D8B1E26"/>
    <w:rsid w:val="7D9F4904"/>
    <w:rsid w:val="7DA22646"/>
    <w:rsid w:val="7DA95783"/>
    <w:rsid w:val="7DB53857"/>
    <w:rsid w:val="7DBF46FC"/>
    <w:rsid w:val="7DD86068"/>
    <w:rsid w:val="7DDC7906"/>
    <w:rsid w:val="7DE71E07"/>
    <w:rsid w:val="7DF52673"/>
    <w:rsid w:val="7E3E236F"/>
    <w:rsid w:val="7E453AB3"/>
    <w:rsid w:val="7E4E5490"/>
    <w:rsid w:val="7E524281"/>
    <w:rsid w:val="7E6B3FF2"/>
    <w:rsid w:val="7E924469"/>
    <w:rsid w:val="7EB119B6"/>
    <w:rsid w:val="7EC55276"/>
    <w:rsid w:val="7EC565EC"/>
    <w:rsid w:val="7F054C3B"/>
    <w:rsid w:val="7F0828CC"/>
    <w:rsid w:val="7F086780"/>
    <w:rsid w:val="7F3A1ACE"/>
    <w:rsid w:val="7F442425"/>
    <w:rsid w:val="7F9703BE"/>
    <w:rsid w:val="7FB977D3"/>
    <w:rsid w:val="7FBC6124"/>
    <w:rsid w:val="7FBE4DEA"/>
    <w:rsid w:val="7FC461CE"/>
    <w:rsid w:val="7FDD432A"/>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45"/>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46"/>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link w:val="47"/>
    <w:autoRedefine/>
    <w:qFormat/>
    <w:uiPriority w:val="0"/>
    <w:pPr>
      <w:jc w:val="left"/>
    </w:pPr>
  </w:style>
  <w:style w:type="paragraph" w:styleId="11">
    <w:name w:val="Body Text"/>
    <w:basedOn w:val="1"/>
    <w:next w:val="1"/>
    <w:autoRedefine/>
    <w:qFormat/>
    <w:uiPriority w:val="0"/>
  </w:style>
  <w:style w:type="paragraph" w:styleId="12">
    <w:name w:val="Body Text Indent"/>
    <w:basedOn w:val="1"/>
    <w:autoRedefine/>
    <w:qFormat/>
    <w:uiPriority w:val="0"/>
    <w:pPr>
      <w:spacing w:line="700" w:lineRule="exact"/>
      <w:ind w:left="960"/>
    </w:pPr>
    <w:rPr>
      <w:sz w:val="44"/>
    </w:rPr>
  </w:style>
  <w:style w:type="paragraph" w:styleId="13">
    <w:name w:val="toc 3"/>
    <w:basedOn w:val="1"/>
    <w:next w:val="1"/>
    <w:qFormat/>
    <w:uiPriority w:val="0"/>
    <w:pPr>
      <w:ind w:left="840" w:leftChars="400"/>
    </w:pPr>
  </w:style>
  <w:style w:type="paragraph" w:styleId="14">
    <w:name w:val="Plain Text"/>
    <w:basedOn w:val="1"/>
    <w:autoRedefine/>
    <w:qFormat/>
    <w:uiPriority w:val="0"/>
    <w:rPr>
      <w:rFonts w:hAnsi="Courier New"/>
      <w:kern w:val="0"/>
      <w:sz w:val="20"/>
      <w:szCs w:val="20"/>
    </w:rPr>
  </w:style>
  <w:style w:type="paragraph" w:styleId="15">
    <w:name w:val="Date"/>
    <w:basedOn w:val="1"/>
    <w:next w:val="1"/>
    <w:autoRedefine/>
    <w:qFormat/>
    <w:uiPriority w:val="0"/>
  </w:style>
  <w:style w:type="paragraph" w:styleId="16">
    <w:name w:val="Body Text Indent 2"/>
    <w:basedOn w:val="1"/>
    <w:autoRedefine/>
    <w:qFormat/>
    <w:uiPriority w:val="99"/>
    <w:pPr>
      <w:snapToGrid w:val="0"/>
      <w:spacing w:line="560" w:lineRule="atLeast"/>
      <w:ind w:firstLine="540"/>
    </w:p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rFonts w:eastAsia="宋体"/>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20">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21">
    <w:name w:val="toc 2"/>
    <w:basedOn w:val="1"/>
    <w:next w:val="1"/>
    <w:autoRedefine/>
    <w:qFormat/>
    <w:uiPriority w:val="39"/>
    <w:pPr>
      <w:tabs>
        <w:tab w:val="right" w:leader="dot" w:pos="8400"/>
      </w:tabs>
      <w:spacing w:line="440" w:lineRule="exact"/>
      <w:ind w:left="280" w:leftChars="100" w:right="-91" w:rightChars="-91"/>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annotation subject"/>
    <w:basedOn w:val="10"/>
    <w:next w:val="10"/>
    <w:link w:val="48"/>
    <w:autoRedefine/>
    <w:qFormat/>
    <w:uiPriority w:val="0"/>
    <w:rPr>
      <w:b/>
      <w:bCs/>
    </w:rPr>
  </w:style>
  <w:style w:type="paragraph" w:styleId="25">
    <w:name w:val="Body Text First Indent"/>
    <w:basedOn w:val="11"/>
    <w:next w:val="1"/>
    <w:autoRedefine/>
    <w:qFormat/>
    <w:uiPriority w:val="0"/>
    <w:pPr>
      <w:spacing w:line="360" w:lineRule="auto"/>
      <w:ind w:firstLine="420"/>
    </w:pPr>
    <w:rPr>
      <w:rFonts w:ascii="宋体" w:hAnsi="宋体"/>
      <w:sz w:val="24"/>
    </w:rPr>
  </w:style>
  <w:style w:type="paragraph" w:styleId="26">
    <w:name w:val="Body Text First Indent 2"/>
    <w:basedOn w:val="12"/>
    <w:autoRedefine/>
    <w:qFormat/>
    <w:uiPriority w:val="0"/>
    <w:pPr>
      <w:spacing w:line="240" w:lineRule="auto"/>
      <w:ind w:left="420" w:leftChars="200" w:firstLine="420" w:firstLineChars="20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000000"/>
      <w:u w:val="none"/>
    </w:rPr>
  </w:style>
  <w:style w:type="character" w:styleId="33">
    <w:name w:val="Emphasis"/>
    <w:basedOn w:val="29"/>
    <w:autoRedefine/>
    <w:qFormat/>
    <w:uiPriority w:val="0"/>
    <w:rPr>
      <w:i/>
      <w:iCs/>
    </w:rPr>
  </w:style>
  <w:style w:type="character" w:styleId="34">
    <w:name w:val="Hyperlink"/>
    <w:autoRedefine/>
    <w:qFormat/>
    <w:uiPriority w:val="99"/>
    <w:rPr>
      <w:color w:val="0000FF"/>
      <w:u w:val="single"/>
    </w:rPr>
  </w:style>
  <w:style w:type="character" w:styleId="35">
    <w:name w:val="HTML Code"/>
    <w:basedOn w:val="29"/>
    <w:autoRedefine/>
    <w:qFormat/>
    <w:uiPriority w:val="0"/>
    <w:rPr>
      <w:rFonts w:ascii="Consolas" w:hAnsi="Consolas" w:eastAsia="Consolas" w:cs="Consolas"/>
      <w:color w:val="DD1144"/>
      <w:sz w:val="12"/>
      <w:szCs w:val="12"/>
      <w:bdr w:val="single" w:color="E1E1E8" w:sz="4" w:space="0"/>
      <w:shd w:val="clear" w:fill="F7F7F9"/>
    </w:rPr>
  </w:style>
  <w:style w:type="character" w:styleId="36">
    <w:name w:val="annotation reference"/>
    <w:basedOn w:val="29"/>
    <w:autoRedefine/>
    <w:qFormat/>
    <w:uiPriority w:val="0"/>
    <w:rPr>
      <w:sz w:val="21"/>
      <w:szCs w:val="21"/>
    </w:rPr>
  </w:style>
  <w:style w:type="character" w:styleId="37">
    <w:name w:val="HTML Cite"/>
    <w:basedOn w:val="29"/>
    <w:autoRedefine/>
    <w:qFormat/>
    <w:uiPriority w:val="0"/>
  </w:style>
  <w:style w:type="paragraph" w:customStyle="1" w:styleId="38">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9">
    <w:name w:val="样式 宋体 五号 行距: 单倍行距"/>
    <w:basedOn w:val="1"/>
    <w:autoRedefine/>
    <w:qFormat/>
    <w:uiPriority w:val="0"/>
    <w:pPr>
      <w:adjustRightInd w:val="0"/>
      <w:jc w:val="left"/>
    </w:pPr>
    <w:rPr>
      <w:rFonts w:ascii="宋体" w:hAnsi="宋体"/>
      <w:kern w:val="0"/>
      <w:sz w:val="21"/>
    </w:rPr>
  </w:style>
  <w:style w:type="paragraph" w:customStyle="1" w:styleId="40">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4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1"/>
    <w:basedOn w:val="1"/>
    <w:autoRedefine/>
    <w:qFormat/>
    <w:uiPriority w:val="0"/>
    <w:rPr>
      <w:rFonts w:ascii="Tahoma" w:hAnsi="Tahoma"/>
      <w:sz w:val="24"/>
    </w:rPr>
  </w:style>
  <w:style w:type="paragraph" w:customStyle="1" w:styleId="44">
    <w:name w:val="标书正文1"/>
    <w:basedOn w:val="1"/>
    <w:autoRedefine/>
    <w:qFormat/>
    <w:uiPriority w:val="0"/>
    <w:pPr>
      <w:spacing w:line="520" w:lineRule="exact"/>
      <w:ind w:firstLine="640" w:firstLineChars="200"/>
    </w:pPr>
  </w:style>
  <w:style w:type="character" w:customStyle="1" w:styleId="45">
    <w:name w:val="标题 2 字符"/>
    <w:link w:val="3"/>
    <w:autoRedefine/>
    <w:qFormat/>
    <w:uiPriority w:val="0"/>
    <w:rPr>
      <w:rFonts w:ascii="宋体" w:hAnsi="宋体"/>
    </w:rPr>
  </w:style>
  <w:style w:type="character" w:customStyle="1" w:styleId="46">
    <w:name w:val="标题 3 字符"/>
    <w:link w:val="4"/>
    <w:autoRedefine/>
    <w:qFormat/>
    <w:uiPriority w:val="0"/>
    <w:rPr>
      <w:b/>
      <w:sz w:val="44"/>
    </w:rPr>
  </w:style>
  <w:style w:type="character" w:customStyle="1" w:styleId="47">
    <w:name w:val="批注文字 字符"/>
    <w:basedOn w:val="29"/>
    <w:link w:val="10"/>
    <w:autoRedefine/>
    <w:qFormat/>
    <w:uiPriority w:val="0"/>
    <w:rPr>
      <w:rFonts w:ascii="等线" w:hAnsi="等线" w:eastAsia="等线"/>
      <w:kern w:val="2"/>
      <w:sz w:val="21"/>
      <w:szCs w:val="22"/>
    </w:rPr>
  </w:style>
  <w:style w:type="character" w:customStyle="1" w:styleId="48">
    <w:name w:val="批注主题 字符"/>
    <w:basedOn w:val="47"/>
    <w:link w:val="24"/>
    <w:autoRedefine/>
    <w:qFormat/>
    <w:uiPriority w:val="0"/>
    <w:rPr>
      <w:rFonts w:ascii="等线" w:hAnsi="等线" w:eastAsia="等线"/>
      <w:b/>
      <w:bCs/>
      <w:kern w:val="2"/>
      <w:sz w:val="21"/>
      <w:szCs w:val="22"/>
    </w:rPr>
  </w:style>
  <w:style w:type="paragraph" w:customStyle="1" w:styleId="49">
    <w:name w:val="p0"/>
    <w:basedOn w:val="1"/>
    <w:autoRedefine/>
    <w:qFormat/>
    <w:uiPriority w:val="0"/>
    <w:pPr>
      <w:widowControl/>
    </w:pPr>
    <w:rPr>
      <w:kern w:val="0"/>
      <w:sz w:val="20"/>
      <w:szCs w:val="21"/>
    </w:rPr>
  </w:style>
  <w:style w:type="paragraph" w:customStyle="1" w:styleId="50">
    <w:name w:val="图例"/>
    <w:basedOn w:val="1"/>
    <w:autoRedefine/>
    <w:qFormat/>
    <w:uiPriority w:val="99"/>
    <w:pPr>
      <w:spacing w:before="120" w:after="120" w:line="360" w:lineRule="auto"/>
      <w:jc w:val="center"/>
    </w:pPr>
    <w:rPr>
      <w:rFonts w:eastAsia="仿宋_GB2312"/>
      <w:b/>
      <w:sz w:val="24"/>
    </w:rPr>
  </w:style>
  <w:style w:type="paragraph" w:customStyle="1" w:styleId="51">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52">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3">
    <w:name w:val="正文1"/>
    <w:basedOn w:val="1"/>
    <w:next w:val="1"/>
    <w:autoRedefine/>
    <w:qFormat/>
    <w:uiPriority w:val="0"/>
    <w:pPr>
      <w:spacing w:line="300" w:lineRule="auto"/>
      <w:ind w:firstLine="200" w:firstLineChars="200"/>
    </w:pPr>
    <w:rPr>
      <w:sz w:val="24"/>
    </w:rPr>
  </w:style>
  <w:style w:type="character" w:customStyle="1" w:styleId="54">
    <w:name w:val="active7"/>
    <w:basedOn w:val="29"/>
    <w:autoRedefine/>
    <w:qFormat/>
    <w:uiPriority w:val="0"/>
    <w:rPr>
      <w:color w:val="FFFFFF"/>
      <w:shd w:val="clear" w:fill="E02F23"/>
    </w:rPr>
  </w:style>
  <w:style w:type="paragraph" w:customStyle="1" w:styleId="55">
    <w:name w:val="BodyText"/>
    <w:basedOn w:val="1"/>
    <w:autoRedefine/>
    <w:qFormat/>
    <w:uiPriority w:val="99"/>
    <w:pPr>
      <w:textAlignment w:val="baseline"/>
    </w:pPr>
    <w:rPr>
      <w:rFonts w:ascii="仿宋_GB2312" w:eastAsia="仿宋_GB2312"/>
      <w:sz w:val="32"/>
    </w:rPr>
  </w:style>
  <w:style w:type="character" w:customStyle="1" w:styleId="56">
    <w:name w:val="NormalCharacter"/>
    <w:autoRedefine/>
    <w:qFormat/>
    <w:uiPriority w:val="0"/>
  </w:style>
  <w:style w:type="paragraph" w:customStyle="1" w:styleId="5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8">
    <w:name w:val="active"/>
    <w:basedOn w:val="29"/>
    <w:autoRedefine/>
    <w:qFormat/>
    <w:uiPriority w:val="0"/>
    <w:rPr>
      <w:color w:val="FFFFFF"/>
      <w:shd w:val="clear" w:fill="E02F23"/>
    </w:rPr>
  </w:style>
  <w:style w:type="paragraph" w:customStyle="1" w:styleId="59">
    <w:name w:val="列出段落1"/>
    <w:autoRedefine/>
    <w:qFormat/>
    <w:uiPriority w:val="0"/>
    <w:pPr>
      <w:widowControl/>
      <w:ind w:left="720" w:firstLine="360"/>
      <w:jc w:val="left"/>
    </w:pPr>
    <w:rPr>
      <w:rFonts w:ascii="Calibri" w:hAnsi="Calibri" w:eastAsia="宋体" w:cs="Times New Roman"/>
      <w:kern w:val="2"/>
      <w:sz w:val="22"/>
      <w:szCs w:val="20"/>
      <w:lang w:val="en-US" w:eastAsia="en-US" w:bidi="ar-SA"/>
    </w:rPr>
  </w:style>
  <w:style w:type="character" w:customStyle="1" w:styleId="60">
    <w:name w:val="hover"/>
    <w:basedOn w:val="29"/>
    <w:qFormat/>
    <w:uiPriority w:val="0"/>
    <w:rPr>
      <w:color w:val="315EFB"/>
    </w:rPr>
  </w:style>
  <w:style w:type="character" w:customStyle="1" w:styleId="61">
    <w:name w:val="hover1"/>
    <w:basedOn w:val="29"/>
    <w:qFormat/>
    <w:uiPriority w:val="0"/>
  </w:style>
  <w:style w:type="character" w:customStyle="1" w:styleId="62">
    <w:name w:val="hover2"/>
    <w:basedOn w:val="29"/>
    <w:qFormat/>
    <w:uiPriority w:val="0"/>
    <w:rPr>
      <w:color w:val="315EFB"/>
    </w:rPr>
  </w:style>
  <w:style w:type="character" w:customStyle="1" w:styleId="63">
    <w:name w:val="c-icon28"/>
    <w:basedOn w:val="29"/>
    <w:qFormat/>
    <w:uiPriority w:val="0"/>
  </w:style>
  <w:style w:type="character" w:customStyle="1" w:styleId="64">
    <w:name w:val="hover15"/>
    <w:basedOn w:val="29"/>
    <w:qFormat/>
    <w:uiPriority w:val="0"/>
  </w:style>
  <w:style w:type="character" w:customStyle="1" w:styleId="65">
    <w:name w:val="hover16"/>
    <w:basedOn w:val="29"/>
    <w:qFormat/>
    <w:uiPriority w:val="0"/>
    <w:rPr>
      <w:color w:val="315EFB"/>
    </w:rPr>
  </w:style>
  <w:style w:type="character" w:customStyle="1" w:styleId="66">
    <w:name w:val="hover17"/>
    <w:basedOn w:val="29"/>
    <w:qFormat/>
    <w:uiPriority w:val="0"/>
    <w:rPr>
      <w:color w:val="315EFB"/>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6928</Words>
  <Characters>7202</Characters>
  <Lines>232</Lines>
  <Paragraphs>65</Paragraphs>
  <TotalTime>14</TotalTime>
  <ScaleCrop>false</ScaleCrop>
  <LinksUpToDate>false</LinksUpToDate>
  <CharactersWithSpaces>7382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高扬武</cp:lastModifiedBy>
  <cp:lastPrinted>2025-03-26T08:03:00Z</cp:lastPrinted>
  <dcterms:modified xsi:type="dcterms:W3CDTF">2025-04-08T06:55:20Z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1E78C5F7B6474059A3AD93CA0A0EF9B1_13</vt:lpwstr>
  </property>
  <property fmtid="{D5CDD505-2E9C-101B-9397-08002B2CF9AE}" pid="4" name="KSOTemplateDocerSaveRecord">
    <vt:lpwstr>eyJoZGlkIjoiZGQ5NzM0NjUwOGExNDA5MDhjNmQ2MDI0Y2UxMjlkZWUiLCJ1c2VySWQiOiI0NDY0NTc1NjcifQ==</vt:lpwstr>
  </property>
</Properties>
</file>