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0F14EA">
      <w:pPr>
        <w:jc w:val="center"/>
        <w:rPr>
          <w:rFonts w:hint="eastAsia" w:ascii="方正仿宋_GBK" w:hAnsi="方正仿宋_GBK" w:eastAsia="方正仿宋_GBK" w:cs="方正仿宋_GBK"/>
          <w:b/>
          <w:bCs/>
          <w:color w:val="auto"/>
          <w:sz w:val="144"/>
          <w:szCs w:val="52"/>
          <w:highlight w:val="none"/>
        </w:rPr>
      </w:pPr>
      <w:bookmarkStart w:id="0" w:name="_Toc31917"/>
      <w:bookmarkStart w:id="1" w:name="_Toc31370"/>
      <w:bookmarkStart w:id="2" w:name="_Toc30988"/>
      <w:bookmarkStart w:id="3" w:name="_Toc19609"/>
      <w:bookmarkStart w:id="4" w:name="_Toc17591"/>
      <w:bookmarkStart w:id="5" w:name="_Toc7408"/>
      <w:bookmarkStart w:id="6" w:name="_Toc30711"/>
      <w:bookmarkStart w:id="7" w:name="_Toc16779"/>
      <w:r>
        <w:rPr>
          <w:rFonts w:hint="eastAsia" w:ascii="方正仿宋_GBK" w:hAnsi="方正仿宋_GBK" w:eastAsia="方正仿宋_GBK" w:cs="方正仿宋_GBK"/>
          <w:b/>
          <w:bCs/>
          <w:color w:val="auto"/>
          <w:sz w:val="144"/>
          <w:szCs w:val="52"/>
          <w:highlight w:val="none"/>
        </w:rPr>
        <w:t>国企采购</w:t>
      </w:r>
    </w:p>
    <w:p w14:paraId="60A24074">
      <w:pPr>
        <w:jc w:val="center"/>
        <w:rPr>
          <w:rFonts w:hint="eastAsia" w:ascii="方正仿宋_GBK" w:hAnsi="方正仿宋_GBK" w:eastAsia="方正仿宋_GBK" w:cs="方正仿宋_GBK"/>
          <w:b/>
          <w:bCs/>
          <w:color w:val="auto"/>
          <w:sz w:val="144"/>
          <w:szCs w:val="52"/>
          <w:highlight w:val="none"/>
        </w:rPr>
      </w:pPr>
      <w:r>
        <w:rPr>
          <w:rFonts w:hint="eastAsia" w:ascii="方正仿宋_GBK" w:hAnsi="方正仿宋_GBK" w:eastAsia="方正仿宋_GBK" w:cs="方正仿宋_GBK"/>
          <w:b/>
          <w:bCs/>
          <w:color w:val="auto"/>
          <w:sz w:val="144"/>
          <w:szCs w:val="52"/>
          <w:highlight w:val="none"/>
        </w:rPr>
        <w:t>竞采文件</w:t>
      </w:r>
    </w:p>
    <w:bookmarkEnd w:id="0"/>
    <w:bookmarkEnd w:id="1"/>
    <w:bookmarkEnd w:id="2"/>
    <w:bookmarkEnd w:id="3"/>
    <w:bookmarkEnd w:id="4"/>
    <w:bookmarkEnd w:id="5"/>
    <w:bookmarkEnd w:id="6"/>
    <w:bookmarkEnd w:id="7"/>
    <w:p w14:paraId="4B8F8E1D">
      <w:pPr>
        <w:spacing w:line="1600" w:lineRule="exact"/>
        <w:jc w:val="center"/>
        <w:rPr>
          <w:rFonts w:hint="eastAsia" w:ascii="方正仿宋_GBK" w:hAnsi="方正仿宋_GBK" w:eastAsia="方正仿宋_GBK" w:cs="方正仿宋_GBK"/>
          <w:b/>
          <w:bCs/>
          <w:color w:val="auto"/>
          <w:spacing w:val="80"/>
          <w:sz w:val="86"/>
          <w:szCs w:val="86"/>
          <w:highlight w:val="none"/>
        </w:rPr>
      </w:pPr>
      <w:r>
        <w:rPr>
          <w:rFonts w:hint="eastAsia" w:ascii="方正仿宋_GBK" w:hAnsi="方正仿宋_GBK" w:eastAsia="方正仿宋_GBK" w:cs="方正仿宋_GBK"/>
          <w:b/>
          <w:bCs/>
          <w:color w:val="auto"/>
          <w:sz w:val="72"/>
          <w:szCs w:val="44"/>
          <w:highlight w:val="none"/>
        </w:rPr>
        <w:t>（服务类综合评分）</w:t>
      </w:r>
    </w:p>
    <w:p w14:paraId="5D4BBE8F">
      <w:pPr>
        <w:pStyle w:val="3"/>
        <w:jc w:val="center"/>
        <w:rPr>
          <w:rFonts w:hint="eastAsia" w:ascii="方正仿宋_GBK" w:hAnsi="方正仿宋_GBK" w:eastAsia="方正仿宋_GBK" w:cs="方正仿宋_GBK"/>
          <w:bCs/>
          <w:color w:val="auto"/>
          <w:spacing w:val="80"/>
          <w:sz w:val="44"/>
          <w:szCs w:val="44"/>
          <w:highlight w:val="none"/>
        </w:rPr>
      </w:pPr>
      <w:bookmarkStart w:id="207" w:name="_GoBack"/>
      <w:bookmarkEnd w:id="207"/>
    </w:p>
    <w:p w14:paraId="76B93355">
      <w:pPr>
        <w:spacing w:line="700" w:lineRule="exact"/>
        <w:ind w:firstLine="720" w:firstLineChars="200"/>
        <w:rPr>
          <w:rFonts w:hint="eastAsia" w:ascii="方正仿宋_GBK" w:hAnsi="方正仿宋_GBK" w:eastAsia="方正仿宋_GBK" w:cs="方正仿宋_GBK"/>
          <w:color w:val="auto"/>
          <w:sz w:val="36"/>
          <w:szCs w:val="30"/>
          <w:highlight w:val="none"/>
          <w:lang w:val="en-US" w:eastAsia="zh-CN"/>
        </w:rPr>
      </w:pPr>
      <w:bookmarkStart w:id="8" w:name="_Hlk111636989"/>
      <w:r>
        <w:rPr>
          <w:rFonts w:hint="eastAsia" w:ascii="方正仿宋_GBK" w:hAnsi="方正仿宋_GBK" w:eastAsia="方正仿宋_GBK" w:cs="方正仿宋_GBK"/>
          <w:color w:val="auto"/>
          <w:sz w:val="36"/>
          <w:szCs w:val="30"/>
          <w:highlight w:val="none"/>
        </w:rPr>
        <w:t>项目编号</w:t>
      </w:r>
      <w:r>
        <w:rPr>
          <w:rFonts w:hint="eastAsia" w:ascii="方正仿宋_GBK" w:hAnsi="方正仿宋_GBK" w:eastAsia="方正仿宋_GBK" w:cs="方正仿宋_GBK"/>
          <w:color w:val="auto"/>
          <w:sz w:val="36"/>
          <w:szCs w:val="30"/>
          <w:highlight w:val="none"/>
          <w:lang w:val="en-US" w:eastAsia="zh-CN"/>
        </w:rPr>
        <w:t>:lfjt25C00226</w:t>
      </w:r>
    </w:p>
    <w:p w14:paraId="20834FD0">
      <w:pPr>
        <w:spacing w:line="700" w:lineRule="exact"/>
        <w:ind w:firstLine="720" w:firstLineChars="200"/>
        <w:rPr>
          <w:rFonts w:hint="eastAsia" w:ascii="方正仿宋_GBK" w:hAnsi="方正仿宋_GBK" w:eastAsia="方正仿宋_GBK" w:cs="方正仿宋_GBK"/>
          <w:color w:val="auto"/>
          <w:sz w:val="36"/>
          <w:szCs w:val="30"/>
          <w:highlight w:val="none"/>
          <w:lang w:val="en-US" w:eastAsia="zh-CN"/>
        </w:rPr>
      </w:pPr>
      <w:r>
        <w:rPr>
          <w:rFonts w:hint="eastAsia" w:ascii="方正仿宋_GBK" w:hAnsi="方正仿宋_GBK" w:eastAsia="方正仿宋_GBK" w:cs="方正仿宋_GBK"/>
          <w:color w:val="auto"/>
          <w:sz w:val="36"/>
          <w:szCs w:val="30"/>
          <w:highlight w:val="none"/>
        </w:rPr>
        <w:t>项目名称：</w:t>
      </w:r>
      <w:bookmarkEnd w:id="8"/>
      <w:r>
        <w:rPr>
          <w:rFonts w:hint="eastAsia" w:ascii="Times New Roman Regular" w:hAnsi="Times New Roman Regular" w:eastAsia="方正仿宋_GBK" w:cs="Times New Roman Regular"/>
          <w:color w:val="auto"/>
          <w:sz w:val="36"/>
          <w:szCs w:val="36"/>
          <w:highlight w:val="none"/>
          <w:lang w:val="en-US" w:eastAsia="zh-CN"/>
        </w:rPr>
        <w:t>重庆市璧山区排水管网整治工程三期—雨水提升工程箱变维修增容服务</w:t>
      </w:r>
      <w:r>
        <w:rPr>
          <w:rFonts w:hint="eastAsia" w:ascii="Times New Roman Regular" w:hAnsi="Times New Roman Regular" w:eastAsia="方正仿宋_GBK" w:cs="Times New Roman Regular"/>
          <w:color w:val="auto"/>
          <w:sz w:val="36"/>
          <w:szCs w:val="36"/>
          <w:highlight w:val="none"/>
          <w:lang w:val="en-US" w:eastAsia="zh-CN"/>
        </w:rPr>
        <w:t>（第二次）</w:t>
      </w:r>
    </w:p>
    <w:p w14:paraId="68999901">
      <w:pPr>
        <w:pStyle w:val="7"/>
        <w:rPr>
          <w:rFonts w:hint="eastAsia" w:ascii="方正仿宋_GBK" w:hAnsi="方正仿宋_GBK" w:eastAsia="方正仿宋_GBK" w:cs="方正仿宋_GBK"/>
          <w:color w:val="auto"/>
          <w:highlight w:val="none"/>
        </w:rPr>
      </w:pPr>
    </w:p>
    <w:p w14:paraId="678FAF46">
      <w:pPr>
        <w:pStyle w:val="7"/>
        <w:rPr>
          <w:rFonts w:hint="eastAsia" w:ascii="方正仿宋_GBK" w:hAnsi="方正仿宋_GBK" w:eastAsia="方正仿宋_GBK" w:cs="方正仿宋_GBK"/>
          <w:color w:val="auto"/>
          <w:highlight w:val="none"/>
        </w:rPr>
      </w:pPr>
    </w:p>
    <w:p w14:paraId="4FD4005A">
      <w:pPr>
        <w:rPr>
          <w:rFonts w:hint="eastAsia" w:ascii="方正仿宋_GBK" w:hAnsi="方正仿宋_GBK" w:eastAsia="方正仿宋_GBK" w:cs="方正仿宋_GBK"/>
          <w:color w:val="auto"/>
          <w:highlight w:val="none"/>
        </w:rPr>
      </w:pPr>
    </w:p>
    <w:p w14:paraId="0E44108F">
      <w:pPr>
        <w:spacing w:line="700" w:lineRule="exact"/>
        <w:ind w:firstLine="720" w:firstLineChars="200"/>
        <w:jc w:val="left"/>
        <w:rPr>
          <w:rFonts w:hint="eastAsia" w:ascii="方正仿宋_GBK" w:hAnsi="方正仿宋_GBK" w:eastAsia="方正仿宋_GBK" w:cs="方正仿宋_GBK"/>
          <w:color w:val="auto"/>
          <w:sz w:val="36"/>
          <w:szCs w:val="30"/>
          <w:highlight w:val="none"/>
          <w:lang w:eastAsia="zh-CN"/>
        </w:rPr>
      </w:pPr>
      <w:r>
        <w:rPr>
          <w:rFonts w:hint="eastAsia" w:ascii="方正仿宋_GBK" w:hAnsi="方正仿宋_GBK" w:eastAsia="方正仿宋_GBK" w:cs="方正仿宋_GBK"/>
          <w:color w:val="auto"/>
          <w:sz w:val="36"/>
          <w:szCs w:val="30"/>
          <w:highlight w:val="none"/>
        </w:rPr>
        <w:t>采购人：重庆</w:t>
      </w:r>
      <w:r>
        <w:rPr>
          <w:rFonts w:hint="eastAsia" w:ascii="方正仿宋_GBK" w:hAnsi="方正仿宋_GBK" w:eastAsia="方正仿宋_GBK" w:cs="方正仿宋_GBK"/>
          <w:color w:val="auto"/>
          <w:sz w:val="36"/>
          <w:szCs w:val="30"/>
          <w:highlight w:val="none"/>
          <w:lang w:val="en-US" w:eastAsia="zh-CN"/>
        </w:rPr>
        <w:t>绿发实业集团</w:t>
      </w:r>
      <w:r>
        <w:rPr>
          <w:rFonts w:hint="eastAsia" w:ascii="方正仿宋_GBK" w:hAnsi="方正仿宋_GBK" w:eastAsia="方正仿宋_GBK" w:cs="方正仿宋_GBK"/>
          <w:color w:val="auto"/>
          <w:sz w:val="36"/>
          <w:szCs w:val="30"/>
          <w:highlight w:val="none"/>
        </w:rPr>
        <w:t>有限公司</w:t>
      </w:r>
    </w:p>
    <w:p w14:paraId="643C08A7">
      <w:pPr>
        <w:spacing w:line="700" w:lineRule="exact"/>
        <w:ind w:firstLine="720" w:firstLineChars="200"/>
        <w:jc w:val="left"/>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采购代理机构：重庆璟浩工程咨询有限公司</w:t>
      </w:r>
    </w:p>
    <w:p w14:paraId="6E24CC2D">
      <w:pPr>
        <w:spacing w:line="700" w:lineRule="exact"/>
        <w:jc w:val="center"/>
        <w:rPr>
          <w:rFonts w:hint="eastAsia" w:ascii="方正仿宋_GBK" w:hAnsi="方正仿宋_GBK" w:eastAsia="方正仿宋_GBK" w:cs="方正仿宋_GBK"/>
          <w:color w:val="auto"/>
          <w:sz w:val="36"/>
          <w:szCs w:val="30"/>
          <w:highlight w:val="none"/>
        </w:rPr>
      </w:pPr>
    </w:p>
    <w:p w14:paraId="14B9CE90">
      <w:pPr>
        <w:rPr>
          <w:color w:val="auto"/>
          <w:highlight w:val="none"/>
        </w:rPr>
      </w:pPr>
    </w:p>
    <w:p w14:paraId="373639AA">
      <w:pPr>
        <w:pStyle w:val="7"/>
        <w:jc w:val="center"/>
        <w:rPr>
          <w:rFonts w:hint="eastAsia" w:ascii="方正仿宋_GBK" w:hAnsi="方正仿宋_GBK" w:eastAsia="方正仿宋_GBK" w:cs="方正仿宋_GBK"/>
          <w:color w:val="auto"/>
          <w:sz w:val="36"/>
          <w:szCs w:val="30"/>
          <w:highlight w:val="none"/>
        </w:rPr>
      </w:pPr>
      <w:r>
        <w:rPr>
          <w:rFonts w:hint="eastAsia" w:ascii="方正仿宋_GBK" w:hAnsi="方正仿宋_GBK" w:eastAsia="方正仿宋_GBK" w:cs="方正仿宋_GBK"/>
          <w:color w:val="auto"/>
          <w:sz w:val="36"/>
          <w:szCs w:val="30"/>
          <w:highlight w:val="none"/>
        </w:rPr>
        <w:t>二〇二</w:t>
      </w:r>
      <w:r>
        <w:rPr>
          <w:rFonts w:hint="eastAsia" w:ascii="方正仿宋_GBK" w:hAnsi="方正仿宋_GBK" w:eastAsia="方正仿宋_GBK" w:cs="方正仿宋_GBK"/>
          <w:color w:val="auto"/>
          <w:sz w:val="36"/>
          <w:szCs w:val="30"/>
          <w:highlight w:val="none"/>
          <w:lang w:eastAsia="zh-CN"/>
        </w:rPr>
        <w:t>五</w:t>
      </w:r>
      <w:r>
        <w:rPr>
          <w:rFonts w:hint="eastAsia" w:ascii="方正仿宋_GBK" w:hAnsi="方正仿宋_GBK" w:eastAsia="方正仿宋_GBK" w:cs="方正仿宋_GBK"/>
          <w:color w:val="auto"/>
          <w:sz w:val="36"/>
          <w:szCs w:val="30"/>
          <w:highlight w:val="none"/>
        </w:rPr>
        <w:t>年</w:t>
      </w:r>
      <w:r>
        <w:rPr>
          <w:rFonts w:hint="eastAsia" w:ascii="方正仿宋_GBK" w:hAnsi="方正仿宋_GBK" w:eastAsia="方正仿宋_GBK" w:cs="方正仿宋_GBK"/>
          <w:color w:val="auto"/>
          <w:sz w:val="36"/>
          <w:szCs w:val="30"/>
          <w:highlight w:val="none"/>
          <w:lang w:eastAsia="zh-CN"/>
        </w:rPr>
        <w:t>七</w:t>
      </w:r>
      <w:r>
        <w:rPr>
          <w:rFonts w:hint="eastAsia" w:ascii="方正仿宋_GBK" w:hAnsi="方正仿宋_GBK" w:eastAsia="方正仿宋_GBK" w:cs="方正仿宋_GBK"/>
          <w:color w:val="auto"/>
          <w:sz w:val="36"/>
          <w:szCs w:val="30"/>
          <w:highlight w:val="none"/>
        </w:rPr>
        <w:t>月</w:t>
      </w:r>
    </w:p>
    <w:sdt>
      <w:sdtPr>
        <w:rPr>
          <w:rFonts w:ascii="宋体" w:hAnsi="宋体"/>
          <w:color w:val="auto"/>
          <w:sz w:val="21"/>
          <w:highlight w:val="none"/>
        </w:rPr>
        <w:id w:val="147465042"/>
        <w15:color w:val="DBDBDB"/>
        <w:docPartObj>
          <w:docPartGallery w:val="Table of Contents"/>
          <w:docPartUnique/>
        </w:docPartObj>
      </w:sdtPr>
      <w:sdtEndPr>
        <w:rPr>
          <w:rFonts w:hint="eastAsia" w:ascii="方正仿宋_GBK" w:hAnsi="方正仿宋_GBK" w:eastAsia="方正仿宋_GBK" w:cs="方正仿宋_GBK"/>
          <w:color w:val="auto"/>
          <w:sz w:val="28"/>
          <w:szCs w:val="28"/>
          <w:highlight w:val="none"/>
        </w:rPr>
      </w:sdtEndPr>
      <w:sdtContent>
        <w:p w14:paraId="364EEFF2">
          <w:pPr>
            <w:jc w:val="center"/>
            <w:rPr>
              <w:rFonts w:hint="eastAsia" w:ascii="宋体" w:hAnsi="宋体"/>
              <w:color w:val="auto"/>
              <w:sz w:val="21"/>
              <w:highlight w:val="none"/>
            </w:rPr>
          </w:pPr>
        </w:p>
        <w:p w14:paraId="6D798285">
          <w:pPr>
            <w:rPr>
              <w:rFonts w:hint="eastAsia" w:ascii="方正仿宋_GBK" w:hAnsi="方正仿宋_GBK" w:eastAsia="方正仿宋_GBK" w:cs="方正仿宋_GBK"/>
              <w:color w:val="auto"/>
              <w:sz w:val="40"/>
              <w:szCs w:val="40"/>
              <w:highlight w:val="none"/>
            </w:rPr>
          </w:pPr>
          <w:r>
            <w:rPr>
              <w:rFonts w:hint="eastAsia" w:ascii="方正仿宋_GBK" w:hAnsi="方正仿宋_GBK" w:eastAsia="方正仿宋_GBK" w:cs="方正仿宋_GBK"/>
              <w:color w:val="auto"/>
              <w:sz w:val="40"/>
              <w:szCs w:val="40"/>
              <w:highlight w:val="none"/>
            </w:rPr>
            <w:br w:type="page"/>
          </w:r>
        </w:p>
        <w:p w14:paraId="0D57F1CE">
          <w:pPr>
            <w:jc w:val="cente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 w:val="40"/>
              <w:szCs w:val="40"/>
              <w:highlight w:val="none"/>
            </w:rPr>
            <w:t>目录</w:t>
          </w:r>
        </w:p>
        <w:p w14:paraId="68D3619F">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 w:val="28"/>
              <w:szCs w:val="28"/>
              <w:highlight w:val="none"/>
            </w:rPr>
            <w:fldChar w:fldCharType="begin"/>
          </w:r>
          <w:r>
            <w:rPr>
              <w:rFonts w:hint="eastAsia" w:ascii="方正仿宋_GBK" w:hAnsi="方正仿宋_GBK" w:eastAsia="方正仿宋_GBK" w:cs="方正仿宋_GBK"/>
              <w:color w:val="auto"/>
              <w:sz w:val="28"/>
              <w:szCs w:val="28"/>
              <w:highlight w:val="none"/>
            </w:rPr>
            <w:instrText xml:space="preserve">TOC \o "1-3" \h \u </w:instrText>
          </w:r>
          <w:r>
            <w:rPr>
              <w:rFonts w:hint="eastAsia" w:ascii="方正仿宋_GBK" w:hAnsi="方正仿宋_GBK" w:eastAsia="方正仿宋_GBK" w:cs="方正仿宋_GBK"/>
              <w:color w:val="auto"/>
              <w:sz w:val="28"/>
              <w:szCs w:val="28"/>
              <w:highlight w:val="none"/>
            </w:rPr>
            <w:fldChar w:fldCharType="separate"/>
          </w: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_Toc6643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第一篇  竞采邀请书</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_Toc6643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DBD945C">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_Toc4534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一、竞采项目内容</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_Toc4534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54039E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_Toc22797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二、资金来源</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_Toc22797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EFECCB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_Toc27159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三、竞采资格条件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_Toc27159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A2C6549">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_Toc26874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四、竞采有关说明</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_Toc26874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9A544B4">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_Toc24768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五、联系方式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_Toc24768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5</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4C098081">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_Toc15566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六、其它有关规定</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_Toc15566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794BA65">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_Toc15479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第二篇  项目服务需求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lang w:val="en-US" w:eastAsia="zh-CN"/>
            </w:rPr>
            <w:t>7</w:t>
          </w:r>
          <w:r>
            <w:rPr>
              <w:rFonts w:hint="eastAsia" w:ascii="方正仿宋_GBK" w:hAnsi="方正仿宋_GBK" w:eastAsia="方正仿宋_GBK" w:cs="方正仿宋_GBK"/>
              <w:color w:val="auto"/>
              <w:szCs w:val="28"/>
              <w:highlight w:val="none"/>
            </w:rPr>
            <w:fldChar w:fldCharType="end"/>
          </w:r>
        </w:p>
        <w:p w14:paraId="1510233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_Toc10290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一、招标项目一览表</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_Toc10290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65EE215">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_Toc29267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lang w:val="en-US" w:eastAsia="zh-CN"/>
            </w:rPr>
            <w:t>二</w:t>
          </w:r>
          <w:r>
            <w:rPr>
              <w:rFonts w:hint="eastAsia" w:ascii="方正仿宋_GBK" w:hAnsi="方正仿宋_GBK" w:eastAsia="方正仿宋_GBK" w:cs="方正仿宋_GBK"/>
              <w:color w:val="auto"/>
              <w:highlight w:val="none"/>
            </w:rPr>
            <w:t>、招标项目</w:t>
          </w:r>
          <w:r>
            <w:rPr>
              <w:rFonts w:hint="eastAsia" w:ascii="方正仿宋_GBK" w:hAnsi="方正仿宋_GBK" w:eastAsia="方正仿宋_GBK" w:cs="方正仿宋_GBK"/>
              <w:color w:val="auto"/>
              <w:highlight w:val="none"/>
              <w:lang w:val="en-US" w:eastAsia="zh-CN"/>
            </w:rPr>
            <w:t>服务</w:t>
          </w:r>
          <w:r>
            <w:rPr>
              <w:rFonts w:hint="eastAsia" w:ascii="方正仿宋_GBK" w:hAnsi="方正仿宋_GBK" w:eastAsia="方正仿宋_GBK" w:cs="方正仿宋_GBK"/>
              <w:color w:val="auto"/>
              <w:highlight w:val="none"/>
            </w:rPr>
            <w:t>需求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_Toc29267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CCB0F38">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_Toc17320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lang w:eastAsia="zh-CN"/>
            </w:rPr>
            <w:t>三、</w:t>
          </w:r>
          <w:r>
            <w:rPr>
              <w:rFonts w:hint="eastAsia" w:ascii="方正仿宋_GBK" w:hAnsi="方正仿宋_GBK" w:eastAsia="方正仿宋_GBK" w:cs="方正仿宋_GBK"/>
              <w:color w:val="auto"/>
              <w:highlight w:val="none"/>
            </w:rPr>
            <w:t>其他要求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_Toc17320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1D7EDDD">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_Toc31083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第三篇 项目商务需求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_Toc31083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ECAAD3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_Toc28681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一、服务期、地点及验收方式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_Toc28681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559ECBD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_Toc17648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二、报价要求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_Toc17648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70F208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_Toc23210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三、付款方式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_Toc23210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692255D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_Toc24604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四、其他商务要求内容</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_Toc24604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7D418AC">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_Toc12311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szCs w:val="18"/>
              <w:highlight w:val="none"/>
            </w:rPr>
            <w:t>第四篇  竞采程序、评标办法、无效响应及采购终止</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_Toc12311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E9820B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_Toc17056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一、网上竞采程序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_Toc17056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1B3A38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_Toc22857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 评审标准</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_Toc22857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11</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09AED25F">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_Toc26995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三、无效响应</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_Toc26995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12</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2D6EEC9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_Toc16306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四、采购终止</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_Toc16306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13</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6E3D8854">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_Toc24373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第五篇 供应商须知</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_Toc24373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5C84DC4">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_Toc13981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一、竞采费用</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_Toc13981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D327B4A">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_Toc30846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二、竞采文件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_Toc30846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FD0A0A7">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_Toc23740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三、竞采要求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_Toc23740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34F397E">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_Toc27602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五、成交通知</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_Toc27602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AC18772">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_Toc7886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六、关于质疑和投诉</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_Toc7886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16</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9891A6D">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_Toc27157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七、采购代理服务费</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_Toc27157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521AB52D">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_Toc3264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八、签订合同</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_Toc3264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3987FE96">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_Toc17325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九、项目验收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_Toc17325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18</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801BE0C">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_Toc31945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第六篇  网上竞采合同（格式）</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_Toc31945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19</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42C2E359">
          <w:pPr>
            <w:pStyle w:val="16"/>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_Toc18365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第七篇  响应文件编制要求</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_Toc18365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24</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52AE706C">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_Toc5181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一、经济部分</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_Toc5181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74404510">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_Toc13844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二、服务部分</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_Toc13844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DEBAD2D">
          <w:pPr>
            <w:pStyle w:val="18"/>
            <w:tabs>
              <w:tab w:val="right" w:leader="dot" w:pos="9412"/>
            </w:tabs>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_Toc19511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三、商务文件</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_Toc19511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460BEEB0">
          <w:pPr>
            <w:pStyle w:val="18"/>
            <w:tabs>
              <w:tab w:val="right" w:leader="dot" w:pos="9412"/>
            </w:tabs>
            <w:rPr>
              <w:color w:val="auto"/>
              <w:highlight w:val="none"/>
            </w:rPr>
          </w:pPr>
          <w:r>
            <w:rPr>
              <w:rFonts w:hint="eastAsia" w:ascii="方正仿宋_GBK" w:hAnsi="方正仿宋_GBK" w:eastAsia="方正仿宋_GBK" w:cs="方正仿宋_GBK"/>
              <w:color w:val="auto"/>
              <w:szCs w:val="28"/>
              <w:highlight w:val="none"/>
            </w:rPr>
            <w:fldChar w:fldCharType="begin"/>
          </w:r>
          <w:r>
            <w:rPr>
              <w:rFonts w:hint="eastAsia" w:ascii="方正仿宋_GBK" w:hAnsi="方正仿宋_GBK" w:eastAsia="方正仿宋_GBK" w:cs="方正仿宋_GBK"/>
              <w:color w:val="auto"/>
              <w:szCs w:val="28"/>
              <w:highlight w:val="none"/>
            </w:rPr>
            <w:instrText xml:space="preserve"> HYPERLINK \l _Toc8652 </w:instrText>
          </w:r>
          <w:r>
            <w:rPr>
              <w:rFonts w:hint="eastAsia" w:ascii="方正仿宋_GBK" w:hAnsi="方正仿宋_GBK" w:eastAsia="方正仿宋_GBK" w:cs="方正仿宋_GBK"/>
              <w:color w:val="auto"/>
              <w:szCs w:val="28"/>
              <w:highlight w:val="none"/>
            </w:rPr>
            <w:fldChar w:fldCharType="separate"/>
          </w:r>
          <w:r>
            <w:rPr>
              <w:rFonts w:hint="eastAsia" w:ascii="方正仿宋_GBK" w:hAnsi="方正仿宋_GBK" w:eastAsia="方正仿宋_GBK" w:cs="方正仿宋_GBK"/>
              <w:color w:val="auto"/>
              <w:highlight w:val="none"/>
            </w:rPr>
            <w:t>四、资格条件及其他</w:t>
          </w:r>
          <w:r>
            <w:rPr>
              <w:rFonts w:hint="eastAsia" w:ascii="方正仿宋_GBK" w:hAnsi="方正仿宋_GBK" w:eastAsia="方正仿宋_GBK" w:cs="方正仿宋_GBK"/>
              <w:color w:val="auto"/>
              <w:highlight w:val="none"/>
            </w:rPr>
            <w:tab/>
          </w:r>
          <w:r>
            <w:rPr>
              <w:rFonts w:hint="eastAsia" w:ascii="方正仿宋_GBK" w:hAnsi="方正仿宋_GBK" w:eastAsia="方正仿宋_GBK" w:cs="方正仿宋_GBK"/>
              <w:color w:val="auto"/>
              <w:highlight w:val="none"/>
            </w:rPr>
            <w:fldChar w:fldCharType="begin"/>
          </w:r>
          <w:r>
            <w:rPr>
              <w:rFonts w:hint="eastAsia" w:ascii="方正仿宋_GBK" w:hAnsi="方正仿宋_GBK" w:eastAsia="方正仿宋_GBK" w:cs="方正仿宋_GBK"/>
              <w:color w:val="auto"/>
              <w:highlight w:val="none"/>
            </w:rPr>
            <w:instrText xml:space="preserve"> PAGEREF _Toc8652 \h </w:instrText>
          </w:r>
          <w:r>
            <w:rPr>
              <w:rFonts w:hint="eastAsia" w:ascii="方正仿宋_GBK" w:hAnsi="方正仿宋_GBK" w:eastAsia="方正仿宋_GBK" w:cs="方正仿宋_GBK"/>
              <w:color w:val="auto"/>
              <w:highlight w:val="none"/>
            </w:rPr>
            <w:fldChar w:fldCharType="separate"/>
          </w:r>
          <w:r>
            <w:rPr>
              <w:rFonts w:hint="eastAsia" w:ascii="方正仿宋_GBK" w:hAnsi="方正仿宋_GBK" w:eastAsia="方正仿宋_GBK" w:cs="方正仿宋_GBK"/>
              <w:color w:val="auto"/>
              <w:highlight w:val="none"/>
            </w:rPr>
            <w:t>27</w:t>
          </w:r>
          <w:r>
            <w:rPr>
              <w:rFonts w:hint="eastAsia" w:ascii="方正仿宋_GBK" w:hAnsi="方正仿宋_GBK" w:eastAsia="方正仿宋_GBK" w:cs="方正仿宋_GBK"/>
              <w:color w:val="auto"/>
              <w:highlight w:val="none"/>
            </w:rPr>
            <w:fldChar w:fldCharType="end"/>
          </w:r>
          <w:r>
            <w:rPr>
              <w:rFonts w:hint="eastAsia" w:ascii="方正仿宋_GBK" w:hAnsi="方正仿宋_GBK" w:eastAsia="方正仿宋_GBK" w:cs="方正仿宋_GBK"/>
              <w:color w:val="auto"/>
              <w:szCs w:val="28"/>
              <w:highlight w:val="none"/>
            </w:rPr>
            <w:fldChar w:fldCharType="end"/>
          </w:r>
        </w:p>
        <w:p w14:paraId="187A0967">
          <w:pPr>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fldChar w:fldCharType="end"/>
          </w:r>
        </w:p>
      </w:sdtContent>
    </w:sdt>
    <w:p w14:paraId="1CC77442">
      <w:pPr>
        <w:pStyle w:val="7"/>
        <w:jc w:val="center"/>
        <w:rPr>
          <w:rFonts w:hint="eastAsia"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44"/>
          <w:szCs w:val="28"/>
          <w:highlight w:val="none"/>
        </w:rPr>
        <w:t xml:space="preserve">   </w:t>
      </w:r>
      <w:r>
        <w:rPr>
          <w:rFonts w:hint="eastAsia" w:ascii="方正仿宋_GBK" w:hAnsi="方正仿宋_GBK" w:eastAsia="方正仿宋_GBK" w:cs="方正仿宋_GBK"/>
          <w:color w:val="auto"/>
          <w:sz w:val="44"/>
          <w:szCs w:val="28"/>
          <w:highlight w:val="none"/>
        </w:rPr>
        <w:br w:type="page"/>
      </w:r>
    </w:p>
    <w:p w14:paraId="2AC3D887">
      <w:pPr>
        <w:pStyle w:val="2"/>
        <w:jc w:val="center"/>
        <w:rPr>
          <w:color w:val="auto"/>
          <w:highlight w:val="none"/>
        </w:rPr>
      </w:pPr>
      <w:bookmarkStart w:id="9" w:name="_Toc6643"/>
      <w:bookmarkStart w:id="10" w:name="_Toc12789052"/>
      <w:bookmarkStart w:id="11" w:name="_Toc106030870"/>
      <w:bookmarkStart w:id="12" w:name="_Toc11641050"/>
      <w:bookmarkStart w:id="13" w:name="_Toc76462316"/>
      <w:r>
        <w:rPr>
          <w:rFonts w:hint="eastAsia"/>
          <w:color w:val="auto"/>
          <w:highlight w:val="none"/>
        </w:rPr>
        <w:t>第一篇  竞采邀请书</w:t>
      </w:r>
      <w:bookmarkEnd w:id="9"/>
      <w:bookmarkEnd w:id="10"/>
      <w:bookmarkEnd w:id="11"/>
      <w:bookmarkEnd w:id="12"/>
      <w:bookmarkEnd w:id="13"/>
    </w:p>
    <w:p w14:paraId="365670A3">
      <w:pPr>
        <w:snapToGrid w:val="0"/>
        <w:spacing w:line="400" w:lineRule="exact"/>
        <w:ind w:firstLine="480" w:firstLineChars="200"/>
        <w:rPr>
          <w:rFonts w:hint="eastAsia" w:ascii="方正仿宋_GBK" w:hAnsi="方正仿宋_GBK" w:eastAsia="方正仿宋_GBK" w:cs="方正仿宋_GBK"/>
          <w:b/>
          <w:bCs/>
          <w:color w:val="auto"/>
          <w:spacing w:val="80"/>
          <w:sz w:val="44"/>
          <w:szCs w:val="44"/>
          <w:highlight w:val="none"/>
        </w:rPr>
      </w:pPr>
      <w:r>
        <w:rPr>
          <w:rFonts w:hint="eastAsia" w:ascii="方正仿宋_GBK" w:hAnsi="方正仿宋_GBK" w:eastAsia="方正仿宋_GBK" w:cs="方正仿宋_GBK"/>
          <w:color w:val="auto"/>
          <w:sz w:val="24"/>
          <w:szCs w:val="24"/>
          <w:highlight w:val="none"/>
        </w:rPr>
        <w:t>重庆璟浩工程咨询有限公司（以下简称：采购代理机构）受重庆</w:t>
      </w:r>
      <w:r>
        <w:rPr>
          <w:rFonts w:hint="eastAsia" w:ascii="方正仿宋_GBK" w:hAnsi="方正仿宋_GBK" w:eastAsia="方正仿宋_GBK" w:cs="方正仿宋_GBK"/>
          <w:color w:val="auto"/>
          <w:sz w:val="24"/>
          <w:szCs w:val="24"/>
          <w:highlight w:val="none"/>
          <w:lang w:val="en-US" w:eastAsia="zh-CN"/>
        </w:rPr>
        <w:t>绿发实业集团</w:t>
      </w:r>
      <w:r>
        <w:rPr>
          <w:rFonts w:hint="eastAsia" w:ascii="方正仿宋_GBK" w:hAnsi="方正仿宋_GBK" w:eastAsia="方正仿宋_GBK" w:cs="方正仿宋_GBK"/>
          <w:color w:val="auto"/>
          <w:sz w:val="24"/>
          <w:szCs w:val="24"/>
          <w:highlight w:val="none"/>
        </w:rPr>
        <w:t>有限公司（以下简称：采购人）的委托，对</w:t>
      </w:r>
      <w:r>
        <w:rPr>
          <w:rFonts w:hint="eastAsia" w:ascii="方正仿宋_GBK" w:hAnsi="方正仿宋_GBK" w:eastAsia="方正仿宋_GBK" w:cs="方正仿宋_GBK"/>
          <w:color w:val="auto"/>
          <w:sz w:val="24"/>
          <w:szCs w:val="24"/>
          <w:highlight w:val="none"/>
          <w:lang w:eastAsia="zh-CN"/>
        </w:rPr>
        <w:t>重庆市璧山区排水管网整治工程三期—雨水提升工程箱变维修增容服务</w:t>
      </w:r>
      <w:r>
        <w:rPr>
          <w:rFonts w:hint="eastAsia" w:ascii="方正仿宋_GBK" w:hAnsi="方正仿宋_GBK" w:eastAsia="方正仿宋_GBK" w:cs="方正仿宋_GBK"/>
          <w:color w:val="auto"/>
          <w:sz w:val="24"/>
          <w:szCs w:val="24"/>
          <w:highlight w:val="none"/>
          <w:lang w:eastAsia="zh-CN"/>
        </w:rPr>
        <w:t>（第二次）</w:t>
      </w:r>
      <w:r>
        <w:rPr>
          <w:rFonts w:hint="eastAsia" w:ascii="方正仿宋_GBK" w:hAnsi="方正仿宋_GBK" w:eastAsia="方正仿宋_GBK" w:cs="方正仿宋_GBK"/>
          <w:color w:val="auto"/>
          <w:sz w:val="24"/>
          <w:szCs w:val="24"/>
          <w:highlight w:val="none"/>
        </w:rPr>
        <w:t>进行网上竞采采购。欢迎有资格的供应商前来参与网上竞采。</w:t>
      </w:r>
    </w:p>
    <w:p w14:paraId="2D2BDC88">
      <w:pPr>
        <w:pStyle w:val="3"/>
        <w:rPr>
          <w:color w:val="auto"/>
          <w:highlight w:val="none"/>
        </w:rPr>
      </w:pPr>
      <w:bookmarkStart w:id="14" w:name="_Toc12808"/>
      <w:bookmarkStart w:id="15" w:name="_Toc25458"/>
      <w:bookmarkStart w:id="16" w:name="_Toc313893526"/>
      <w:bookmarkStart w:id="17" w:name="_Toc3463"/>
      <w:bookmarkStart w:id="18" w:name="_Toc18881"/>
      <w:bookmarkStart w:id="19" w:name="_Toc26820"/>
      <w:bookmarkStart w:id="20" w:name="_Toc4534"/>
      <w:bookmarkStart w:id="21" w:name="_Toc7625"/>
      <w:bookmarkStart w:id="22" w:name="_Toc18159"/>
      <w:bookmarkStart w:id="23" w:name="_Toc317775175"/>
      <w:r>
        <w:rPr>
          <w:rFonts w:hint="eastAsia"/>
          <w:color w:val="auto"/>
          <w:highlight w:val="none"/>
        </w:rPr>
        <w:t>一、竞采项目内容</w:t>
      </w:r>
      <w:bookmarkEnd w:id="14"/>
      <w:bookmarkEnd w:id="15"/>
      <w:bookmarkEnd w:id="16"/>
      <w:bookmarkEnd w:id="17"/>
      <w:bookmarkEnd w:id="18"/>
      <w:bookmarkEnd w:id="19"/>
      <w:bookmarkEnd w:id="20"/>
      <w:bookmarkEnd w:id="21"/>
      <w:bookmarkEnd w:id="22"/>
      <w:bookmarkEnd w:id="23"/>
    </w:p>
    <w:tbl>
      <w:tblPr>
        <w:tblStyle w:val="20"/>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3"/>
        <w:gridCol w:w="2085"/>
        <w:gridCol w:w="2040"/>
        <w:gridCol w:w="1450"/>
      </w:tblGrid>
      <w:tr w14:paraId="1D6DD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3273" w:type="dxa"/>
            <w:tcBorders>
              <w:top w:val="single" w:color="auto" w:sz="4" w:space="0"/>
              <w:left w:val="single" w:color="auto" w:sz="4" w:space="0"/>
              <w:right w:val="single" w:color="auto" w:sz="4" w:space="0"/>
            </w:tcBorders>
            <w:vAlign w:val="center"/>
          </w:tcPr>
          <w:p w14:paraId="06B8138B">
            <w:pPr>
              <w:widowControl/>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项目名称</w:t>
            </w:r>
          </w:p>
        </w:tc>
        <w:tc>
          <w:tcPr>
            <w:tcW w:w="2085" w:type="dxa"/>
            <w:tcBorders>
              <w:top w:val="single" w:color="auto" w:sz="4" w:space="0"/>
              <w:left w:val="single" w:color="auto" w:sz="4" w:space="0"/>
              <w:right w:val="single" w:color="auto" w:sz="4" w:space="0"/>
            </w:tcBorders>
            <w:vAlign w:val="center"/>
          </w:tcPr>
          <w:p w14:paraId="70E353F7">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lang w:eastAsia="zh-CN"/>
              </w:rPr>
              <w:t>最高限价</w:t>
            </w:r>
            <w:r>
              <w:rPr>
                <w:rFonts w:hint="eastAsia" w:ascii="方正仿宋_GBK" w:hAnsi="方正仿宋_GBK" w:eastAsia="方正仿宋_GBK" w:cs="方正仿宋_GBK"/>
                <w:b/>
                <w:bCs/>
                <w:color w:val="auto"/>
                <w:kern w:val="0"/>
                <w:sz w:val="24"/>
                <w:szCs w:val="24"/>
                <w:highlight w:val="none"/>
              </w:rPr>
              <w:t>（元）</w:t>
            </w:r>
          </w:p>
        </w:tc>
        <w:tc>
          <w:tcPr>
            <w:tcW w:w="2040" w:type="dxa"/>
            <w:tcBorders>
              <w:top w:val="single" w:color="auto" w:sz="4" w:space="0"/>
              <w:left w:val="single" w:color="auto" w:sz="4" w:space="0"/>
              <w:right w:val="single" w:color="auto" w:sz="4" w:space="0"/>
            </w:tcBorders>
            <w:vAlign w:val="center"/>
          </w:tcPr>
          <w:p w14:paraId="3FF5D281">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成交供应商数量（名）</w:t>
            </w:r>
          </w:p>
        </w:tc>
        <w:tc>
          <w:tcPr>
            <w:tcW w:w="1450" w:type="dxa"/>
            <w:tcBorders>
              <w:top w:val="single" w:color="auto" w:sz="4" w:space="0"/>
              <w:left w:val="single" w:color="auto" w:sz="4" w:space="0"/>
              <w:right w:val="single" w:color="auto" w:sz="4" w:space="0"/>
            </w:tcBorders>
            <w:vAlign w:val="center"/>
          </w:tcPr>
          <w:p w14:paraId="54997016">
            <w:pPr>
              <w:jc w:val="center"/>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备注</w:t>
            </w:r>
          </w:p>
        </w:tc>
      </w:tr>
      <w:tr w14:paraId="7C13C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3273" w:type="dxa"/>
            <w:tcBorders>
              <w:top w:val="single" w:color="auto" w:sz="4" w:space="0"/>
              <w:left w:val="single" w:color="auto" w:sz="4" w:space="0"/>
              <w:right w:val="single" w:color="auto" w:sz="4" w:space="0"/>
            </w:tcBorders>
            <w:vAlign w:val="center"/>
          </w:tcPr>
          <w:p w14:paraId="191BA4C7">
            <w:pPr>
              <w:widowControl/>
              <w:jc w:val="center"/>
              <w:rPr>
                <w:rFonts w:hint="eastAsia" w:ascii="方正仿宋_GBK" w:hAnsi="方正仿宋_GBK" w:eastAsia="方正仿宋_GBK" w:cs="方正仿宋_GBK"/>
                <w:color w:val="auto"/>
                <w:kern w:val="0"/>
                <w:sz w:val="24"/>
                <w:szCs w:val="24"/>
                <w:highlight w:val="none"/>
                <w:lang w:eastAsia="zh-CN"/>
              </w:rPr>
            </w:pPr>
            <w:bookmarkStart w:id="24" w:name="_Hlk344477914"/>
            <w:r>
              <w:rPr>
                <w:rFonts w:hint="eastAsia" w:ascii="方正仿宋_GBK" w:hAnsi="方正仿宋_GBK" w:eastAsia="方正仿宋_GBK" w:cs="方正仿宋_GBK"/>
                <w:color w:val="auto"/>
                <w:kern w:val="0"/>
                <w:sz w:val="24"/>
                <w:szCs w:val="24"/>
                <w:highlight w:val="none"/>
                <w:lang w:eastAsia="zh-CN"/>
              </w:rPr>
              <w:t>重庆市璧山区排水管网整治工程三期—雨水提升工程箱变维修增容服务</w:t>
            </w:r>
            <w:r>
              <w:rPr>
                <w:rFonts w:hint="eastAsia" w:ascii="方正仿宋_GBK" w:hAnsi="方正仿宋_GBK" w:eastAsia="方正仿宋_GBK" w:cs="方正仿宋_GBK"/>
                <w:color w:val="auto"/>
                <w:kern w:val="0"/>
                <w:sz w:val="24"/>
                <w:szCs w:val="24"/>
                <w:highlight w:val="none"/>
                <w:lang w:eastAsia="zh-CN"/>
              </w:rPr>
              <w:t>（第二次）</w:t>
            </w:r>
          </w:p>
        </w:tc>
        <w:tc>
          <w:tcPr>
            <w:tcW w:w="2085" w:type="dxa"/>
            <w:tcBorders>
              <w:top w:val="single" w:color="auto" w:sz="4" w:space="0"/>
              <w:left w:val="single" w:color="auto" w:sz="4" w:space="0"/>
              <w:right w:val="single" w:color="auto" w:sz="4" w:space="0"/>
            </w:tcBorders>
            <w:vAlign w:val="center"/>
          </w:tcPr>
          <w:p w14:paraId="548D2FCC">
            <w:pPr>
              <w:widowControl/>
              <w:jc w:val="center"/>
              <w:rPr>
                <w:rFonts w:hint="default" w:ascii="方正仿宋_GBK" w:hAnsi="方正仿宋_GBK" w:eastAsia="方正仿宋_GBK" w:cs="方正仿宋_GBK"/>
                <w:color w:val="auto"/>
                <w:kern w:val="0"/>
                <w:sz w:val="24"/>
                <w:szCs w:val="24"/>
                <w:highlight w:val="none"/>
                <w:lang w:val="en-US" w:eastAsia="zh-CN"/>
              </w:rPr>
            </w:pPr>
            <w:r>
              <w:rPr>
                <w:rFonts w:hint="default" w:ascii="方正仿宋_GBK" w:hAnsi="方正仿宋_GBK" w:eastAsia="方正仿宋_GBK" w:cs="方正仿宋_GBK"/>
                <w:color w:val="auto"/>
                <w:kern w:val="0"/>
                <w:sz w:val="24"/>
                <w:szCs w:val="24"/>
                <w:highlight w:val="none"/>
                <w:lang w:val="en-US" w:eastAsia="zh-CN"/>
              </w:rPr>
              <w:t>162716</w:t>
            </w:r>
            <w:r>
              <w:rPr>
                <w:rFonts w:hint="eastAsia" w:ascii="方正仿宋_GBK" w:hAnsi="方正仿宋_GBK" w:eastAsia="方正仿宋_GBK" w:cs="方正仿宋_GBK"/>
                <w:color w:val="auto"/>
                <w:kern w:val="0"/>
                <w:sz w:val="24"/>
                <w:szCs w:val="24"/>
                <w:highlight w:val="none"/>
                <w:lang w:val="en-US" w:eastAsia="zh-CN"/>
              </w:rPr>
              <w:t>.</w:t>
            </w:r>
            <w:r>
              <w:rPr>
                <w:rFonts w:hint="default" w:ascii="方正仿宋_GBK" w:hAnsi="方正仿宋_GBK" w:eastAsia="方正仿宋_GBK" w:cs="方正仿宋_GBK"/>
                <w:color w:val="auto"/>
                <w:kern w:val="0"/>
                <w:sz w:val="24"/>
                <w:szCs w:val="24"/>
                <w:highlight w:val="none"/>
                <w:lang w:val="en-US" w:eastAsia="zh-CN"/>
              </w:rPr>
              <w:t>44</w:t>
            </w:r>
          </w:p>
        </w:tc>
        <w:tc>
          <w:tcPr>
            <w:tcW w:w="2040" w:type="dxa"/>
            <w:tcBorders>
              <w:top w:val="single" w:color="auto" w:sz="4" w:space="0"/>
              <w:left w:val="single" w:color="auto" w:sz="4" w:space="0"/>
              <w:right w:val="single" w:color="auto" w:sz="4" w:space="0"/>
            </w:tcBorders>
            <w:vAlign w:val="center"/>
          </w:tcPr>
          <w:p w14:paraId="476F8637">
            <w:pPr>
              <w:widowControl/>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450" w:type="dxa"/>
            <w:tcBorders>
              <w:top w:val="single" w:color="auto" w:sz="4" w:space="0"/>
              <w:left w:val="single" w:color="auto" w:sz="4" w:space="0"/>
              <w:right w:val="single" w:color="auto" w:sz="4" w:space="0"/>
            </w:tcBorders>
            <w:vAlign w:val="center"/>
          </w:tcPr>
          <w:p w14:paraId="1C7CD568">
            <w:pPr>
              <w:jc w:val="center"/>
              <w:rPr>
                <w:rFonts w:hint="eastAsia" w:ascii="方正仿宋_GBK" w:hAnsi="方正仿宋_GBK" w:eastAsia="方正仿宋_GBK" w:cs="方正仿宋_GBK"/>
                <w:b/>
                <w:color w:val="auto"/>
                <w:sz w:val="24"/>
                <w:szCs w:val="24"/>
                <w:highlight w:val="none"/>
              </w:rPr>
            </w:pPr>
          </w:p>
        </w:tc>
      </w:tr>
      <w:bookmarkEnd w:id="24"/>
    </w:tbl>
    <w:p w14:paraId="1CBBF204">
      <w:pPr>
        <w:pStyle w:val="3"/>
        <w:rPr>
          <w:color w:val="auto"/>
          <w:highlight w:val="none"/>
        </w:rPr>
      </w:pPr>
      <w:bookmarkStart w:id="25" w:name="_Toc22797"/>
      <w:bookmarkStart w:id="26" w:name="_Toc25190"/>
      <w:bookmarkStart w:id="27" w:name="_Toc15727"/>
      <w:bookmarkStart w:id="28" w:name="_Toc15576"/>
      <w:bookmarkStart w:id="29" w:name="_Toc19437"/>
      <w:bookmarkStart w:id="30" w:name="_Toc22399"/>
      <w:bookmarkStart w:id="31" w:name="_Toc1790"/>
      <w:bookmarkStart w:id="32" w:name="_Toc6462"/>
      <w:bookmarkStart w:id="33" w:name="_Toc317775178"/>
      <w:bookmarkStart w:id="34" w:name="_Toc373860293"/>
      <w:r>
        <w:rPr>
          <w:rFonts w:hint="eastAsia"/>
          <w:color w:val="auto"/>
          <w:highlight w:val="none"/>
        </w:rPr>
        <w:t>二、资金来源</w:t>
      </w:r>
      <w:bookmarkEnd w:id="25"/>
    </w:p>
    <w:p w14:paraId="714052F3">
      <w:pPr>
        <w:ind w:firstLine="480" w:firstLineChars="200"/>
        <w:rPr>
          <w:color w:val="auto"/>
          <w:highlight w:val="none"/>
        </w:rPr>
      </w:pPr>
      <w:r>
        <w:rPr>
          <w:rFonts w:hint="eastAsia" w:ascii="方正仿宋_GBK" w:hAnsi="方正仿宋_GBK" w:eastAsia="方正仿宋_GBK" w:cs="方正仿宋_GBK"/>
          <w:color w:val="auto"/>
          <w:sz w:val="24"/>
          <w:szCs w:val="24"/>
          <w:highlight w:val="none"/>
        </w:rPr>
        <w:t>单位自筹资金，预算金额为</w:t>
      </w:r>
      <w:r>
        <w:rPr>
          <w:rFonts w:hint="eastAsia" w:ascii="方正仿宋_GBK" w:hAnsi="方正仿宋_GBK" w:eastAsia="方正仿宋_GBK" w:cs="方正仿宋_GBK"/>
          <w:color w:val="auto"/>
          <w:sz w:val="24"/>
          <w:szCs w:val="24"/>
          <w:highlight w:val="none"/>
          <w:lang w:val="en-US" w:eastAsia="zh-CN"/>
        </w:rPr>
        <w:t>162716.44</w:t>
      </w:r>
      <w:r>
        <w:rPr>
          <w:rFonts w:hint="eastAsia" w:ascii="方正仿宋_GBK" w:hAnsi="方正仿宋_GBK" w:eastAsia="方正仿宋_GBK" w:cs="方正仿宋_GBK"/>
          <w:color w:val="auto"/>
          <w:sz w:val="24"/>
          <w:szCs w:val="24"/>
          <w:highlight w:val="none"/>
        </w:rPr>
        <w:t>元。</w:t>
      </w:r>
    </w:p>
    <w:p w14:paraId="4BBB29C4">
      <w:pPr>
        <w:pStyle w:val="3"/>
        <w:rPr>
          <w:color w:val="auto"/>
          <w:highlight w:val="none"/>
        </w:rPr>
      </w:pPr>
      <w:bookmarkStart w:id="35" w:name="_Toc27159"/>
      <w:r>
        <w:rPr>
          <w:rFonts w:hint="eastAsia"/>
          <w:color w:val="auto"/>
          <w:highlight w:val="none"/>
        </w:rPr>
        <w:t>三、</w:t>
      </w:r>
      <w:bookmarkEnd w:id="26"/>
      <w:bookmarkEnd w:id="27"/>
      <w:bookmarkEnd w:id="28"/>
      <w:bookmarkEnd w:id="29"/>
      <w:bookmarkEnd w:id="30"/>
      <w:bookmarkEnd w:id="31"/>
      <w:bookmarkEnd w:id="32"/>
      <w:r>
        <w:rPr>
          <w:rFonts w:hint="eastAsia"/>
          <w:color w:val="auto"/>
          <w:highlight w:val="none"/>
        </w:rPr>
        <w:t>竞采资格条件</w:t>
      </w:r>
      <w:bookmarkEnd w:id="35"/>
    </w:p>
    <w:p w14:paraId="663E16D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（一）基本条件</w:t>
      </w:r>
    </w:p>
    <w:p w14:paraId="790DDF28">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p w14:paraId="205D3A87">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p w14:paraId="75200F9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p w14:paraId="5F8D9D1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4.有依法缴纳税收和社会保障资金的良好记录；</w:t>
      </w:r>
    </w:p>
    <w:p w14:paraId="6B40801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5.参加本项目采购活动前三年内，在经营活动中没有重大违法记录；</w:t>
      </w:r>
    </w:p>
    <w:p w14:paraId="76FF6A15">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　</w:t>
      </w:r>
    </w:p>
    <w:p w14:paraId="3F958D02">
      <w:pPr>
        <w:numPr>
          <w:ilvl w:val="0"/>
          <w:numId w:val="1"/>
        </w:num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bookmarkEnd w:id="33"/>
    <w:bookmarkEnd w:id="34"/>
    <w:p w14:paraId="4F982532">
      <w:pPr>
        <w:spacing w:line="360" w:lineRule="auto"/>
        <w:ind w:firstLine="480" w:firstLineChars="200"/>
        <w:rPr>
          <w:rFonts w:hint="eastAsia" w:ascii="方正仿宋_GBK" w:hAnsi="方正仿宋_GBK" w:eastAsia="方正仿宋_GBK" w:cs="方正仿宋_GBK"/>
          <w:color w:val="auto"/>
          <w:sz w:val="24"/>
          <w:szCs w:val="24"/>
          <w:highlight w:val="none"/>
        </w:rPr>
      </w:pPr>
      <w:bookmarkStart w:id="36" w:name="_Toc26874"/>
      <w:r>
        <w:rPr>
          <w:rFonts w:hint="eastAsia" w:ascii="方正仿宋_GBK" w:hAnsi="方正仿宋_GBK" w:eastAsia="方正仿宋_GBK" w:cs="方正仿宋_GBK"/>
          <w:color w:val="auto"/>
          <w:sz w:val="24"/>
          <w:szCs w:val="24"/>
          <w:highlight w:val="none"/>
          <w:lang w:eastAsia="zh-CN"/>
        </w:rPr>
        <w:t>无</w:t>
      </w:r>
      <w:r>
        <w:rPr>
          <w:rFonts w:hint="eastAsia" w:ascii="方正仿宋_GBK" w:hAnsi="方正仿宋_GBK" w:eastAsia="方正仿宋_GBK" w:cs="方正仿宋_GBK"/>
          <w:color w:val="auto"/>
          <w:sz w:val="24"/>
          <w:szCs w:val="24"/>
          <w:highlight w:val="none"/>
        </w:rPr>
        <w:t>。</w:t>
      </w:r>
    </w:p>
    <w:p w14:paraId="69B35F20">
      <w:pPr>
        <w:pStyle w:val="3"/>
        <w:rPr>
          <w:color w:val="auto"/>
          <w:highlight w:val="none"/>
        </w:rPr>
      </w:pPr>
      <w:r>
        <w:rPr>
          <w:rFonts w:hint="eastAsia"/>
          <w:color w:val="auto"/>
          <w:highlight w:val="none"/>
        </w:rPr>
        <w:t>四、竞采有关说明</w:t>
      </w:r>
      <w:bookmarkEnd w:id="36"/>
    </w:p>
    <w:p w14:paraId="21552C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（一）供应商应通过行采家采（www.gec123.com）登记加入“</w:t>
      </w:r>
      <w:r>
        <w:rPr>
          <w:rFonts w:hint="eastAsia" w:ascii="方正仿宋_GBK" w:hAnsi="方正仿宋_GBK" w:eastAsia="方正仿宋_GBK" w:cs="方正仿宋_GBK"/>
          <w:color w:val="auto"/>
          <w:sz w:val="24"/>
          <w:szCs w:val="24"/>
          <w:highlight w:val="none"/>
          <w:lang w:eastAsia="zh-CN"/>
        </w:rPr>
        <w:t>行采家</w:t>
      </w:r>
      <w:r>
        <w:rPr>
          <w:rFonts w:hint="eastAsia" w:ascii="方正仿宋_GBK" w:hAnsi="方正仿宋_GBK" w:eastAsia="方正仿宋_GBK" w:cs="方正仿宋_GBK"/>
          <w:color w:val="auto"/>
          <w:sz w:val="24"/>
          <w:szCs w:val="24"/>
          <w:highlight w:val="none"/>
        </w:rPr>
        <w:t>供应商库”。</w:t>
      </w:r>
    </w:p>
    <w:p w14:paraId="5B8828B1">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（二）凡有意参加采购的供应商，请在</w:t>
      </w:r>
      <w:r>
        <w:rPr>
          <w:rFonts w:hint="eastAsia" w:ascii="方正仿宋_GBK" w:hAnsi="方正仿宋_GBK" w:eastAsia="方正仿宋_GBK" w:cs="方正仿宋_GBK"/>
          <w:color w:val="auto"/>
          <w:sz w:val="24"/>
          <w:szCs w:val="24"/>
          <w:highlight w:val="none"/>
          <w:lang w:eastAsia="zh-CN"/>
        </w:rPr>
        <w:t>行采家（https://www.gec123.com/）</w:t>
      </w:r>
      <w:r>
        <w:rPr>
          <w:rFonts w:hint="eastAsia" w:ascii="方正仿宋_GBK" w:hAnsi="方正仿宋_GBK" w:eastAsia="方正仿宋_GBK" w:cs="方正仿宋_GBK"/>
          <w:color w:val="auto"/>
          <w:sz w:val="24"/>
          <w:szCs w:val="24"/>
          <w:highlight w:val="none"/>
        </w:rPr>
        <w:t>网上下载本项目网上竞采文件以及变更等采购前公布的所有项目资料，无论供应商下载与否，均视为已知晓所有采购实质性要求内容。</w:t>
      </w:r>
    </w:p>
    <w:p w14:paraId="118E08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（三）线上报价</w:t>
      </w:r>
    </w:p>
    <w:p w14:paraId="10D807A9">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1.线上报价时间：按本项目网上公告规定的报价截止时间为准。</w:t>
      </w:r>
    </w:p>
    <w:p w14:paraId="4AAA9A9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2.线上报价要求：按本项目规定的时间在</w:t>
      </w:r>
      <w:r>
        <w:rPr>
          <w:rFonts w:hint="eastAsia" w:ascii="方正仿宋_GBK" w:hAnsi="方正仿宋_GBK" w:eastAsia="方正仿宋_GBK" w:cs="方正仿宋_GBK"/>
          <w:color w:val="auto"/>
          <w:sz w:val="24"/>
          <w:szCs w:val="24"/>
          <w:highlight w:val="none"/>
          <w:lang w:eastAsia="zh-CN"/>
        </w:rPr>
        <w:t>行采家（https://www.gec123.com/）</w:t>
      </w:r>
      <w:r>
        <w:rPr>
          <w:rFonts w:hint="eastAsia" w:ascii="方正仿宋_GBK" w:hAnsi="方正仿宋_GBK" w:eastAsia="方正仿宋_GBK" w:cs="方正仿宋_GBK"/>
          <w:color w:val="auto"/>
          <w:sz w:val="24"/>
          <w:szCs w:val="24"/>
          <w:highlight w:val="none"/>
        </w:rPr>
        <w:t>进行网上报价。</w:t>
      </w:r>
    </w:p>
    <w:p w14:paraId="0DF85AAF">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w:t>
      </w:r>
      <w:r>
        <w:rPr>
          <w:rFonts w:hint="eastAsia" w:ascii="方正仿宋_GBK" w:hAnsi="方正仿宋_GBK" w:eastAsia="方正仿宋_GBK" w:cs="方正仿宋_GBK"/>
          <w:bCs/>
          <w:color w:val="auto"/>
          <w:sz w:val="24"/>
          <w:szCs w:val="24"/>
          <w:highlight w:val="none"/>
        </w:rPr>
        <w:t>供应商须在平台上报价并按要求上传响应文件，未按要求提供的为无效供应商。</w:t>
      </w:r>
    </w:p>
    <w:p w14:paraId="0BBBB34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备注：</w:t>
      </w:r>
    </w:p>
    <w:p w14:paraId="3AD9A47A">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1.供应商线上报价时须上传响应文件一份。</w:t>
      </w:r>
    </w:p>
    <w:p w14:paraId="4A87B58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2.采购人将以平台的线上资料作为评判依据。</w:t>
      </w:r>
    </w:p>
    <w:p w14:paraId="4F4288F0">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3.供应商上传的响应文件应按照响应文件编制要求制作，规定签字、盖章的地方必须按规定签字、盖章，未按要求制作响应文件的作无效标处理。</w:t>
      </w:r>
    </w:p>
    <w:p w14:paraId="468C50C7">
      <w:pPr>
        <w:pStyle w:val="3"/>
        <w:rPr>
          <w:color w:val="auto"/>
          <w:highlight w:val="none"/>
        </w:rPr>
      </w:pPr>
      <w:bookmarkStart w:id="37" w:name="_Toc24768"/>
      <w:r>
        <w:rPr>
          <w:rFonts w:hint="eastAsia"/>
          <w:color w:val="auto"/>
          <w:highlight w:val="none"/>
        </w:rPr>
        <w:t>五、</w:t>
      </w:r>
      <w:bookmarkStart w:id="38" w:name="_Toc27955"/>
      <w:bookmarkStart w:id="39" w:name="_Toc5085"/>
      <w:bookmarkStart w:id="40" w:name="_Toc20778"/>
      <w:bookmarkStart w:id="41" w:name="_Toc25886"/>
      <w:bookmarkStart w:id="42" w:name="_Toc9654"/>
      <w:bookmarkStart w:id="43" w:name="_Toc11828"/>
      <w:bookmarkStart w:id="44" w:name="_Toc3475"/>
      <w:bookmarkStart w:id="45" w:name="_Toc9027"/>
      <w:bookmarkStart w:id="46" w:name="_Toc19730"/>
      <w:bookmarkStart w:id="47" w:name="_Toc31315"/>
      <w:bookmarkStart w:id="48" w:name="_Toc25516"/>
      <w:bookmarkStart w:id="49" w:name="_Toc14778"/>
      <w:bookmarkStart w:id="50" w:name="_Toc13969"/>
      <w:bookmarkStart w:id="51" w:name="_Toc15478"/>
      <w:r>
        <w:rPr>
          <w:rFonts w:hint="eastAsia"/>
          <w:color w:val="auto"/>
          <w:highlight w:val="none"/>
        </w:rPr>
        <w:t>联系方式</w:t>
      </w:r>
      <w:bookmarkEnd w:id="37"/>
      <w:bookmarkEnd w:id="38"/>
      <w:bookmarkEnd w:id="39"/>
      <w:bookmarkEnd w:id="40"/>
      <w:bookmarkEnd w:id="41"/>
      <w:bookmarkEnd w:id="42"/>
      <w:bookmarkEnd w:id="43"/>
      <w:bookmarkEnd w:id="44"/>
    </w:p>
    <w:p w14:paraId="1003CA39">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（一）采购人：重庆</w:t>
      </w:r>
      <w:r>
        <w:rPr>
          <w:rFonts w:hint="eastAsia" w:ascii="方正仿宋_GBK" w:hAnsi="方正仿宋_GBK" w:eastAsia="方正仿宋_GBK" w:cs="方正仿宋_GBK"/>
          <w:color w:val="auto"/>
          <w:sz w:val="24"/>
          <w:szCs w:val="24"/>
          <w:highlight w:val="none"/>
          <w:lang w:val="en-US" w:eastAsia="zh-CN"/>
        </w:rPr>
        <w:t>绿发实业集团</w:t>
      </w:r>
      <w:r>
        <w:rPr>
          <w:rFonts w:hint="eastAsia" w:ascii="方正仿宋_GBK" w:hAnsi="方正仿宋_GBK" w:eastAsia="方正仿宋_GBK" w:cs="方正仿宋_GBK"/>
          <w:color w:val="auto"/>
          <w:sz w:val="24"/>
          <w:szCs w:val="24"/>
          <w:highlight w:val="none"/>
        </w:rPr>
        <w:t>有限公司</w:t>
      </w:r>
    </w:p>
    <w:p w14:paraId="7C719DB5">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w:t>
      </w:r>
      <w:r>
        <w:rPr>
          <w:rFonts w:hint="eastAsia" w:ascii="方正仿宋_GBK" w:hAnsi="方正仿宋_GBK" w:eastAsia="方正仿宋_GBK" w:cs="方正仿宋_GBK"/>
          <w:color w:val="auto"/>
          <w:sz w:val="24"/>
          <w:szCs w:val="24"/>
          <w:highlight w:val="none"/>
          <w:lang w:eastAsia="zh-CN"/>
        </w:rPr>
        <w:t>余</w:t>
      </w:r>
      <w:r>
        <w:rPr>
          <w:rFonts w:hint="eastAsia" w:ascii="方正仿宋_GBK" w:hAnsi="方正仿宋_GBK" w:eastAsia="方正仿宋_GBK" w:cs="方正仿宋_GBK"/>
          <w:color w:val="auto"/>
          <w:sz w:val="24"/>
          <w:szCs w:val="24"/>
          <w:highlight w:val="none"/>
        </w:rPr>
        <w:t>老师</w:t>
      </w:r>
      <w:r>
        <w:rPr>
          <w:rFonts w:hint="eastAsia" w:ascii="方正仿宋_GBK" w:hAnsi="方正仿宋_GBK" w:eastAsia="方正仿宋_GBK" w:cs="方正仿宋_GBK"/>
          <w:color w:val="auto"/>
          <w:sz w:val="24"/>
          <w:szCs w:val="24"/>
          <w:highlight w:val="none"/>
        </w:rPr>
        <w:tab/>
      </w:r>
    </w:p>
    <w:p w14:paraId="2DBC2104">
      <w:pPr>
        <w:snapToGrid w:val="0"/>
        <w:spacing w:line="360" w:lineRule="auto"/>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rPr>
        <w:t>电  话：</w:t>
      </w:r>
      <w:r>
        <w:rPr>
          <w:rFonts w:hint="eastAsia" w:ascii="方正仿宋_GBK" w:hAnsi="方正仿宋_GBK" w:eastAsia="方正仿宋_GBK" w:cs="方正仿宋_GBK"/>
          <w:color w:val="auto"/>
          <w:sz w:val="24"/>
          <w:szCs w:val="24"/>
          <w:highlight w:val="none"/>
          <w:lang w:val="en-US" w:eastAsia="zh-CN"/>
        </w:rPr>
        <w:t>18680837335</w:t>
      </w:r>
    </w:p>
    <w:p w14:paraId="254B5E76">
      <w:pPr>
        <w:snapToGrid w:val="0"/>
        <w:spacing w:line="360" w:lineRule="auto"/>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地  址：重庆市璧山区璧泉街道双星大道50号1幢6</w:t>
      </w:r>
      <w:r>
        <w:rPr>
          <w:rFonts w:hint="eastAsia" w:ascii="方正仿宋_GBK" w:hAnsi="方正仿宋_GBK" w:eastAsia="方正仿宋_GBK" w:cs="方正仿宋_GBK"/>
          <w:color w:val="auto"/>
          <w:sz w:val="24"/>
          <w:szCs w:val="24"/>
          <w:highlight w:val="none"/>
          <w:lang w:eastAsia="zh-CN"/>
        </w:rPr>
        <w:t>楼</w:t>
      </w:r>
    </w:p>
    <w:p w14:paraId="57739DB2">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（二）采购代理机构：重庆璟浩工程咨询有限公司</w:t>
      </w:r>
    </w:p>
    <w:p w14:paraId="0975A4C9">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联系人：杨老师</w:t>
      </w:r>
    </w:p>
    <w:p w14:paraId="013F74D0">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 xml:space="preserve">电  话：023-89311888 18716341362 </w:t>
      </w:r>
    </w:p>
    <w:p w14:paraId="7A70EF1B">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地  址：重庆市九龙坡区科园一路渝高广场C座13-3</w:t>
      </w:r>
    </w:p>
    <w:p w14:paraId="5991CAB5">
      <w:pPr>
        <w:pStyle w:val="3"/>
        <w:rPr>
          <w:color w:val="auto"/>
          <w:highlight w:val="none"/>
        </w:rPr>
      </w:pPr>
      <w:bookmarkStart w:id="52" w:name="_Toc15566"/>
      <w:r>
        <w:rPr>
          <w:rFonts w:hint="eastAsia"/>
          <w:color w:val="auto"/>
          <w:highlight w:val="none"/>
        </w:rPr>
        <w:t>六、</w:t>
      </w:r>
      <w:bookmarkEnd w:id="45"/>
      <w:bookmarkEnd w:id="46"/>
      <w:bookmarkEnd w:id="47"/>
      <w:bookmarkEnd w:id="48"/>
      <w:bookmarkEnd w:id="49"/>
      <w:bookmarkEnd w:id="50"/>
      <w:bookmarkEnd w:id="51"/>
      <w:r>
        <w:rPr>
          <w:rFonts w:hint="eastAsia"/>
          <w:color w:val="auto"/>
          <w:highlight w:val="none"/>
        </w:rPr>
        <w:t>其它有关规定</w:t>
      </w:r>
      <w:bookmarkEnd w:id="52"/>
    </w:p>
    <w:p w14:paraId="491A5659">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（一）单位负责人为同一人或者存在直接控股、管理关系的不同供应商，不得参加同一合同项（分包）下的竞采活动，否则均为无效响应。</w:t>
      </w:r>
    </w:p>
    <w:p w14:paraId="126F70F2">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（二）为采购项目提供整体设计、规范编制或者项目管理、监理、检测等服务的供应商，不得再参加该采购项目的其他采购活动。</w:t>
      </w:r>
    </w:p>
    <w:p w14:paraId="584CBADF">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（三）本项目的变更等文件（如果有）一律在“行采家（https://www.gec123.com/）”上发布，请各供应商注意下载；无论供应商下载与否，均视同供应商已知晓本项目澄清文件（如果有）的内容。</w:t>
      </w:r>
    </w:p>
    <w:p w14:paraId="12A9D761">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（四）超过响应文件截止时间递交的响应文件，恕不接收。</w:t>
      </w:r>
    </w:p>
    <w:p w14:paraId="18B859F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（五）竞采费用：无论竞采结果如何，供应商参与本项目竞采的所有成本费用均应由供应商自行承担。</w:t>
      </w:r>
    </w:p>
    <w:p w14:paraId="73601545">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（六）本项目不接受联合体参与竞采。</w:t>
      </w:r>
    </w:p>
    <w:p w14:paraId="481CEF4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七）参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或违反云平台相关规则、规定的供应商，将拒绝其参与网上竞采活动。</w:t>
      </w:r>
    </w:p>
    <w:p w14:paraId="19145056">
      <w:pPr>
        <w:pStyle w:val="7"/>
        <w:rPr>
          <w:rFonts w:hint="eastAsia" w:ascii="方正仿宋_GBK" w:hAnsi="方正仿宋_GBK" w:eastAsia="方正仿宋_GBK" w:cs="方正仿宋_GBK"/>
          <w:color w:val="auto"/>
          <w:sz w:val="24"/>
          <w:szCs w:val="24"/>
          <w:highlight w:val="none"/>
        </w:rPr>
      </w:pPr>
    </w:p>
    <w:p w14:paraId="3B5AA90B">
      <w:pPr>
        <w:jc w:val="left"/>
        <w:rPr>
          <w:rFonts w:hint="eastAsia" w:ascii="方正仿宋_GBK" w:hAnsi="方正仿宋_GBK" w:eastAsia="方正仿宋_GBK" w:cs="方正仿宋_GBK"/>
          <w:color w:val="auto"/>
          <w:sz w:val="24"/>
          <w:szCs w:val="24"/>
          <w:highlight w:val="none"/>
        </w:rPr>
      </w:pPr>
      <w:bookmarkStart w:id="53" w:name="_Toc76462324"/>
      <w:bookmarkStart w:id="54" w:name="_Toc106030878"/>
    </w:p>
    <w:p w14:paraId="2013CE82">
      <w:pPr>
        <w:jc w:val="left"/>
        <w:rPr>
          <w:rFonts w:hint="eastAsia" w:ascii="方正仿宋_GBK" w:hAnsi="方正仿宋_GBK" w:eastAsia="方正仿宋_GBK" w:cs="方正仿宋_GBK"/>
          <w:color w:val="auto"/>
          <w:sz w:val="24"/>
          <w:szCs w:val="24"/>
          <w:highlight w:val="none"/>
        </w:rPr>
      </w:pPr>
    </w:p>
    <w:p w14:paraId="32E61DF4">
      <w:pPr>
        <w:jc w:val="left"/>
        <w:rPr>
          <w:rFonts w:hint="eastAsia" w:ascii="方正仿宋_GBK" w:hAnsi="方正仿宋_GBK" w:eastAsia="方正仿宋_GBK" w:cs="方正仿宋_GBK"/>
          <w:color w:val="auto"/>
          <w:sz w:val="24"/>
          <w:szCs w:val="24"/>
          <w:highlight w:val="none"/>
        </w:rPr>
      </w:pPr>
    </w:p>
    <w:p w14:paraId="4117F37B">
      <w:pPr>
        <w:jc w:val="left"/>
        <w:rPr>
          <w:rFonts w:hint="eastAsia" w:ascii="方正仿宋_GBK" w:hAnsi="方正仿宋_GBK" w:eastAsia="方正仿宋_GBK" w:cs="方正仿宋_GBK"/>
          <w:color w:val="auto"/>
          <w:sz w:val="24"/>
          <w:szCs w:val="24"/>
          <w:highlight w:val="none"/>
        </w:rPr>
      </w:pPr>
    </w:p>
    <w:p w14:paraId="4EE4875B">
      <w:pPr>
        <w:jc w:val="left"/>
        <w:rPr>
          <w:rFonts w:hint="eastAsia" w:ascii="方正仿宋_GBK" w:hAnsi="方正仿宋_GBK" w:eastAsia="方正仿宋_GBK" w:cs="方正仿宋_GBK"/>
          <w:color w:val="auto"/>
          <w:sz w:val="24"/>
          <w:szCs w:val="24"/>
          <w:highlight w:val="none"/>
        </w:rPr>
      </w:pPr>
    </w:p>
    <w:p w14:paraId="30298773">
      <w:pPr>
        <w:jc w:val="left"/>
        <w:rPr>
          <w:rFonts w:hint="eastAsia" w:ascii="方正仿宋_GBK" w:hAnsi="方正仿宋_GBK" w:eastAsia="方正仿宋_GBK" w:cs="方正仿宋_GBK"/>
          <w:color w:val="auto"/>
          <w:sz w:val="24"/>
          <w:szCs w:val="24"/>
          <w:highlight w:val="none"/>
        </w:rPr>
      </w:pPr>
    </w:p>
    <w:p w14:paraId="443E1501">
      <w:pPr>
        <w:jc w:val="left"/>
        <w:rPr>
          <w:rFonts w:hint="eastAsia" w:ascii="方正仿宋_GBK" w:hAnsi="方正仿宋_GBK" w:eastAsia="方正仿宋_GBK" w:cs="方正仿宋_GBK"/>
          <w:color w:val="auto"/>
          <w:sz w:val="24"/>
          <w:szCs w:val="24"/>
          <w:highlight w:val="none"/>
        </w:rPr>
      </w:pPr>
    </w:p>
    <w:p w14:paraId="1CB8931E">
      <w:pPr>
        <w:jc w:val="left"/>
        <w:rPr>
          <w:rFonts w:hint="eastAsia" w:ascii="方正仿宋_GBK" w:hAnsi="方正仿宋_GBK" w:eastAsia="方正仿宋_GBK" w:cs="方正仿宋_GBK"/>
          <w:color w:val="auto"/>
          <w:sz w:val="24"/>
          <w:szCs w:val="24"/>
          <w:highlight w:val="none"/>
        </w:rPr>
      </w:pPr>
    </w:p>
    <w:p w14:paraId="6FF0B1E0">
      <w:pPr>
        <w:jc w:val="left"/>
        <w:rPr>
          <w:rFonts w:hint="eastAsia" w:ascii="方正仿宋_GBK" w:hAnsi="方正仿宋_GBK" w:eastAsia="方正仿宋_GBK" w:cs="方正仿宋_GBK"/>
          <w:color w:val="auto"/>
          <w:sz w:val="24"/>
          <w:szCs w:val="24"/>
          <w:highlight w:val="none"/>
        </w:rPr>
      </w:pPr>
    </w:p>
    <w:p w14:paraId="7FE4BF41">
      <w:pPr>
        <w:jc w:val="left"/>
        <w:rPr>
          <w:rFonts w:hint="eastAsia" w:ascii="方正仿宋_GBK" w:hAnsi="方正仿宋_GBK" w:eastAsia="方正仿宋_GBK" w:cs="方正仿宋_GBK"/>
          <w:color w:val="auto"/>
          <w:sz w:val="24"/>
          <w:szCs w:val="24"/>
          <w:highlight w:val="none"/>
        </w:rPr>
      </w:pPr>
    </w:p>
    <w:p w14:paraId="058A1B93">
      <w:pPr>
        <w:jc w:val="left"/>
        <w:rPr>
          <w:rFonts w:hint="eastAsia" w:ascii="方正仿宋_GBK" w:hAnsi="方正仿宋_GBK" w:eastAsia="方正仿宋_GBK" w:cs="方正仿宋_GBK"/>
          <w:color w:val="auto"/>
          <w:sz w:val="24"/>
          <w:szCs w:val="24"/>
          <w:highlight w:val="none"/>
        </w:rPr>
      </w:pPr>
    </w:p>
    <w:p w14:paraId="1E508CBA">
      <w:pPr>
        <w:jc w:val="left"/>
        <w:rPr>
          <w:rFonts w:hint="eastAsia" w:ascii="方正仿宋_GBK" w:hAnsi="方正仿宋_GBK" w:eastAsia="方正仿宋_GBK" w:cs="方正仿宋_GBK"/>
          <w:color w:val="auto"/>
          <w:sz w:val="24"/>
          <w:szCs w:val="24"/>
          <w:highlight w:val="none"/>
        </w:rPr>
      </w:pPr>
    </w:p>
    <w:p w14:paraId="13338980">
      <w:pPr>
        <w:jc w:val="left"/>
        <w:rPr>
          <w:rFonts w:hint="eastAsia" w:ascii="方正仿宋_GBK" w:hAnsi="方正仿宋_GBK" w:eastAsia="方正仿宋_GBK" w:cs="方正仿宋_GBK"/>
          <w:color w:val="auto"/>
          <w:sz w:val="24"/>
          <w:szCs w:val="24"/>
          <w:highlight w:val="none"/>
        </w:rPr>
      </w:pPr>
    </w:p>
    <w:p w14:paraId="3B2EA361">
      <w:pPr>
        <w:jc w:val="left"/>
        <w:rPr>
          <w:rFonts w:hint="eastAsia" w:ascii="方正仿宋_GBK" w:hAnsi="方正仿宋_GBK" w:eastAsia="方正仿宋_GBK" w:cs="方正仿宋_GBK"/>
          <w:color w:val="auto"/>
          <w:sz w:val="24"/>
          <w:szCs w:val="24"/>
          <w:highlight w:val="none"/>
        </w:rPr>
      </w:pPr>
    </w:p>
    <w:p w14:paraId="073E9CB4">
      <w:pPr>
        <w:jc w:val="left"/>
        <w:rPr>
          <w:rFonts w:hint="eastAsia" w:ascii="方正仿宋_GBK" w:hAnsi="方正仿宋_GBK" w:eastAsia="方正仿宋_GBK" w:cs="方正仿宋_GBK"/>
          <w:color w:val="auto"/>
          <w:sz w:val="24"/>
          <w:szCs w:val="24"/>
          <w:highlight w:val="none"/>
        </w:rPr>
      </w:pPr>
    </w:p>
    <w:p w14:paraId="080E5E6A">
      <w:pPr>
        <w:jc w:val="left"/>
        <w:rPr>
          <w:rFonts w:hint="eastAsia" w:ascii="方正仿宋_GBK" w:hAnsi="方正仿宋_GBK" w:eastAsia="方正仿宋_GBK" w:cs="方正仿宋_GBK"/>
          <w:color w:val="auto"/>
          <w:sz w:val="24"/>
          <w:szCs w:val="24"/>
          <w:highlight w:val="none"/>
        </w:rPr>
      </w:pPr>
    </w:p>
    <w:p w14:paraId="2A48C4C0">
      <w:pPr>
        <w:jc w:val="left"/>
        <w:rPr>
          <w:rFonts w:hint="eastAsia" w:ascii="方正仿宋_GBK" w:hAnsi="方正仿宋_GBK" w:eastAsia="方正仿宋_GBK" w:cs="方正仿宋_GBK"/>
          <w:color w:val="auto"/>
          <w:sz w:val="24"/>
          <w:szCs w:val="24"/>
          <w:highlight w:val="none"/>
        </w:rPr>
      </w:pPr>
    </w:p>
    <w:p w14:paraId="44B0D516">
      <w:pPr>
        <w:jc w:val="left"/>
        <w:rPr>
          <w:rFonts w:hint="eastAsia" w:ascii="方正仿宋_GBK" w:hAnsi="方正仿宋_GBK" w:eastAsia="方正仿宋_GBK" w:cs="方正仿宋_GBK"/>
          <w:color w:val="auto"/>
          <w:sz w:val="24"/>
          <w:szCs w:val="24"/>
          <w:highlight w:val="none"/>
        </w:rPr>
      </w:pPr>
    </w:p>
    <w:p w14:paraId="4EEB96F1">
      <w:pPr>
        <w:jc w:val="left"/>
        <w:rPr>
          <w:rFonts w:hint="eastAsia" w:ascii="方正仿宋_GBK" w:hAnsi="方正仿宋_GBK" w:eastAsia="方正仿宋_GBK" w:cs="方正仿宋_GBK"/>
          <w:color w:val="auto"/>
          <w:sz w:val="24"/>
          <w:szCs w:val="24"/>
          <w:highlight w:val="none"/>
        </w:rPr>
      </w:pPr>
    </w:p>
    <w:p w14:paraId="3F0A6F3F">
      <w:pPr>
        <w:jc w:val="left"/>
        <w:rPr>
          <w:rFonts w:hint="eastAsia" w:ascii="方正仿宋_GBK" w:hAnsi="方正仿宋_GBK" w:eastAsia="方正仿宋_GBK" w:cs="方正仿宋_GBK"/>
          <w:color w:val="auto"/>
          <w:sz w:val="24"/>
          <w:szCs w:val="24"/>
          <w:highlight w:val="none"/>
        </w:rPr>
      </w:pPr>
    </w:p>
    <w:p w14:paraId="13883259">
      <w:pPr>
        <w:pStyle w:val="2"/>
        <w:jc w:val="center"/>
        <w:rPr>
          <w:color w:val="auto"/>
          <w:highlight w:val="none"/>
        </w:rPr>
      </w:pPr>
      <w:bookmarkStart w:id="55" w:name="_Toc15479"/>
      <w:r>
        <w:rPr>
          <w:rFonts w:hint="eastAsia"/>
          <w:color w:val="auto"/>
          <w:highlight w:val="none"/>
        </w:rPr>
        <w:t>第二篇  项目</w:t>
      </w:r>
      <w:bookmarkEnd w:id="53"/>
      <w:bookmarkEnd w:id="54"/>
      <w:r>
        <w:rPr>
          <w:rFonts w:hint="eastAsia"/>
          <w:color w:val="auto"/>
          <w:highlight w:val="none"/>
        </w:rPr>
        <w:t>服务需求</w:t>
      </w:r>
      <w:bookmarkEnd w:id="55"/>
    </w:p>
    <w:p w14:paraId="6B0046EA">
      <w:pPr>
        <w:jc w:val="left"/>
        <w:rPr>
          <w:rFonts w:hint="eastAsia" w:ascii="方正仿宋_GBK" w:hAnsi="方正仿宋_GBK" w:eastAsia="方正仿宋_GBK" w:cs="方正仿宋_GBK"/>
          <w:color w:val="auto"/>
          <w:highlight w:val="none"/>
        </w:rPr>
      </w:pPr>
      <w:bookmarkStart w:id="56" w:name="_Toc76462325"/>
      <w:bookmarkStart w:id="57" w:name="_Toc12789058"/>
      <w:r>
        <w:rPr>
          <w:rFonts w:hint="eastAsia" w:ascii="方正仿宋_GBK" w:hAnsi="方正仿宋_GBK" w:eastAsia="方正仿宋_GBK" w:cs="方正仿宋_GBK"/>
          <w:b/>
          <w:bCs/>
          <w:color w:val="auto"/>
          <w:sz w:val="24"/>
          <w:szCs w:val="24"/>
          <w:highlight w:val="none"/>
          <w:u w:val="single"/>
        </w:rPr>
        <w:t>本篇服务需求为符合性审查中的实质性要求，响应文件若不满足按无效处理。</w:t>
      </w:r>
    </w:p>
    <w:bookmarkEnd w:id="56"/>
    <w:p w14:paraId="04AD5CE6">
      <w:pPr>
        <w:pStyle w:val="3"/>
        <w:rPr>
          <w:color w:val="auto"/>
          <w:highlight w:val="none"/>
        </w:rPr>
      </w:pPr>
      <w:bookmarkStart w:id="58" w:name="_Toc106030880"/>
      <w:bookmarkStart w:id="59" w:name="_Toc10290"/>
      <w:r>
        <w:rPr>
          <w:rFonts w:hint="eastAsia"/>
          <w:color w:val="auto"/>
          <w:highlight w:val="none"/>
        </w:rPr>
        <w:t>一、</w:t>
      </w:r>
      <w:bookmarkEnd w:id="58"/>
      <w:r>
        <w:rPr>
          <w:rFonts w:hint="eastAsia"/>
          <w:color w:val="auto"/>
          <w:highlight w:val="none"/>
        </w:rPr>
        <w:t>招标项目一览表</w:t>
      </w:r>
      <w:bookmarkEnd w:id="59"/>
    </w:p>
    <w:tbl>
      <w:tblPr>
        <w:tblStyle w:val="20"/>
        <w:tblW w:w="93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9"/>
        <w:gridCol w:w="1727"/>
        <w:gridCol w:w="2623"/>
        <w:gridCol w:w="720"/>
        <w:gridCol w:w="690"/>
        <w:gridCol w:w="930"/>
        <w:gridCol w:w="900"/>
        <w:gridCol w:w="827"/>
      </w:tblGrid>
      <w:tr w14:paraId="29664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909" w:type="dxa"/>
            <w:vAlign w:val="center"/>
          </w:tcPr>
          <w:p w14:paraId="09D18799">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序号</w:t>
            </w:r>
          </w:p>
        </w:tc>
        <w:tc>
          <w:tcPr>
            <w:tcW w:w="1727" w:type="dxa"/>
            <w:vAlign w:val="center"/>
          </w:tcPr>
          <w:p w14:paraId="464BBA38">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服务名称</w:t>
            </w:r>
          </w:p>
        </w:tc>
        <w:tc>
          <w:tcPr>
            <w:tcW w:w="2623" w:type="dxa"/>
            <w:vAlign w:val="center"/>
          </w:tcPr>
          <w:p w14:paraId="6233D4AD">
            <w:pPr>
              <w:jc w:val="center"/>
              <w:rPr>
                <w:rFonts w:hint="default" w:ascii="方正仿宋_GBK" w:hAnsi="方正仿宋_GBK" w:eastAsia="方正仿宋_GBK" w:cs="方正仿宋_GBK"/>
                <w:b/>
                <w:color w:val="auto"/>
                <w:sz w:val="21"/>
                <w:szCs w:val="21"/>
                <w:highlight w:val="none"/>
                <w:lang w:val="en-US" w:eastAsia="zh-CN"/>
              </w:rPr>
            </w:pPr>
            <w:r>
              <w:rPr>
                <w:rFonts w:hint="eastAsia" w:ascii="方正仿宋_GBK" w:hAnsi="方正仿宋_GBK" w:eastAsia="方正仿宋_GBK" w:cs="方正仿宋_GBK"/>
                <w:b/>
                <w:color w:val="auto"/>
                <w:sz w:val="21"/>
                <w:szCs w:val="21"/>
                <w:highlight w:val="none"/>
                <w:lang w:val="en-US" w:eastAsia="zh-CN"/>
              </w:rPr>
              <w:t>服务内容及要求</w:t>
            </w:r>
          </w:p>
        </w:tc>
        <w:tc>
          <w:tcPr>
            <w:tcW w:w="720" w:type="dxa"/>
            <w:vAlign w:val="center"/>
          </w:tcPr>
          <w:p w14:paraId="4C74D0C2">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单位</w:t>
            </w:r>
          </w:p>
        </w:tc>
        <w:tc>
          <w:tcPr>
            <w:tcW w:w="690" w:type="dxa"/>
            <w:vAlign w:val="center"/>
          </w:tcPr>
          <w:p w14:paraId="07ADA94E">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数量</w:t>
            </w:r>
          </w:p>
        </w:tc>
        <w:tc>
          <w:tcPr>
            <w:tcW w:w="930" w:type="dxa"/>
            <w:vAlign w:val="center"/>
          </w:tcPr>
          <w:p w14:paraId="3FE55D95">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lang w:val="en-US" w:eastAsia="zh-CN"/>
              </w:rPr>
              <w:t>单价</w:t>
            </w:r>
          </w:p>
        </w:tc>
        <w:tc>
          <w:tcPr>
            <w:tcW w:w="900" w:type="dxa"/>
            <w:vAlign w:val="center"/>
          </w:tcPr>
          <w:p w14:paraId="1BBFC9AB">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金额</w:t>
            </w:r>
          </w:p>
        </w:tc>
        <w:tc>
          <w:tcPr>
            <w:tcW w:w="827" w:type="dxa"/>
            <w:vAlign w:val="center"/>
          </w:tcPr>
          <w:p w14:paraId="38798815">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备注</w:t>
            </w:r>
          </w:p>
        </w:tc>
      </w:tr>
      <w:tr w14:paraId="23211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0" w:hRule="atLeast"/>
          <w:jc w:val="center"/>
        </w:trPr>
        <w:tc>
          <w:tcPr>
            <w:tcW w:w="909" w:type="dxa"/>
            <w:vAlign w:val="center"/>
          </w:tcPr>
          <w:p w14:paraId="549CE64E">
            <w:pPr>
              <w:jc w:val="center"/>
              <w:rPr>
                <w:rFonts w:hint="eastAsia" w:ascii="方正仿宋_GBK" w:hAnsi="方正仿宋_GBK" w:eastAsia="方正仿宋_GBK" w:cs="方正仿宋_GBK"/>
                <w:b/>
                <w:color w:val="auto"/>
                <w:sz w:val="21"/>
                <w:szCs w:val="21"/>
                <w:highlight w:val="none"/>
              </w:rPr>
            </w:pPr>
            <w:r>
              <w:rPr>
                <w:rFonts w:hint="eastAsia" w:ascii="方正仿宋_GBK" w:hAnsi="方正仿宋_GBK" w:eastAsia="方正仿宋_GBK" w:cs="方正仿宋_GBK"/>
                <w:b/>
                <w:color w:val="auto"/>
                <w:sz w:val="21"/>
                <w:szCs w:val="21"/>
                <w:highlight w:val="none"/>
              </w:rPr>
              <w:t>1</w:t>
            </w:r>
          </w:p>
        </w:tc>
        <w:tc>
          <w:tcPr>
            <w:tcW w:w="1727" w:type="dxa"/>
            <w:vAlign w:val="center"/>
          </w:tcPr>
          <w:p w14:paraId="223C2105">
            <w:pPr>
              <w:jc w:val="center"/>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lang w:eastAsia="zh-CN"/>
              </w:rPr>
              <w:t>重庆市璧山区排水管网整治工程三期—雨水提升工程箱变维修增容服务</w:t>
            </w:r>
            <w:r>
              <w:rPr>
                <w:rFonts w:hint="eastAsia" w:ascii="方正仿宋_GBK" w:hAnsi="方正仿宋_GBK" w:eastAsia="方正仿宋_GBK" w:cs="方正仿宋_GBK"/>
                <w:color w:val="auto"/>
                <w:sz w:val="21"/>
                <w:szCs w:val="21"/>
                <w:highlight w:val="none"/>
                <w:lang w:eastAsia="zh-CN"/>
              </w:rPr>
              <w:t>（第二次）</w:t>
            </w:r>
          </w:p>
        </w:tc>
        <w:tc>
          <w:tcPr>
            <w:tcW w:w="2623" w:type="dxa"/>
            <w:vAlign w:val="center"/>
          </w:tcPr>
          <w:p w14:paraId="00111750">
            <w:pPr>
              <w:jc w:val="left"/>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lang w:val="en-US" w:eastAsia="zh-CN"/>
              </w:rPr>
              <w:t>璧山区凝山路拱秀桥桥下箱变</w:t>
            </w:r>
            <w:r>
              <w:rPr>
                <w:rFonts w:hint="eastAsia" w:ascii="方正仿宋_GBK" w:hAnsi="方正仿宋_GBK" w:eastAsia="方正仿宋_GBK" w:cs="方正仿宋_GBK"/>
                <w:color w:val="auto"/>
                <w:sz w:val="21"/>
                <w:szCs w:val="21"/>
                <w:highlight w:val="none"/>
              </w:rPr>
              <w:t>更换转运160kVA变压器，</w:t>
            </w:r>
            <w:r>
              <w:rPr>
                <w:rFonts w:hint="eastAsia" w:ascii="方正仿宋_GBK" w:hAnsi="方正仿宋_GBK" w:eastAsia="方正仿宋_GBK" w:cs="方正仿宋_GBK"/>
                <w:color w:val="auto"/>
                <w:sz w:val="21"/>
                <w:szCs w:val="21"/>
                <w:highlight w:val="none"/>
                <w:lang w:val="en-US" w:eastAsia="zh-CN"/>
              </w:rPr>
              <w:t>维修转运</w:t>
            </w:r>
            <w:r>
              <w:rPr>
                <w:rFonts w:hint="eastAsia" w:ascii="方正仿宋_GBK" w:hAnsi="方正仿宋_GBK" w:eastAsia="方正仿宋_GBK" w:cs="方正仿宋_GBK"/>
                <w:color w:val="auto"/>
                <w:sz w:val="21"/>
                <w:szCs w:val="21"/>
                <w:highlight w:val="none"/>
              </w:rPr>
              <w:t>315kVA变压器，制作3*50高压电缆中间接头，</w:t>
            </w:r>
            <w:r>
              <w:rPr>
                <w:rFonts w:hint="eastAsia" w:ascii="方正仿宋_GBK" w:hAnsi="方正仿宋_GBK" w:eastAsia="方正仿宋_GBK" w:cs="方正仿宋_GBK"/>
                <w:color w:val="auto"/>
                <w:sz w:val="21"/>
                <w:szCs w:val="21"/>
                <w:highlight w:val="none"/>
                <w:lang w:val="en-US" w:eastAsia="zh-CN"/>
              </w:rPr>
              <w:t>采购</w:t>
            </w:r>
            <w:r>
              <w:rPr>
                <w:rFonts w:hint="eastAsia" w:ascii="方正仿宋_GBK" w:hAnsi="方正仿宋_GBK" w:eastAsia="方正仿宋_GBK" w:cs="方正仿宋_GBK"/>
                <w:color w:val="auto"/>
                <w:sz w:val="21"/>
                <w:szCs w:val="21"/>
                <w:highlight w:val="none"/>
              </w:rPr>
              <w:t>施放4*50低压电缆，制作电缆接头及315kVA箱变试验</w:t>
            </w:r>
            <w:r>
              <w:rPr>
                <w:rFonts w:hint="eastAsia" w:ascii="方正仿宋_GBK" w:hAnsi="方正仿宋_GBK" w:eastAsia="方正仿宋_GBK" w:cs="方正仿宋_GBK"/>
                <w:color w:val="auto"/>
                <w:sz w:val="21"/>
                <w:szCs w:val="21"/>
                <w:highlight w:val="none"/>
                <w:lang w:eastAsia="zh-CN"/>
              </w:rPr>
              <w:t>。满足技术规范并达到供电公司送电要求。</w:t>
            </w:r>
          </w:p>
        </w:tc>
        <w:tc>
          <w:tcPr>
            <w:tcW w:w="720" w:type="dxa"/>
            <w:vAlign w:val="center"/>
          </w:tcPr>
          <w:p w14:paraId="59BEA384">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项</w:t>
            </w:r>
          </w:p>
        </w:tc>
        <w:tc>
          <w:tcPr>
            <w:tcW w:w="690" w:type="dxa"/>
            <w:vAlign w:val="center"/>
          </w:tcPr>
          <w:p w14:paraId="2CD5A2B0">
            <w:pPr>
              <w:rPr>
                <w:rFonts w:hint="default"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w:t>
            </w:r>
          </w:p>
        </w:tc>
        <w:tc>
          <w:tcPr>
            <w:tcW w:w="930" w:type="dxa"/>
            <w:vAlign w:val="center"/>
          </w:tcPr>
          <w:p w14:paraId="5912EEA2">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162716.44元</w:t>
            </w:r>
          </w:p>
        </w:tc>
        <w:tc>
          <w:tcPr>
            <w:tcW w:w="900" w:type="dxa"/>
            <w:vAlign w:val="center"/>
          </w:tcPr>
          <w:p w14:paraId="58D7AFEA">
            <w:pPr>
              <w:rPr>
                <w:rFonts w:hint="eastAsia" w:ascii="方正仿宋_GBK" w:hAnsi="方正仿宋_GBK" w:eastAsia="方正仿宋_GBK" w:cs="方正仿宋_GBK"/>
                <w:color w:val="auto"/>
                <w:sz w:val="21"/>
                <w:szCs w:val="21"/>
                <w:highlight w:val="none"/>
                <w:lang w:val="en-US" w:eastAsia="zh-CN"/>
              </w:rPr>
            </w:pPr>
            <w:r>
              <w:rPr>
                <w:rFonts w:hint="eastAsia" w:ascii="方正仿宋_GBK" w:hAnsi="方正仿宋_GBK" w:eastAsia="方正仿宋_GBK" w:cs="方正仿宋_GBK"/>
                <w:color w:val="auto"/>
                <w:sz w:val="21"/>
                <w:szCs w:val="21"/>
                <w:highlight w:val="none"/>
                <w:lang w:val="en-US" w:eastAsia="zh-CN"/>
              </w:rPr>
              <w:t>162716.44元</w:t>
            </w:r>
          </w:p>
        </w:tc>
        <w:tc>
          <w:tcPr>
            <w:tcW w:w="827" w:type="dxa"/>
            <w:vAlign w:val="center"/>
          </w:tcPr>
          <w:p w14:paraId="6DD2A1F3">
            <w:pPr>
              <w:rPr>
                <w:rFonts w:hint="eastAsia" w:ascii="方正仿宋_GBK" w:hAnsi="方正仿宋_GBK" w:eastAsia="方正仿宋_GBK" w:cs="方正仿宋_GBK"/>
                <w:color w:val="auto"/>
                <w:sz w:val="21"/>
                <w:szCs w:val="21"/>
                <w:highlight w:val="none"/>
              </w:rPr>
            </w:pPr>
          </w:p>
        </w:tc>
      </w:tr>
    </w:tbl>
    <w:p w14:paraId="7837180E">
      <w:pPr>
        <w:pStyle w:val="3"/>
        <w:rPr>
          <w:rFonts w:hint="eastAsia"/>
          <w:color w:val="auto"/>
          <w:highlight w:val="none"/>
        </w:rPr>
      </w:pPr>
      <w:bookmarkStart w:id="60" w:name="_Toc76462326"/>
      <w:bookmarkStart w:id="61" w:name="_Toc106030881"/>
      <w:bookmarkStart w:id="62" w:name="_Toc344475116"/>
      <w:bookmarkStart w:id="63" w:name="_Toc313536013"/>
      <w:bookmarkStart w:id="64" w:name="_Toc29267"/>
      <w:r>
        <w:rPr>
          <w:rFonts w:hint="eastAsia"/>
          <w:color w:val="auto"/>
          <w:highlight w:val="none"/>
          <w:lang w:val="en-US" w:eastAsia="zh-CN"/>
        </w:rPr>
        <w:t>二</w:t>
      </w:r>
      <w:r>
        <w:rPr>
          <w:rFonts w:hint="eastAsia"/>
          <w:color w:val="auto"/>
          <w:highlight w:val="none"/>
        </w:rPr>
        <w:t>、</w:t>
      </w:r>
      <w:bookmarkEnd w:id="60"/>
      <w:bookmarkEnd w:id="61"/>
      <w:bookmarkEnd w:id="62"/>
      <w:bookmarkEnd w:id="63"/>
      <w:bookmarkStart w:id="65" w:name="_Toc31234"/>
      <w:r>
        <w:rPr>
          <w:rFonts w:hint="eastAsia"/>
          <w:color w:val="auto"/>
          <w:highlight w:val="none"/>
        </w:rPr>
        <w:t>招标项目</w:t>
      </w:r>
      <w:r>
        <w:rPr>
          <w:rFonts w:hint="eastAsia"/>
          <w:color w:val="auto"/>
          <w:highlight w:val="none"/>
          <w:lang w:val="en-US" w:eastAsia="zh-CN"/>
        </w:rPr>
        <w:t>服务</w:t>
      </w:r>
      <w:r>
        <w:rPr>
          <w:rFonts w:hint="eastAsia"/>
          <w:color w:val="auto"/>
          <w:highlight w:val="none"/>
        </w:rPr>
        <w:t>需求</w:t>
      </w:r>
      <w:bookmarkEnd w:id="64"/>
      <w:bookmarkEnd w:id="65"/>
    </w:p>
    <w:p w14:paraId="7DB10E5B">
      <w:pPr>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lang w:val="en-US" w:eastAsia="zh-CN"/>
        </w:rPr>
        <w:t>无</w:t>
      </w:r>
      <w:r>
        <w:rPr>
          <w:rFonts w:hint="eastAsia" w:ascii="方正仿宋_GBK" w:hAnsi="方正仿宋_GBK" w:eastAsia="方正仿宋_GBK" w:cs="方正仿宋_GBK"/>
          <w:color w:val="auto"/>
          <w:sz w:val="24"/>
          <w:szCs w:val="24"/>
          <w:highlight w:val="none"/>
          <w:lang w:eastAsia="zh-CN"/>
        </w:rPr>
        <w:t>。</w:t>
      </w:r>
    </w:p>
    <w:p w14:paraId="4895A512">
      <w:pPr>
        <w:pStyle w:val="3"/>
        <w:rPr>
          <w:rFonts w:hint="eastAsia"/>
          <w:color w:val="auto"/>
          <w:highlight w:val="none"/>
        </w:rPr>
      </w:pPr>
      <w:bookmarkStart w:id="66" w:name="_Toc17320"/>
      <w:r>
        <w:rPr>
          <w:rFonts w:hint="eastAsia"/>
          <w:color w:val="auto"/>
          <w:highlight w:val="none"/>
          <w:lang w:eastAsia="zh-CN"/>
        </w:rPr>
        <w:t>三、</w:t>
      </w:r>
      <w:r>
        <w:rPr>
          <w:rFonts w:hint="eastAsia"/>
          <w:color w:val="auto"/>
          <w:highlight w:val="none"/>
        </w:rPr>
        <w:t>其他要求</w:t>
      </w:r>
      <w:bookmarkEnd w:id="66"/>
    </w:p>
    <w:p w14:paraId="4454C90B">
      <w:pPr>
        <w:spacing w:line="400" w:lineRule="exact"/>
        <w:ind w:firstLine="480" w:firstLineChars="200"/>
        <w:rPr>
          <w:rFonts w:hint="eastAsia" w:ascii="方正仿宋_GBK" w:hAnsi="方正仿宋_GBK" w:eastAsia="方正仿宋_GBK" w:cs="方正仿宋_GBK"/>
          <w:color w:val="auto"/>
          <w:sz w:val="24"/>
          <w:szCs w:val="24"/>
          <w:highlight w:val="none"/>
        </w:rPr>
        <w:sectPr>
          <w:headerReference r:id="rId3" w:type="default"/>
          <w:footerReference r:id="rId4" w:type="default"/>
          <w:footerReference r:id="rId5" w:type="even"/>
          <w:pgSz w:w="11907" w:h="16840"/>
          <w:pgMar w:top="1134" w:right="1191" w:bottom="1134" w:left="1304" w:header="964" w:footer="992" w:gutter="0"/>
          <w:pgNumType w:fmt="decimal"/>
          <w:cols w:space="720" w:num="1"/>
          <w:docGrid w:linePitch="312" w:charSpace="0"/>
        </w:sectPr>
      </w:pPr>
      <w:r>
        <w:rPr>
          <w:rFonts w:hint="eastAsia" w:ascii="方正仿宋_GBK" w:hAnsi="方正仿宋_GBK" w:eastAsia="方正仿宋_GBK" w:cs="方正仿宋_GBK"/>
          <w:color w:val="auto"/>
          <w:sz w:val="24"/>
          <w:szCs w:val="24"/>
          <w:highlight w:val="none"/>
          <w:lang w:eastAsia="zh-CN"/>
        </w:rPr>
        <w:t>无</w:t>
      </w:r>
      <w:r>
        <w:rPr>
          <w:rFonts w:hint="eastAsia" w:ascii="方正仿宋_GBK" w:hAnsi="方正仿宋_GBK" w:eastAsia="方正仿宋_GBK" w:cs="方正仿宋_GBK"/>
          <w:color w:val="auto"/>
          <w:sz w:val="24"/>
          <w:szCs w:val="24"/>
          <w:highlight w:val="none"/>
        </w:rPr>
        <w:t>。</w:t>
      </w:r>
    </w:p>
    <w:bookmarkEnd w:id="57"/>
    <w:p w14:paraId="57EC42F7">
      <w:pPr>
        <w:pStyle w:val="2"/>
        <w:numPr>
          <w:ilvl w:val="0"/>
          <w:numId w:val="2"/>
        </w:numPr>
        <w:jc w:val="center"/>
        <w:rPr>
          <w:color w:val="auto"/>
          <w:highlight w:val="none"/>
        </w:rPr>
      </w:pPr>
      <w:bookmarkStart w:id="67" w:name="_Toc31083"/>
      <w:bookmarkStart w:id="68" w:name="_Toc76462327"/>
      <w:bookmarkStart w:id="69" w:name="_Toc106030882"/>
      <w:r>
        <w:rPr>
          <w:rFonts w:hint="eastAsia"/>
          <w:color w:val="auto"/>
          <w:highlight w:val="none"/>
        </w:rPr>
        <w:t>项目商务需求</w:t>
      </w:r>
      <w:bookmarkEnd w:id="67"/>
      <w:bookmarkEnd w:id="68"/>
      <w:bookmarkEnd w:id="69"/>
    </w:p>
    <w:p w14:paraId="1DD1E835">
      <w:pP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b/>
          <w:bCs/>
          <w:color w:val="auto"/>
          <w:sz w:val="24"/>
          <w:szCs w:val="24"/>
          <w:highlight w:val="none"/>
          <w:u w:val="single"/>
        </w:rPr>
        <w:t>本篇商务需求为符合性审查中的实质性要求，响应文件若不满足按无效处理。</w:t>
      </w:r>
    </w:p>
    <w:p w14:paraId="18C5F101">
      <w:pPr>
        <w:pStyle w:val="3"/>
        <w:rPr>
          <w:color w:val="auto"/>
          <w:highlight w:val="none"/>
        </w:rPr>
      </w:pPr>
      <w:bookmarkStart w:id="70" w:name="_Toc76462328"/>
      <w:bookmarkStart w:id="71" w:name="_Toc344475120"/>
      <w:bookmarkStart w:id="72" w:name="_Toc106030883"/>
      <w:bookmarkStart w:id="73" w:name="_Toc28681"/>
      <w:r>
        <w:rPr>
          <w:rFonts w:hint="eastAsia"/>
          <w:color w:val="auto"/>
          <w:highlight w:val="none"/>
        </w:rPr>
        <w:t>一、服务期、地点及验收方式</w:t>
      </w:r>
      <w:bookmarkEnd w:id="70"/>
      <w:bookmarkEnd w:id="71"/>
      <w:bookmarkEnd w:id="72"/>
      <w:bookmarkEnd w:id="73"/>
    </w:p>
    <w:p w14:paraId="7CBB6C3B">
      <w:pPr>
        <w:spacing w:line="400" w:lineRule="exact"/>
        <w:ind w:firstLine="480" w:firstLineChars="200"/>
        <w:rPr>
          <w:rFonts w:hint="eastAsia" w:ascii="方正仿宋_GBK" w:hAnsi="方正仿宋_GBK" w:eastAsia="方正仿宋_GBK" w:cs="方正仿宋_GBK"/>
          <w:color w:val="auto"/>
          <w:sz w:val="24"/>
          <w:szCs w:val="24"/>
          <w:highlight w:val="none"/>
        </w:rPr>
      </w:pPr>
      <w:bookmarkStart w:id="74" w:name="_Toc344475121"/>
      <w:bookmarkStart w:id="75" w:name="_Toc106030884"/>
      <w:bookmarkStart w:id="76" w:name="_Toc76462329"/>
      <w:r>
        <w:rPr>
          <w:rFonts w:hint="eastAsia" w:ascii="方正仿宋_GBK" w:hAnsi="方正仿宋_GBK" w:eastAsia="方正仿宋_GBK" w:cs="方正仿宋_GBK"/>
          <w:color w:val="auto"/>
          <w:sz w:val="24"/>
          <w:szCs w:val="24"/>
          <w:highlight w:val="none"/>
        </w:rPr>
        <w:t>（一）服务期：施工工期暂定为</w:t>
      </w:r>
      <w:r>
        <w:rPr>
          <w:rFonts w:hint="eastAsia" w:ascii="方正仿宋_GBK" w:hAnsi="方正仿宋_GBK" w:eastAsia="方正仿宋_GBK" w:cs="方正仿宋_GBK"/>
          <w:color w:val="auto"/>
          <w:sz w:val="24"/>
          <w:szCs w:val="24"/>
          <w:highlight w:val="none"/>
          <w:lang w:val="en-US" w:eastAsia="zh-CN"/>
        </w:rPr>
        <w:t>15日历天。</w:t>
      </w:r>
    </w:p>
    <w:p w14:paraId="3D340E7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（二）服务地点：采购人指定地点。</w:t>
      </w:r>
    </w:p>
    <w:p w14:paraId="111BCEF7">
      <w:pPr>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（三）验收方式：</w:t>
      </w:r>
      <w:bookmarkStart w:id="77" w:name="_Toc21875"/>
      <w:r>
        <w:rPr>
          <w:rFonts w:hint="eastAsia" w:ascii="方正仿宋_GBK" w:hAnsi="方正仿宋_GBK" w:eastAsia="方正仿宋_GBK" w:cs="方正仿宋_GBK"/>
          <w:color w:val="auto"/>
          <w:sz w:val="24"/>
          <w:szCs w:val="24"/>
          <w:highlight w:val="none"/>
        </w:rPr>
        <w:t>采购人自行验收</w:t>
      </w:r>
      <w:bookmarkEnd w:id="77"/>
      <w:r>
        <w:rPr>
          <w:rFonts w:hint="eastAsia" w:ascii="方正仿宋_GBK" w:hAnsi="方正仿宋_GBK" w:eastAsia="方正仿宋_GBK" w:cs="方正仿宋_GBK"/>
          <w:color w:val="auto"/>
          <w:sz w:val="24"/>
          <w:szCs w:val="24"/>
          <w:highlight w:val="none"/>
        </w:rPr>
        <w:t>。</w:t>
      </w:r>
    </w:p>
    <w:p w14:paraId="1CBA5DC4">
      <w:pPr>
        <w:pStyle w:val="3"/>
        <w:rPr>
          <w:rFonts w:hint="eastAsia" w:ascii="方正仿宋_GBK" w:hAnsi="方正仿宋_GBK" w:eastAsia="方正仿宋_GBK" w:cs="方正仿宋_GBK"/>
          <w:color w:val="auto"/>
          <w:sz w:val="24"/>
          <w:szCs w:val="24"/>
          <w:highlight w:val="none"/>
          <w:lang w:val="en-US" w:eastAsia="zh-CN"/>
        </w:rPr>
      </w:pPr>
      <w:bookmarkStart w:id="78" w:name="_Toc17648"/>
      <w:r>
        <w:rPr>
          <w:rFonts w:hint="eastAsia"/>
          <w:color w:val="auto"/>
          <w:highlight w:val="none"/>
        </w:rPr>
        <w:t>二、</w:t>
      </w:r>
      <w:bookmarkEnd w:id="74"/>
      <w:r>
        <w:rPr>
          <w:rFonts w:hint="eastAsia"/>
          <w:color w:val="auto"/>
          <w:highlight w:val="none"/>
        </w:rPr>
        <w:t>报价要求</w:t>
      </w:r>
      <w:bookmarkEnd w:id="75"/>
      <w:bookmarkEnd w:id="76"/>
      <w:bookmarkEnd w:id="78"/>
    </w:p>
    <w:p w14:paraId="3408F9B1">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（一）竞采</w:t>
      </w:r>
      <w:bookmarkStart w:id="79" w:name="_Toc32652"/>
      <w:bookmarkStart w:id="80" w:name="_Toc24284"/>
      <w:bookmarkStart w:id="81" w:name="_Toc4713"/>
      <w:bookmarkStart w:id="82" w:name="_Toc11730"/>
      <w:r>
        <w:rPr>
          <w:rFonts w:hint="eastAsia" w:ascii="方正仿宋_GBK" w:hAnsi="方正仿宋_GBK" w:eastAsia="方正仿宋_GBK" w:cs="方正仿宋_GBK"/>
          <w:color w:val="auto"/>
          <w:sz w:val="24"/>
          <w:szCs w:val="24"/>
          <w:highlight w:val="none"/>
          <w:lang w:val="en-US" w:eastAsia="zh-CN"/>
        </w:rPr>
        <w:t>本次报价为人民币报价，报价须包含但不限于完成本项目所需的人工费、材料费、机械费、运输费、装卸费、保险费、材料检测费、采保费、管理费、利润、措施费（包含安全文明施工费）、规费、税金等完成本项目所需的所有费用。因成交供应商自身原因造成漏报、少报皆由其自行承担责任，采购人不再补偿任何费用。</w:t>
      </w:r>
      <w:bookmarkEnd w:id="79"/>
      <w:bookmarkEnd w:id="80"/>
      <w:bookmarkEnd w:id="81"/>
      <w:bookmarkEnd w:id="82"/>
      <w:r>
        <w:rPr>
          <w:rFonts w:hint="eastAsia" w:ascii="方正仿宋_GBK" w:hAnsi="方正仿宋_GBK" w:eastAsia="方正仿宋_GBK" w:cs="方正仿宋_GBK"/>
          <w:color w:val="auto"/>
          <w:sz w:val="24"/>
          <w:szCs w:val="24"/>
          <w:highlight w:val="none"/>
          <w:lang w:val="en-US" w:eastAsia="zh-CN"/>
        </w:rPr>
        <w:t xml:space="preserve"> </w:t>
      </w:r>
    </w:p>
    <w:p w14:paraId="5CC01426">
      <w:pPr>
        <w:spacing w:line="400" w:lineRule="exact"/>
        <w:ind w:firstLine="480" w:firstLineChars="200"/>
        <w:rPr>
          <w:rFonts w:hint="default"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en-US" w:eastAsia="zh-CN"/>
        </w:rPr>
        <w:t>（二）本项目供应商的网上报价必须与响应文件中报价函的报价一致，否则视为无效响应。</w:t>
      </w:r>
    </w:p>
    <w:p w14:paraId="56DD7FCA">
      <w:pPr>
        <w:pStyle w:val="3"/>
        <w:rPr>
          <w:color w:val="auto"/>
          <w:highlight w:val="none"/>
        </w:rPr>
      </w:pPr>
      <w:bookmarkStart w:id="83" w:name="_Toc23210"/>
      <w:r>
        <w:rPr>
          <w:rFonts w:hint="eastAsia"/>
          <w:color w:val="auto"/>
          <w:highlight w:val="none"/>
        </w:rPr>
        <w:t>三、付款方式</w:t>
      </w:r>
      <w:bookmarkEnd w:id="83"/>
    </w:p>
    <w:p w14:paraId="381D4861">
      <w:pPr>
        <w:spacing w:line="400" w:lineRule="exact"/>
        <w:ind w:firstLine="480" w:firstLineChars="200"/>
        <w:rPr>
          <w:rFonts w:hint="eastAsia" w:ascii="方正仿宋_GBK" w:hAnsi="方正仿宋_GBK" w:eastAsia="方正仿宋_GBK" w:cs="方正仿宋_GBK"/>
          <w:color w:val="auto"/>
          <w:sz w:val="24"/>
          <w:szCs w:val="24"/>
          <w:highlight w:val="none"/>
          <w:lang w:val="en-US" w:eastAsia="zh-CN"/>
        </w:rPr>
      </w:pPr>
      <w:bookmarkStart w:id="84" w:name="_Toc267320054"/>
      <w:bookmarkStart w:id="85" w:name="_Toc23858"/>
      <w:bookmarkStart w:id="86" w:name="_Toc4353"/>
      <w:bookmarkStart w:id="87" w:name="_Toc32308"/>
      <w:bookmarkStart w:id="88" w:name="_Toc10406"/>
      <w:bookmarkStart w:id="89" w:name="_Toc106030392"/>
      <w:bookmarkStart w:id="90" w:name="_Toc6385"/>
      <w:bookmarkStart w:id="91" w:name="_Toc6099"/>
      <w:bookmarkStart w:id="92" w:name="_Toc75793516"/>
      <w:bookmarkStart w:id="93" w:name="_Toc13936"/>
      <w:bookmarkStart w:id="94" w:name="_Toc529"/>
      <w:bookmarkStart w:id="95" w:name="_Toc17569"/>
      <w:bookmarkStart w:id="96" w:name="_Toc27175"/>
      <w:bookmarkStart w:id="97" w:name="_Toc14923"/>
      <w:bookmarkStart w:id="98" w:name="_Toc28513"/>
      <w:bookmarkStart w:id="99" w:name="_Toc30515"/>
      <w:bookmarkStart w:id="100" w:name="_Toc1138"/>
      <w:r>
        <w:rPr>
          <w:rFonts w:hint="eastAsia" w:ascii="方正仿宋_GBK" w:hAnsi="方正仿宋_GBK" w:eastAsia="方正仿宋_GBK" w:cs="方正仿宋_GBK"/>
          <w:color w:val="auto"/>
          <w:sz w:val="24"/>
          <w:szCs w:val="24"/>
          <w:highlight w:val="none"/>
          <w:lang w:val="en-US" w:eastAsia="zh-CN"/>
        </w:rPr>
        <w:t>成交供应商完成服务后经采购人确认验收成果后</w:t>
      </w:r>
      <w:r>
        <w:rPr>
          <w:rFonts w:hint="eastAsia" w:ascii="仿宋" w:hAnsi="仿宋" w:eastAsia="仿宋" w:cs="Times New Roman"/>
          <w:color w:val="auto"/>
          <w:sz w:val="24"/>
          <w:szCs w:val="24"/>
          <w:highlight w:val="none"/>
          <w:u w:val="single"/>
          <w:lang w:val="en-US" w:eastAsia="zh-CN"/>
        </w:rPr>
        <w:t xml:space="preserve"> 30 </w:t>
      </w:r>
      <w:r>
        <w:rPr>
          <w:rFonts w:hint="eastAsia" w:ascii="仿宋" w:hAnsi="仿宋" w:eastAsia="仿宋" w:cs="Times New Roman"/>
          <w:color w:val="auto"/>
          <w:sz w:val="24"/>
          <w:szCs w:val="24"/>
          <w:highlight w:val="none"/>
          <w:u w:val="none"/>
          <w:lang w:val="en-US" w:eastAsia="zh-CN"/>
        </w:rPr>
        <w:t>个工作</w:t>
      </w:r>
      <w:r>
        <w:rPr>
          <w:rFonts w:hint="eastAsia" w:ascii="方正仿宋_GBK" w:hAnsi="方正仿宋_GBK" w:eastAsia="方正仿宋_GBK" w:cs="方正仿宋_GBK"/>
          <w:color w:val="auto"/>
          <w:sz w:val="24"/>
          <w:szCs w:val="24"/>
          <w:highlight w:val="none"/>
          <w:lang w:val="en-US" w:eastAsia="zh-CN"/>
        </w:rPr>
        <w:t>日内，成交供应商应向采购人开具等额有效的增值税专用发票，采购人收到成交供应商开具的全款发票后一次性向成交供应商支付合同金额的100%。</w:t>
      </w:r>
    </w:p>
    <w:p w14:paraId="60078835">
      <w:pPr>
        <w:pStyle w:val="3"/>
        <w:rPr>
          <w:color w:val="auto"/>
          <w:highlight w:val="none"/>
        </w:rPr>
      </w:pPr>
      <w:bookmarkStart w:id="101" w:name="_Toc24604"/>
      <w:r>
        <w:rPr>
          <w:rFonts w:hint="eastAsia"/>
          <w:color w:val="auto"/>
          <w:highlight w:val="none"/>
        </w:rPr>
        <w:t>四、</w:t>
      </w:r>
      <w:bookmarkEnd w:id="84"/>
      <w:r>
        <w:rPr>
          <w:rFonts w:hint="eastAsia"/>
          <w:color w:val="auto"/>
          <w:highlight w:val="none"/>
        </w:rPr>
        <w:t>其他商务要求内容</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14:paraId="0BD98B49">
      <w:pPr>
        <w:snapToGrid w:val="0"/>
        <w:spacing w:line="594" w:lineRule="exact"/>
        <w:ind w:firstLine="480" w:firstLineChars="200"/>
        <w:rPr>
          <w:rFonts w:hint="eastAsia" w:ascii="方正仿宋_GBK" w:hAnsi="方正仿宋_GBK" w:eastAsia="方正仿宋_GBK" w:cs="方正仿宋_GBK"/>
          <w:color w:val="auto"/>
          <w:sz w:val="24"/>
          <w:szCs w:val="24"/>
          <w:highlight w:val="none"/>
          <w:lang w:val="en-US" w:eastAsia="zh-CN"/>
        </w:rPr>
      </w:pPr>
      <w:r>
        <w:rPr>
          <w:rFonts w:hint="eastAsia" w:ascii="方正仿宋_GBK" w:hAnsi="方正仿宋_GBK" w:eastAsia="方正仿宋_GBK" w:cs="方正仿宋_GBK"/>
          <w:color w:val="auto"/>
          <w:sz w:val="24"/>
          <w:szCs w:val="24"/>
          <w:highlight w:val="none"/>
          <w:lang w:val="zh-TW" w:eastAsia="zh-CN"/>
        </w:rPr>
        <w:t>无</w:t>
      </w:r>
      <w:r>
        <w:rPr>
          <w:rFonts w:hint="eastAsia" w:ascii="方正仿宋_GBK" w:hAnsi="方正仿宋_GBK" w:eastAsia="方正仿宋_GBK" w:cs="方正仿宋_GBK"/>
          <w:color w:val="auto"/>
          <w:sz w:val="24"/>
          <w:szCs w:val="24"/>
          <w:highlight w:val="none"/>
          <w:lang w:val="en-US" w:eastAsia="zh-CN"/>
        </w:rPr>
        <w:t>。</w:t>
      </w:r>
    </w:p>
    <w:p w14:paraId="6C842B34">
      <w:pPr>
        <w:snapToGrid w:val="0"/>
        <w:spacing w:line="594" w:lineRule="exact"/>
        <w:ind w:firstLine="640" w:firstLineChars="200"/>
        <w:rPr>
          <w:rFonts w:hint="eastAsia" w:ascii="黑体" w:hAnsi="黑体" w:eastAsia="黑体" w:cs="黑体"/>
          <w:color w:val="auto"/>
          <w:sz w:val="32"/>
          <w:szCs w:val="32"/>
          <w:highlight w:val="none"/>
        </w:rPr>
      </w:pPr>
    </w:p>
    <w:p w14:paraId="67D63A4D">
      <w:pPr>
        <w:rPr>
          <w:rFonts w:ascii="Times New Roman" w:hAnsi="Times New Roman" w:eastAsia="方正小标宋_GBK"/>
          <w:color w:val="auto"/>
          <w:sz w:val="44"/>
          <w:szCs w:val="44"/>
          <w:highlight w:val="none"/>
        </w:rPr>
      </w:pPr>
      <w:r>
        <w:rPr>
          <w:rFonts w:hint="eastAsia" w:ascii="黑体" w:hAnsi="黑体" w:eastAsia="黑体" w:cs="黑体"/>
          <w:color w:val="auto"/>
          <w:sz w:val="32"/>
          <w:szCs w:val="32"/>
          <w:highlight w:val="none"/>
        </w:rPr>
        <w:br w:type="page"/>
      </w:r>
    </w:p>
    <w:p w14:paraId="2857A4F7">
      <w:pPr>
        <w:pStyle w:val="2"/>
        <w:rPr>
          <w:rFonts w:hint="eastAsia" w:ascii="方正仿宋_GBK" w:hAnsi="方正仿宋_GBK" w:eastAsia="方正仿宋_GBK" w:cs="方正仿宋_GBK"/>
          <w:color w:val="auto"/>
          <w:sz w:val="24"/>
          <w:szCs w:val="24"/>
          <w:highlight w:val="none"/>
        </w:rPr>
      </w:pPr>
      <w:bookmarkStart w:id="102" w:name="_Toc109836389"/>
      <w:bookmarkStart w:id="103" w:name="_Toc12311"/>
      <w:r>
        <w:rPr>
          <w:rFonts w:hint="eastAsia"/>
          <w:color w:val="auto"/>
          <w:sz w:val="40"/>
          <w:szCs w:val="18"/>
          <w:highlight w:val="none"/>
        </w:rPr>
        <w:t>第四篇  竞采程序、评标办法</w:t>
      </w:r>
      <w:bookmarkEnd w:id="102"/>
      <w:r>
        <w:rPr>
          <w:rFonts w:hint="eastAsia"/>
          <w:color w:val="auto"/>
          <w:sz w:val="40"/>
          <w:szCs w:val="18"/>
          <w:highlight w:val="none"/>
        </w:rPr>
        <w:t>、无效响应及采购终止</w:t>
      </w:r>
      <w:bookmarkEnd w:id="103"/>
    </w:p>
    <w:p w14:paraId="45606D60">
      <w:pPr>
        <w:pStyle w:val="3"/>
        <w:rPr>
          <w:color w:val="auto"/>
          <w:highlight w:val="none"/>
        </w:rPr>
      </w:pPr>
      <w:bookmarkStart w:id="104" w:name="_Toc10124"/>
      <w:bookmarkStart w:id="105" w:name="_Toc17056"/>
      <w:r>
        <w:rPr>
          <w:rFonts w:hint="eastAsia"/>
          <w:color w:val="auto"/>
          <w:highlight w:val="none"/>
        </w:rPr>
        <w:t>一、</w:t>
      </w:r>
      <w:bookmarkEnd w:id="104"/>
      <w:bookmarkStart w:id="106" w:name="_Toc75793518"/>
      <w:r>
        <w:rPr>
          <w:rFonts w:hint="eastAsia"/>
          <w:color w:val="auto"/>
          <w:highlight w:val="none"/>
        </w:rPr>
        <w:t>网上竞采程序</w:t>
      </w:r>
      <w:bookmarkEnd w:id="105"/>
      <w:bookmarkEnd w:id="106"/>
    </w:p>
    <w:p w14:paraId="1F50C6F5">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（一）报价截止后评审小组对各供应商的资格条件、响应文件的有效性、完整性和响应程度进行审查。各供应商只有在完全符合要求的前提下，才能参与正式评审。</w:t>
      </w:r>
    </w:p>
    <w:p w14:paraId="78ED58A0">
      <w:pPr>
        <w:ind w:firstLine="482" w:firstLineChars="200"/>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b/>
          <w:bCs/>
          <w:color w:val="auto"/>
          <w:sz w:val="24"/>
          <w:szCs w:val="24"/>
          <w:highlight w:val="none"/>
        </w:rPr>
        <w:t>1.资格性检查。</w:t>
      </w:r>
      <w:r>
        <w:rPr>
          <w:rFonts w:hint="eastAsia" w:ascii="方正仿宋_GBK" w:hAnsi="方正仿宋_GBK" w:eastAsia="方正仿宋_GBK" w:cs="方正仿宋_GBK"/>
          <w:color w:val="auto"/>
          <w:sz w:val="24"/>
          <w:szCs w:val="24"/>
          <w:highlight w:val="none"/>
        </w:rPr>
        <w:t>依据法律法规和采购文件的规定，对响应文件中的资格证明等进行审查，以确定供应商是否具备资格。资格性检查资料表如下：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2976"/>
        <w:gridCol w:w="5155"/>
      </w:tblGrid>
      <w:tr w14:paraId="3AD4B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Align w:val="center"/>
          </w:tcPr>
          <w:p w14:paraId="446DF819">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序号</w:t>
            </w:r>
          </w:p>
        </w:tc>
        <w:tc>
          <w:tcPr>
            <w:tcW w:w="3685" w:type="dxa"/>
            <w:gridSpan w:val="2"/>
            <w:vAlign w:val="center"/>
          </w:tcPr>
          <w:p w14:paraId="49D3A83B">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检查因素</w:t>
            </w:r>
          </w:p>
        </w:tc>
        <w:tc>
          <w:tcPr>
            <w:tcW w:w="5155" w:type="dxa"/>
            <w:vAlign w:val="center"/>
          </w:tcPr>
          <w:p w14:paraId="57E9AE6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检查内容</w:t>
            </w:r>
          </w:p>
        </w:tc>
      </w:tr>
      <w:tr w14:paraId="7ACC2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vAlign w:val="center"/>
          </w:tcPr>
          <w:p w14:paraId="0D77B8B1">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w:t>
            </w:r>
          </w:p>
        </w:tc>
        <w:tc>
          <w:tcPr>
            <w:tcW w:w="709" w:type="dxa"/>
            <w:vMerge w:val="restart"/>
            <w:vAlign w:val="center"/>
          </w:tcPr>
          <w:p w14:paraId="44F51C91">
            <w:pPr>
              <w:jc w:val="lef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供应商</w:t>
            </w:r>
            <w:r>
              <w:rPr>
                <w:rFonts w:hint="eastAsia" w:ascii="方正仿宋_GBK" w:hAnsi="方正仿宋_GBK" w:eastAsia="方正仿宋_GBK" w:cs="方正仿宋_GBK"/>
                <w:color w:val="auto"/>
                <w:sz w:val="24"/>
                <w:szCs w:val="24"/>
                <w:highlight w:val="none"/>
                <w:lang w:val="zh-CN"/>
              </w:rPr>
              <w:t>应符合的基本资格条件</w:t>
            </w:r>
          </w:p>
        </w:tc>
        <w:tc>
          <w:tcPr>
            <w:tcW w:w="2976" w:type="dxa"/>
            <w:vAlign w:val="center"/>
          </w:tcPr>
          <w:p w14:paraId="0A55BE5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（1）具有独立承担民事责任的能力</w:t>
            </w:r>
          </w:p>
        </w:tc>
        <w:tc>
          <w:tcPr>
            <w:tcW w:w="5155" w:type="dxa"/>
            <w:vAlign w:val="center"/>
          </w:tcPr>
          <w:p w14:paraId="1673FD61">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供应商法人营业执照（副本）或事业单位法人证书（副本）； 供应商法定代表人身份证明和法定代表人授权代表委托书。</w:t>
            </w:r>
          </w:p>
        </w:tc>
      </w:tr>
      <w:tr w14:paraId="11E78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0568084D">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031330D7">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12456ACB">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（2）具有良好的商业信誉和健全的财务会计制度</w:t>
            </w:r>
          </w:p>
        </w:tc>
        <w:tc>
          <w:tcPr>
            <w:tcW w:w="5155" w:type="dxa"/>
            <w:vMerge w:val="restart"/>
            <w:vAlign w:val="center"/>
          </w:tcPr>
          <w:p w14:paraId="0C1EBA8E">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供应商提供承诺函（见格式文件）</w:t>
            </w:r>
          </w:p>
        </w:tc>
      </w:tr>
      <w:tr w14:paraId="2EBA7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79D97EF7">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27E8CAAF">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28B46648">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（3）具有履行合同所必需的设备和专业技术能力</w:t>
            </w:r>
          </w:p>
        </w:tc>
        <w:tc>
          <w:tcPr>
            <w:tcW w:w="5155" w:type="dxa"/>
            <w:vMerge w:val="continue"/>
            <w:vAlign w:val="center"/>
          </w:tcPr>
          <w:p w14:paraId="2BC48F4E">
            <w:pPr>
              <w:jc w:val="left"/>
              <w:rPr>
                <w:rFonts w:hint="eastAsia" w:ascii="方正仿宋_GBK" w:hAnsi="方正仿宋_GBK" w:eastAsia="方正仿宋_GBK" w:cs="方正仿宋_GBK"/>
                <w:color w:val="auto"/>
                <w:sz w:val="24"/>
                <w:szCs w:val="24"/>
                <w:highlight w:val="none"/>
              </w:rPr>
            </w:pPr>
          </w:p>
        </w:tc>
      </w:tr>
      <w:tr w14:paraId="559B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676" w:type="dxa"/>
            <w:vMerge w:val="continue"/>
            <w:vAlign w:val="center"/>
          </w:tcPr>
          <w:p w14:paraId="41950DB6">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0E3BDFB4">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2A01B50A">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（4）有依法缴纳税收和社会保障金的良好记录</w:t>
            </w:r>
          </w:p>
        </w:tc>
        <w:tc>
          <w:tcPr>
            <w:tcW w:w="5155" w:type="dxa"/>
            <w:vMerge w:val="continue"/>
            <w:vAlign w:val="center"/>
          </w:tcPr>
          <w:p w14:paraId="1E8B0066">
            <w:pPr>
              <w:jc w:val="left"/>
              <w:rPr>
                <w:rFonts w:hint="eastAsia" w:ascii="方正仿宋_GBK" w:hAnsi="方正仿宋_GBK" w:eastAsia="方正仿宋_GBK" w:cs="方正仿宋_GBK"/>
                <w:color w:val="auto"/>
                <w:sz w:val="24"/>
                <w:szCs w:val="24"/>
                <w:highlight w:val="none"/>
              </w:rPr>
            </w:pPr>
          </w:p>
        </w:tc>
      </w:tr>
      <w:tr w14:paraId="0992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vAlign w:val="center"/>
          </w:tcPr>
          <w:p w14:paraId="3926B8ED">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1D914167">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6886D612">
            <w:pPr>
              <w:jc w:val="lef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（5）参加政府采购活动前三年内，在经营活动中没有重大违法记录</w:t>
            </w:r>
          </w:p>
        </w:tc>
        <w:tc>
          <w:tcPr>
            <w:tcW w:w="5155" w:type="dxa"/>
            <w:vAlign w:val="center"/>
          </w:tcPr>
          <w:p w14:paraId="17CF5F96">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1.供应商提供承诺函（见格式文件）；2.采购人或采购代理机构将通过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14:paraId="6BD58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vMerge w:val="continue"/>
            <w:vAlign w:val="center"/>
          </w:tcPr>
          <w:p w14:paraId="5CB59F17">
            <w:pPr>
              <w:jc w:val="left"/>
              <w:rPr>
                <w:rFonts w:hint="eastAsia" w:ascii="方正仿宋_GBK" w:hAnsi="方正仿宋_GBK" w:eastAsia="方正仿宋_GBK" w:cs="方正仿宋_GBK"/>
                <w:color w:val="auto"/>
                <w:sz w:val="24"/>
                <w:szCs w:val="24"/>
                <w:highlight w:val="none"/>
              </w:rPr>
            </w:pPr>
          </w:p>
        </w:tc>
        <w:tc>
          <w:tcPr>
            <w:tcW w:w="709" w:type="dxa"/>
            <w:vMerge w:val="continue"/>
            <w:vAlign w:val="center"/>
          </w:tcPr>
          <w:p w14:paraId="3EA520E1">
            <w:pPr>
              <w:jc w:val="left"/>
              <w:rPr>
                <w:rFonts w:hint="eastAsia" w:ascii="方正仿宋_GBK" w:hAnsi="方正仿宋_GBK" w:eastAsia="方正仿宋_GBK" w:cs="方正仿宋_GBK"/>
                <w:color w:val="auto"/>
                <w:sz w:val="24"/>
                <w:szCs w:val="24"/>
                <w:highlight w:val="none"/>
                <w:lang w:val="zh-CN"/>
              </w:rPr>
            </w:pPr>
          </w:p>
        </w:tc>
        <w:tc>
          <w:tcPr>
            <w:tcW w:w="2976" w:type="dxa"/>
            <w:vAlign w:val="center"/>
          </w:tcPr>
          <w:p w14:paraId="5FEB2450">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（6）法律、行政法规规定的其他条件</w:t>
            </w:r>
          </w:p>
        </w:tc>
        <w:tc>
          <w:tcPr>
            <w:tcW w:w="5155" w:type="dxa"/>
            <w:vAlign w:val="center"/>
          </w:tcPr>
          <w:p w14:paraId="5ADD0354">
            <w:pPr>
              <w:jc w:val="left"/>
              <w:rPr>
                <w:rFonts w:hint="eastAsia" w:ascii="方正仿宋_GBK" w:hAnsi="方正仿宋_GBK" w:eastAsia="方正仿宋_GBK" w:cs="方正仿宋_GBK"/>
                <w:color w:val="auto"/>
                <w:sz w:val="24"/>
                <w:szCs w:val="24"/>
                <w:highlight w:val="none"/>
              </w:rPr>
            </w:pPr>
          </w:p>
        </w:tc>
      </w:tr>
      <w:tr w14:paraId="28E78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676" w:type="dxa"/>
            <w:vAlign w:val="center"/>
          </w:tcPr>
          <w:p w14:paraId="79B95F99">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w:t>
            </w:r>
          </w:p>
        </w:tc>
        <w:tc>
          <w:tcPr>
            <w:tcW w:w="3685" w:type="dxa"/>
            <w:gridSpan w:val="2"/>
            <w:vAlign w:val="center"/>
          </w:tcPr>
          <w:p w14:paraId="57956C4A">
            <w:pPr>
              <w:jc w:val="lef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特定资格条件</w:t>
            </w:r>
          </w:p>
        </w:tc>
        <w:tc>
          <w:tcPr>
            <w:tcW w:w="5155" w:type="dxa"/>
            <w:vAlign w:val="center"/>
          </w:tcPr>
          <w:p w14:paraId="1A682887">
            <w:pPr>
              <w:jc w:val="left"/>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按第一篇“三、供应商资格条件（二）本项目的特定资格要求”的要求提交</w:t>
            </w:r>
            <w:r>
              <w:rPr>
                <w:rFonts w:hint="eastAsia" w:ascii="方正仿宋_GBK" w:hAnsi="方正仿宋_GBK" w:eastAsia="方正仿宋_GBK" w:cs="方正仿宋_GBK"/>
                <w:color w:val="auto"/>
                <w:sz w:val="24"/>
                <w:szCs w:val="24"/>
                <w:highlight w:val="none"/>
                <w:lang w:eastAsia="zh-CN"/>
              </w:rPr>
              <w:t>（如果有）</w:t>
            </w:r>
          </w:p>
        </w:tc>
      </w:tr>
    </w:tbl>
    <w:p w14:paraId="56441540">
      <w:pPr>
        <w:snapToGrid w:val="0"/>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注：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执行人所在的省、自治区、直辖市人民政府制定，国务院有关部门规定了较大数额标准的，从其规定。</w:t>
      </w:r>
    </w:p>
    <w:p w14:paraId="0CF017DD">
      <w:pPr>
        <w:snapToGrid w:val="0"/>
        <w:spacing w:line="360" w:lineRule="auto"/>
        <w:ind w:firstLine="482" w:firstLineChars="200"/>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2.符合性检查。</w:t>
      </w:r>
      <w:r>
        <w:rPr>
          <w:rFonts w:hint="eastAsia" w:ascii="方正仿宋_GBK" w:hAnsi="方正仿宋_GBK" w:eastAsia="方正仿宋_GBK" w:cs="方正仿宋_GBK"/>
          <w:color w:val="auto"/>
          <w:kern w:val="0"/>
          <w:sz w:val="24"/>
          <w:szCs w:val="24"/>
          <w:highlight w:val="none"/>
        </w:rPr>
        <w:t>依据网上竞采文件的规定，从响应文件的有效性、完整性和对网上竞采文件的响应程度进行审查，以确定是否对网上竞采文件的实质性要求作出响应。符合性检查资料表如下：</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500"/>
        <w:gridCol w:w="1884"/>
        <w:gridCol w:w="5409"/>
      </w:tblGrid>
      <w:tr w14:paraId="3C60D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835" w:type="dxa"/>
            <w:vAlign w:val="center"/>
          </w:tcPr>
          <w:p w14:paraId="71D02411">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序号</w:t>
            </w:r>
          </w:p>
        </w:tc>
        <w:tc>
          <w:tcPr>
            <w:tcW w:w="3384" w:type="dxa"/>
            <w:gridSpan w:val="2"/>
            <w:vAlign w:val="center"/>
          </w:tcPr>
          <w:p w14:paraId="59049583">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评审因素</w:t>
            </w:r>
          </w:p>
        </w:tc>
        <w:tc>
          <w:tcPr>
            <w:tcW w:w="5409" w:type="dxa"/>
            <w:vAlign w:val="center"/>
          </w:tcPr>
          <w:p w14:paraId="1FE8ADD1">
            <w:pPr>
              <w:spacing w:line="240" w:lineRule="exact"/>
              <w:jc w:val="center"/>
              <w:rPr>
                <w:rFonts w:hint="eastAsia" w:ascii="方正仿宋_GBK" w:hAnsi="方正仿宋_GBK" w:eastAsia="方正仿宋_GBK" w:cs="方正仿宋_GBK"/>
                <w:b/>
                <w:color w:val="auto"/>
                <w:kern w:val="0"/>
                <w:sz w:val="24"/>
                <w:szCs w:val="24"/>
                <w:highlight w:val="none"/>
              </w:rPr>
            </w:pPr>
            <w:r>
              <w:rPr>
                <w:rFonts w:hint="eastAsia" w:ascii="方正仿宋_GBK" w:hAnsi="方正仿宋_GBK" w:eastAsia="方正仿宋_GBK" w:cs="方正仿宋_GBK"/>
                <w:b/>
                <w:color w:val="auto"/>
                <w:kern w:val="0"/>
                <w:sz w:val="24"/>
                <w:szCs w:val="24"/>
                <w:highlight w:val="none"/>
              </w:rPr>
              <w:t>评审标准</w:t>
            </w:r>
          </w:p>
        </w:tc>
      </w:tr>
      <w:tr w14:paraId="4097D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35" w:type="dxa"/>
            <w:vMerge w:val="restart"/>
            <w:vAlign w:val="center"/>
          </w:tcPr>
          <w:p w14:paraId="6AD68BDF">
            <w:pPr>
              <w:spacing w:line="24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1</w:t>
            </w:r>
          </w:p>
        </w:tc>
        <w:tc>
          <w:tcPr>
            <w:tcW w:w="1500" w:type="dxa"/>
            <w:vMerge w:val="restart"/>
            <w:vAlign w:val="center"/>
          </w:tcPr>
          <w:p w14:paraId="43C0E8CA">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有效性审查</w:t>
            </w:r>
          </w:p>
        </w:tc>
        <w:tc>
          <w:tcPr>
            <w:tcW w:w="1884" w:type="dxa"/>
            <w:vAlign w:val="center"/>
          </w:tcPr>
          <w:p w14:paraId="5AAF741C">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响应文件签署</w:t>
            </w:r>
          </w:p>
        </w:tc>
        <w:tc>
          <w:tcPr>
            <w:tcW w:w="5409" w:type="dxa"/>
            <w:vAlign w:val="center"/>
          </w:tcPr>
          <w:p w14:paraId="18063123">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highlight w:val="none"/>
              </w:rPr>
              <w:t>网上电子文档及响应文件</w:t>
            </w:r>
            <w:r>
              <w:rPr>
                <w:rFonts w:hint="eastAsia" w:ascii="方正仿宋_GBK" w:hAnsi="方正仿宋_GBK" w:eastAsia="方正仿宋_GBK" w:cs="方正仿宋_GBK"/>
                <w:color w:val="auto"/>
                <w:sz w:val="24"/>
                <w:szCs w:val="24"/>
                <w:highlight w:val="none"/>
              </w:rPr>
              <w:t>上法定代表人或其授权代表人的签字齐全。</w:t>
            </w:r>
          </w:p>
        </w:tc>
      </w:tr>
      <w:tr w14:paraId="17366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35" w:type="dxa"/>
            <w:vMerge w:val="continue"/>
            <w:vAlign w:val="center"/>
          </w:tcPr>
          <w:p w14:paraId="1B7FAA98">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0BC036B4">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67FF54AE">
            <w:pPr>
              <w:spacing w:line="2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w:t>
            </w:r>
          </w:p>
        </w:tc>
        <w:tc>
          <w:tcPr>
            <w:tcW w:w="5409" w:type="dxa"/>
            <w:vAlign w:val="center"/>
          </w:tcPr>
          <w:p w14:paraId="49608761">
            <w:pPr>
              <w:spacing w:line="240" w:lineRule="exact"/>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法定代表人身份证明及授权委托书有效，符合网上竞采文件规定的格式，签字或盖章齐全。</w:t>
            </w:r>
          </w:p>
        </w:tc>
      </w:tr>
      <w:tr w14:paraId="1001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835" w:type="dxa"/>
            <w:vMerge w:val="continue"/>
            <w:vAlign w:val="center"/>
          </w:tcPr>
          <w:p w14:paraId="1DAE2C80">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3DEDF547">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6CE78945">
            <w:pPr>
              <w:spacing w:line="240" w:lineRule="exac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c>
          <w:tcPr>
            <w:tcW w:w="5409" w:type="dxa"/>
            <w:vAlign w:val="center"/>
          </w:tcPr>
          <w:p w14:paraId="098A0C2A">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每个分包只能有一个</w:t>
            </w: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方案。</w:t>
            </w:r>
          </w:p>
        </w:tc>
      </w:tr>
      <w:tr w14:paraId="1EB37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835" w:type="dxa"/>
            <w:vMerge w:val="continue"/>
            <w:vAlign w:val="center"/>
          </w:tcPr>
          <w:p w14:paraId="1D7BC18F">
            <w:pPr>
              <w:spacing w:line="240" w:lineRule="exact"/>
              <w:jc w:val="center"/>
              <w:rPr>
                <w:rFonts w:hint="eastAsia" w:ascii="方正仿宋_GBK" w:hAnsi="方正仿宋_GBK" w:eastAsia="方正仿宋_GBK" w:cs="方正仿宋_GBK"/>
                <w:color w:val="auto"/>
                <w:kern w:val="0"/>
                <w:sz w:val="24"/>
                <w:szCs w:val="24"/>
                <w:highlight w:val="none"/>
              </w:rPr>
            </w:pPr>
          </w:p>
        </w:tc>
        <w:tc>
          <w:tcPr>
            <w:tcW w:w="1500" w:type="dxa"/>
            <w:vMerge w:val="continue"/>
            <w:vAlign w:val="center"/>
          </w:tcPr>
          <w:p w14:paraId="2FBD555B">
            <w:pPr>
              <w:spacing w:line="240" w:lineRule="exact"/>
              <w:rPr>
                <w:rFonts w:hint="eastAsia" w:ascii="方正仿宋_GBK" w:hAnsi="方正仿宋_GBK" w:eastAsia="方正仿宋_GBK" w:cs="方正仿宋_GBK"/>
                <w:color w:val="auto"/>
                <w:kern w:val="0"/>
                <w:sz w:val="24"/>
                <w:szCs w:val="24"/>
                <w:highlight w:val="none"/>
              </w:rPr>
            </w:pPr>
          </w:p>
        </w:tc>
        <w:tc>
          <w:tcPr>
            <w:tcW w:w="1884" w:type="dxa"/>
            <w:vAlign w:val="center"/>
          </w:tcPr>
          <w:p w14:paraId="0D8045B3">
            <w:pPr>
              <w:spacing w:line="240" w:lineRule="exact"/>
              <w:rPr>
                <w:rFonts w:hint="eastAsia" w:ascii="方正仿宋_GBK" w:hAnsi="方正仿宋_GBK" w:eastAsia="方正仿宋_GBK" w:cs="方正仿宋_GBK"/>
                <w:color w:val="auto"/>
                <w:sz w:val="24"/>
                <w:szCs w:val="24"/>
                <w:highlight w:val="none"/>
                <w:lang w:val="zh-CN"/>
              </w:rPr>
            </w:pPr>
            <w:r>
              <w:rPr>
                <w:rFonts w:hint="eastAsia" w:ascii="方正仿宋_GBK" w:hAnsi="方正仿宋_GBK" w:eastAsia="方正仿宋_GBK" w:cs="方正仿宋_GBK"/>
                <w:color w:val="auto"/>
                <w:sz w:val="24"/>
                <w:szCs w:val="24"/>
                <w:highlight w:val="none"/>
              </w:rPr>
              <w:t>报价唯一</w:t>
            </w:r>
          </w:p>
        </w:tc>
        <w:tc>
          <w:tcPr>
            <w:tcW w:w="5409" w:type="dxa"/>
            <w:vAlign w:val="center"/>
          </w:tcPr>
          <w:p w14:paraId="0CFE9C01">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lang w:val="zh-CN"/>
              </w:rPr>
              <w:t>只能在采购预算范围内报价，</w:t>
            </w:r>
            <w:r>
              <w:rPr>
                <w:rFonts w:hint="eastAsia" w:ascii="方正仿宋_GBK" w:hAnsi="方正仿宋_GBK" w:eastAsia="方正仿宋_GBK" w:cs="方正仿宋_GBK"/>
                <w:color w:val="auto"/>
                <w:sz w:val="24"/>
                <w:szCs w:val="24"/>
                <w:highlight w:val="none"/>
              </w:rPr>
              <w:t>只能有一个有效报价，不得提交选择性报价。</w:t>
            </w:r>
          </w:p>
        </w:tc>
      </w:tr>
      <w:tr w14:paraId="26AAA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5" w:type="dxa"/>
            <w:vAlign w:val="center"/>
          </w:tcPr>
          <w:p w14:paraId="66538F99">
            <w:pPr>
              <w:spacing w:line="240" w:lineRule="exact"/>
              <w:jc w:val="center"/>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2</w:t>
            </w:r>
          </w:p>
        </w:tc>
        <w:tc>
          <w:tcPr>
            <w:tcW w:w="1500" w:type="dxa"/>
            <w:vAlign w:val="center"/>
          </w:tcPr>
          <w:p w14:paraId="2EB8C549">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完整性审查</w:t>
            </w:r>
          </w:p>
        </w:tc>
        <w:tc>
          <w:tcPr>
            <w:tcW w:w="1884" w:type="dxa"/>
            <w:vAlign w:val="center"/>
          </w:tcPr>
          <w:p w14:paraId="01756028">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文件份数</w:t>
            </w:r>
          </w:p>
        </w:tc>
        <w:tc>
          <w:tcPr>
            <w:tcW w:w="5409" w:type="dxa"/>
            <w:vAlign w:val="center"/>
          </w:tcPr>
          <w:p w14:paraId="0EF6A1D2">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sz w:val="24"/>
                <w:szCs w:val="24"/>
                <w:highlight w:val="none"/>
              </w:rPr>
              <w:t>响应</w:t>
            </w:r>
            <w:r>
              <w:rPr>
                <w:rFonts w:hint="eastAsia" w:ascii="方正仿宋_GBK" w:hAnsi="方正仿宋_GBK" w:eastAsia="方正仿宋_GBK" w:cs="方正仿宋_GBK"/>
                <w:color w:val="auto"/>
                <w:sz w:val="24"/>
                <w:szCs w:val="24"/>
                <w:highlight w:val="none"/>
                <w:lang w:val="zh-CN"/>
              </w:rPr>
              <w:t>文件数量（</w:t>
            </w:r>
            <w:r>
              <w:rPr>
                <w:rFonts w:hint="eastAsia" w:ascii="方正仿宋_GBK" w:hAnsi="方正仿宋_GBK" w:eastAsia="方正仿宋_GBK" w:cs="方正仿宋_GBK"/>
                <w:color w:val="auto"/>
                <w:sz w:val="24"/>
                <w:szCs w:val="24"/>
                <w:highlight w:val="none"/>
              </w:rPr>
              <w:t>含电子文档</w:t>
            </w:r>
            <w:r>
              <w:rPr>
                <w:rFonts w:hint="eastAsia" w:ascii="方正仿宋_GBK" w:hAnsi="方正仿宋_GBK" w:eastAsia="方正仿宋_GBK" w:cs="方正仿宋_GBK"/>
                <w:color w:val="auto"/>
                <w:sz w:val="24"/>
                <w:szCs w:val="24"/>
                <w:highlight w:val="none"/>
                <w:lang w:val="zh-CN"/>
              </w:rPr>
              <w:t>）符合</w:t>
            </w:r>
            <w:r>
              <w:rPr>
                <w:rFonts w:hint="eastAsia" w:ascii="方正仿宋_GBK" w:hAnsi="方正仿宋_GBK" w:eastAsia="方正仿宋_GBK" w:cs="方正仿宋_GBK"/>
                <w:color w:val="auto"/>
                <w:sz w:val="24"/>
                <w:szCs w:val="24"/>
                <w:highlight w:val="none"/>
              </w:rPr>
              <w:t>网上竞采</w:t>
            </w:r>
            <w:r>
              <w:rPr>
                <w:rFonts w:hint="eastAsia" w:ascii="方正仿宋_GBK" w:hAnsi="方正仿宋_GBK" w:eastAsia="方正仿宋_GBK" w:cs="方正仿宋_GBK"/>
                <w:color w:val="auto"/>
                <w:sz w:val="24"/>
                <w:szCs w:val="24"/>
                <w:highlight w:val="none"/>
                <w:lang w:val="zh-CN"/>
              </w:rPr>
              <w:t>文件要求。</w:t>
            </w:r>
          </w:p>
        </w:tc>
      </w:tr>
      <w:tr w14:paraId="7C8AE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835" w:type="dxa"/>
            <w:vAlign w:val="center"/>
          </w:tcPr>
          <w:p w14:paraId="7CBFFCDF">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3</w:t>
            </w:r>
          </w:p>
        </w:tc>
        <w:tc>
          <w:tcPr>
            <w:tcW w:w="1500" w:type="dxa"/>
            <w:vAlign w:val="center"/>
          </w:tcPr>
          <w:p w14:paraId="6C54FC92">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响应程度审查</w:t>
            </w:r>
          </w:p>
        </w:tc>
        <w:tc>
          <w:tcPr>
            <w:tcW w:w="1884" w:type="dxa"/>
            <w:vAlign w:val="center"/>
          </w:tcPr>
          <w:p w14:paraId="136A5185">
            <w:pPr>
              <w:spacing w:line="240" w:lineRule="exact"/>
              <w:rPr>
                <w:rFonts w:hint="eastAsia" w:ascii="方正仿宋_GBK" w:hAnsi="方正仿宋_GBK" w:eastAsia="方正仿宋_GBK" w:cs="方正仿宋_GBK"/>
                <w:color w:val="auto"/>
                <w:kern w:val="0"/>
                <w:sz w:val="24"/>
                <w:szCs w:val="24"/>
                <w:highlight w:val="none"/>
              </w:rPr>
            </w:pPr>
            <w:r>
              <w:rPr>
                <w:rFonts w:hint="eastAsia" w:ascii="方正仿宋_GBK" w:hAnsi="方正仿宋_GBK" w:eastAsia="方正仿宋_GBK" w:cs="方正仿宋_GBK"/>
                <w:color w:val="auto"/>
                <w:kern w:val="0"/>
                <w:sz w:val="24"/>
                <w:szCs w:val="24"/>
                <w:highlight w:val="none"/>
              </w:rPr>
              <w:t>响应文件内容</w:t>
            </w:r>
          </w:p>
        </w:tc>
        <w:tc>
          <w:tcPr>
            <w:tcW w:w="5409" w:type="dxa"/>
            <w:vAlign w:val="center"/>
          </w:tcPr>
          <w:p w14:paraId="70C6251E">
            <w:pPr>
              <w:spacing w:line="240" w:lineRule="exact"/>
              <w:rPr>
                <w:rFonts w:hint="eastAsia" w:ascii="方正仿宋_GBK" w:hAnsi="方正仿宋_GBK" w:eastAsia="方正仿宋_GBK" w:cs="方正仿宋_GBK"/>
                <w:color w:val="auto"/>
                <w:kern w:val="0"/>
                <w:sz w:val="24"/>
                <w:szCs w:val="24"/>
                <w:highlight w:val="none"/>
              </w:rPr>
            </w:pPr>
            <w:r>
              <w:rPr>
                <w:rFonts w:hint="eastAsia" w:ascii="仿宋" w:hAnsi="仿宋" w:eastAsia="仿宋" w:cs="宋体"/>
                <w:color w:val="auto"/>
                <w:kern w:val="0"/>
                <w:sz w:val="24"/>
                <w:szCs w:val="24"/>
                <w:highlight w:val="none"/>
              </w:rPr>
              <w:t>对网上竞采文件第二篇、第三篇规定的网上竞采内容作出响应。</w:t>
            </w:r>
          </w:p>
        </w:tc>
      </w:tr>
    </w:tbl>
    <w:p w14:paraId="78AE4CAD">
      <w:pPr>
        <w:snapToGrid w:val="0"/>
        <w:spacing w:line="360" w:lineRule="auto"/>
        <w:ind w:firstLine="482" w:firstLineChars="200"/>
        <w:rPr>
          <w:rFonts w:hint="eastAsia" w:ascii="方正仿宋_GBK" w:hAnsi="方正仿宋_GBK" w:eastAsia="方正仿宋_GBK" w:cs="方正仿宋_GBK"/>
          <w:b/>
          <w:bCs/>
          <w:color w:val="auto"/>
          <w:kern w:val="0"/>
          <w:sz w:val="24"/>
          <w:szCs w:val="24"/>
          <w:highlight w:val="none"/>
        </w:rPr>
      </w:pPr>
      <w:r>
        <w:rPr>
          <w:rFonts w:hint="eastAsia" w:ascii="方正仿宋_GBK" w:hAnsi="方正仿宋_GBK" w:eastAsia="方正仿宋_GBK" w:cs="方正仿宋_GBK"/>
          <w:b/>
          <w:bCs/>
          <w:color w:val="auto"/>
          <w:kern w:val="0"/>
          <w:sz w:val="24"/>
          <w:szCs w:val="24"/>
          <w:highlight w:val="none"/>
        </w:rPr>
        <w:t>3.评选方法：综合评分法。</w:t>
      </w:r>
    </w:p>
    <w:p w14:paraId="51C07A10">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仿宋" w:hAnsi="仿宋" w:eastAsia="仿宋" w:cs="宋体"/>
          <w:color w:val="auto"/>
          <w:kern w:val="0"/>
          <w:sz w:val="24"/>
          <w:szCs w:val="24"/>
          <w:highlight w:val="none"/>
        </w:rPr>
        <w:t>综合评分法，是指响应</w:t>
      </w:r>
      <w:r>
        <w:rPr>
          <w:rFonts w:ascii="仿宋" w:hAnsi="仿宋" w:eastAsia="仿宋" w:cs="宋体"/>
          <w:color w:val="auto"/>
          <w:kern w:val="0"/>
          <w:sz w:val="24"/>
          <w:szCs w:val="24"/>
          <w:highlight w:val="none"/>
        </w:rPr>
        <w:t>文件满足</w:t>
      </w:r>
      <w:r>
        <w:rPr>
          <w:rFonts w:hint="eastAsia" w:ascii="仿宋" w:hAnsi="仿宋" w:eastAsia="仿宋" w:cs="宋体"/>
          <w:color w:val="auto"/>
          <w:kern w:val="0"/>
          <w:sz w:val="24"/>
          <w:szCs w:val="24"/>
          <w:highlight w:val="none"/>
        </w:rPr>
        <w:t>网上竞采</w:t>
      </w:r>
      <w:r>
        <w:rPr>
          <w:rFonts w:ascii="仿宋" w:hAnsi="仿宋" w:eastAsia="仿宋" w:cs="宋体"/>
          <w:color w:val="auto"/>
          <w:kern w:val="0"/>
          <w:sz w:val="24"/>
          <w:szCs w:val="24"/>
          <w:highlight w:val="none"/>
        </w:rPr>
        <w:t>文件全部实质性要求且按照评审因素的量化指标评审得分最高的供应商为</w:t>
      </w:r>
      <w:r>
        <w:rPr>
          <w:rFonts w:hint="eastAsia" w:ascii="仿宋" w:hAnsi="仿宋" w:eastAsia="仿宋" w:cs="宋体"/>
          <w:color w:val="auto"/>
          <w:kern w:val="0"/>
          <w:sz w:val="24"/>
          <w:szCs w:val="24"/>
          <w:highlight w:val="none"/>
        </w:rPr>
        <w:t>成交</w:t>
      </w:r>
      <w:r>
        <w:rPr>
          <w:rFonts w:ascii="仿宋" w:hAnsi="仿宋" w:eastAsia="仿宋" w:cs="宋体"/>
          <w:color w:val="auto"/>
          <w:kern w:val="0"/>
          <w:sz w:val="24"/>
          <w:szCs w:val="24"/>
          <w:highlight w:val="none"/>
        </w:rPr>
        <w:t>候选</w:t>
      </w:r>
      <w:r>
        <w:rPr>
          <w:rFonts w:hint="eastAsia" w:ascii="仿宋" w:hAnsi="仿宋" w:eastAsia="仿宋" w:cs="宋体"/>
          <w:color w:val="auto"/>
          <w:kern w:val="0"/>
          <w:sz w:val="24"/>
          <w:szCs w:val="24"/>
          <w:highlight w:val="none"/>
        </w:rPr>
        <w:t>供应商</w:t>
      </w:r>
      <w:r>
        <w:rPr>
          <w:rFonts w:ascii="仿宋" w:hAnsi="仿宋" w:eastAsia="仿宋" w:cs="宋体"/>
          <w:color w:val="auto"/>
          <w:kern w:val="0"/>
          <w:sz w:val="24"/>
          <w:szCs w:val="24"/>
          <w:highlight w:val="none"/>
        </w:rPr>
        <w:t>的</w:t>
      </w:r>
      <w:r>
        <w:rPr>
          <w:rFonts w:hint="eastAsia" w:ascii="仿宋" w:hAnsi="仿宋" w:eastAsia="仿宋" w:cs="宋体"/>
          <w:color w:val="auto"/>
          <w:kern w:val="0"/>
          <w:sz w:val="24"/>
          <w:szCs w:val="24"/>
          <w:highlight w:val="none"/>
        </w:rPr>
        <w:t>评审</w:t>
      </w:r>
      <w:r>
        <w:rPr>
          <w:rFonts w:ascii="仿宋" w:hAnsi="仿宋" w:eastAsia="仿宋" w:cs="宋体"/>
          <w:color w:val="auto"/>
          <w:kern w:val="0"/>
          <w:sz w:val="24"/>
          <w:szCs w:val="24"/>
          <w:highlight w:val="none"/>
        </w:rPr>
        <w:t>方法</w:t>
      </w:r>
      <w:r>
        <w:rPr>
          <w:rFonts w:hint="eastAsia" w:ascii="仿宋" w:hAnsi="仿宋" w:eastAsia="仿宋" w:cs="宋体"/>
          <w:color w:val="auto"/>
          <w:kern w:val="0"/>
          <w:sz w:val="24"/>
          <w:szCs w:val="24"/>
          <w:highlight w:val="none"/>
        </w:rPr>
        <w:t>。供应商总得分为价格、</w:t>
      </w:r>
      <w:r>
        <w:rPr>
          <w:rFonts w:hint="eastAsia" w:ascii="仿宋" w:hAnsi="仿宋" w:eastAsia="仿宋" w:cs="宋体"/>
          <w:color w:val="auto"/>
          <w:kern w:val="0"/>
          <w:sz w:val="24"/>
          <w:szCs w:val="24"/>
          <w:highlight w:val="none"/>
          <w:lang w:eastAsia="zh-CN"/>
        </w:rPr>
        <w:t>服务</w:t>
      </w:r>
      <w:r>
        <w:rPr>
          <w:rFonts w:hint="eastAsia" w:ascii="仿宋" w:hAnsi="仿宋" w:eastAsia="仿宋" w:cs="宋体"/>
          <w:color w:val="auto"/>
          <w:kern w:val="0"/>
          <w:sz w:val="24"/>
          <w:szCs w:val="24"/>
          <w:highlight w:val="none"/>
        </w:rPr>
        <w:t>、商务等评定因素分别按照相应权重值计算分项得分后相加，满分为100分</w:t>
      </w:r>
      <w:r>
        <w:rPr>
          <w:rFonts w:hint="eastAsia" w:ascii="仿宋" w:hAnsi="仿宋" w:eastAsia="仿宋"/>
          <w:color w:val="auto"/>
          <w:sz w:val="24"/>
          <w:szCs w:val="24"/>
          <w:highlight w:val="none"/>
        </w:rPr>
        <w:t>。</w:t>
      </w:r>
      <w:r>
        <w:rPr>
          <w:rFonts w:hint="eastAsia" w:ascii="方正仿宋_GBK" w:hAnsi="方正仿宋_GBK" w:eastAsia="方正仿宋_GBK" w:cs="方正仿宋_GBK"/>
          <w:color w:val="auto"/>
          <w:sz w:val="24"/>
          <w:szCs w:val="24"/>
          <w:highlight w:val="none"/>
        </w:rPr>
        <w:t>按评审后得分由高到低的排列顺序推荐综合得分排名前三的供应商为本包（项目）成交候选供应商，排名第一的为第一成交候选供应商。得分相同的，按投标报价由低到高顺序排列。得分且投标报价相同的并列。</w:t>
      </w:r>
    </w:p>
    <w:p w14:paraId="6017A355">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二）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05E1E6D3">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三）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4660D231">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（四）在网上竞采过程中网上竞采的任何一方不得向他人透露与网上竞采有关的服务资料、价格或其他信息。</w:t>
      </w:r>
    </w:p>
    <w:p w14:paraId="5BD2F41F">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仿宋" w:hAnsi="仿宋" w:eastAsia="仿宋"/>
          <w:color w:val="auto"/>
          <w:sz w:val="24"/>
          <w:szCs w:val="24"/>
          <w:highlight w:val="none"/>
        </w:rPr>
        <w:t>（五）供应商在网上竞采时作出的所有书面承诺须由法定代表人或其授权代表签字。</w:t>
      </w:r>
    </w:p>
    <w:p w14:paraId="46EC1E88">
      <w:pPr>
        <w:pStyle w:val="3"/>
        <w:numPr>
          <w:ilvl w:val="0"/>
          <w:numId w:val="3"/>
        </w:numPr>
        <w:rPr>
          <w:color w:val="auto"/>
          <w:highlight w:val="none"/>
        </w:rPr>
      </w:pPr>
      <w:bookmarkStart w:id="107" w:name="_Toc22857"/>
      <w:bookmarkStart w:id="108" w:name="_Hlk27399823"/>
      <w:r>
        <w:rPr>
          <w:rFonts w:hint="eastAsia"/>
          <w:color w:val="auto"/>
          <w:highlight w:val="none"/>
        </w:rPr>
        <w:t>评审标准</w:t>
      </w:r>
      <w:bookmarkEnd w:id="107"/>
    </w:p>
    <w:p w14:paraId="6B5C1601">
      <w:pPr>
        <w:pStyle w:val="7"/>
        <w:numPr>
          <w:ilvl w:val="0"/>
          <w:numId w:val="4"/>
        </w:numPr>
        <w:rPr>
          <w:color w:val="auto"/>
          <w:highlight w:val="none"/>
        </w:rPr>
      </w:pPr>
      <w:r>
        <w:rPr>
          <w:rFonts w:hint="eastAsia"/>
          <w:color w:val="auto"/>
          <w:highlight w:val="none"/>
        </w:rPr>
        <w:t>评审因素</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1"/>
        <w:gridCol w:w="1443"/>
        <w:gridCol w:w="717"/>
        <w:gridCol w:w="3658"/>
        <w:gridCol w:w="2180"/>
      </w:tblGrid>
      <w:tr w14:paraId="7CD4D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tcPr>
          <w:p w14:paraId="00F28B52">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序号</w:t>
            </w:r>
          </w:p>
        </w:tc>
        <w:tc>
          <w:tcPr>
            <w:tcW w:w="1443" w:type="dxa"/>
          </w:tcPr>
          <w:p w14:paraId="3B7D6759">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评分</w:t>
            </w:r>
            <w:r>
              <w:rPr>
                <w:rFonts w:hint="eastAsia" w:ascii="Times New Roman" w:hAnsi="Times New Roman" w:eastAsia="方正仿宋_GBK"/>
                <w:b/>
                <w:bCs/>
                <w:color w:val="auto"/>
                <w:sz w:val="24"/>
                <w:szCs w:val="24"/>
                <w:highlight w:val="none"/>
              </w:rPr>
              <w:t>因素及权重</w:t>
            </w:r>
          </w:p>
        </w:tc>
        <w:tc>
          <w:tcPr>
            <w:tcW w:w="717" w:type="dxa"/>
          </w:tcPr>
          <w:p w14:paraId="03F2CC21">
            <w:pPr>
              <w:spacing w:line="400" w:lineRule="exact"/>
              <w:jc w:val="center"/>
              <w:rPr>
                <w:rFonts w:ascii="Times New Roman" w:hAnsi="Times New Roman" w:eastAsia="方正仿宋_GBK"/>
                <w:b/>
                <w:bCs/>
                <w:color w:val="auto"/>
                <w:sz w:val="24"/>
                <w:szCs w:val="24"/>
                <w:highlight w:val="none"/>
              </w:rPr>
            </w:pPr>
            <w:r>
              <w:rPr>
                <w:rFonts w:hint="eastAsia" w:ascii="Times New Roman" w:hAnsi="Times New Roman" w:eastAsia="方正仿宋_GBK"/>
                <w:b/>
                <w:bCs/>
                <w:color w:val="auto"/>
                <w:sz w:val="24"/>
                <w:szCs w:val="24"/>
                <w:highlight w:val="none"/>
              </w:rPr>
              <w:t>分值</w:t>
            </w:r>
          </w:p>
        </w:tc>
        <w:tc>
          <w:tcPr>
            <w:tcW w:w="3658" w:type="dxa"/>
          </w:tcPr>
          <w:p w14:paraId="6A5F23D3">
            <w:pPr>
              <w:spacing w:line="400" w:lineRule="exact"/>
              <w:jc w:val="center"/>
              <w:rPr>
                <w:rFonts w:ascii="Times New Roman" w:hAnsi="Times New Roman" w:eastAsia="方正仿宋_GBK"/>
                <w:b/>
                <w:bCs/>
                <w:color w:val="auto"/>
                <w:sz w:val="24"/>
                <w:szCs w:val="24"/>
                <w:highlight w:val="none"/>
              </w:rPr>
            </w:pPr>
            <w:r>
              <w:rPr>
                <w:rFonts w:ascii="Times New Roman" w:hAnsi="Times New Roman" w:eastAsia="方正仿宋_GBK"/>
                <w:b/>
                <w:bCs/>
                <w:color w:val="auto"/>
                <w:sz w:val="24"/>
                <w:szCs w:val="24"/>
                <w:highlight w:val="none"/>
              </w:rPr>
              <w:t>评分标准</w:t>
            </w:r>
          </w:p>
        </w:tc>
        <w:tc>
          <w:tcPr>
            <w:tcW w:w="2180" w:type="dxa"/>
          </w:tcPr>
          <w:p w14:paraId="6C4ACF23">
            <w:pPr>
              <w:spacing w:line="400" w:lineRule="exact"/>
              <w:jc w:val="center"/>
              <w:rPr>
                <w:rFonts w:hint="eastAsia" w:ascii="Times New Roman" w:hAnsi="Times New Roman" w:eastAsia="方正仿宋_GBK"/>
                <w:b/>
                <w:bCs/>
                <w:color w:val="auto"/>
                <w:sz w:val="24"/>
                <w:szCs w:val="24"/>
                <w:highlight w:val="none"/>
                <w:lang w:eastAsia="zh-CN"/>
              </w:rPr>
            </w:pPr>
            <w:r>
              <w:rPr>
                <w:rFonts w:hint="eastAsia" w:eastAsia="方正仿宋_GBK"/>
                <w:b/>
                <w:bCs/>
                <w:color w:val="auto"/>
                <w:sz w:val="24"/>
                <w:szCs w:val="24"/>
                <w:highlight w:val="none"/>
                <w:lang w:eastAsia="zh-CN"/>
              </w:rPr>
              <w:t>说明</w:t>
            </w:r>
          </w:p>
        </w:tc>
      </w:tr>
      <w:tr w14:paraId="602C6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1C77BB68">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w:t>
            </w:r>
          </w:p>
        </w:tc>
        <w:tc>
          <w:tcPr>
            <w:tcW w:w="1443" w:type="dxa"/>
            <w:vAlign w:val="center"/>
          </w:tcPr>
          <w:p w14:paraId="01DA2315">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eastAsia="zh-CN"/>
              </w:rPr>
              <w:t>投标</w:t>
            </w:r>
            <w:r>
              <w:rPr>
                <w:rFonts w:ascii="Times New Roman" w:hAnsi="Times New Roman" w:eastAsia="方正仿宋_GBK"/>
                <w:color w:val="auto"/>
                <w:sz w:val="24"/>
                <w:szCs w:val="24"/>
                <w:highlight w:val="none"/>
              </w:rPr>
              <w:t>报价</w:t>
            </w:r>
          </w:p>
          <w:p w14:paraId="4F055767">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1E5CF979">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0分</w:t>
            </w:r>
          </w:p>
        </w:tc>
        <w:tc>
          <w:tcPr>
            <w:tcW w:w="3658" w:type="dxa"/>
            <w:shd w:val="clear" w:color="auto" w:fill="auto"/>
            <w:vAlign w:val="top"/>
          </w:tcPr>
          <w:p w14:paraId="37FF03D1">
            <w:pPr>
              <w:widowControl/>
              <w:spacing w:line="400" w:lineRule="exact"/>
              <w:jc w:val="left"/>
              <w:rPr>
                <w:rFonts w:ascii="Times New Roman" w:hAnsi="Times New Roman" w:eastAsia="方正仿宋_GBK"/>
                <w:color w:val="auto"/>
                <w:kern w:val="0"/>
                <w:sz w:val="24"/>
                <w:szCs w:val="24"/>
                <w:highlight w:val="none"/>
              </w:rPr>
            </w:pPr>
            <w:r>
              <w:rPr>
                <w:rFonts w:ascii="Times New Roman" w:hAnsi="Times New Roman" w:eastAsia="方正仿宋_GBK"/>
                <w:color w:val="auto"/>
                <w:kern w:val="0"/>
                <w:sz w:val="24"/>
                <w:szCs w:val="24"/>
                <w:highlight w:val="none"/>
              </w:rPr>
              <w:t>有效的</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报价中的最低价为评标基准价，按照下列公式计算每个</w:t>
            </w:r>
            <w:r>
              <w:rPr>
                <w:rFonts w:hint="eastAsia" w:eastAsia="方正仿宋_GBK"/>
                <w:color w:val="auto"/>
                <w:kern w:val="0"/>
                <w:sz w:val="24"/>
                <w:szCs w:val="24"/>
                <w:highlight w:val="none"/>
                <w:lang w:eastAsia="zh-CN"/>
              </w:rPr>
              <w:t>供应商</w:t>
            </w:r>
            <w:r>
              <w:rPr>
                <w:rFonts w:ascii="Times New Roman" w:hAnsi="Times New Roman" w:eastAsia="方正仿宋_GBK"/>
                <w:color w:val="auto"/>
                <w:kern w:val="0"/>
                <w:sz w:val="24"/>
                <w:szCs w:val="24"/>
                <w:highlight w:val="none"/>
              </w:rPr>
              <w:t>的</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 xml:space="preserve">价格得分。 </w:t>
            </w:r>
          </w:p>
          <w:p w14:paraId="5B544B3C">
            <w:pPr>
              <w:widowControl/>
              <w:spacing w:line="400" w:lineRule="exact"/>
              <w:jc w:val="left"/>
              <w:rPr>
                <w:rFonts w:ascii="Times New Roman" w:hAnsi="Times New Roman" w:eastAsia="方正仿宋_GBK" w:cs="Times New Roman"/>
                <w:color w:val="auto"/>
                <w:kern w:val="2"/>
                <w:sz w:val="24"/>
                <w:szCs w:val="24"/>
                <w:highlight w:val="none"/>
                <w:lang w:val="en-US" w:eastAsia="zh-CN" w:bidi="ar-SA"/>
              </w:rPr>
            </w:pP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报价得分＝（评标基准价/</w:t>
            </w:r>
            <w:r>
              <w:rPr>
                <w:rFonts w:hint="eastAsia" w:ascii="Times New Roman" w:hAnsi="Times New Roman" w:eastAsia="方正仿宋_GBK"/>
                <w:color w:val="auto"/>
                <w:kern w:val="0"/>
                <w:sz w:val="24"/>
                <w:szCs w:val="24"/>
                <w:highlight w:val="none"/>
                <w:lang w:eastAsia="zh-CN"/>
              </w:rPr>
              <w:t>投标</w:t>
            </w:r>
            <w:r>
              <w:rPr>
                <w:rFonts w:ascii="Times New Roman" w:hAnsi="Times New Roman" w:eastAsia="方正仿宋_GBK"/>
                <w:color w:val="auto"/>
                <w:kern w:val="0"/>
                <w:sz w:val="24"/>
                <w:szCs w:val="24"/>
                <w:highlight w:val="none"/>
              </w:rPr>
              <w:t>报价）×价格权重×100</w:t>
            </w:r>
          </w:p>
        </w:tc>
        <w:tc>
          <w:tcPr>
            <w:tcW w:w="2180" w:type="dxa"/>
          </w:tcPr>
          <w:p w14:paraId="3BD4B1C7">
            <w:pPr>
              <w:widowControl/>
              <w:spacing w:line="400" w:lineRule="exact"/>
              <w:jc w:val="left"/>
              <w:rPr>
                <w:rFonts w:ascii="Times New Roman" w:hAnsi="Times New Roman" w:eastAsia="方正仿宋_GBK"/>
                <w:color w:val="auto"/>
                <w:kern w:val="0"/>
                <w:sz w:val="24"/>
                <w:szCs w:val="24"/>
                <w:highlight w:val="none"/>
              </w:rPr>
            </w:pPr>
            <w:r>
              <w:rPr>
                <w:rFonts w:hint="eastAsia" w:ascii="方正仿宋_GBK" w:hAnsi="方正仿宋_GBK" w:eastAsia="方正仿宋_GBK" w:cs="方正仿宋_GBK"/>
                <w:color w:val="auto"/>
                <w:sz w:val="21"/>
                <w:szCs w:val="21"/>
                <w:highlight w:val="none"/>
              </w:rPr>
              <w:t>高于预算价为无效报价</w:t>
            </w:r>
          </w:p>
        </w:tc>
      </w:tr>
      <w:tr w14:paraId="07F74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restart"/>
            <w:vAlign w:val="center"/>
          </w:tcPr>
          <w:p w14:paraId="57080CF1">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w:t>
            </w:r>
          </w:p>
        </w:tc>
        <w:tc>
          <w:tcPr>
            <w:tcW w:w="1443" w:type="dxa"/>
            <w:vMerge w:val="restart"/>
            <w:vAlign w:val="center"/>
          </w:tcPr>
          <w:p w14:paraId="517DF206">
            <w:pPr>
              <w:spacing w:line="400" w:lineRule="exact"/>
              <w:jc w:val="center"/>
              <w:rPr>
                <w:color w:val="auto"/>
                <w:sz w:val="24"/>
                <w:szCs w:val="24"/>
                <w:highlight w:val="none"/>
              </w:rPr>
            </w:pPr>
            <w:r>
              <w:rPr>
                <w:rFonts w:hint="eastAsia" w:eastAsia="方正仿宋_GBK"/>
                <w:color w:val="auto"/>
                <w:sz w:val="24"/>
                <w:szCs w:val="24"/>
                <w:highlight w:val="none"/>
                <w:lang w:eastAsia="zh-CN"/>
              </w:rPr>
              <w:t>服务部分</w:t>
            </w: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5</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Merge w:val="restart"/>
            <w:vAlign w:val="center"/>
          </w:tcPr>
          <w:p w14:paraId="0CE29521">
            <w:pPr>
              <w:spacing w:line="400" w:lineRule="exact"/>
              <w:jc w:val="center"/>
              <w:rPr>
                <w:rFonts w:ascii="Times New Roman" w:hAnsi="Times New Roman" w:eastAsia="方正仿宋_GBK"/>
                <w:color w:val="auto"/>
                <w:sz w:val="24"/>
                <w:szCs w:val="24"/>
                <w:highlight w:val="none"/>
              </w:rPr>
            </w:pPr>
            <w:r>
              <w:rPr>
                <w:rFonts w:hint="eastAsia" w:eastAsia="方正仿宋_GBK"/>
                <w:color w:val="auto"/>
                <w:sz w:val="24"/>
                <w:szCs w:val="24"/>
                <w:highlight w:val="none"/>
                <w:lang w:val="en-US" w:eastAsia="zh-CN"/>
              </w:rPr>
              <w:t>服务方案5</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分</w:t>
            </w:r>
          </w:p>
        </w:tc>
        <w:tc>
          <w:tcPr>
            <w:tcW w:w="3658" w:type="dxa"/>
            <w:vAlign w:val="center"/>
          </w:tcPr>
          <w:p w14:paraId="2ECCD458">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w:t>
            </w:r>
            <w:r>
              <w:rPr>
                <w:rFonts w:hint="eastAsia" w:ascii="Times New Roman" w:hAnsi="Times New Roman" w:eastAsia="方正仿宋_GBK"/>
                <w:color w:val="auto"/>
                <w:sz w:val="24"/>
                <w:szCs w:val="24"/>
                <w:highlight w:val="none"/>
              </w:rPr>
              <w:t>.</w:t>
            </w:r>
            <w:r>
              <w:rPr>
                <w:rFonts w:ascii="Times New Roman" w:hAnsi="Times New Roman" w:eastAsia="方正仿宋_GBK"/>
                <w:color w:val="auto"/>
                <w:sz w:val="24"/>
                <w:szCs w:val="24"/>
                <w:highlight w:val="none"/>
              </w:rPr>
              <w:t>服务方案（20分）</w:t>
            </w:r>
          </w:p>
          <w:p w14:paraId="6EA05B50">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编制要点：对项目</w:t>
            </w:r>
            <w:r>
              <w:rPr>
                <w:rFonts w:hint="eastAsia" w:eastAsia="方正仿宋_GBK"/>
                <w:color w:val="auto"/>
                <w:sz w:val="24"/>
                <w:szCs w:val="24"/>
                <w:highlight w:val="none"/>
                <w:lang w:eastAsia="zh-CN"/>
              </w:rPr>
              <w:t>服务</w:t>
            </w:r>
            <w:r>
              <w:rPr>
                <w:rFonts w:ascii="Times New Roman" w:hAnsi="Times New Roman" w:eastAsia="方正仿宋_GBK"/>
                <w:color w:val="auto"/>
                <w:sz w:val="24"/>
                <w:szCs w:val="24"/>
                <w:highlight w:val="none"/>
              </w:rPr>
              <w:t>总体思路、服务目标、服务内容、工作要求、组织架构进行描述。</w:t>
            </w:r>
          </w:p>
          <w:p w14:paraId="0147939B">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编制内容完整、思路清晰、目标明确、利于项目推进的为优，得20分；</w:t>
            </w:r>
          </w:p>
          <w:p w14:paraId="703B03B7">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编制内容较完整、思路较清晰、目标较明确、</w:t>
            </w:r>
            <w:r>
              <w:rPr>
                <w:rFonts w:hint="eastAsia" w:eastAsia="方正仿宋_GBK"/>
                <w:color w:val="auto"/>
                <w:sz w:val="24"/>
                <w:szCs w:val="24"/>
                <w:highlight w:val="none"/>
                <w:lang w:val="en-US" w:eastAsia="zh-CN"/>
              </w:rPr>
              <w:t>利</w:t>
            </w:r>
            <w:r>
              <w:rPr>
                <w:rFonts w:ascii="Times New Roman" w:hAnsi="Times New Roman" w:eastAsia="方正仿宋_GBK"/>
                <w:color w:val="auto"/>
                <w:sz w:val="24"/>
                <w:szCs w:val="24"/>
                <w:highlight w:val="none"/>
              </w:rPr>
              <w:t>于项目推进的为良，得1</w:t>
            </w:r>
            <w:r>
              <w:rPr>
                <w:rFonts w:hint="eastAsia" w:eastAsia="方正仿宋_GBK"/>
                <w:color w:val="auto"/>
                <w:sz w:val="24"/>
                <w:szCs w:val="24"/>
                <w:highlight w:val="none"/>
                <w:lang w:val="en-US" w:eastAsia="zh-CN"/>
              </w:rPr>
              <w:t>5</w:t>
            </w:r>
            <w:r>
              <w:rPr>
                <w:rFonts w:ascii="Times New Roman" w:hAnsi="Times New Roman" w:eastAsia="方正仿宋_GBK"/>
                <w:color w:val="auto"/>
                <w:sz w:val="24"/>
                <w:szCs w:val="24"/>
                <w:highlight w:val="none"/>
              </w:rPr>
              <w:t>分；</w:t>
            </w:r>
          </w:p>
          <w:p w14:paraId="06C289A2">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w:t>
            </w:r>
            <w:r>
              <w:rPr>
                <w:rFonts w:hint="eastAsia" w:eastAsia="方正仿宋_GBK"/>
                <w:color w:val="auto"/>
                <w:sz w:val="24"/>
                <w:szCs w:val="24"/>
                <w:highlight w:val="none"/>
                <w:lang w:val="en-US" w:eastAsia="zh-CN"/>
              </w:rPr>
              <w:t>基本</w:t>
            </w:r>
            <w:r>
              <w:rPr>
                <w:rFonts w:ascii="Times New Roman" w:hAnsi="Times New Roman" w:eastAsia="方正仿宋_GBK"/>
                <w:color w:val="auto"/>
                <w:sz w:val="24"/>
                <w:szCs w:val="24"/>
                <w:highlight w:val="none"/>
              </w:rPr>
              <w:t>完整、思路</w:t>
            </w:r>
            <w:r>
              <w:rPr>
                <w:rFonts w:hint="eastAsia" w:eastAsia="方正仿宋_GBK"/>
                <w:color w:val="auto"/>
                <w:sz w:val="24"/>
                <w:szCs w:val="24"/>
                <w:highlight w:val="none"/>
                <w:lang w:val="en-US" w:eastAsia="zh-CN"/>
              </w:rPr>
              <w:t>基本</w:t>
            </w:r>
            <w:r>
              <w:rPr>
                <w:rFonts w:ascii="Times New Roman" w:hAnsi="Times New Roman" w:eastAsia="方正仿宋_GBK"/>
                <w:color w:val="auto"/>
                <w:sz w:val="24"/>
                <w:szCs w:val="24"/>
                <w:highlight w:val="none"/>
              </w:rPr>
              <w:t>清晰、目标</w:t>
            </w:r>
            <w:r>
              <w:rPr>
                <w:rFonts w:hint="eastAsia" w:eastAsia="方正仿宋_GBK"/>
                <w:color w:val="auto"/>
                <w:sz w:val="24"/>
                <w:szCs w:val="24"/>
                <w:highlight w:val="none"/>
                <w:lang w:val="en-US" w:eastAsia="zh-CN"/>
              </w:rPr>
              <w:t>基本</w:t>
            </w:r>
            <w:r>
              <w:rPr>
                <w:rFonts w:ascii="Times New Roman" w:hAnsi="Times New Roman" w:eastAsia="方正仿宋_GBK"/>
                <w:color w:val="auto"/>
                <w:sz w:val="24"/>
                <w:szCs w:val="24"/>
                <w:highlight w:val="none"/>
              </w:rPr>
              <w:t>明确、</w:t>
            </w:r>
            <w:r>
              <w:rPr>
                <w:rFonts w:hint="eastAsia" w:eastAsia="方正仿宋_GBK"/>
                <w:color w:val="auto"/>
                <w:sz w:val="24"/>
                <w:szCs w:val="24"/>
                <w:highlight w:val="none"/>
                <w:lang w:val="en-US" w:eastAsia="zh-CN"/>
              </w:rPr>
              <w:t>基本利</w:t>
            </w:r>
            <w:r>
              <w:rPr>
                <w:rFonts w:ascii="Times New Roman" w:hAnsi="Times New Roman" w:eastAsia="方正仿宋_GBK"/>
                <w:color w:val="auto"/>
                <w:sz w:val="24"/>
                <w:szCs w:val="24"/>
                <w:highlight w:val="none"/>
              </w:rPr>
              <w:t>于项目推进的为</w:t>
            </w:r>
            <w:r>
              <w:rPr>
                <w:rFonts w:hint="eastAsia" w:eastAsia="方正仿宋_GBK"/>
                <w:color w:val="auto"/>
                <w:sz w:val="24"/>
                <w:szCs w:val="24"/>
                <w:highlight w:val="none"/>
                <w:lang w:val="en-US" w:eastAsia="zh-CN"/>
              </w:rPr>
              <w:t>一般</w:t>
            </w:r>
            <w:r>
              <w:rPr>
                <w:rFonts w:ascii="Times New Roman" w:hAnsi="Times New Roman" w:eastAsia="方正仿宋_GBK"/>
                <w:color w:val="auto"/>
                <w:sz w:val="24"/>
                <w:szCs w:val="24"/>
                <w:highlight w:val="none"/>
              </w:rPr>
              <w:t>，得1</w:t>
            </w:r>
            <w:r>
              <w:rPr>
                <w:rFonts w:hint="eastAsia" w:eastAsia="方正仿宋_GBK"/>
                <w:color w:val="auto"/>
                <w:sz w:val="24"/>
                <w:szCs w:val="24"/>
                <w:highlight w:val="none"/>
                <w:lang w:val="en-US" w:eastAsia="zh-CN"/>
              </w:rPr>
              <w:t>0</w:t>
            </w:r>
            <w:r>
              <w:rPr>
                <w:rFonts w:ascii="Times New Roman" w:hAnsi="Times New Roman" w:eastAsia="方正仿宋_GBK"/>
                <w:color w:val="auto"/>
                <w:sz w:val="24"/>
                <w:szCs w:val="24"/>
                <w:highlight w:val="none"/>
              </w:rPr>
              <w:t>分；</w:t>
            </w:r>
          </w:p>
          <w:p w14:paraId="367DD216">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编制内容欠缺、思路不清晰、目标不明确，不利于</w:t>
            </w:r>
            <w:r>
              <w:rPr>
                <w:rFonts w:hint="eastAsia" w:eastAsia="方正仿宋_GBK"/>
                <w:color w:val="auto"/>
                <w:sz w:val="24"/>
                <w:szCs w:val="24"/>
                <w:highlight w:val="none"/>
                <w:lang w:val="en-US" w:eastAsia="zh-CN"/>
              </w:rPr>
              <w:t>项目推进</w:t>
            </w:r>
            <w:r>
              <w:rPr>
                <w:rFonts w:ascii="Times New Roman" w:hAnsi="Times New Roman" w:eastAsia="方正仿宋_GBK"/>
                <w:color w:val="auto"/>
                <w:sz w:val="24"/>
                <w:szCs w:val="24"/>
                <w:highlight w:val="none"/>
              </w:rPr>
              <w:t>的为差，得</w:t>
            </w:r>
            <w:r>
              <w:rPr>
                <w:rFonts w:hint="eastAsia" w:eastAsia="方正仿宋_GBK"/>
                <w:color w:val="auto"/>
                <w:sz w:val="24"/>
                <w:szCs w:val="24"/>
                <w:highlight w:val="none"/>
                <w:lang w:val="en-US" w:eastAsia="zh-CN"/>
              </w:rPr>
              <w:t>5</w:t>
            </w:r>
            <w:r>
              <w:rPr>
                <w:rFonts w:ascii="Times New Roman" w:hAnsi="Times New Roman" w:eastAsia="方正仿宋_GBK"/>
                <w:color w:val="auto"/>
                <w:sz w:val="24"/>
                <w:szCs w:val="24"/>
                <w:highlight w:val="none"/>
              </w:rPr>
              <w:t>分；</w:t>
            </w:r>
          </w:p>
          <w:p w14:paraId="569CF68E">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未提供不得分。</w:t>
            </w:r>
          </w:p>
        </w:tc>
        <w:tc>
          <w:tcPr>
            <w:tcW w:w="2180" w:type="dxa"/>
            <w:vMerge w:val="restart"/>
            <w:vAlign w:val="center"/>
          </w:tcPr>
          <w:p w14:paraId="0983C286">
            <w:pPr>
              <w:spacing w:line="400" w:lineRule="exact"/>
              <w:rPr>
                <w:rFonts w:hint="eastAsia" w:ascii="方正仿宋_GBK" w:hAnsi="方正仿宋_GBK" w:eastAsia="方正仿宋_GBK" w:cs="方正仿宋_GBK"/>
                <w:color w:val="auto"/>
                <w:sz w:val="21"/>
                <w:szCs w:val="21"/>
                <w:highlight w:val="none"/>
                <w:lang w:eastAsia="zh-CN"/>
              </w:rPr>
            </w:pPr>
            <w:r>
              <w:rPr>
                <w:rFonts w:hint="eastAsia" w:ascii="方正仿宋_GBK" w:hAnsi="方正仿宋_GBK" w:eastAsia="方正仿宋_GBK" w:cs="方正仿宋_GBK"/>
                <w:color w:val="auto"/>
                <w:sz w:val="21"/>
                <w:szCs w:val="21"/>
                <w:highlight w:val="none"/>
              </w:rPr>
              <w:t>供应商提供</w:t>
            </w:r>
            <w:r>
              <w:rPr>
                <w:rFonts w:hint="eastAsia" w:ascii="方正仿宋_GBK" w:hAnsi="方正仿宋_GBK" w:eastAsia="方正仿宋_GBK" w:cs="方正仿宋_GBK"/>
                <w:color w:val="auto"/>
                <w:sz w:val="21"/>
                <w:szCs w:val="21"/>
                <w:highlight w:val="none"/>
                <w:lang w:val="en-US" w:eastAsia="zh-CN"/>
              </w:rPr>
              <w:t>服务</w:t>
            </w:r>
            <w:r>
              <w:rPr>
                <w:rFonts w:hint="eastAsia" w:ascii="方正仿宋_GBK" w:hAnsi="方正仿宋_GBK" w:eastAsia="方正仿宋_GBK" w:cs="方正仿宋_GBK"/>
                <w:color w:val="auto"/>
                <w:sz w:val="21"/>
                <w:szCs w:val="21"/>
                <w:highlight w:val="none"/>
              </w:rPr>
              <w:t>方案（格式自拟）</w:t>
            </w:r>
            <w:r>
              <w:rPr>
                <w:rFonts w:hint="eastAsia" w:ascii="方正仿宋_GBK" w:hAnsi="方正仿宋_GBK" w:eastAsia="方正仿宋_GBK" w:cs="方正仿宋_GBK"/>
                <w:color w:val="auto"/>
                <w:sz w:val="21"/>
                <w:szCs w:val="21"/>
                <w:highlight w:val="none"/>
                <w:lang w:eastAsia="zh-CN"/>
              </w:rPr>
              <w:t>。</w:t>
            </w:r>
          </w:p>
          <w:p w14:paraId="05EA8E9B">
            <w:pPr>
              <w:spacing w:line="400" w:lineRule="exact"/>
              <w:rPr>
                <w:rFonts w:ascii="Times New Roman" w:hAnsi="Times New Roman" w:eastAsia="方正仿宋_GBK"/>
                <w:color w:val="auto"/>
                <w:sz w:val="24"/>
                <w:szCs w:val="24"/>
                <w:highlight w:val="none"/>
              </w:rPr>
            </w:pPr>
            <w:r>
              <w:rPr>
                <w:rFonts w:hint="eastAsia" w:ascii="方正仿宋_GBK" w:hAnsi="方正仿宋_GBK" w:eastAsia="方正仿宋_GBK" w:cs="方正仿宋_GBK"/>
                <w:color w:val="auto"/>
                <w:sz w:val="21"/>
                <w:szCs w:val="21"/>
                <w:highlight w:val="none"/>
              </w:rPr>
              <w:t>评审委员会根据供应商提供的</w:t>
            </w:r>
            <w:r>
              <w:rPr>
                <w:rFonts w:hint="eastAsia" w:ascii="方正仿宋_GBK" w:hAnsi="方正仿宋_GBK" w:eastAsia="方正仿宋_GBK" w:cs="方正仿宋_GBK"/>
                <w:color w:val="auto"/>
                <w:sz w:val="21"/>
                <w:szCs w:val="21"/>
                <w:highlight w:val="none"/>
                <w:lang w:val="en-US" w:eastAsia="zh-CN"/>
              </w:rPr>
              <w:t>服务</w:t>
            </w:r>
            <w:r>
              <w:rPr>
                <w:rFonts w:hint="eastAsia" w:ascii="方正仿宋_GBK" w:hAnsi="方正仿宋_GBK" w:eastAsia="方正仿宋_GBK" w:cs="方正仿宋_GBK"/>
                <w:color w:val="auto"/>
                <w:sz w:val="21"/>
                <w:szCs w:val="21"/>
                <w:highlight w:val="none"/>
              </w:rPr>
              <w:t>方案独立评分。服务部分得分为评审委员会各成员打分的算术平均值。</w:t>
            </w:r>
          </w:p>
        </w:tc>
      </w:tr>
      <w:tr w14:paraId="0C3A2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14:paraId="584F3464">
            <w:pPr>
              <w:spacing w:line="400" w:lineRule="exact"/>
              <w:jc w:val="center"/>
              <w:rPr>
                <w:rFonts w:ascii="Times New Roman" w:hAnsi="Times New Roman" w:eastAsia="方正仿宋_GBK"/>
                <w:color w:val="auto"/>
                <w:sz w:val="24"/>
                <w:szCs w:val="24"/>
                <w:highlight w:val="none"/>
              </w:rPr>
            </w:pPr>
          </w:p>
        </w:tc>
        <w:tc>
          <w:tcPr>
            <w:tcW w:w="1443" w:type="dxa"/>
            <w:vMerge w:val="continue"/>
            <w:vAlign w:val="center"/>
          </w:tcPr>
          <w:p w14:paraId="27E0B27B">
            <w:pPr>
              <w:spacing w:line="400" w:lineRule="exact"/>
              <w:jc w:val="center"/>
              <w:rPr>
                <w:rFonts w:ascii="Times New Roman" w:hAnsi="Times New Roman" w:eastAsia="方正仿宋_GBK"/>
                <w:color w:val="auto"/>
                <w:sz w:val="24"/>
                <w:szCs w:val="24"/>
                <w:highlight w:val="none"/>
              </w:rPr>
            </w:pPr>
          </w:p>
        </w:tc>
        <w:tc>
          <w:tcPr>
            <w:tcW w:w="717" w:type="dxa"/>
            <w:vMerge w:val="continue"/>
            <w:vAlign w:val="center"/>
          </w:tcPr>
          <w:p w14:paraId="417E70DD">
            <w:pPr>
              <w:spacing w:line="400" w:lineRule="exact"/>
              <w:jc w:val="center"/>
              <w:rPr>
                <w:rFonts w:ascii="Times New Roman" w:hAnsi="Times New Roman" w:eastAsia="方正仿宋_GBK"/>
                <w:color w:val="auto"/>
                <w:sz w:val="24"/>
                <w:szCs w:val="24"/>
                <w:highlight w:val="none"/>
              </w:rPr>
            </w:pPr>
          </w:p>
        </w:tc>
        <w:tc>
          <w:tcPr>
            <w:tcW w:w="3658" w:type="dxa"/>
            <w:vAlign w:val="center"/>
          </w:tcPr>
          <w:p w14:paraId="2D06726A">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w:t>
            </w:r>
            <w:r>
              <w:rPr>
                <w:rFonts w:hint="eastAsia" w:ascii="Times New Roman" w:hAnsi="Times New Roman" w:eastAsia="方正仿宋_GBK"/>
                <w:color w:val="auto"/>
                <w:sz w:val="24"/>
                <w:szCs w:val="24"/>
                <w:highlight w:val="none"/>
              </w:rPr>
              <w:t>.</w:t>
            </w:r>
            <w:r>
              <w:rPr>
                <w:rFonts w:ascii="Times New Roman" w:hAnsi="Times New Roman" w:eastAsia="方正仿宋_GBK"/>
                <w:color w:val="auto"/>
                <w:sz w:val="24"/>
                <w:szCs w:val="24"/>
                <w:highlight w:val="none"/>
              </w:rPr>
              <w:t>重难点分析（</w:t>
            </w:r>
            <w:r>
              <w:rPr>
                <w:rFonts w:hint="eastAsia" w:eastAsia="方正仿宋_GBK"/>
                <w:color w:val="auto"/>
                <w:sz w:val="24"/>
                <w:szCs w:val="24"/>
                <w:highlight w:val="none"/>
                <w:lang w:val="en-US" w:eastAsia="zh-CN"/>
              </w:rPr>
              <w:t>15</w:t>
            </w:r>
            <w:r>
              <w:rPr>
                <w:rFonts w:ascii="Times New Roman" w:hAnsi="Times New Roman" w:eastAsia="方正仿宋_GBK"/>
                <w:color w:val="auto"/>
                <w:sz w:val="24"/>
                <w:szCs w:val="24"/>
                <w:highlight w:val="none"/>
              </w:rPr>
              <w:t>分）</w:t>
            </w:r>
          </w:p>
          <w:p w14:paraId="186983E4">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编制要点：对项目的重难点及风险管理进行分析。</w:t>
            </w:r>
          </w:p>
          <w:p w14:paraId="62676DC2">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编制内容科学合理、重难点分析针对性强、风险管理可操作性强的为优，得</w:t>
            </w:r>
            <w:r>
              <w:rPr>
                <w:rFonts w:hint="eastAsia" w:eastAsia="方正仿宋_GBK"/>
                <w:color w:val="auto"/>
                <w:sz w:val="24"/>
                <w:szCs w:val="24"/>
                <w:highlight w:val="none"/>
                <w:lang w:val="en-US" w:eastAsia="zh-CN"/>
              </w:rPr>
              <w:t>15</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3291C408">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w:t>
            </w:r>
            <w:r>
              <w:rPr>
                <w:rFonts w:hint="eastAsia" w:eastAsia="方正仿宋_GBK"/>
                <w:color w:val="auto"/>
                <w:sz w:val="24"/>
                <w:szCs w:val="24"/>
                <w:highlight w:val="none"/>
                <w:lang w:val="en-US" w:eastAsia="zh-CN"/>
              </w:rPr>
              <w:t>较为</w:t>
            </w:r>
            <w:r>
              <w:rPr>
                <w:rFonts w:ascii="Times New Roman" w:hAnsi="Times New Roman" w:eastAsia="方正仿宋_GBK"/>
                <w:color w:val="auto"/>
                <w:sz w:val="24"/>
                <w:szCs w:val="24"/>
                <w:highlight w:val="none"/>
              </w:rPr>
              <w:t>科学合理、重难点分析针对性</w:t>
            </w:r>
            <w:r>
              <w:rPr>
                <w:rFonts w:hint="eastAsia" w:eastAsia="方正仿宋_GBK"/>
                <w:color w:val="auto"/>
                <w:sz w:val="24"/>
                <w:szCs w:val="24"/>
                <w:highlight w:val="none"/>
                <w:lang w:val="en-US" w:eastAsia="zh-CN"/>
              </w:rPr>
              <w:t>较</w:t>
            </w:r>
            <w:r>
              <w:rPr>
                <w:rFonts w:ascii="Times New Roman" w:hAnsi="Times New Roman" w:eastAsia="方正仿宋_GBK"/>
                <w:color w:val="auto"/>
                <w:sz w:val="24"/>
                <w:szCs w:val="24"/>
                <w:highlight w:val="none"/>
              </w:rPr>
              <w:t>强、风险管理可操作性</w:t>
            </w:r>
            <w:r>
              <w:rPr>
                <w:rFonts w:hint="eastAsia" w:eastAsia="方正仿宋_GBK"/>
                <w:color w:val="auto"/>
                <w:sz w:val="24"/>
                <w:szCs w:val="24"/>
                <w:highlight w:val="none"/>
                <w:lang w:val="en-US" w:eastAsia="zh-CN"/>
              </w:rPr>
              <w:t>较</w:t>
            </w:r>
            <w:r>
              <w:rPr>
                <w:rFonts w:ascii="Times New Roman" w:hAnsi="Times New Roman" w:eastAsia="方正仿宋_GBK"/>
                <w:color w:val="auto"/>
                <w:sz w:val="24"/>
                <w:szCs w:val="24"/>
                <w:highlight w:val="none"/>
              </w:rPr>
              <w:t>强的为</w:t>
            </w:r>
            <w:r>
              <w:rPr>
                <w:rFonts w:hint="eastAsia" w:eastAsia="方正仿宋_GBK"/>
                <w:color w:val="auto"/>
                <w:sz w:val="24"/>
                <w:szCs w:val="24"/>
                <w:highlight w:val="none"/>
                <w:lang w:val="en-US" w:eastAsia="zh-CN"/>
              </w:rPr>
              <w:t>良</w:t>
            </w:r>
            <w:r>
              <w:rPr>
                <w:rFonts w:ascii="Times New Roman" w:hAnsi="Times New Roman" w:eastAsia="方正仿宋_GBK"/>
                <w:color w:val="auto"/>
                <w:sz w:val="24"/>
                <w:szCs w:val="24"/>
                <w:highlight w:val="none"/>
              </w:rPr>
              <w:t>，得</w:t>
            </w:r>
            <w:r>
              <w:rPr>
                <w:rFonts w:hint="eastAsia" w:eastAsia="方正仿宋_GBK"/>
                <w:color w:val="auto"/>
                <w:sz w:val="24"/>
                <w:szCs w:val="24"/>
                <w:highlight w:val="none"/>
                <w:lang w:val="en-US" w:eastAsia="zh-CN"/>
              </w:rPr>
              <w:t>11</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7CF03040">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编制内容基本科学合理、重难点分析针对性一般、风险管理可操作性一般的为</w:t>
            </w:r>
            <w:r>
              <w:rPr>
                <w:rFonts w:hint="eastAsia" w:eastAsia="方正仿宋_GBK"/>
                <w:color w:val="auto"/>
                <w:sz w:val="24"/>
                <w:szCs w:val="24"/>
                <w:highlight w:val="none"/>
                <w:lang w:val="en-US" w:eastAsia="zh-CN"/>
              </w:rPr>
              <w:t>一般</w:t>
            </w:r>
            <w:r>
              <w:rPr>
                <w:rFonts w:ascii="Times New Roman" w:hAnsi="Times New Roman" w:eastAsia="方正仿宋_GBK"/>
                <w:color w:val="auto"/>
                <w:sz w:val="24"/>
                <w:szCs w:val="24"/>
                <w:highlight w:val="none"/>
              </w:rPr>
              <w:t>，得</w:t>
            </w:r>
            <w:r>
              <w:rPr>
                <w:rFonts w:hint="eastAsia" w:eastAsia="方正仿宋_GBK"/>
                <w:color w:val="auto"/>
                <w:sz w:val="24"/>
                <w:szCs w:val="24"/>
                <w:highlight w:val="none"/>
                <w:lang w:val="en-US" w:eastAsia="zh-CN"/>
              </w:rPr>
              <w:t>7</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7E3E49D6">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编制内容合理差、重难点分析针对性差、风险管理可操作性差的为差，得</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分；</w:t>
            </w:r>
          </w:p>
          <w:p w14:paraId="0CC0CB93">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 xml:space="preserve">未提供不得分。 </w:t>
            </w:r>
          </w:p>
        </w:tc>
        <w:tc>
          <w:tcPr>
            <w:tcW w:w="2180" w:type="dxa"/>
            <w:vMerge w:val="continue"/>
            <w:vAlign w:val="center"/>
          </w:tcPr>
          <w:p w14:paraId="1CC84FBA">
            <w:pPr>
              <w:spacing w:line="400" w:lineRule="exact"/>
              <w:rPr>
                <w:rFonts w:ascii="Times New Roman" w:hAnsi="Times New Roman" w:eastAsia="方正仿宋_GBK"/>
                <w:color w:val="auto"/>
                <w:sz w:val="24"/>
                <w:szCs w:val="24"/>
                <w:highlight w:val="none"/>
              </w:rPr>
            </w:pPr>
          </w:p>
        </w:tc>
      </w:tr>
      <w:tr w14:paraId="35D5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Merge w:val="continue"/>
            <w:vAlign w:val="center"/>
          </w:tcPr>
          <w:p w14:paraId="19B2CBFC">
            <w:pPr>
              <w:spacing w:line="400" w:lineRule="exact"/>
              <w:jc w:val="center"/>
              <w:rPr>
                <w:rFonts w:ascii="Times New Roman" w:hAnsi="Times New Roman" w:eastAsia="方正仿宋_GBK"/>
                <w:color w:val="auto"/>
                <w:sz w:val="24"/>
                <w:szCs w:val="24"/>
                <w:highlight w:val="none"/>
              </w:rPr>
            </w:pPr>
          </w:p>
        </w:tc>
        <w:tc>
          <w:tcPr>
            <w:tcW w:w="1443" w:type="dxa"/>
            <w:vMerge w:val="continue"/>
            <w:vAlign w:val="center"/>
          </w:tcPr>
          <w:p w14:paraId="4A61D047">
            <w:pPr>
              <w:spacing w:line="400" w:lineRule="exact"/>
              <w:jc w:val="center"/>
              <w:rPr>
                <w:rFonts w:ascii="Times New Roman" w:hAnsi="Times New Roman" w:eastAsia="方正仿宋_GBK"/>
                <w:color w:val="auto"/>
                <w:sz w:val="24"/>
                <w:szCs w:val="24"/>
                <w:highlight w:val="none"/>
              </w:rPr>
            </w:pPr>
          </w:p>
        </w:tc>
        <w:tc>
          <w:tcPr>
            <w:tcW w:w="717" w:type="dxa"/>
            <w:vMerge w:val="continue"/>
            <w:vAlign w:val="center"/>
          </w:tcPr>
          <w:p w14:paraId="42838739">
            <w:pPr>
              <w:spacing w:line="400" w:lineRule="exact"/>
              <w:jc w:val="center"/>
              <w:rPr>
                <w:rFonts w:ascii="Times New Roman" w:hAnsi="Times New Roman" w:eastAsia="方正仿宋_GBK"/>
                <w:color w:val="auto"/>
                <w:sz w:val="24"/>
                <w:szCs w:val="24"/>
                <w:highlight w:val="none"/>
              </w:rPr>
            </w:pPr>
          </w:p>
        </w:tc>
        <w:tc>
          <w:tcPr>
            <w:tcW w:w="3658" w:type="dxa"/>
            <w:vAlign w:val="center"/>
          </w:tcPr>
          <w:p w14:paraId="4AD881E9">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w:t>
            </w:r>
            <w:r>
              <w:rPr>
                <w:rFonts w:hint="eastAsia" w:ascii="Times New Roman" w:hAnsi="Times New Roman" w:eastAsia="方正仿宋_GBK"/>
                <w:color w:val="auto"/>
                <w:sz w:val="24"/>
                <w:szCs w:val="24"/>
                <w:highlight w:val="none"/>
              </w:rPr>
              <w:t>.质量保证</w:t>
            </w:r>
            <w:r>
              <w:rPr>
                <w:rFonts w:ascii="Times New Roman" w:hAnsi="Times New Roman" w:eastAsia="方正仿宋_GBK"/>
                <w:color w:val="auto"/>
                <w:sz w:val="24"/>
                <w:szCs w:val="24"/>
                <w:highlight w:val="none"/>
              </w:rPr>
              <w:t>措施（</w:t>
            </w:r>
            <w:r>
              <w:rPr>
                <w:rFonts w:hint="eastAsia" w:eastAsia="方正仿宋_GBK"/>
                <w:color w:val="auto"/>
                <w:sz w:val="24"/>
                <w:szCs w:val="24"/>
                <w:highlight w:val="none"/>
                <w:lang w:val="en-US" w:eastAsia="zh-CN"/>
              </w:rPr>
              <w:t>15</w:t>
            </w:r>
            <w:r>
              <w:rPr>
                <w:rFonts w:ascii="Times New Roman" w:hAnsi="Times New Roman" w:eastAsia="方正仿宋_GBK"/>
                <w:color w:val="auto"/>
                <w:sz w:val="24"/>
                <w:szCs w:val="24"/>
                <w:highlight w:val="none"/>
              </w:rPr>
              <w:t>分）</w:t>
            </w:r>
          </w:p>
          <w:p w14:paraId="2BA5B8DC">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编制要点：对</w:t>
            </w:r>
            <w:r>
              <w:rPr>
                <w:rFonts w:hint="eastAsia" w:ascii="Times New Roman" w:hAnsi="Times New Roman" w:eastAsia="方正仿宋_GBK"/>
                <w:color w:val="auto"/>
                <w:sz w:val="24"/>
                <w:szCs w:val="24"/>
                <w:highlight w:val="none"/>
              </w:rPr>
              <w:t>服务</w:t>
            </w:r>
            <w:r>
              <w:rPr>
                <w:rFonts w:ascii="Times New Roman" w:hAnsi="Times New Roman" w:eastAsia="方正仿宋_GBK"/>
                <w:color w:val="auto"/>
                <w:sz w:val="24"/>
                <w:szCs w:val="24"/>
                <w:highlight w:val="none"/>
              </w:rPr>
              <w:t>的</w:t>
            </w:r>
            <w:r>
              <w:rPr>
                <w:rFonts w:hint="eastAsia" w:ascii="Times New Roman" w:hAnsi="Times New Roman" w:eastAsia="方正仿宋_GBK"/>
                <w:color w:val="auto"/>
                <w:sz w:val="24"/>
                <w:szCs w:val="24"/>
                <w:highlight w:val="none"/>
              </w:rPr>
              <w:t>质量</w:t>
            </w:r>
            <w:r>
              <w:rPr>
                <w:rFonts w:ascii="Times New Roman" w:hAnsi="Times New Roman" w:eastAsia="方正仿宋_GBK"/>
                <w:color w:val="auto"/>
                <w:sz w:val="24"/>
                <w:szCs w:val="24"/>
                <w:highlight w:val="none"/>
              </w:rPr>
              <w:t>提出</w:t>
            </w:r>
            <w:r>
              <w:rPr>
                <w:rFonts w:hint="eastAsia" w:ascii="Times New Roman" w:hAnsi="Times New Roman" w:eastAsia="方正仿宋_GBK"/>
                <w:color w:val="auto"/>
                <w:sz w:val="24"/>
                <w:szCs w:val="24"/>
                <w:highlight w:val="none"/>
              </w:rPr>
              <w:t>保证</w:t>
            </w:r>
            <w:r>
              <w:rPr>
                <w:rFonts w:ascii="Times New Roman" w:hAnsi="Times New Roman" w:eastAsia="方正仿宋_GBK"/>
                <w:color w:val="auto"/>
                <w:sz w:val="24"/>
                <w:szCs w:val="24"/>
                <w:highlight w:val="none"/>
              </w:rPr>
              <w:t>措施。</w:t>
            </w:r>
          </w:p>
          <w:p w14:paraId="7D09EB62">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编制内容完整，针对性强、可操作性强的为优，得</w:t>
            </w:r>
            <w:r>
              <w:rPr>
                <w:rFonts w:hint="eastAsia" w:eastAsia="方正仿宋_GBK"/>
                <w:color w:val="auto"/>
                <w:sz w:val="24"/>
                <w:szCs w:val="24"/>
                <w:highlight w:val="none"/>
                <w:lang w:val="en-US" w:eastAsia="zh-CN"/>
              </w:rPr>
              <w:t>15</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5D417C01">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w:t>
            </w:r>
            <w:r>
              <w:rPr>
                <w:rFonts w:hint="eastAsia" w:eastAsia="方正仿宋_GBK"/>
                <w:color w:val="auto"/>
                <w:sz w:val="24"/>
                <w:szCs w:val="24"/>
                <w:highlight w:val="none"/>
                <w:lang w:val="en-US" w:eastAsia="zh-CN"/>
              </w:rPr>
              <w:t>较为</w:t>
            </w:r>
            <w:r>
              <w:rPr>
                <w:rFonts w:ascii="Times New Roman" w:hAnsi="Times New Roman" w:eastAsia="方正仿宋_GBK"/>
                <w:color w:val="auto"/>
                <w:sz w:val="24"/>
                <w:szCs w:val="24"/>
                <w:highlight w:val="none"/>
              </w:rPr>
              <w:t>完整，针对性</w:t>
            </w:r>
            <w:r>
              <w:rPr>
                <w:rFonts w:hint="eastAsia" w:eastAsia="方正仿宋_GBK"/>
                <w:color w:val="auto"/>
                <w:sz w:val="24"/>
                <w:szCs w:val="24"/>
                <w:highlight w:val="none"/>
                <w:lang w:val="en-US" w:eastAsia="zh-CN"/>
              </w:rPr>
              <w:t>较</w:t>
            </w:r>
            <w:r>
              <w:rPr>
                <w:rFonts w:ascii="Times New Roman" w:hAnsi="Times New Roman" w:eastAsia="方正仿宋_GBK"/>
                <w:color w:val="auto"/>
                <w:sz w:val="24"/>
                <w:szCs w:val="24"/>
                <w:highlight w:val="none"/>
              </w:rPr>
              <w:t>强、可操作性</w:t>
            </w:r>
            <w:r>
              <w:rPr>
                <w:rFonts w:hint="eastAsia" w:eastAsia="方正仿宋_GBK"/>
                <w:color w:val="auto"/>
                <w:sz w:val="24"/>
                <w:szCs w:val="24"/>
                <w:highlight w:val="none"/>
                <w:lang w:val="en-US" w:eastAsia="zh-CN"/>
              </w:rPr>
              <w:t>较</w:t>
            </w:r>
            <w:r>
              <w:rPr>
                <w:rFonts w:ascii="Times New Roman" w:hAnsi="Times New Roman" w:eastAsia="方正仿宋_GBK"/>
                <w:color w:val="auto"/>
                <w:sz w:val="24"/>
                <w:szCs w:val="24"/>
                <w:highlight w:val="none"/>
              </w:rPr>
              <w:t>强的为</w:t>
            </w:r>
            <w:r>
              <w:rPr>
                <w:rFonts w:hint="eastAsia" w:eastAsia="方正仿宋_GBK"/>
                <w:color w:val="auto"/>
                <w:sz w:val="24"/>
                <w:szCs w:val="24"/>
                <w:highlight w:val="none"/>
                <w:lang w:val="en-US" w:eastAsia="zh-CN"/>
              </w:rPr>
              <w:t>良</w:t>
            </w:r>
            <w:r>
              <w:rPr>
                <w:rFonts w:ascii="Times New Roman" w:hAnsi="Times New Roman" w:eastAsia="方正仿宋_GBK"/>
                <w:color w:val="auto"/>
                <w:sz w:val="24"/>
                <w:szCs w:val="24"/>
                <w:highlight w:val="none"/>
              </w:rPr>
              <w:t>，得</w:t>
            </w:r>
            <w:r>
              <w:rPr>
                <w:rFonts w:hint="eastAsia" w:eastAsia="方正仿宋_GBK"/>
                <w:color w:val="auto"/>
                <w:sz w:val="24"/>
                <w:szCs w:val="24"/>
                <w:highlight w:val="none"/>
                <w:lang w:val="en-US" w:eastAsia="zh-CN"/>
              </w:rPr>
              <w:t>11</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0ECAEC8E">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编制内容基本完整，针对性一般、可操作性一般的为</w:t>
            </w:r>
            <w:r>
              <w:rPr>
                <w:rFonts w:hint="eastAsia" w:eastAsia="方正仿宋_GBK"/>
                <w:color w:val="auto"/>
                <w:sz w:val="24"/>
                <w:szCs w:val="24"/>
                <w:highlight w:val="none"/>
                <w:lang w:val="en-US" w:eastAsia="zh-CN"/>
              </w:rPr>
              <w:t>一般</w:t>
            </w:r>
            <w:r>
              <w:rPr>
                <w:rFonts w:ascii="Times New Roman" w:hAnsi="Times New Roman" w:eastAsia="方正仿宋_GBK"/>
                <w:color w:val="auto"/>
                <w:sz w:val="24"/>
                <w:szCs w:val="24"/>
                <w:highlight w:val="none"/>
              </w:rPr>
              <w:t>，得</w:t>
            </w:r>
            <w:r>
              <w:rPr>
                <w:rFonts w:hint="eastAsia" w:eastAsia="方正仿宋_GBK"/>
                <w:color w:val="auto"/>
                <w:sz w:val="24"/>
                <w:szCs w:val="24"/>
                <w:highlight w:val="none"/>
                <w:lang w:val="en-US" w:eastAsia="zh-CN"/>
              </w:rPr>
              <w:t>7</w:t>
            </w:r>
            <w:r>
              <w:rPr>
                <w:rFonts w:hint="eastAsia" w:eastAsia="方正仿宋_GBK"/>
                <w:color w:val="auto"/>
                <w:sz w:val="24"/>
                <w:szCs w:val="24"/>
                <w:highlight w:val="none"/>
                <w:lang w:eastAsia="zh-CN"/>
              </w:rPr>
              <w:t>分</w:t>
            </w:r>
            <w:r>
              <w:rPr>
                <w:rFonts w:ascii="Times New Roman" w:hAnsi="Times New Roman" w:eastAsia="方正仿宋_GBK"/>
                <w:color w:val="auto"/>
                <w:sz w:val="24"/>
                <w:szCs w:val="24"/>
                <w:highlight w:val="none"/>
              </w:rPr>
              <w:t>；</w:t>
            </w:r>
          </w:p>
          <w:p w14:paraId="5A590513">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编制内容不完整，针对性差、指导性差、可操作性差的为差，得</w:t>
            </w:r>
            <w:r>
              <w:rPr>
                <w:rFonts w:hint="eastAsia" w:eastAsia="方正仿宋_GBK"/>
                <w:color w:val="auto"/>
                <w:sz w:val="24"/>
                <w:szCs w:val="24"/>
                <w:highlight w:val="none"/>
                <w:lang w:val="en-US" w:eastAsia="zh-CN"/>
              </w:rPr>
              <w:t>3</w:t>
            </w:r>
            <w:r>
              <w:rPr>
                <w:rFonts w:ascii="Times New Roman" w:hAnsi="Times New Roman" w:eastAsia="方正仿宋_GBK"/>
                <w:color w:val="auto"/>
                <w:sz w:val="24"/>
                <w:szCs w:val="24"/>
                <w:highlight w:val="none"/>
              </w:rPr>
              <w:t>分；</w:t>
            </w:r>
          </w:p>
          <w:p w14:paraId="7EC3DEEA">
            <w:pPr>
              <w:spacing w:line="400" w:lineRule="exac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未提供不得分。</w:t>
            </w:r>
          </w:p>
        </w:tc>
        <w:tc>
          <w:tcPr>
            <w:tcW w:w="2180" w:type="dxa"/>
            <w:vMerge w:val="continue"/>
            <w:vAlign w:val="center"/>
          </w:tcPr>
          <w:p w14:paraId="6F27422E">
            <w:pPr>
              <w:spacing w:line="400" w:lineRule="exact"/>
              <w:rPr>
                <w:rFonts w:ascii="Times New Roman" w:hAnsi="Times New Roman" w:eastAsia="方正仿宋_GBK"/>
                <w:color w:val="auto"/>
                <w:sz w:val="24"/>
                <w:szCs w:val="24"/>
                <w:highlight w:val="none"/>
              </w:rPr>
            </w:pPr>
          </w:p>
        </w:tc>
      </w:tr>
      <w:tr w14:paraId="59E87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1" w:type="dxa"/>
            <w:vAlign w:val="center"/>
          </w:tcPr>
          <w:p w14:paraId="05539D7F">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w:t>
            </w:r>
          </w:p>
        </w:tc>
        <w:tc>
          <w:tcPr>
            <w:tcW w:w="1443" w:type="dxa"/>
            <w:vAlign w:val="center"/>
          </w:tcPr>
          <w:p w14:paraId="7485A7B4">
            <w:pPr>
              <w:spacing w:line="400" w:lineRule="exact"/>
              <w:jc w:val="center"/>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商务部分</w:t>
            </w:r>
          </w:p>
          <w:p w14:paraId="2D0B895C">
            <w:pPr>
              <w:spacing w:line="400" w:lineRule="exact"/>
              <w:jc w:val="center"/>
              <w:rPr>
                <w:color w:val="auto"/>
                <w:sz w:val="24"/>
                <w:szCs w:val="24"/>
                <w:highlight w:val="none"/>
              </w:rPr>
            </w:pPr>
            <w:r>
              <w:rPr>
                <w:rFonts w:hint="eastAsia" w:ascii="Times New Roman" w:hAnsi="Times New Roman" w:eastAsia="方正仿宋_GBK"/>
                <w:color w:val="auto"/>
                <w:sz w:val="24"/>
                <w:szCs w:val="24"/>
                <w:highlight w:val="none"/>
              </w:rPr>
              <w:t>（</w:t>
            </w:r>
            <w:r>
              <w:rPr>
                <w:rFonts w:hint="eastAsia" w:eastAsia="方正仿宋_GBK"/>
                <w:color w:val="auto"/>
                <w:sz w:val="24"/>
                <w:szCs w:val="24"/>
                <w:highlight w:val="none"/>
                <w:lang w:val="en-US" w:eastAsia="zh-CN"/>
              </w:rPr>
              <w:t>2</w:t>
            </w:r>
            <w:r>
              <w:rPr>
                <w:rFonts w:ascii="Times New Roman" w:hAnsi="Times New Roman" w:eastAsia="方正仿宋_GBK"/>
                <w:color w:val="auto"/>
                <w:sz w:val="24"/>
                <w:szCs w:val="24"/>
                <w:highlight w:val="none"/>
              </w:rPr>
              <w:t>0</w:t>
            </w:r>
            <w:r>
              <w:rPr>
                <w:rFonts w:hint="eastAsia" w:ascii="Times New Roman" w:hAnsi="Times New Roman" w:eastAsia="方正仿宋_GBK"/>
                <w:color w:val="auto"/>
                <w:sz w:val="24"/>
                <w:szCs w:val="24"/>
                <w:highlight w:val="none"/>
              </w:rPr>
              <w:t>%）</w:t>
            </w:r>
          </w:p>
        </w:tc>
        <w:tc>
          <w:tcPr>
            <w:tcW w:w="717" w:type="dxa"/>
            <w:vAlign w:val="center"/>
          </w:tcPr>
          <w:p w14:paraId="6060B699">
            <w:pPr>
              <w:spacing w:line="400" w:lineRule="exact"/>
              <w:jc w:val="center"/>
              <w:rPr>
                <w:rFonts w:hint="eastAsia" w:ascii="Times New Roman" w:hAnsi="Times New Roman" w:eastAsia="方正仿宋_GBK"/>
                <w:color w:val="auto"/>
                <w:sz w:val="24"/>
                <w:szCs w:val="24"/>
                <w:highlight w:val="none"/>
                <w:lang w:eastAsia="zh-CN"/>
              </w:rPr>
            </w:pPr>
            <w:r>
              <w:rPr>
                <w:rFonts w:hint="eastAsia" w:eastAsia="方正仿宋_GBK"/>
                <w:color w:val="auto"/>
                <w:sz w:val="24"/>
                <w:szCs w:val="24"/>
                <w:highlight w:val="none"/>
                <w:lang w:val="en-US" w:eastAsia="zh-CN"/>
              </w:rPr>
              <w:t>20</w:t>
            </w:r>
            <w:r>
              <w:rPr>
                <w:rFonts w:hint="eastAsia" w:eastAsia="方正仿宋_GBK"/>
                <w:color w:val="auto"/>
                <w:sz w:val="24"/>
                <w:szCs w:val="24"/>
                <w:highlight w:val="none"/>
                <w:lang w:eastAsia="zh-CN"/>
              </w:rPr>
              <w:t>分</w:t>
            </w:r>
          </w:p>
        </w:tc>
        <w:tc>
          <w:tcPr>
            <w:tcW w:w="3658" w:type="dxa"/>
            <w:vAlign w:val="center"/>
          </w:tcPr>
          <w:p w14:paraId="3BC5591B">
            <w:pPr>
              <w:rPr>
                <w:rFonts w:ascii="Times New Roman" w:hAnsi="Times New Roman"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供应商自20</w:t>
            </w:r>
            <w:r>
              <w:rPr>
                <w:rFonts w:hint="eastAsia" w:ascii="方正仿宋_GBK" w:hAnsi="方正仿宋_GBK" w:eastAsia="方正仿宋_GBK" w:cs="方正仿宋_GBK"/>
                <w:color w:val="auto"/>
                <w:sz w:val="24"/>
                <w:szCs w:val="24"/>
                <w:highlight w:val="none"/>
                <w:lang w:val="en-US" w:eastAsia="zh-CN"/>
              </w:rPr>
              <w:t>22</w:t>
            </w:r>
            <w:r>
              <w:rPr>
                <w:rFonts w:hint="eastAsia" w:ascii="方正仿宋_GBK" w:hAnsi="方正仿宋_GBK" w:eastAsia="方正仿宋_GBK" w:cs="方正仿宋_GBK"/>
                <w:color w:val="auto"/>
                <w:sz w:val="24"/>
                <w:szCs w:val="24"/>
                <w:highlight w:val="none"/>
              </w:rPr>
              <w:t>年1月1日起</w:t>
            </w:r>
            <w:r>
              <w:rPr>
                <w:rFonts w:hint="eastAsia" w:ascii="方正仿宋_GBK" w:hAnsi="方正仿宋_GBK" w:eastAsia="方正仿宋_GBK" w:cs="方正仿宋_GBK"/>
                <w:color w:val="auto"/>
                <w:sz w:val="24"/>
                <w:szCs w:val="24"/>
                <w:highlight w:val="none"/>
                <w:lang w:eastAsia="zh-CN"/>
              </w:rPr>
              <w:t>（以合同签订时间为准）</w:t>
            </w:r>
            <w:r>
              <w:rPr>
                <w:rFonts w:hint="eastAsia" w:ascii="方正仿宋_GBK" w:hAnsi="方正仿宋_GBK" w:eastAsia="方正仿宋_GBK" w:cs="方正仿宋_GBK"/>
                <w:color w:val="auto"/>
                <w:sz w:val="24"/>
                <w:szCs w:val="24"/>
                <w:highlight w:val="none"/>
              </w:rPr>
              <w:t>在全国范围内提供过类似服务的，每提供1份合同或其他有效证明文件得5分，最高得20分。</w:t>
            </w:r>
          </w:p>
        </w:tc>
        <w:tc>
          <w:tcPr>
            <w:tcW w:w="2180" w:type="dxa"/>
            <w:vAlign w:val="center"/>
          </w:tcPr>
          <w:p w14:paraId="38A4A292">
            <w:pPr>
              <w:ind w:left="-38" w:leftChars="0"/>
              <w:rPr>
                <w:rFonts w:hint="eastAsia" w:ascii="Times New Roman" w:hAnsi="Times New Roman" w:eastAsia="方正仿宋_GBK"/>
                <w:color w:val="auto"/>
                <w:sz w:val="24"/>
                <w:szCs w:val="24"/>
                <w:highlight w:val="none"/>
              </w:rPr>
            </w:pPr>
            <w:r>
              <w:rPr>
                <w:rFonts w:hint="eastAsia" w:ascii="方正仿宋_GBK" w:hAnsi="方正仿宋_GBK" w:eastAsia="方正仿宋_GBK" w:cs="方正仿宋_GBK"/>
                <w:color w:val="auto"/>
                <w:sz w:val="24"/>
                <w:szCs w:val="24"/>
                <w:highlight w:val="none"/>
              </w:rPr>
              <w:t>提供合同或其他有效证明文件</w:t>
            </w:r>
            <w:r>
              <w:rPr>
                <w:rFonts w:hint="eastAsia" w:ascii="方正仿宋_GBK" w:hAnsi="方正仿宋_GBK" w:eastAsia="方正仿宋_GBK" w:cs="方正仿宋_GBK"/>
                <w:color w:val="auto"/>
                <w:sz w:val="24"/>
                <w:szCs w:val="24"/>
                <w:highlight w:val="none"/>
                <w:lang w:val="en-US" w:eastAsia="zh-CN"/>
              </w:rPr>
              <w:t>复印件加盖供应商公章</w:t>
            </w:r>
            <w:r>
              <w:rPr>
                <w:rFonts w:hint="eastAsia" w:ascii="方正仿宋_GBK" w:hAnsi="方正仿宋_GBK" w:eastAsia="方正仿宋_GBK" w:cs="方正仿宋_GBK"/>
                <w:color w:val="auto"/>
                <w:sz w:val="24"/>
                <w:szCs w:val="24"/>
                <w:highlight w:val="none"/>
              </w:rPr>
              <w:t>。</w:t>
            </w:r>
          </w:p>
        </w:tc>
      </w:tr>
    </w:tbl>
    <w:p w14:paraId="732EA575">
      <w:pPr>
        <w:pStyle w:val="7"/>
        <w:numPr>
          <w:ilvl w:val="0"/>
          <w:numId w:val="0"/>
        </w:numPr>
        <w:rPr>
          <w:color w:val="auto"/>
          <w:highlight w:val="none"/>
        </w:rPr>
      </w:pPr>
    </w:p>
    <w:bookmarkEnd w:id="108"/>
    <w:p w14:paraId="4244E934">
      <w:pPr>
        <w:pStyle w:val="3"/>
        <w:rPr>
          <w:color w:val="auto"/>
          <w:highlight w:val="none"/>
        </w:rPr>
      </w:pPr>
      <w:bookmarkStart w:id="109" w:name="_Toc26995"/>
      <w:bookmarkStart w:id="110" w:name="_Toc106030892"/>
      <w:bookmarkStart w:id="111" w:name="_Toc102227313"/>
      <w:bookmarkStart w:id="112" w:name="_Toc76462337"/>
      <w:r>
        <w:rPr>
          <w:rFonts w:hint="eastAsia"/>
          <w:color w:val="auto"/>
          <w:highlight w:val="none"/>
        </w:rPr>
        <w:t>三、无效响应</w:t>
      </w:r>
      <w:bookmarkEnd w:id="109"/>
    </w:p>
    <w:p w14:paraId="68B336BC">
      <w:pPr>
        <w:snapToGrid w:val="0"/>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供应商发生以下条款情况之一者，视为无效报价：</w:t>
      </w:r>
    </w:p>
    <w:p w14:paraId="3E47AD5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（一）供应商不符合规定的资格条件的；</w:t>
      </w:r>
    </w:p>
    <w:p w14:paraId="5ED2347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（二）供应商未通过实质性响应审查的；</w:t>
      </w:r>
    </w:p>
    <w:p w14:paraId="413423E8">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（三）供应商所提交的响应文件未按“第七篇响应文件格式要求”要求签署或盖章的；</w:t>
      </w:r>
    </w:p>
    <w:p w14:paraId="0852513A">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（四）供应商的报价超过采购预算或最高限价的；</w:t>
      </w:r>
    </w:p>
    <w:p w14:paraId="5902DEA8">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（五）单位负责人为同一人或者存在直接控股、管理关系的不同供应商，参加同一合同项（包）报价的；</w:t>
      </w:r>
    </w:p>
    <w:p w14:paraId="5E24C2E6">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（六）为采购项目提供整体设计、规范编制或者项目管理、监理、检测等服务的供应商再参加该采购项目的其他采购活动的；</w:t>
      </w:r>
    </w:p>
    <w:p w14:paraId="4355D2A9">
      <w:pPr>
        <w:pStyle w:val="13"/>
        <w:spacing w:line="400" w:lineRule="exact"/>
        <w:ind w:firstLine="480" w:firstLineChars="200"/>
        <w:rPr>
          <w:rFonts w:hint="eastAsia" w:ascii="方正仿宋_GBK" w:hAnsi="方正仿宋_GBK" w:eastAsia="方正仿宋_GBK" w:cs="方正仿宋_GBK"/>
          <w:bCs/>
          <w:color w:val="auto"/>
          <w:sz w:val="24"/>
          <w:szCs w:val="24"/>
          <w:highlight w:val="none"/>
        </w:rPr>
      </w:pPr>
      <w:r>
        <w:rPr>
          <w:rFonts w:hint="eastAsia" w:ascii="方正仿宋_GBK" w:hAnsi="方正仿宋_GBK" w:eastAsia="方正仿宋_GBK" w:cs="方正仿宋_GBK"/>
          <w:bCs/>
          <w:color w:val="auto"/>
          <w:sz w:val="24"/>
          <w:szCs w:val="24"/>
          <w:highlight w:val="none"/>
        </w:rPr>
        <w:t>（七）法律、法规和竞采邀请书规定的其他无效情形。</w:t>
      </w:r>
    </w:p>
    <w:p w14:paraId="4E7F86D1">
      <w:pPr>
        <w:pStyle w:val="3"/>
        <w:rPr>
          <w:color w:val="auto"/>
          <w:highlight w:val="none"/>
        </w:rPr>
      </w:pPr>
      <w:bookmarkStart w:id="113" w:name="_Toc6719"/>
      <w:bookmarkStart w:id="114" w:name="_Toc4422"/>
      <w:bookmarkStart w:id="115" w:name="_Toc20005"/>
      <w:bookmarkStart w:id="116" w:name="_Toc23533"/>
      <w:bookmarkStart w:id="117" w:name="_Toc14355"/>
      <w:bookmarkStart w:id="118" w:name="_Toc11293"/>
      <w:bookmarkStart w:id="119" w:name="_Toc6204"/>
      <w:bookmarkStart w:id="120" w:name="_Toc6956"/>
      <w:bookmarkStart w:id="121" w:name="_Toc30605"/>
      <w:bookmarkStart w:id="122" w:name="_Toc25960"/>
      <w:bookmarkStart w:id="123" w:name="_Toc7802"/>
      <w:bookmarkStart w:id="124" w:name="_Toc21946"/>
      <w:bookmarkStart w:id="125" w:name="_Toc75793522"/>
      <w:bookmarkStart w:id="126" w:name="_Toc27133"/>
      <w:bookmarkStart w:id="127" w:name="_Toc25549"/>
      <w:bookmarkStart w:id="128" w:name="_Toc106030398"/>
      <w:bookmarkStart w:id="129" w:name="_Toc16306"/>
      <w:r>
        <w:rPr>
          <w:rFonts w:hint="eastAsia"/>
          <w:color w:val="auto"/>
          <w:highlight w:val="none"/>
        </w:rPr>
        <w:t>四、</w:t>
      </w:r>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Pr>
          <w:rFonts w:hint="eastAsia"/>
          <w:color w:val="auto"/>
          <w:highlight w:val="none"/>
        </w:rPr>
        <w:t>采购终止</w:t>
      </w:r>
      <w:bookmarkEnd w:id="129"/>
    </w:p>
    <w:p w14:paraId="0D63EF9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出现下列情形之一的，采购人或者采购代理机构应当终止采购活动，发布项目终止公告并说明原因，重新开展采购活动：</w:t>
      </w:r>
    </w:p>
    <w:p w14:paraId="4DEA803E">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（一）因情况变化，不再符合规定的采购方式适用情形的；</w:t>
      </w:r>
    </w:p>
    <w:p w14:paraId="384699F3">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（二）出现影响采购公正的违法、违规行为的；</w:t>
      </w:r>
    </w:p>
    <w:p w14:paraId="078CC770">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（三）在采购过程中符合竞采要求的供应商不足3家的。</w:t>
      </w:r>
    </w:p>
    <w:p w14:paraId="3ECBC417">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（四）项目出现其他实质性影响，可能导致项目无法正常开展的情形。</w:t>
      </w:r>
    </w:p>
    <w:p w14:paraId="6EFBAC79">
      <w:pPr>
        <w:rPr>
          <w:rFonts w:hint="eastAsia"/>
          <w:color w:val="auto"/>
          <w:highlight w:val="none"/>
        </w:rPr>
      </w:pPr>
      <w:r>
        <w:rPr>
          <w:rFonts w:hint="eastAsia"/>
          <w:color w:val="auto"/>
          <w:highlight w:val="none"/>
        </w:rPr>
        <w:br w:type="page"/>
      </w:r>
    </w:p>
    <w:p w14:paraId="2A2E8D3C">
      <w:pPr>
        <w:pStyle w:val="2"/>
        <w:jc w:val="center"/>
        <w:rPr>
          <w:color w:val="auto"/>
          <w:highlight w:val="none"/>
        </w:rPr>
      </w:pPr>
      <w:bookmarkStart w:id="130" w:name="_Toc24373"/>
      <w:r>
        <w:rPr>
          <w:rFonts w:hint="eastAsia"/>
          <w:color w:val="auto"/>
          <w:highlight w:val="none"/>
        </w:rPr>
        <w:t>第五篇 供应商须知</w:t>
      </w:r>
      <w:bookmarkEnd w:id="110"/>
      <w:bookmarkEnd w:id="111"/>
      <w:bookmarkEnd w:id="112"/>
      <w:bookmarkEnd w:id="130"/>
    </w:p>
    <w:p w14:paraId="56ECF955">
      <w:pPr>
        <w:pStyle w:val="3"/>
        <w:rPr>
          <w:color w:val="auto"/>
          <w:highlight w:val="none"/>
        </w:rPr>
      </w:pPr>
      <w:bookmarkStart w:id="131" w:name="_Toc76462338"/>
      <w:bookmarkStart w:id="132" w:name="_Toc13981"/>
      <w:bookmarkStart w:id="133" w:name="_Toc342913389"/>
      <w:bookmarkStart w:id="134" w:name="_Toc106030893"/>
      <w:r>
        <w:rPr>
          <w:rFonts w:hint="eastAsia"/>
          <w:color w:val="auto"/>
          <w:highlight w:val="none"/>
        </w:rPr>
        <w:t>一、竞采费用</w:t>
      </w:r>
      <w:bookmarkEnd w:id="131"/>
      <w:bookmarkEnd w:id="132"/>
      <w:bookmarkEnd w:id="133"/>
      <w:bookmarkEnd w:id="134"/>
    </w:p>
    <w:p w14:paraId="5C26171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参与竞采的供应商应承担其编制响应文件与递交响应文件所涉及的一切费用，不论竞采结果如何，采购人和采购代理机构在任何情况下无义务也无责任承担这些费用。</w:t>
      </w:r>
    </w:p>
    <w:p w14:paraId="3C514FDC">
      <w:pPr>
        <w:pStyle w:val="3"/>
        <w:rPr>
          <w:color w:val="auto"/>
          <w:highlight w:val="none"/>
        </w:rPr>
      </w:pPr>
      <w:bookmarkStart w:id="135" w:name="_Toc76462339"/>
      <w:bookmarkStart w:id="136" w:name="_Toc106030894"/>
      <w:bookmarkStart w:id="137" w:name="_Toc342913391"/>
      <w:bookmarkStart w:id="138" w:name="_Toc30846"/>
      <w:r>
        <w:rPr>
          <w:rFonts w:hint="eastAsia"/>
          <w:color w:val="auto"/>
          <w:highlight w:val="none"/>
        </w:rPr>
        <w:t>二、竞采文件</w:t>
      </w:r>
      <w:bookmarkEnd w:id="135"/>
      <w:bookmarkEnd w:id="136"/>
      <w:bookmarkEnd w:id="137"/>
      <w:bookmarkEnd w:id="138"/>
    </w:p>
    <w:p w14:paraId="167177BA">
      <w:pPr>
        <w:pStyle w:val="26"/>
        <w:ind w:firstLine="480"/>
        <w:rPr>
          <w:rFonts w:hint="eastAsia" w:ascii="方正仿宋_GBK" w:hAnsi="方正仿宋_GBK" w:eastAsia="方正仿宋_GBK" w:cs="方正仿宋_GBK"/>
          <w:b/>
          <w:bCs/>
          <w:color w:val="auto"/>
          <w:szCs w:val="28"/>
          <w:highlight w:val="none"/>
        </w:rPr>
      </w:pPr>
      <w:r>
        <w:rPr>
          <w:rFonts w:hint="eastAsia" w:ascii="方正仿宋_GBK" w:hAnsi="方正仿宋_GBK" w:eastAsia="方正仿宋_GBK" w:cs="方正仿宋_GBK"/>
          <w:color w:val="auto"/>
          <w:szCs w:val="28"/>
          <w:highlight w:val="none"/>
        </w:rPr>
        <w:t>（一）</w:t>
      </w:r>
      <w:r>
        <w:rPr>
          <w:rFonts w:hint="eastAsia" w:ascii="方正仿宋_GBK" w:hAnsi="方正仿宋_GBK" w:eastAsia="方正仿宋_GBK" w:cs="方正仿宋_GBK"/>
          <w:b/>
          <w:bCs/>
          <w:color w:val="auto"/>
          <w:szCs w:val="28"/>
          <w:highlight w:val="none"/>
        </w:rPr>
        <w:t>竞采文件由采购邀请书、项目服务需求、供应商须知、项目商务需求、竞采程序及评审标准、政府采购合同、响应文件编制要求七部分组成。</w:t>
      </w:r>
    </w:p>
    <w:p w14:paraId="1A0AD504">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（二）采购人（或采购代理机构）所作的一切有效的书面通知、修改及补充，都是竞采文件不可分割的部分。</w:t>
      </w:r>
    </w:p>
    <w:p w14:paraId="2C9AC80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（三）竞采文件的解释</w:t>
      </w:r>
    </w:p>
    <w:p w14:paraId="48F7A82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如对竞采文件有疑问，必须以书面形式在提交响应文件截止时间2个工作日前向采购人（或采购代理机构）要求澄清，采购人（或采购代理机构）可视具体情况做出处理或答复。如供应商未提出疑问，视为完全理解并同意本竞采文件。一经进入评审程序，即视为供应商已详细阅读全部文件资料，完全理解竞采文件所有条款内容并同意放弃对这方面有不明白及误解的权利。</w:t>
      </w:r>
      <w:bookmarkStart w:id="139" w:name="_Toc318159160"/>
      <w:bookmarkStart w:id="140" w:name="_Toc318166429"/>
      <w:bookmarkStart w:id="141" w:name="_Toc318159349"/>
      <w:bookmarkStart w:id="142" w:name="_Toc318159780"/>
    </w:p>
    <w:p w14:paraId="5FF9C4B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（四）评审的依据为竞采文件和响应文件（含有效的书面承诺）。评审小组判断响应文件对竞采文件的响应，仅基于响应文件本身而不靠外部证据。</w:t>
      </w:r>
    </w:p>
    <w:bookmarkEnd w:id="139"/>
    <w:bookmarkEnd w:id="140"/>
    <w:bookmarkEnd w:id="141"/>
    <w:bookmarkEnd w:id="142"/>
    <w:p w14:paraId="0BFB97D1">
      <w:pPr>
        <w:pStyle w:val="3"/>
        <w:rPr>
          <w:color w:val="auto"/>
          <w:highlight w:val="none"/>
        </w:rPr>
      </w:pPr>
      <w:bookmarkStart w:id="143" w:name="_Toc102227318"/>
      <w:bookmarkStart w:id="144" w:name="_Toc106030895"/>
      <w:bookmarkStart w:id="145" w:name="_Toc76462340"/>
      <w:bookmarkStart w:id="146" w:name="_Toc179714297"/>
      <w:bookmarkStart w:id="147" w:name="_Toc23740"/>
      <w:bookmarkStart w:id="148" w:name="_Toc342913392"/>
      <w:r>
        <w:rPr>
          <w:rFonts w:hint="eastAsia"/>
          <w:color w:val="auto"/>
          <w:highlight w:val="none"/>
        </w:rPr>
        <w:t>三、竞采要求</w:t>
      </w:r>
      <w:bookmarkEnd w:id="143"/>
      <w:bookmarkEnd w:id="144"/>
      <w:bookmarkEnd w:id="145"/>
      <w:bookmarkEnd w:id="146"/>
      <w:bookmarkEnd w:id="147"/>
      <w:bookmarkEnd w:id="148"/>
    </w:p>
    <w:p w14:paraId="4DFBD46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（一）响应文件</w:t>
      </w:r>
    </w:p>
    <w:p w14:paraId="5110B5C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1.供应商应当按照竞采文件的要求编制响应文件，并对竞采文件提出的要求和条件作出实质性响应。</w:t>
      </w:r>
    </w:p>
    <w:p w14:paraId="091A9A3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2.响应文件组成</w:t>
      </w:r>
    </w:p>
    <w:p w14:paraId="5C9BF52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14:paraId="661958B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（二）竞采有效期：响应文件及有关承诺文件有效期为提交响应文件截止时间起90天。</w:t>
      </w:r>
    </w:p>
    <w:p w14:paraId="756E8754">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（三）修正错误</w:t>
      </w:r>
    </w:p>
    <w:p w14:paraId="2C4A899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1.若供应商所递交的响应文件或最后报价中的价格出现大写金额和小写金额不一致的错误，以</w:t>
      </w:r>
      <w:r>
        <w:rPr>
          <w:rFonts w:hint="eastAsia" w:ascii="方正仿宋_GBK" w:hAnsi="方正仿宋_GBK" w:eastAsia="方正仿宋_GBK" w:cs="方正仿宋_GBK"/>
          <w:b/>
          <w:bCs/>
          <w:color w:val="auto"/>
          <w:szCs w:val="28"/>
          <w:highlight w:val="none"/>
          <w:u w:val="single"/>
        </w:rPr>
        <w:t>大写金额修正为准</w:t>
      </w:r>
      <w:r>
        <w:rPr>
          <w:rFonts w:hint="eastAsia" w:ascii="方正仿宋_GBK" w:hAnsi="方正仿宋_GBK" w:eastAsia="方正仿宋_GBK" w:cs="方正仿宋_GBK"/>
          <w:color w:val="auto"/>
          <w:szCs w:val="28"/>
          <w:highlight w:val="none"/>
        </w:rPr>
        <w:t>。</w:t>
      </w:r>
    </w:p>
    <w:p w14:paraId="428D4B3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2.竞采小组按上述修正错误的原则及方法修正供应商的报价，供应商同意并签字确认后，修正后的报价对供应商具有约束作用。如果供应商不接受修正后的价格，将失去成为成交供应商的资格。</w:t>
      </w:r>
    </w:p>
    <w:p w14:paraId="418C0D6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（四）提交响应文件的份数和签署</w:t>
      </w:r>
    </w:p>
    <w:p w14:paraId="34EBACC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1.响应文件电子文档一份。</w:t>
      </w:r>
    </w:p>
    <w:p w14:paraId="5050C94D">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2.响应文件按竞采文件“第七篇响应文件编制要求”要求签署或盖章。</w:t>
      </w:r>
    </w:p>
    <w:p w14:paraId="46477BD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（五）响应文件的递交</w:t>
      </w:r>
    </w:p>
    <w:p w14:paraId="3F66E46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响应文件的电子文档应在有效报名时间段内，通过竞采系统在线提交。</w:t>
      </w:r>
    </w:p>
    <w:p w14:paraId="6954786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（竞采项目实行在线报名、在线评审，非必需，原则上供应商不参与线下评审环节。）</w:t>
      </w:r>
    </w:p>
    <w:p w14:paraId="689C5B2A">
      <w:pPr>
        <w:pStyle w:val="26"/>
        <w:ind w:firstLine="480"/>
        <w:rPr>
          <w:rFonts w:hint="eastAsia" w:ascii="方正仿宋_GBK" w:hAnsi="方正仿宋_GBK" w:eastAsia="方正仿宋_GBK" w:cs="方正仿宋_GBK"/>
          <w:color w:val="auto"/>
          <w:szCs w:val="28"/>
          <w:highlight w:val="none"/>
        </w:rPr>
      </w:pPr>
      <w:bookmarkStart w:id="149" w:name="_Toc76462341"/>
      <w:bookmarkStart w:id="150" w:name="_Toc106030896"/>
      <w:r>
        <w:rPr>
          <w:rFonts w:hint="eastAsia"/>
          <w:color w:val="auto"/>
          <w:highlight w:val="none"/>
        </w:rPr>
        <w:t>四</w:t>
      </w:r>
      <w:r>
        <w:rPr>
          <w:rFonts w:hint="eastAsia" w:ascii="方正仿宋_GBK" w:hAnsi="方正仿宋_GBK" w:eastAsia="方正仿宋_GBK" w:cs="方正仿宋_GBK"/>
          <w:color w:val="auto"/>
          <w:szCs w:val="28"/>
          <w:highlight w:val="none"/>
        </w:rPr>
        <w:t>、成交供应商的确认和变更</w:t>
      </w:r>
      <w:bookmarkEnd w:id="149"/>
      <w:bookmarkEnd w:id="150"/>
    </w:p>
    <w:p w14:paraId="5162403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（一）成交供应商的确认</w:t>
      </w:r>
    </w:p>
    <w:p w14:paraId="41471FC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采购人应当在5个工作日内，从评审报告提出的成交候选供应商中，按照排序由高到低的原则确定成交供应商，也可以授权竞采小组直接确定成交供应商。</w:t>
      </w:r>
    </w:p>
    <w:p w14:paraId="609BEBCA">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（二）成交供应商的变更</w:t>
      </w:r>
    </w:p>
    <w:p w14:paraId="58B188E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成交供应商拒绝与采购人签订合同的，采购人可以按照评审报告推荐的成交候选供应商顺序，确定排名下一位的候选供应商为成交供应商，也可以重新开展竞采活动。</w:t>
      </w:r>
    </w:p>
    <w:p w14:paraId="2DDF2FE3">
      <w:pPr>
        <w:pStyle w:val="3"/>
        <w:rPr>
          <w:color w:val="auto"/>
          <w:highlight w:val="none"/>
        </w:rPr>
      </w:pPr>
      <w:bookmarkStart w:id="151" w:name="_Toc102227321"/>
      <w:bookmarkStart w:id="152" w:name="_Toc342913395"/>
      <w:bookmarkStart w:id="153" w:name="_Toc76462342"/>
      <w:bookmarkStart w:id="154" w:name="_Toc27602"/>
      <w:bookmarkStart w:id="155" w:name="_Toc106030897"/>
      <w:r>
        <w:rPr>
          <w:rFonts w:hint="eastAsia"/>
          <w:color w:val="auto"/>
          <w:highlight w:val="none"/>
        </w:rPr>
        <w:t>五、成交通知</w:t>
      </w:r>
      <w:bookmarkEnd w:id="151"/>
      <w:bookmarkEnd w:id="152"/>
      <w:bookmarkEnd w:id="153"/>
      <w:bookmarkEnd w:id="154"/>
      <w:bookmarkEnd w:id="155"/>
    </w:p>
    <w:p w14:paraId="663CE2F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（一）成交供应商确定后，采购人/代理机构将在行采家（https://www.gec123.com/）上发布成交结果公告。</w:t>
      </w:r>
    </w:p>
    <w:p w14:paraId="48DD07B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（二）结果公告发出同时，采购人/代理机构将以书面形式发出《成交通知书》。《成交通知书》一经发出即发生法律效力。</w:t>
      </w:r>
    </w:p>
    <w:p w14:paraId="627D97F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（三）《成交通知书》作为签订合同的依据。</w:t>
      </w:r>
    </w:p>
    <w:p w14:paraId="073D0B66">
      <w:pPr>
        <w:pStyle w:val="3"/>
        <w:rPr>
          <w:color w:val="auto"/>
          <w:highlight w:val="none"/>
        </w:rPr>
      </w:pPr>
      <w:bookmarkStart w:id="156" w:name="_Toc7886"/>
      <w:bookmarkStart w:id="157" w:name="_Toc76462343"/>
      <w:bookmarkStart w:id="158" w:name="_Toc106030898"/>
      <w:r>
        <w:rPr>
          <w:rFonts w:hint="eastAsia"/>
          <w:color w:val="auto"/>
          <w:highlight w:val="none"/>
        </w:rPr>
        <w:t>六、关于质疑和投诉</w:t>
      </w:r>
      <w:bookmarkEnd w:id="156"/>
      <w:bookmarkEnd w:id="157"/>
      <w:bookmarkEnd w:id="158"/>
    </w:p>
    <w:p w14:paraId="4BEB01E6">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（一）质疑</w:t>
      </w:r>
    </w:p>
    <w:p w14:paraId="11B4B71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供应商认为采购文件、采购过程和成交结果使自己的权益收到伤害的，可向采购人或采购代理机构以书面形式提出质疑。</w:t>
      </w:r>
    </w:p>
    <w:p w14:paraId="5CE09B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 xml:space="preserve">提出质疑的应当是参与所质疑项目采购活动的供应商。 </w:t>
      </w:r>
    </w:p>
    <w:p w14:paraId="2FB5067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1.质疑时限、内容</w:t>
      </w:r>
    </w:p>
    <w:p w14:paraId="4EC6E31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供应商认为采购文件、采购过程、成交结果使自己的权益受到损害的，可以在知道或者应知其权益受到损害之日起2个工作日内，以书面形式向采购人、采购代理机构提出质疑。</w:t>
      </w:r>
    </w:p>
    <w:p w14:paraId="3F02E8F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1.2供应商提出质疑应当提交质疑函和必要的证明材料，质疑函应当包括下列内容：</w:t>
      </w:r>
    </w:p>
    <w:p w14:paraId="6DAFE5A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1.2.1供应商的名称、地址、联系人及联系电话；</w:t>
      </w:r>
    </w:p>
    <w:p w14:paraId="100A3207">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1.2.2质疑项目的名称、采购编号；</w:t>
      </w:r>
    </w:p>
    <w:p w14:paraId="722E01D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1.2.3具体、明确的质疑事项和与质疑事项相关的请求；</w:t>
      </w:r>
    </w:p>
    <w:p w14:paraId="6A09AA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1.2.4事实依据；</w:t>
      </w:r>
    </w:p>
    <w:p w14:paraId="0FD98509">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1.2.5必要的法律依据；</w:t>
      </w:r>
    </w:p>
    <w:p w14:paraId="26D1562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1.2.6提出质疑的日期；</w:t>
      </w:r>
    </w:p>
    <w:p w14:paraId="47E3E71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1.2.7营业执照（或事业单位法人证书，或个体工商户营业执照或有效的自然人身份证明）复印件；</w:t>
      </w:r>
    </w:p>
    <w:p w14:paraId="0D2663E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1.2.8法定代表人授权委托书原件、法定代表人身份证复印件和其授权代表的身份证复印件（供应商为自然人的提供自然人身份证复印件）；</w:t>
      </w:r>
    </w:p>
    <w:p w14:paraId="14D2A3DB">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1.3供应商为自然人的，质疑函应当由本人签字；供应商为法人或者其他组织的，质疑函应当由法定代表人、主要负责人，或者其授权代表签字或者盖章，并加盖公章。</w:t>
      </w:r>
    </w:p>
    <w:p w14:paraId="6FE4B85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2.质疑答复</w:t>
      </w:r>
    </w:p>
    <w:p w14:paraId="34819D48">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采购人、采购代理机构应当在收到供应商的书面质疑后2个工作日内作出答复，并以书面形式通知质疑供应商和其他有关供应商。</w:t>
      </w:r>
    </w:p>
    <w:p w14:paraId="6B7B905F">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3.其他</w:t>
      </w:r>
    </w:p>
    <w:p w14:paraId="7E5E75B5">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（如有）</w:t>
      </w:r>
    </w:p>
    <w:p w14:paraId="08D6A1D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（二）投诉</w:t>
      </w:r>
    </w:p>
    <w:p w14:paraId="2D0C273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1.供应商对采购人、采购代理机构的答复不满意，或者采购人、采购代理机构未在规定时间内作出答复的，可以在答复期满后2个工作日内向璧山国资中心提起投诉。</w:t>
      </w:r>
    </w:p>
    <w:p w14:paraId="4648A4CC">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2.在确定受理投诉后，璧山国资中心7个工作日内（需要检验、检测、鉴定、专家评审以及需要投诉人补正材料的，所需时间不计算在投诉处理期限内）对投诉事项做出处理决定。</w:t>
      </w:r>
    </w:p>
    <w:p w14:paraId="6BE6F4B5">
      <w:pPr>
        <w:pStyle w:val="3"/>
        <w:rPr>
          <w:color w:val="auto"/>
          <w:highlight w:val="none"/>
        </w:rPr>
      </w:pPr>
      <w:bookmarkStart w:id="159" w:name="_Toc106030899"/>
      <w:bookmarkStart w:id="160" w:name="_Toc27157"/>
      <w:bookmarkStart w:id="161" w:name="_Toc76462344"/>
      <w:r>
        <w:rPr>
          <w:rFonts w:hint="eastAsia"/>
          <w:color w:val="auto"/>
          <w:highlight w:val="none"/>
        </w:rPr>
        <w:t>七、采购代理服务费</w:t>
      </w:r>
      <w:bookmarkEnd w:id="159"/>
      <w:bookmarkEnd w:id="160"/>
      <w:bookmarkEnd w:id="161"/>
    </w:p>
    <w:p w14:paraId="1646B25A">
      <w:pPr>
        <w:pStyle w:val="26"/>
        <w:ind w:firstLine="480"/>
        <w:rPr>
          <w:rFonts w:hint="eastAsia" w:ascii="方正仿宋_GBK" w:hAnsi="方正仿宋_GBK" w:eastAsia="方正仿宋_GBK" w:cs="方正仿宋_GBK"/>
          <w:color w:val="auto"/>
          <w:szCs w:val="28"/>
          <w:highlight w:val="none"/>
        </w:rPr>
      </w:pPr>
      <w:bookmarkStart w:id="162" w:name="OLE_LINK8"/>
      <w:bookmarkStart w:id="163" w:name="OLE_LINK7"/>
      <w:r>
        <w:rPr>
          <w:rFonts w:hint="eastAsia" w:ascii="方正仿宋_GBK" w:hAnsi="方正仿宋_GBK" w:eastAsia="方正仿宋_GBK" w:cs="方正仿宋_GBK"/>
          <w:color w:val="auto"/>
          <w:szCs w:val="28"/>
          <w:highlight w:val="none"/>
        </w:rPr>
        <w:t>（一）供应商成交后向采购代理机构缴纳采购代理服务费，采购代理服务费</w:t>
      </w:r>
      <w:bookmarkEnd w:id="162"/>
      <w:bookmarkEnd w:id="163"/>
      <w:r>
        <w:rPr>
          <w:rFonts w:hint="eastAsia" w:ascii="方正仿宋_GBK" w:hAnsi="方正仿宋_GBK" w:eastAsia="方正仿宋_GBK" w:cs="方正仿宋_GBK"/>
          <w:color w:val="auto"/>
          <w:szCs w:val="28"/>
          <w:highlight w:val="none"/>
        </w:rPr>
        <w:t>为</w:t>
      </w:r>
      <w:r>
        <w:rPr>
          <w:rFonts w:hint="eastAsia" w:ascii="方正仿宋_GBK" w:hAnsi="方正仿宋_GBK" w:eastAsia="方正仿宋_GBK" w:cs="方正仿宋_GBK"/>
          <w:color w:val="auto"/>
          <w:szCs w:val="28"/>
          <w:highlight w:val="none"/>
          <w:lang w:val="en-US" w:eastAsia="zh-CN"/>
        </w:rPr>
        <w:t>4200.00</w:t>
      </w:r>
      <w:r>
        <w:rPr>
          <w:rFonts w:hint="eastAsia" w:ascii="方正仿宋_GBK" w:hAnsi="方正仿宋_GBK" w:eastAsia="方正仿宋_GBK" w:cs="方正仿宋_GBK"/>
          <w:color w:val="auto"/>
          <w:szCs w:val="28"/>
          <w:highlight w:val="none"/>
        </w:rPr>
        <w:t>元。</w:t>
      </w:r>
    </w:p>
    <w:p w14:paraId="3134DE12">
      <w:pPr>
        <w:pStyle w:val="3"/>
        <w:rPr>
          <w:color w:val="auto"/>
          <w:highlight w:val="none"/>
        </w:rPr>
      </w:pPr>
      <w:bookmarkStart w:id="164" w:name="_Toc102227322"/>
      <w:bookmarkStart w:id="165" w:name="_Toc342913396"/>
      <w:bookmarkStart w:id="166" w:name="_Toc76462346"/>
      <w:bookmarkStart w:id="167" w:name="_Toc106030901"/>
      <w:bookmarkStart w:id="168" w:name="_Toc3264"/>
      <w:r>
        <w:rPr>
          <w:rFonts w:hint="eastAsia"/>
          <w:color w:val="auto"/>
          <w:highlight w:val="none"/>
        </w:rPr>
        <w:t>八、签订</w:t>
      </w:r>
      <w:bookmarkEnd w:id="164"/>
      <w:r>
        <w:rPr>
          <w:rFonts w:hint="eastAsia"/>
          <w:color w:val="auto"/>
          <w:highlight w:val="none"/>
        </w:rPr>
        <w:t>合同</w:t>
      </w:r>
      <w:bookmarkEnd w:id="165"/>
      <w:bookmarkEnd w:id="166"/>
      <w:bookmarkEnd w:id="167"/>
      <w:bookmarkEnd w:id="168"/>
    </w:p>
    <w:p w14:paraId="543814E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（一）采购人原则上应在结果公告发出之日起</w:t>
      </w:r>
      <w:r>
        <w:rPr>
          <w:rFonts w:hint="eastAsia" w:ascii="方正仿宋_GBK" w:hAnsi="方正仿宋_GBK" w:eastAsia="方正仿宋_GBK" w:cs="方正仿宋_GBK"/>
          <w:color w:val="auto"/>
          <w:szCs w:val="28"/>
          <w:highlight w:val="none"/>
          <w:lang w:val="en-US" w:eastAsia="zh-CN"/>
        </w:rPr>
        <w:t>30</w:t>
      </w:r>
      <w:r>
        <w:rPr>
          <w:rFonts w:hint="eastAsia" w:ascii="方正仿宋_GBK" w:hAnsi="方正仿宋_GBK" w:eastAsia="方正仿宋_GBK" w:cs="方正仿宋_GBK"/>
          <w:color w:val="auto"/>
          <w:szCs w:val="28"/>
          <w:highlight w:val="none"/>
        </w:rPr>
        <w:t>日内和成交供应商签订采购合同，无正当理由不得拒绝或拖延合同签订。所签订的合同不得对竞采文件和</w:t>
      </w:r>
      <w:r>
        <w:rPr>
          <w:rFonts w:hint="eastAsia" w:ascii="方正仿宋_GBK" w:hAnsi="方正仿宋_GBK" w:eastAsia="方正仿宋_GBK" w:cs="方正仿宋_GBK"/>
          <w:color w:val="auto"/>
          <w:szCs w:val="28"/>
          <w:highlight w:val="none"/>
          <w:lang w:val="en-US" w:eastAsia="zh-CN"/>
        </w:rPr>
        <w:t>成交</w:t>
      </w:r>
      <w:r>
        <w:rPr>
          <w:rFonts w:hint="eastAsia" w:ascii="方正仿宋_GBK" w:hAnsi="方正仿宋_GBK" w:eastAsia="方正仿宋_GBK" w:cs="方正仿宋_GBK"/>
          <w:color w:val="auto"/>
          <w:szCs w:val="28"/>
          <w:highlight w:val="none"/>
        </w:rPr>
        <w:t>供应商的响应文件作实质性修改。其他未尽事宜由采购人和成交供应商在采购合同中详细约定。</w:t>
      </w:r>
    </w:p>
    <w:p w14:paraId="0687D7BD">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（二）竞采文件、供应商的响应文件及澄清文件等，均为签订采购合同的依据。</w:t>
      </w:r>
    </w:p>
    <w:p w14:paraId="246C2901">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（三）合同生效条款由供需双方约定，法律、行政法规规定应当办理批准、登记等手续后生效的合同，依照其规定。</w:t>
      </w:r>
    </w:p>
    <w:p w14:paraId="646DDFCE">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（四）合同原则上应按照</w:t>
      </w:r>
      <w:bookmarkStart w:id="169" w:name="OLE_LINK1"/>
      <w:r>
        <w:rPr>
          <w:rFonts w:hint="eastAsia" w:ascii="方正仿宋_GBK" w:hAnsi="方正仿宋_GBK" w:eastAsia="方正仿宋_GBK" w:cs="方正仿宋_GBK"/>
          <w:color w:val="auto"/>
          <w:szCs w:val="28"/>
          <w:highlight w:val="none"/>
        </w:rPr>
        <w:t>《</w:t>
      </w:r>
      <w:bookmarkEnd w:id="169"/>
      <w:r>
        <w:rPr>
          <w:rFonts w:hint="eastAsia" w:ascii="方正仿宋_GBK" w:hAnsi="方正仿宋_GBK" w:eastAsia="方正仿宋_GBK" w:cs="方正仿宋_GBK"/>
          <w:color w:val="auto"/>
          <w:szCs w:val="28"/>
          <w:highlight w:val="none"/>
          <w:lang w:eastAsia="zh-CN"/>
        </w:rPr>
        <w:t>竞采合同</w:t>
      </w:r>
      <w:r>
        <w:rPr>
          <w:rFonts w:hint="eastAsia" w:ascii="方正仿宋_GBK" w:hAnsi="方正仿宋_GBK" w:eastAsia="方正仿宋_GBK" w:cs="方正仿宋_GBK"/>
          <w:color w:val="auto"/>
          <w:szCs w:val="28"/>
          <w:highlight w:val="none"/>
        </w:rPr>
        <w:t>》签订，相关单位要求适用合同通用格式版本的，应按其要求另行签订其他合同。</w:t>
      </w:r>
    </w:p>
    <w:p w14:paraId="662FD6DF">
      <w:pPr>
        <w:pStyle w:val="3"/>
        <w:rPr>
          <w:color w:val="auto"/>
          <w:highlight w:val="none"/>
        </w:rPr>
      </w:pPr>
      <w:bookmarkStart w:id="170" w:name="_Toc17325"/>
      <w:bookmarkStart w:id="171" w:name="_Toc106030902"/>
      <w:r>
        <w:rPr>
          <w:rFonts w:hint="eastAsia"/>
          <w:color w:val="auto"/>
          <w:highlight w:val="none"/>
        </w:rPr>
        <w:t>九、项目验收</w:t>
      </w:r>
      <w:bookmarkEnd w:id="170"/>
      <w:bookmarkEnd w:id="171"/>
    </w:p>
    <w:p w14:paraId="54531E93">
      <w:pPr>
        <w:pStyle w:val="26"/>
        <w:ind w:firstLine="480"/>
        <w:rPr>
          <w:rFonts w:hint="eastAsia" w:ascii="方正仿宋_GBK" w:hAnsi="方正仿宋_GBK" w:eastAsia="方正仿宋_GBK" w:cs="方正仿宋_GBK"/>
          <w:color w:val="auto"/>
          <w:szCs w:val="28"/>
          <w:highlight w:val="none"/>
        </w:rPr>
      </w:pPr>
      <w:r>
        <w:rPr>
          <w:rFonts w:hint="eastAsia" w:ascii="方正仿宋_GBK" w:hAnsi="方正仿宋_GBK" w:eastAsia="方正仿宋_GBK" w:cs="方正仿宋_GBK"/>
          <w:color w:val="auto"/>
          <w:szCs w:val="28"/>
          <w:highlight w:val="none"/>
        </w:rPr>
        <w:t>合同执行完毕，采购人或采购代理机构原则上应在5个工作日内组织履约情况验收，不得无故拖延或附加额外条件。</w:t>
      </w:r>
    </w:p>
    <w:p w14:paraId="13C8C705">
      <w:pPr>
        <w:pStyle w:val="26"/>
        <w:ind w:firstLine="480"/>
        <w:rPr>
          <w:rFonts w:hint="eastAsia" w:ascii="方正仿宋_GBK" w:hAnsi="方正仿宋_GBK" w:eastAsia="方正仿宋_GBK" w:cs="方正仿宋_GBK"/>
          <w:color w:val="auto"/>
          <w:szCs w:val="28"/>
          <w:highlight w:val="none"/>
        </w:rPr>
      </w:pPr>
    </w:p>
    <w:p w14:paraId="1887C796">
      <w:pPr>
        <w:pStyle w:val="26"/>
        <w:ind w:firstLine="480"/>
        <w:rPr>
          <w:rFonts w:hint="eastAsia" w:ascii="方正仿宋_GBK" w:hAnsi="方正仿宋_GBK" w:eastAsia="方正仿宋_GBK" w:cs="方正仿宋_GBK"/>
          <w:color w:val="auto"/>
          <w:szCs w:val="28"/>
          <w:highlight w:val="none"/>
        </w:rPr>
      </w:pPr>
    </w:p>
    <w:p w14:paraId="2C0084E2">
      <w:pPr>
        <w:pStyle w:val="26"/>
        <w:ind w:firstLine="480"/>
        <w:rPr>
          <w:rFonts w:hint="eastAsia" w:ascii="方正仿宋_GBK" w:hAnsi="方正仿宋_GBK" w:eastAsia="方正仿宋_GBK" w:cs="方正仿宋_GBK"/>
          <w:color w:val="auto"/>
          <w:szCs w:val="28"/>
          <w:highlight w:val="none"/>
        </w:rPr>
      </w:pPr>
    </w:p>
    <w:p w14:paraId="2AF69F34">
      <w:pPr>
        <w:pStyle w:val="26"/>
        <w:ind w:firstLine="480"/>
        <w:rPr>
          <w:rFonts w:hint="eastAsia" w:ascii="方正仿宋_GBK" w:hAnsi="方正仿宋_GBK" w:eastAsia="方正仿宋_GBK" w:cs="方正仿宋_GBK"/>
          <w:color w:val="auto"/>
          <w:szCs w:val="28"/>
          <w:highlight w:val="none"/>
        </w:rPr>
      </w:pPr>
    </w:p>
    <w:p w14:paraId="52466435">
      <w:pPr>
        <w:pStyle w:val="26"/>
        <w:ind w:firstLine="480"/>
        <w:rPr>
          <w:rFonts w:hint="eastAsia" w:ascii="方正仿宋_GBK" w:hAnsi="方正仿宋_GBK" w:eastAsia="方正仿宋_GBK" w:cs="方正仿宋_GBK"/>
          <w:color w:val="auto"/>
          <w:szCs w:val="28"/>
          <w:highlight w:val="none"/>
        </w:rPr>
      </w:pPr>
    </w:p>
    <w:p w14:paraId="717F28AE">
      <w:pPr>
        <w:pStyle w:val="26"/>
        <w:ind w:firstLine="480"/>
        <w:rPr>
          <w:rFonts w:hint="eastAsia" w:ascii="方正仿宋_GBK" w:hAnsi="方正仿宋_GBK" w:eastAsia="方正仿宋_GBK" w:cs="方正仿宋_GBK"/>
          <w:color w:val="auto"/>
          <w:szCs w:val="28"/>
          <w:highlight w:val="none"/>
        </w:rPr>
      </w:pPr>
    </w:p>
    <w:p w14:paraId="15D78D22">
      <w:pPr>
        <w:rPr>
          <w:rFonts w:hint="eastAsia"/>
          <w:color w:val="auto"/>
          <w:highlight w:val="none"/>
        </w:rPr>
      </w:pPr>
      <w:bookmarkStart w:id="172" w:name="_Toc109836391"/>
      <w:bookmarkStart w:id="173" w:name="_Toc31945"/>
      <w:r>
        <w:rPr>
          <w:rFonts w:hint="eastAsia"/>
          <w:color w:val="auto"/>
          <w:highlight w:val="none"/>
        </w:rPr>
        <w:br w:type="page"/>
      </w:r>
    </w:p>
    <w:p w14:paraId="7CF1200F">
      <w:pPr>
        <w:pStyle w:val="2"/>
        <w:jc w:val="center"/>
        <w:rPr>
          <w:color w:val="auto"/>
          <w:highlight w:val="none"/>
        </w:rPr>
      </w:pPr>
      <w:r>
        <w:rPr>
          <w:rFonts w:hint="eastAsia"/>
          <w:color w:val="auto"/>
          <w:highlight w:val="none"/>
        </w:rPr>
        <w:t>第六篇  网上竞采合同</w:t>
      </w:r>
      <w:bookmarkEnd w:id="172"/>
      <w:r>
        <w:rPr>
          <w:rFonts w:hint="eastAsia"/>
          <w:color w:val="auto"/>
          <w:highlight w:val="none"/>
        </w:rPr>
        <w:t>（格式）</w:t>
      </w:r>
      <w:bookmarkEnd w:id="173"/>
    </w:p>
    <w:p w14:paraId="6065FFCB">
      <w:pPr>
        <w:spacing w:line="660" w:lineRule="exact"/>
        <w:jc w:val="center"/>
        <w:rPr>
          <w:rFonts w:hint="eastAsia" w:ascii="宋体" w:hAnsi="宋体" w:eastAsia="宋体" w:cs="宋体"/>
          <w:color w:val="auto"/>
          <w:sz w:val="52"/>
          <w:szCs w:val="52"/>
          <w:highlight w:val="none"/>
        </w:rPr>
      </w:pPr>
      <w:r>
        <w:rPr>
          <w:rFonts w:hint="eastAsia" w:ascii="Times New Roman" w:hAnsi="Times New Roman" w:eastAsia="方正小标宋_GBK"/>
          <w:color w:val="auto"/>
          <w:sz w:val="52"/>
          <w:szCs w:val="52"/>
          <w:highlight w:val="none"/>
          <w:lang w:eastAsia="zh-CN"/>
        </w:rPr>
        <w:br w:type="page"/>
      </w:r>
      <w:r>
        <w:rPr>
          <w:rFonts w:hint="eastAsia" w:ascii="宋体" w:hAnsi="宋体" w:eastAsia="宋体" w:cs="宋体"/>
          <w:color w:val="auto"/>
          <w:sz w:val="52"/>
          <w:szCs w:val="52"/>
          <w:highlight w:val="none"/>
        </w:rPr>
        <w:t>重庆市璧山区排水管网整治工程三期—雨水提升工程箱变维修增容服务</w:t>
      </w:r>
    </w:p>
    <w:p w14:paraId="7AF48C0A">
      <w:pPr>
        <w:spacing w:line="660" w:lineRule="exact"/>
        <w:jc w:val="center"/>
        <w:rPr>
          <w:rFonts w:hint="eastAsia" w:ascii="宋体" w:hAnsi="宋体" w:eastAsia="宋体" w:cs="宋体"/>
          <w:color w:val="auto"/>
          <w:sz w:val="52"/>
          <w:szCs w:val="52"/>
          <w:highlight w:val="none"/>
        </w:rPr>
      </w:pPr>
    </w:p>
    <w:p w14:paraId="73E47027">
      <w:pPr>
        <w:spacing w:line="660" w:lineRule="exact"/>
        <w:jc w:val="center"/>
        <w:rPr>
          <w:rFonts w:hint="eastAsia" w:ascii="宋体" w:hAnsi="宋体" w:eastAsia="宋体" w:cs="宋体"/>
          <w:color w:val="auto"/>
          <w:sz w:val="52"/>
          <w:szCs w:val="52"/>
          <w:highlight w:val="none"/>
        </w:rPr>
      </w:pPr>
    </w:p>
    <w:p w14:paraId="49E6AD26">
      <w:pPr>
        <w:pStyle w:val="7"/>
        <w:rPr>
          <w:rFonts w:hint="eastAsia" w:ascii="宋体" w:hAnsi="宋体" w:eastAsia="宋体" w:cs="宋体"/>
          <w:color w:val="auto"/>
          <w:sz w:val="52"/>
          <w:szCs w:val="52"/>
          <w:highlight w:val="none"/>
        </w:rPr>
      </w:pPr>
    </w:p>
    <w:p w14:paraId="6537CCFD">
      <w:pPr>
        <w:rPr>
          <w:rFonts w:hint="eastAsia" w:ascii="宋体" w:hAnsi="宋体" w:eastAsia="宋体" w:cs="宋体"/>
          <w:color w:val="auto"/>
          <w:sz w:val="52"/>
          <w:szCs w:val="52"/>
          <w:highlight w:val="none"/>
        </w:rPr>
      </w:pPr>
    </w:p>
    <w:p w14:paraId="36922243">
      <w:pPr>
        <w:pStyle w:val="7"/>
        <w:rPr>
          <w:rFonts w:hint="eastAsia" w:ascii="宋体" w:hAnsi="宋体" w:eastAsia="宋体" w:cs="宋体"/>
          <w:color w:val="auto"/>
          <w:highlight w:val="none"/>
        </w:rPr>
      </w:pPr>
    </w:p>
    <w:p w14:paraId="1D71A860">
      <w:pPr>
        <w:spacing w:line="660" w:lineRule="exact"/>
        <w:jc w:val="center"/>
        <w:rPr>
          <w:rFonts w:hint="eastAsia" w:ascii="宋体" w:hAnsi="宋体" w:eastAsia="宋体" w:cs="宋体"/>
          <w:color w:val="auto"/>
          <w:sz w:val="52"/>
          <w:szCs w:val="52"/>
          <w:highlight w:val="none"/>
        </w:rPr>
      </w:pPr>
    </w:p>
    <w:p w14:paraId="538CB73E">
      <w:pPr>
        <w:spacing w:line="660" w:lineRule="exact"/>
        <w:ind w:right="840" w:rightChars="300"/>
        <w:rPr>
          <w:rFonts w:hint="eastAsia" w:ascii="宋体" w:hAnsi="宋体" w:eastAsia="宋体" w:cs="宋体"/>
          <w:color w:val="auto"/>
          <w:sz w:val="32"/>
          <w:szCs w:val="32"/>
          <w:highlight w:val="none"/>
          <w:lang w:val="en-US" w:eastAsia="zh-CN"/>
        </w:rPr>
      </w:pPr>
    </w:p>
    <w:p w14:paraId="4F437130">
      <w:pPr>
        <w:spacing w:line="660" w:lineRule="exact"/>
        <w:ind w:left="840" w:leftChars="300" w:right="840" w:rightChars="300"/>
        <w:rPr>
          <w:rFonts w:hint="eastAsia" w:ascii="宋体" w:hAnsi="宋体" w:eastAsia="宋体" w:cs="宋体"/>
          <w:color w:val="auto"/>
          <w:sz w:val="32"/>
          <w:szCs w:val="32"/>
          <w:highlight w:val="none"/>
          <w:lang w:val="en-US"/>
        </w:rPr>
      </w:pPr>
      <w:r>
        <w:rPr>
          <w:rFonts w:hint="eastAsia" w:ascii="宋体" w:hAnsi="宋体" w:eastAsia="宋体" w:cs="宋体"/>
          <w:color w:val="auto"/>
          <w:sz w:val="32"/>
          <w:szCs w:val="32"/>
          <w:highlight w:val="none"/>
          <w:lang w:val="en-US" w:eastAsia="zh-CN"/>
        </w:rPr>
        <w:t>甲    方：</w:t>
      </w:r>
      <w:r>
        <w:rPr>
          <w:rFonts w:hint="eastAsia" w:ascii="宋体" w:hAnsi="宋体" w:eastAsia="宋体" w:cs="宋体"/>
          <w:color w:val="auto"/>
          <w:sz w:val="32"/>
          <w:szCs w:val="32"/>
          <w:highlight w:val="none"/>
          <w:u w:val="single"/>
          <w:lang w:val="en-US" w:eastAsia="zh-CN"/>
        </w:rPr>
        <w:t xml:space="preserve">   重庆绿发实业集团有限公司        </w:t>
      </w:r>
    </w:p>
    <w:p w14:paraId="12DA494C">
      <w:pPr>
        <w:spacing w:line="660" w:lineRule="exact"/>
        <w:ind w:left="840" w:leftChars="300" w:right="840" w:rightChars="300"/>
        <w:rPr>
          <w:rFonts w:hint="eastAsia" w:ascii="宋体" w:hAnsi="宋体" w:eastAsia="宋体" w:cs="宋体"/>
          <w:color w:val="auto"/>
          <w:sz w:val="32"/>
          <w:szCs w:val="32"/>
          <w:highlight w:val="none"/>
          <w:u w:val="single"/>
          <w:lang w:val="en-US"/>
        </w:rPr>
      </w:pPr>
      <w:r>
        <w:rPr>
          <w:rFonts w:hint="eastAsia" w:ascii="宋体" w:hAnsi="宋体" w:eastAsia="宋体" w:cs="宋体"/>
          <w:color w:val="auto"/>
          <w:sz w:val="32"/>
          <w:szCs w:val="32"/>
          <w:highlight w:val="none"/>
          <w:lang w:eastAsia="zh-CN"/>
        </w:rPr>
        <w:t>乙</w:t>
      </w:r>
      <w:r>
        <w:rPr>
          <w:rFonts w:hint="eastAsia" w:ascii="宋体" w:hAnsi="宋体" w:eastAsia="宋体" w:cs="宋体"/>
          <w:color w:val="auto"/>
          <w:sz w:val="32"/>
          <w:szCs w:val="32"/>
          <w:highlight w:val="none"/>
          <w:lang w:val="en-US" w:eastAsia="zh-CN"/>
        </w:rPr>
        <w:t xml:space="preserve">    </w:t>
      </w:r>
      <w:r>
        <w:rPr>
          <w:rFonts w:hint="eastAsia" w:ascii="宋体" w:hAnsi="宋体" w:eastAsia="宋体" w:cs="宋体"/>
          <w:color w:val="auto"/>
          <w:sz w:val="32"/>
          <w:szCs w:val="32"/>
          <w:highlight w:val="none"/>
          <w:lang w:eastAsia="zh-CN"/>
        </w:rPr>
        <w:t>方：</w:t>
      </w:r>
      <w:r>
        <w:rPr>
          <w:rFonts w:hint="eastAsia" w:ascii="宋体" w:hAnsi="宋体" w:eastAsia="宋体" w:cs="宋体"/>
          <w:color w:val="auto"/>
          <w:sz w:val="32"/>
          <w:szCs w:val="32"/>
          <w:highlight w:val="none"/>
          <w:u w:val="single"/>
          <w:lang w:val="en-US" w:eastAsia="zh-CN"/>
        </w:rPr>
        <w:t xml:space="preserve">                                   </w:t>
      </w:r>
    </w:p>
    <w:p w14:paraId="46EF9129">
      <w:pPr>
        <w:spacing w:line="660" w:lineRule="exact"/>
        <w:ind w:left="840" w:leftChars="300" w:right="840" w:rightChars="300"/>
        <w:rPr>
          <w:rFonts w:hint="eastAsia" w:ascii="宋体" w:hAnsi="宋体" w:eastAsia="宋体" w:cs="宋体"/>
          <w:color w:val="auto"/>
          <w:sz w:val="32"/>
          <w:szCs w:val="32"/>
          <w:highlight w:val="none"/>
          <w:u w:val="single"/>
        </w:rPr>
      </w:pPr>
      <w:r>
        <w:rPr>
          <w:rFonts w:hint="eastAsia" w:ascii="宋体" w:hAnsi="宋体" w:eastAsia="宋体" w:cs="宋体"/>
          <w:color w:val="auto"/>
          <w:sz w:val="32"/>
          <w:szCs w:val="32"/>
          <w:highlight w:val="none"/>
          <w:lang w:eastAsia="zh-CN"/>
        </w:rPr>
        <w:t>合同编号</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lang w:val="en-US" w:eastAsia="zh-CN"/>
        </w:rPr>
        <w:t xml:space="preserve">                                   </w:t>
      </w:r>
    </w:p>
    <w:p w14:paraId="6DBB980B">
      <w:pPr>
        <w:spacing w:line="660" w:lineRule="exact"/>
        <w:ind w:left="840" w:leftChars="300" w:right="840" w:rightChars="300"/>
        <w:rPr>
          <w:rFonts w:hint="eastAsia" w:ascii="宋体" w:hAnsi="宋体" w:eastAsia="宋体" w:cs="宋体"/>
          <w:color w:val="auto"/>
          <w:sz w:val="52"/>
          <w:szCs w:val="52"/>
          <w:highlight w:val="none"/>
        </w:rPr>
      </w:pPr>
      <w:r>
        <w:rPr>
          <w:rFonts w:hint="eastAsia" w:ascii="宋体" w:hAnsi="宋体" w:eastAsia="宋体" w:cs="宋体"/>
          <w:color w:val="auto"/>
          <w:sz w:val="32"/>
          <w:szCs w:val="32"/>
          <w:highlight w:val="none"/>
          <w:lang w:eastAsia="zh-CN"/>
        </w:rPr>
        <w:t>签订时间</w:t>
      </w:r>
      <w:r>
        <w:rPr>
          <w:rFonts w:hint="eastAsia" w:ascii="宋体" w:hAnsi="宋体" w:eastAsia="宋体" w:cs="宋体"/>
          <w:color w:val="auto"/>
          <w:sz w:val="32"/>
          <w:szCs w:val="32"/>
          <w:highlight w:val="none"/>
        </w:rPr>
        <w:t>：</w:t>
      </w:r>
      <w:r>
        <w:rPr>
          <w:rFonts w:hint="eastAsia" w:ascii="宋体" w:hAnsi="宋体" w:eastAsia="宋体" w:cs="宋体"/>
          <w:color w:val="auto"/>
          <w:sz w:val="32"/>
          <w:szCs w:val="32"/>
          <w:highlight w:val="none"/>
          <w:u w:val="single"/>
          <w:lang w:val="en-US" w:eastAsia="zh-CN"/>
        </w:rPr>
        <w:t xml:space="preserve">                                   </w:t>
      </w:r>
    </w:p>
    <w:p w14:paraId="5548F646">
      <w:pPr>
        <w:shd w:val="clear"/>
        <w:jc w:val="center"/>
        <w:rPr>
          <w:rFonts w:hint="eastAsia" w:ascii="仿宋" w:hAnsi="仿宋" w:eastAsia="仿宋"/>
          <w:b/>
          <w:bCs/>
          <w:color w:val="auto"/>
          <w:sz w:val="36"/>
          <w:szCs w:val="36"/>
          <w:highlight w:val="none"/>
        </w:rPr>
      </w:pPr>
    </w:p>
    <w:p w14:paraId="06A89080">
      <w:pPr>
        <w:shd w:val="clear"/>
        <w:jc w:val="center"/>
        <w:rPr>
          <w:rFonts w:hint="eastAsia" w:ascii="仿宋" w:hAnsi="仿宋" w:eastAsia="仿宋"/>
          <w:b/>
          <w:bCs/>
          <w:color w:val="auto"/>
          <w:sz w:val="36"/>
          <w:szCs w:val="36"/>
          <w:highlight w:val="none"/>
        </w:rPr>
      </w:pPr>
    </w:p>
    <w:p w14:paraId="3B7C027C">
      <w:pPr>
        <w:shd w:val="clear"/>
        <w:jc w:val="center"/>
        <w:rPr>
          <w:rFonts w:hint="eastAsia" w:ascii="仿宋" w:hAnsi="仿宋" w:eastAsia="仿宋"/>
          <w:b/>
          <w:bCs/>
          <w:color w:val="auto"/>
          <w:sz w:val="36"/>
          <w:szCs w:val="36"/>
          <w:highlight w:val="none"/>
        </w:rPr>
      </w:pPr>
    </w:p>
    <w:p w14:paraId="12BF9825">
      <w:pPr>
        <w:shd w:val="clear"/>
        <w:jc w:val="center"/>
        <w:rPr>
          <w:rFonts w:hint="eastAsia" w:ascii="仿宋" w:hAnsi="仿宋" w:eastAsia="仿宋"/>
          <w:b/>
          <w:bCs/>
          <w:color w:val="auto"/>
          <w:sz w:val="36"/>
          <w:szCs w:val="36"/>
          <w:highlight w:val="none"/>
        </w:rPr>
      </w:pPr>
    </w:p>
    <w:p w14:paraId="4A1A3578">
      <w:pPr>
        <w:shd w:val="clear"/>
        <w:jc w:val="center"/>
        <w:rPr>
          <w:rFonts w:hint="eastAsia" w:ascii="仿宋" w:hAnsi="仿宋" w:eastAsia="仿宋"/>
          <w:b/>
          <w:bCs/>
          <w:color w:val="auto"/>
          <w:sz w:val="36"/>
          <w:szCs w:val="36"/>
          <w:highlight w:val="none"/>
        </w:rPr>
      </w:pPr>
    </w:p>
    <w:p w14:paraId="176F6004">
      <w:pPr>
        <w:shd w:val="clear"/>
        <w:jc w:val="center"/>
        <w:rPr>
          <w:rFonts w:hint="eastAsia" w:ascii="仿宋" w:hAnsi="仿宋" w:eastAsia="仿宋"/>
          <w:b/>
          <w:bCs/>
          <w:color w:val="auto"/>
          <w:sz w:val="36"/>
          <w:szCs w:val="36"/>
          <w:highlight w:val="none"/>
        </w:rPr>
      </w:pPr>
    </w:p>
    <w:p w14:paraId="5A07F0BD">
      <w:pPr>
        <w:shd w:val="clear"/>
        <w:jc w:val="center"/>
        <w:rPr>
          <w:rFonts w:hint="eastAsia" w:ascii="仿宋" w:hAnsi="仿宋" w:eastAsia="仿宋"/>
          <w:b/>
          <w:bCs/>
          <w:color w:val="auto"/>
          <w:sz w:val="36"/>
          <w:szCs w:val="36"/>
          <w:highlight w:val="none"/>
        </w:rPr>
      </w:pPr>
    </w:p>
    <w:p w14:paraId="11E1FE40">
      <w:pPr>
        <w:shd w:val="clear"/>
        <w:jc w:val="center"/>
        <w:rPr>
          <w:rFonts w:hint="eastAsia" w:ascii="仿宋" w:hAnsi="仿宋" w:eastAsia="仿宋"/>
          <w:b/>
          <w:bCs/>
          <w:color w:val="auto"/>
          <w:sz w:val="36"/>
          <w:szCs w:val="36"/>
          <w:highlight w:val="none"/>
        </w:rPr>
      </w:pPr>
    </w:p>
    <w:p w14:paraId="18964275">
      <w:pPr>
        <w:shd w:val="clear"/>
        <w:jc w:val="center"/>
        <w:rPr>
          <w:rFonts w:hint="eastAsia" w:ascii="仿宋" w:hAnsi="仿宋" w:eastAsia="仿宋"/>
          <w:b/>
          <w:bCs/>
          <w:color w:val="auto"/>
          <w:sz w:val="36"/>
          <w:szCs w:val="36"/>
          <w:highlight w:val="none"/>
        </w:rPr>
      </w:pPr>
    </w:p>
    <w:p w14:paraId="049DA5AB">
      <w:pPr>
        <w:shd w:val="clear"/>
        <w:jc w:val="center"/>
        <w:rPr>
          <w:rFonts w:hint="eastAsia" w:ascii="仿宋" w:hAnsi="仿宋" w:eastAsia="仿宋"/>
          <w:b/>
          <w:bCs/>
          <w:color w:val="auto"/>
          <w:sz w:val="36"/>
          <w:szCs w:val="36"/>
          <w:highlight w:val="none"/>
        </w:rPr>
      </w:pPr>
    </w:p>
    <w:p w14:paraId="3056A301">
      <w:pPr>
        <w:rPr>
          <w:rFonts w:hint="eastAsia" w:ascii="仿宋" w:hAnsi="仿宋" w:eastAsia="仿宋"/>
          <w:b/>
          <w:bCs/>
          <w:color w:val="auto"/>
          <w:sz w:val="36"/>
          <w:szCs w:val="36"/>
          <w:highlight w:val="none"/>
        </w:rPr>
      </w:pPr>
      <w:r>
        <w:rPr>
          <w:rFonts w:hint="eastAsia" w:ascii="仿宋" w:hAnsi="仿宋" w:eastAsia="仿宋"/>
          <w:b/>
          <w:bCs/>
          <w:color w:val="auto"/>
          <w:sz w:val="36"/>
          <w:szCs w:val="36"/>
          <w:highlight w:val="none"/>
        </w:rPr>
        <w:br w:type="page"/>
      </w:r>
    </w:p>
    <w:p w14:paraId="576FFBF4">
      <w:pPr>
        <w:shd w:val="clear"/>
        <w:jc w:val="center"/>
        <w:rPr>
          <w:rFonts w:ascii="仿宋" w:hAnsi="仿宋" w:eastAsia="仿宋"/>
          <w:b/>
          <w:bCs/>
          <w:color w:val="auto"/>
          <w:szCs w:val="28"/>
          <w:highlight w:val="none"/>
        </w:rPr>
      </w:pPr>
      <w:r>
        <w:rPr>
          <w:rFonts w:hint="eastAsia" w:ascii="仿宋" w:hAnsi="仿宋" w:eastAsia="仿宋"/>
          <w:b/>
          <w:bCs/>
          <w:color w:val="auto"/>
          <w:sz w:val="36"/>
          <w:szCs w:val="36"/>
          <w:highlight w:val="none"/>
        </w:rPr>
        <w:t>重庆市璧山区排水管网整治工程三期—雨水提升工程箱变维修增容服务</w:t>
      </w:r>
      <w:r>
        <w:rPr>
          <w:rFonts w:ascii="仿宋" w:hAnsi="仿宋" w:eastAsia="仿宋"/>
          <w:b/>
          <w:bCs/>
          <w:color w:val="auto"/>
          <w:sz w:val="36"/>
          <w:szCs w:val="36"/>
          <w:highlight w:val="none"/>
        </w:rPr>
        <w:t>合同</w:t>
      </w:r>
    </w:p>
    <w:p w14:paraId="7E21AE02">
      <w:pPr>
        <w:pStyle w:val="34"/>
        <w:shd w:val="clear" w:color="auto"/>
        <w:spacing w:line="240" w:lineRule="auto"/>
        <w:ind w:firstLine="0"/>
        <w:rPr>
          <w:rFonts w:ascii="仿宋" w:hAnsi="仿宋" w:eastAsia="仿宋" w:cs="Times New Roman"/>
          <w:color w:val="auto"/>
          <w:sz w:val="24"/>
          <w:szCs w:val="24"/>
          <w:highlight w:val="none"/>
        </w:rPr>
      </w:pPr>
    </w:p>
    <w:p w14:paraId="6D1D71EB">
      <w:pPr>
        <w:pStyle w:val="34"/>
        <w:shd w:val="clear" w:color="auto"/>
        <w:spacing w:line="240" w:lineRule="auto"/>
        <w:ind w:firstLine="0"/>
        <w:rPr>
          <w:rFonts w:ascii="仿宋" w:hAnsi="仿宋" w:eastAsia="仿宋" w:cs="Times New Roman"/>
          <w:color w:val="auto"/>
          <w:sz w:val="24"/>
          <w:szCs w:val="24"/>
          <w:highlight w:val="none"/>
          <w:u w:val="single"/>
        </w:rPr>
      </w:pPr>
      <w:r>
        <w:rPr>
          <w:rFonts w:ascii="仿宋" w:hAnsi="仿宋" w:eastAsia="仿宋" w:cs="Times New Roman"/>
          <w:color w:val="auto"/>
          <w:sz w:val="24"/>
          <w:szCs w:val="24"/>
          <w:highlight w:val="none"/>
        </w:rPr>
        <w:t>甲方（需方）：</w:t>
      </w:r>
      <w:r>
        <w:rPr>
          <w:rFonts w:hint="eastAsia" w:ascii="仿宋" w:hAnsi="仿宋" w:eastAsia="仿宋" w:cs="Times New Roman"/>
          <w:color w:val="auto"/>
          <w:sz w:val="24"/>
          <w:szCs w:val="24"/>
          <w:highlight w:val="none"/>
          <w:u w:val="single"/>
        </w:rPr>
        <w:t>重庆绿发实业集团有限公司</w:t>
      </w:r>
      <w:r>
        <w:rPr>
          <w:rFonts w:ascii="仿宋" w:hAnsi="仿宋" w:eastAsia="仿宋" w:cs="Times New Roman"/>
          <w:color w:val="auto"/>
          <w:sz w:val="24"/>
          <w:szCs w:val="24"/>
          <w:highlight w:val="none"/>
          <w:u w:val="single"/>
        </w:rPr>
        <w:t xml:space="preserve">    </w:t>
      </w:r>
    </w:p>
    <w:p w14:paraId="1DA8337E">
      <w:pPr>
        <w:pStyle w:val="34"/>
        <w:shd w:val="clear" w:color="auto"/>
        <w:spacing w:line="240" w:lineRule="auto"/>
        <w:ind w:firstLine="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乙方（供方）：</w:t>
      </w:r>
      <w:r>
        <w:rPr>
          <w:rFonts w:ascii="仿宋" w:hAnsi="仿宋" w:eastAsia="仿宋" w:cs="Times New Roman"/>
          <w:color w:val="auto"/>
          <w:sz w:val="24"/>
          <w:szCs w:val="24"/>
          <w:highlight w:val="none"/>
          <w:u w:val="single"/>
        </w:rPr>
        <w:t xml:space="preserve">                            </w:t>
      </w:r>
    </w:p>
    <w:p w14:paraId="58CC2AA2">
      <w:pPr>
        <w:pStyle w:val="34"/>
        <w:shd w:val="clear" w:color="auto"/>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根据《中华人民共和国民法典》以及其他有关法律法规的规定，遵循平等、自愿、公平和诚实信用的原则，按照甲方需求文件的规定以及乙方的承诺，经甲乙双方协商一致，达成以下合同。</w:t>
      </w:r>
    </w:p>
    <w:p w14:paraId="4A37EFC8">
      <w:pPr>
        <w:pStyle w:val="34"/>
        <w:shd w:val="clear" w:color="auto"/>
        <w:tabs>
          <w:tab w:val="left" w:pos="1022"/>
        </w:tabs>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一、项目概况</w:t>
      </w:r>
    </w:p>
    <w:p w14:paraId="5EF6A5CB">
      <w:pPr>
        <w:shd w:val="clear"/>
        <w:ind w:firstLine="480" w:firstLineChars="200"/>
        <w:rPr>
          <w:rFonts w:ascii="仿宋" w:hAnsi="仿宋" w:eastAsia="仿宋"/>
          <w:b/>
          <w:bCs/>
          <w:color w:val="auto"/>
          <w:sz w:val="24"/>
          <w:szCs w:val="24"/>
          <w:highlight w:val="none"/>
        </w:rPr>
      </w:pPr>
      <w:r>
        <w:rPr>
          <w:rFonts w:ascii="仿宋" w:hAnsi="仿宋" w:eastAsia="仿宋"/>
          <w:b w:val="0"/>
          <w:bCs w:val="0"/>
          <w:color w:val="auto"/>
          <w:sz w:val="24"/>
          <w:szCs w:val="24"/>
          <w:highlight w:val="none"/>
        </w:rPr>
        <w:t>（一）服务内容</w:t>
      </w:r>
    </w:p>
    <w:p w14:paraId="5574CBD4">
      <w:pPr>
        <w:shd w:val="clear"/>
        <w:snapToGrid w:val="0"/>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主要建设内容为璧山区凝山路拱秀桥桥下箱变更换转运160kVA变压器，维修转运315kVA变压器，制作3*50高压电缆中间接头，采购施放4*50低压电缆，制作电缆接头及315kVA箱变试验。</w:t>
      </w:r>
    </w:p>
    <w:p w14:paraId="7CBC59CE">
      <w:pPr>
        <w:numPr>
          <w:ilvl w:val="0"/>
          <w:numId w:val="0"/>
        </w:numPr>
        <w:shd w:val="clear"/>
        <w:ind w:firstLine="480" w:firstLineChars="200"/>
        <w:rPr>
          <w:rFonts w:ascii="仿宋" w:hAnsi="仿宋" w:eastAsia="仿宋"/>
          <w:b w:val="0"/>
          <w:bCs w:val="0"/>
          <w:color w:val="auto"/>
          <w:sz w:val="24"/>
          <w:szCs w:val="24"/>
          <w:highlight w:val="none"/>
        </w:rPr>
      </w:pPr>
      <w:r>
        <w:rPr>
          <w:rFonts w:hint="eastAsia" w:ascii="仿宋" w:hAnsi="仿宋" w:eastAsia="仿宋" w:cs="Times New Roman"/>
          <w:b w:val="0"/>
          <w:bCs w:val="0"/>
          <w:color w:val="auto"/>
          <w:kern w:val="2"/>
          <w:sz w:val="24"/>
          <w:szCs w:val="24"/>
          <w:highlight w:val="none"/>
          <w:lang w:val="en-US" w:eastAsia="zh-CN" w:bidi="ar-SA"/>
        </w:rPr>
        <w:t>（二）</w:t>
      </w:r>
      <w:r>
        <w:rPr>
          <w:rFonts w:ascii="仿宋" w:hAnsi="仿宋" w:eastAsia="仿宋"/>
          <w:b w:val="0"/>
          <w:bCs w:val="0"/>
          <w:color w:val="auto"/>
          <w:sz w:val="24"/>
          <w:szCs w:val="24"/>
          <w:highlight w:val="none"/>
        </w:rPr>
        <w:t>服务期限</w:t>
      </w:r>
    </w:p>
    <w:p w14:paraId="60CE3336">
      <w:pPr>
        <w:shd w:val="clear"/>
        <w:snapToGrid w:val="0"/>
        <w:ind w:firstLine="480" w:firstLineChars="200"/>
        <w:rPr>
          <w:rFonts w:ascii="仿宋" w:hAnsi="仿宋" w:eastAsia="仿宋"/>
          <w:color w:val="auto"/>
          <w:sz w:val="24"/>
          <w:szCs w:val="24"/>
          <w:highlight w:val="none"/>
        </w:rPr>
      </w:pPr>
      <w:r>
        <w:rPr>
          <w:rFonts w:hint="eastAsia" w:ascii="仿宋" w:hAnsi="仿宋" w:eastAsia="仿宋"/>
          <w:color w:val="auto"/>
          <w:sz w:val="24"/>
          <w:szCs w:val="24"/>
          <w:highlight w:val="none"/>
        </w:rPr>
        <w:t>施工工期暂定为</w:t>
      </w:r>
      <w:r>
        <w:rPr>
          <w:rFonts w:hint="eastAsia" w:ascii="仿宋" w:hAnsi="仿宋" w:eastAsia="仿宋"/>
          <w:color w:val="auto"/>
          <w:sz w:val="24"/>
          <w:szCs w:val="24"/>
          <w:highlight w:val="none"/>
          <w:u w:val="single"/>
          <w:lang w:val="en-US" w:eastAsia="zh-CN"/>
        </w:rPr>
        <w:t>15日历天</w:t>
      </w:r>
      <w:r>
        <w:rPr>
          <w:rFonts w:ascii="仿宋" w:hAnsi="仿宋" w:eastAsia="仿宋"/>
          <w:color w:val="auto"/>
          <w:sz w:val="24"/>
          <w:szCs w:val="24"/>
          <w:highlight w:val="none"/>
        </w:rPr>
        <w:t>。</w:t>
      </w:r>
    </w:p>
    <w:p w14:paraId="0AD29D92">
      <w:pPr>
        <w:pStyle w:val="34"/>
        <w:shd w:val="clear" w:color="auto"/>
        <w:tabs>
          <w:tab w:val="left" w:pos="1022"/>
        </w:tabs>
        <w:spacing w:line="240" w:lineRule="auto"/>
        <w:ind w:left="480" w:firstLine="2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三、</w:t>
      </w:r>
      <w:r>
        <w:rPr>
          <w:rFonts w:hint="eastAsia" w:ascii="仿宋" w:hAnsi="仿宋" w:eastAsia="仿宋" w:cs="Times New Roman"/>
          <w:color w:val="auto"/>
          <w:sz w:val="24"/>
          <w:szCs w:val="24"/>
          <w:highlight w:val="none"/>
          <w:lang w:val="en-US" w:eastAsia="zh-CN"/>
        </w:rPr>
        <w:t>实施（（交货））</w:t>
      </w:r>
      <w:r>
        <w:rPr>
          <w:rFonts w:ascii="仿宋" w:hAnsi="仿宋" w:eastAsia="仿宋" w:cs="Times New Roman"/>
          <w:color w:val="auto"/>
          <w:sz w:val="24"/>
          <w:szCs w:val="24"/>
          <w:highlight w:val="none"/>
        </w:rPr>
        <w:t>交货地点</w:t>
      </w:r>
    </w:p>
    <w:p w14:paraId="4CF38FCD">
      <w:pPr>
        <w:pStyle w:val="34"/>
        <w:shd w:val="clear" w:color="auto"/>
        <w:spacing w:line="240" w:lineRule="auto"/>
        <w:ind w:left="480" w:firstLine="2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实施（交货）地点：甲方</w:t>
      </w:r>
      <w:r>
        <w:rPr>
          <w:rFonts w:hint="eastAsia" w:ascii="仿宋" w:hAnsi="仿宋" w:eastAsia="仿宋" w:cs="Times New Roman"/>
          <w:color w:val="auto"/>
          <w:sz w:val="24"/>
          <w:szCs w:val="24"/>
          <w:highlight w:val="none"/>
        </w:rPr>
        <w:t>指定地点。</w:t>
      </w:r>
    </w:p>
    <w:p w14:paraId="36E09A4B">
      <w:pPr>
        <w:pStyle w:val="34"/>
        <w:shd w:val="clear" w:color="auto"/>
        <w:tabs>
          <w:tab w:val="left" w:pos="1022"/>
        </w:tabs>
        <w:spacing w:line="240" w:lineRule="auto"/>
        <w:ind w:left="480" w:firstLine="20"/>
        <w:jc w:val="both"/>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四</w:t>
      </w:r>
      <w:r>
        <w:rPr>
          <w:rFonts w:ascii="仿宋" w:hAnsi="仿宋" w:eastAsia="仿宋" w:cs="Times New Roman"/>
          <w:color w:val="auto"/>
          <w:sz w:val="24"/>
          <w:szCs w:val="24"/>
          <w:highlight w:val="none"/>
        </w:rPr>
        <w:t>、验收方式</w:t>
      </w:r>
    </w:p>
    <w:p w14:paraId="618BFB85">
      <w:pPr>
        <w:pStyle w:val="34"/>
        <w:shd w:val="clear" w:color="auto"/>
        <w:spacing w:line="240" w:lineRule="auto"/>
        <w:ind w:firstLine="580" w:firstLineChars="242"/>
        <w:jc w:val="both"/>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u w:val="single"/>
          <w:lang w:val="en-US" w:eastAsia="zh-CN"/>
        </w:rPr>
        <w:t xml:space="preserve">                     </w:t>
      </w:r>
      <w:r>
        <w:rPr>
          <w:rFonts w:ascii="仿宋" w:hAnsi="仿宋" w:eastAsia="仿宋" w:cs="Times New Roman"/>
          <w:color w:val="auto"/>
          <w:sz w:val="24"/>
          <w:szCs w:val="24"/>
          <w:highlight w:val="none"/>
        </w:rPr>
        <w:t>。</w:t>
      </w:r>
    </w:p>
    <w:p w14:paraId="523D1A12">
      <w:pPr>
        <w:pStyle w:val="34"/>
        <w:shd w:val="clear" w:color="auto"/>
        <w:tabs>
          <w:tab w:val="left" w:pos="1022"/>
        </w:tabs>
        <w:spacing w:line="240" w:lineRule="auto"/>
        <w:ind w:firstLine="500"/>
        <w:jc w:val="both"/>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五</w:t>
      </w:r>
      <w:r>
        <w:rPr>
          <w:rFonts w:ascii="仿宋" w:hAnsi="仿宋" w:eastAsia="仿宋" w:cs="Times New Roman"/>
          <w:color w:val="auto"/>
          <w:sz w:val="24"/>
          <w:szCs w:val="24"/>
          <w:highlight w:val="none"/>
        </w:rPr>
        <w:t>、合同价款及结算原则</w:t>
      </w:r>
    </w:p>
    <w:p w14:paraId="0D1E0EF1">
      <w:pPr>
        <w:pStyle w:val="34"/>
        <w:shd w:val="clear" w:color="auto"/>
        <w:tabs>
          <w:tab w:val="left" w:pos="945"/>
          <w:tab w:val="left" w:leader="underscore" w:pos="3366"/>
        </w:tabs>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ab/>
      </w:r>
      <w:r>
        <w:rPr>
          <w:rFonts w:hint="eastAsia" w:ascii="仿宋" w:hAnsi="仿宋" w:eastAsia="仿宋" w:cs="Times New Roman"/>
          <w:color w:val="auto"/>
          <w:sz w:val="24"/>
          <w:szCs w:val="24"/>
          <w:highlight w:val="none"/>
        </w:rPr>
        <w:t>含税固定包干总价（大写）：</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rPr>
        <w:t xml:space="preserve">      </w:t>
      </w:r>
      <w:r>
        <w:rPr>
          <w:rFonts w:hint="eastAsia" w:ascii="仿宋" w:hAnsi="仿宋" w:eastAsia="仿宋" w:cs="Times New Roman"/>
          <w:color w:val="auto"/>
          <w:sz w:val="24"/>
          <w:szCs w:val="24"/>
          <w:highlight w:val="none"/>
          <w:u w:val="single"/>
        </w:rPr>
        <w:t>元整（</w:t>
      </w:r>
      <w:r>
        <w:rPr>
          <w:rFonts w:ascii="Calibri" w:hAnsi="Calibri" w:eastAsia="仿宋" w:cs="Calibri"/>
          <w:color w:val="auto"/>
          <w:sz w:val="24"/>
          <w:szCs w:val="24"/>
          <w:highlight w:val="none"/>
          <w:u w:val="single"/>
        </w:rPr>
        <w:t>¥</w:t>
      </w:r>
      <w:r>
        <w:rPr>
          <w:rFonts w:hint="eastAsia" w:ascii="仿宋" w:hAnsi="仿宋" w:eastAsia="仿宋" w:cs="Times New Roman"/>
          <w:color w:val="auto"/>
          <w:sz w:val="24"/>
          <w:szCs w:val="24"/>
          <w:highlight w:val="none"/>
          <w:u w:val="single"/>
        </w:rPr>
        <w:t xml:space="preserve"> </w:t>
      </w:r>
      <w:r>
        <w:rPr>
          <w:rFonts w:ascii="仿宋" w:hAnsi="仿宋" w:eastAsia="仿宋" w:cs="Times New Roman"/>
          <w:color w:val="auto"/>
          <w:sz w:val="24"/>
          <w:szCs w:val="24"/>
          <w:highlight w:val="none"/>
          <w:u w:val="single"/>
          <w:lang w:val="en-US"/>
        </w:rPr>
        <w:t xml:space="preserve">     </w:t>
      </w:r>
      <w:r>
        <w:rPr>
          <w:rFonts w:hint="eastAsia" w:ascii="仿宋" w:hAnsi="仿宋" w:eastAsia="仿宋" w:cs="Times New Roman"/>
          <w:color w:val="auto"/>
          <w:sz w:val="24"/>
          <w:szCs w:val="24"/>
          <w:highlight w:val="none"/>
          <w:u w:val="single"/>
        </w:rPr>
        <w:t>万元）</w:t>
      </w:r>
      <w:r>
        <w:rPr>
          <w:rFonts w:ascii="仿宋" w:hAnsi="仿宋" w:eastAsia="仿宋" w:cs="Times New Roman"/>
          <w:color w:val="auto"/>
          <w:sz w:val="24"/>
          <w:szCs w:val="24"/>
          <w:highlight w:val="none"/>
        </w:rPr>
        <w:t>。</w:t>
      </w:r>
    </w:p>
    <w:p w14:paraId="552FE454">
      <w:pPr>
        <w:pStyle w:val="34"/>
        <w:shd w:val="clear" w:color="auto"/>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此价格包括但不限于</w:t>
      </w:r>
      <w:r>
        <w:rPr>
          <w:rFonts w:hint="eastAsia" w:ascii="方正仿宋_GBK" w:hAnsi="方正仿宋_GBK" w:eastAsia="方正仿宋_GBK" w:cs="方正仿宋_GBK"/>
          <w:color w:val="auto"/>
          <w:sz w:val="24"/>
          <w:szCs w:val="24"/>
          <w:highlight w:val="none"/>
          <w:lang w:val="en-US" w:eastAsia="zh-CN"/>
        </w:rPr>
        <w:t>完成本项目所需的人工费、材料费、机械费、运输费、装卸费、保险费、材料检测费、采保费、管理费、利润、措施费（包含安全文明施工费）、规费、税金等完成本项目所需的所有费用。</w:t>
      </w:r>
    </w:p>
    <w:p w14:paraId="29574DDF">
      <w:pPr>
        <w:pStyle w:val="34"/>
        <w:shd w:val="clear" w:color="auto"/>
        <w:tabs>
          <w:tab w:val="left" w:pos="945"/>
        </w:tabs>
        <w:spacing w:line="240" w:lineRule="auto"/>
        <w:ind w:firstLine="480"/>
        <w:jc w:val="both"/>
        <w:rPr>
          <w:rFonts w:hint="default" w:ascii="仿宋" w:hAnsi="仿宋" w:eastAsia="仿宋" w:cs="Times New Roman"/>
          <w:color w:val="auto"/>
          <w:sz w:val="24"/>
          <w:szCs w:val="24"/>
          <w:highlight w:val="none"/>
          <w:u w:val="single"/>
          <w:lang w:val="en-US" w:eastAsia="zh-CN"/>
        </w:rPr>
      </w:pP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结算原则</w:t>
      </w:r>
      <w:r>
        <w:rPr>
          <w:rFonts w:hint="eastAsia" w:ascii="仿宋" w:hAnsi="仿宋" w:eastAsia="仿宋" w:cs="Times New Roman"/>
          <w:color w:val="auto"/>
          <w:sz w:val="24"/>
          <w:szCs w:val="24"/>
          <w:highlight w:val="none"/>
          <w:lang w:eastAsia="zh-CN"/>
        </w:rPr>
        <w:t>（如有）</w:t>
      </w:r>
      <w:r>
        <w:rPr>
          <w:rFonts w:ascii="仿宋" w:hAnsi="仿宋" w:eastAsia="仿宋" w:cs="Times New Roman"/>
          <w:color w:val="auto"/>
          <w:sz w:val="24"/>
          <w:szCs w:val="24"/>
          <w:highlight w:val="none"/>
        </w:rPr>
        <w:t>：</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u w:val="none"/>
          <w:lang w:val="en-US" w:eastAsia="zh-CN"/>
        </w:rPr>
        <w:t>。</w:t>
      </w:r>
    </w:p>
    <w:p w14:paraId="3D227814">
      <w:pPr>
        <w:pStyle w:val="34"/>
        <w:shd w:val="clear" w:color="auto"/>
        <w:tabs>
          <w:tab w:val="left" w:pos="1017"/>
        </w:tabs>
        <w:spacing w:line="240" w:lineRule="auto"/>
        <w:ind w:firstLine="5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eastAsia="zh-CN"/>
        </w:rPr>
        <w:t>六</w:t>
      </w:r>
      <w:r>
        <w:rPr>
          <w:rFonts w:ascii="仿宋" w:hAnsi="仿宋" w:eastAsia="仿宋" w:cs="Times New Roman"/>
          <w:color w:val="auto"/>
          <w:sz w:val="24"/>
          <w:szCs w:val="24"/>
          <w:highlight w:val="none"/>
        </w:rPr>
        <w:t>、付款方式</w:t>
      </w:r>
    </w:p>
    <w:p w14:paraId="6CEF87E7">
      <w:pPr>
        <w:pStyle w:val="34"/>
        <w:shd w:val="clear" w:color="auto"/>
        <w:tabs>
          <w:tab w:val="left" w:pos="1017"/>
        </w:tabs>
        <w:spacing w:line="240" w:lineRule="auto"/>
        <w:ind w:firstLine="500"/>
        <w:jc w:val="both"/>
        <w:rPr>
          <w:rFonts w:ascii="仿宋" w:hAnsi="仿宋" w:eastAsia="仿宋" w:cs="Times New Roman"/>
          <w:color w:val="auto"/>
          <w:sz w:val="24"/>
          <w:szCs w:val="24"/>
          <w:highlight w:val="none"/>
          <w:lang w:val="en-US"/>
        </w:rPr>
      </w:pPr>
      <w:r>
        <w:rPr>
          <w:rFonts w:hint="eastAsia" w:ascii="仿宋" w:hAnsi="仿宋" w:eastAsia="仿宋" w:cs="Times New Roman"/>
          <w:color w:val="auto"/>
          <w:sz w:val="24"/>
          <w:szCs w:val="24"/>
          <w:highlight w:val="none"/>
          <w:lang w:val="en-US" w:eastAsia="zh-CN"/>
        </w:rPr>
        <w:t>乙方完成服务</w:t>
      </w:r>
      <w:r>
        <w:rPr>
          <w:rFonts w:hint="eastAsia" w:ascii="仿宋" w:hAnsi="仿宋" w:eastAsia="仿宋" w:cs="Times New Roman"/>
          <w:color w:val="auto"/>
          <w:sz w:val="24"/>
          <w:szCs w:val="24"/>
          <w:highlight w:val="none"/>
          <w:lang w:val="en-US" w:eastAsia="zh-Hans"/>
        </w:rPr>
        <w:t>后经甲方确认验收成果后</w:t>
      </w:r>
      <w:r>
        <w:rPr>
          <w:rFonts w:hint="eastAsia" w:ascii="仿宋" w:hAnsi="仿宋" w:eastAsia="仿宋" w:cs="Times New Roman"/>
          <w:color w:val="auto"/>
          <w:sz w:val="24"/>
          <w:szCs w:val="24"/>
          <w:highlight w:val="none"/>
          <w:u w:val="single"/>
          <w:lang w:val="en-US" w:eastAsia="zh-CN"/>
        </w:rPr>
        <w:t xml:space="preserve"> 30 </w:t>
      </w:r>
      <w:r>
        <w:rPr>
          <w:rFonts w:hint="eastAsia" w:ascii="仿宋" w:hAnsi="仿宋" w:eastAsia="仿宋" w:cs="Times New Roman"/>
          <w:color w:val="auto"/>
          <w:sz w:val="24"/>
          <w:szCs w:val="24"/>
          <w:highlight w:val="none"/>
          <w:u w:val="none"/>
          <w:lang w:val="en-US" w:eastAsia="zh-CN"/>
        </w:rPr>
        <w:t>个工作</w:t>
      </w:r>
      <w:r>
        <w:rPr>
          <w:rFonts w:hint="eastAsia" w:ascii="仿宋" w:hAnsi="仿宋" w:eastAsia="仿宋" w:cs="Times New Roman"/>
          <w:color w:val="auto"/>
          <w:sz w:val="24"/>
          <w:szCs w:val="24"/>
          <w:highlight w:val="none"/>
          <w:lang w:val="en-US" w:eastAsia="zh-Hans"/>
        </w:rPr>
        <w:t>日内，</w:t>
      </w:r>
      <w:r>
        <w:rPr>
          <w:rFonts w:hint="eastAsia" w:ascii="仿宋" w:hAnsi="仿宋" w:eastAsia="仿宋" w:cs="Times New Roman"/>
          <w:color w:val="auto"/>
          <w:sz w:val="24"/>
          <w:szCs w:val="24"/>
          <w:highlight w:val="none"/>
          <w:lang w:val="en-US" w:eastAsia="zh-CN"/>
        </w:rPr>
        <w:t>乙方</w:t>
      </w:r>
      <w:r>
        <w:rPr>
          <w:rFonts w:hint="eastAsia" w:ascii="仿宋" w:hAnsi="仿宋" w:eastAsia="仿宋" w:cs="Times New Roman"/>
          <w:color w:val="auto"/>
          <w:sz w:val="24"/>
          <w:szCs w:val="24"/>
          <w:highlight w:val="none"/>
          <w:lang w:val="en-US" w:eastAsia="zh-Hans"/>
        </w:rPr>
        <w:t>应向</w:t>
      </w:r>
      <w:r>
        <w:rPr>
          <w:rFonts w:hint="eastAsia" w:ascii="仿宋" w:hAnsi="仿宋" w:eastAsia="仿宋" w:cs="Times New Roman"/>
          <w:color w:val="auto"/>
          <w:sz w:val="24"/>
          <w:szCs w:val="24"/>
          <w:highlight w:val="none"/>
          <w:lang w:val="en-US" w:eastAsia="zh-CN"/>
        </w:rPr>
        <w:t>甲方</w:t>
      </w:r>
      <w:r>
        <w:rPr>
          <w:rFonts w:hint="eastAsia" w:ascii="仿宋" w:hAnsi="仿宋" w:eastAsia="仿宋" w:cs="Times New Roman"/>
          <w:color w:val="auto"/>
          <w:sz w:val="24"/>
          <w:szCs w:val="24"/>
          <w:highlight w:val="none"/>
          <w:lang w:val="en-US" w:eastAsia="zh-Hans"/>
        </w:rPr>
        <w:t>开具等额有效的增值税专用发票，甲方收到乙方开具的全款发票后一次性向乙方</w:t>
      </w:r>
      <w:r>
        <w:rPr>
          <w:rFonts w:hint="eastAsia" w:ascii="仿宋" w:hAnsi="仿宋" w:eastAsia="仿宋" w:cs="Times New Roman"/>
          <w:color w:val="auto"/>
          <w:sz w:val="24"/>
          <w:szCs w:val="24"/>
          <w:highlight w:val="none"/>
          <w:lang w:val="en-US" w:eastAsia="zh-CN"/>
        </w:rPr>
        <w:t>指定收款账户</w:t>
      </w:r>
      <w:r>
        <w:rPr>
          <w:rFonts w:hint="eastAsia" w:ascii="仿宋" w:hAnsi="仿宋" w:eastAsia="仿宋" w:cs="Times New Roman"/>
          <w:color w:val="auto"/>
          <w:sz w:val="24"/>
          <w:szCs w:val="24"/>
          <w:highlight w:val="none"/>
          <w:lang w:val="en-US" w:eastAsia="zh-Hans"/>
        </w:rPr>
        <w:t>支付合同金额即</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val="en-US" w:eastAsia="zh-Hans"/>
        </w:rPr>
        <w:t>元（大写：</w:t>
      </w:r>
      <w:r>
        <w:rPr>
          <w:rFonts w:hint="eastAsia" w:ascii="仿宋" w:hAnsi="仿宋" w:eastAsia="仿宋" w:cs="Times New Roman"/>
          <w:color w:val="auto"/>
          <w:sz w:val="24"/>
          <w:szCs w:val="24"/>
          <w:highlight w:val="none"/>
          <w:u w:val="single"/>
          <w:lang w:val="en-US" w:eastAsia="zh-CN"/>
        </w:rPr>
        <w:t xml:space="preserve">      </w:t>
      </w:r>
      <w:r>
        <w:rPr>
          <w:rFonts w:hint="eastAsia" w:ascii="仿宋" w:hAnsi="仿宋" w:eastAsia="仿宋" w:cs="Times New Roman"/>
          <w:color w:val="auto"/>
          <w:sz w:val="24"/>
          <w:szCs w:val="24"/>
          <w:highlight w:val="none"/>
          <w:lang w:val="en-US" w:eastAsia="zh-Hans"/>
        </w:rPr>
        <w:t>）</w:t>
      </w:r>
      <w:r>
        <w:rPr>
          <w:rFonts w:hint="eastAsia" w:ascii="仿宋" w:hAnsi="仿宋" w:eastAsia="仿宋" w:cs="Times New Roman"/>
          <w:color w:val="auto"/>
          <w:sz w:val="24"/>
          <w:szCs w:val="24"/>
          <w:highlight w:val="none"/>
          <w:lang w:val="en-US" w:eastAsia="zh-CN"/>
        </w:rPr>
        <w:t>。</w:t>
      </w:r>
      <w:r>
        <w:rPr>
          <w:rFonts w:hint="eastAsia" w:ascii="仿宋" w:hAnsi="仿宋" w:eastAsia="仿宋" w:cs="Times New Roman"/>
          <w:color w:val="auto"/>
          <w:sz w:val="24"/>
          <w:szCs w:val="24"/>
          <w:highlight w:val="none"/>
          <w:lang w:val="en-US" w:eastAsia="zh-Hans"/>
        </w:rPr>
        <w:t>乙方</w:t>
      </w:r>
      <w:r>
        <w:rPr>
          <w:rFonts w:hint="eastAsia" w:ascii="仿宋" w:hAnsi="仿宋" w:eastAsia="仿宋" w:cs="Times New Roman"/>
          <w:color w:val="auto"/>
          <w:sz w:val="24"/>
          <w:szCs w:val="24"/>
          <w:highlight w:val="none"/>
          <w:lang w:val="en-US" w:eastAsia="zh-CN"/>
        </w:rPr>
        <w:t>承诺对本合同中所载明</w:t>
      </w:r>
      <w:r>
        <w:rPr>
          <w:rFonts w:hint="eastAsia" w:ascii="仿宋" w:hAnsi="仿宋" w:eastAsia="仿宋" w:cs="Times New Roman"/>
          <w:color w:val="auto"/>
          <w:sz w:val="24"/>
          <w:szCs w:val="24"/>
          <w:highlight w:val="none"/>
          <w:lang w:val="en-US" w:eastAsia="zh-Hans"/>
        </w:rPr>
        <w:t>的收款账户信息的准确性、安全性、合法性负责。该收款账户需要中途变更的，须提前15日以书面形式通知甲方，否则，甲方向上述账户付款的视为已完成付款义务。如因收款账户信息存在错误导致付款失败或不能付款的，甲方对此不承担任何责任；如甲方因此支付至错误账户的，视为甲方已完成对乙方的付款，由乙方自行向收款方追偿。</w:t>
      </w:r>
    </w:p>
    <w:p w14:paraId="020D9A25">
      <w:pPr>
        <w:pStyle w:val="34"/>
        <w:shd w:val="clear" w:color="auto"/>
        <w:tabs>
          <w:tab w:val="left" w:pos="1017"/>
        </w:tabs>
        <w:spacing w:line="240" w:lineRule="auto"/>
        <w:ind w:firstLine="5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七</w:t>
      </w:r>
      <w:r>
        <w:rPr>
          <w:rFonts w:ascii="仿宋" w:hAnsi="仿宋" w:eastAsia="仿宋" w:cs="Times New Roman"/>
          <w:color w:val="auto"/>
          <w:sz w:val="24"/>
          <w:szCs w:val="24"/>
          <w:highlight w:val="none"/>
        </w:rPr>
        <w:t>、安全责任</w:t>
      </w:r>
    </w:p>
    <w:p w14:paraId="45D858B5">
      <w:pPr>
        <w:pStyle w:val="34"/>
        <w:shd w:val="clear" w:color="auto"/>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乙方在履行合同过程中应遵守安全操作规则、保证自己人身安全；非因甲方原因，乙方受到人身、财产损害或乙方对</w:t>
      </w:r>
      <w:r>
        <w:rPr>
          <w:rFonts w:hint="eastAsia" w:ascii="仿宋" w:hAnsi="仿宋" w:eastAsia="仿宋" w:cs="Times New Roman"/>
          <w:color w:val="auto"/>
          <w:sz w:val="24"/>
          <w:szCs w:val="24"/>
          <w:highlight w:val="none"/>
          <w:lang w:val="en-US" w:eastAsia="zh-CN"/>
        </w:rPr>
        <w:t>甲方、任意</w:t>
      </w:r>
      <w:r>
        <w:rPr>
          <w:rFonts w:ascii="仿宋" w:hAnsi="仿宋" w:eastAsia="仿宋" w:cs="Times New Roman"/>
          <w:color w:val="auto"/>
          <w:sz w:val="24"/>
          <w:szCs w:val="24"/>
          <w:highlight w:val="none"/>
        </w:rPr>
        <w:t>第三人造成人身、财产损害的，乙方应自行承担全部赔偿责任。</w:t>
      </w:r>
      <w:r>
        <w:rPr>
          <w:rFonts w:hint="default" w:ascii="仿宋" w:hAnsi="仿宋" w:eastAsia="仿宋" w:cs="Times New Roman"/>
          <w:color w:val="auto"/>
          <w:sz w:val="24"/>
          <w:szCs w:val="24"/>
          <w:highlight w:val="none"/>
        </w:rPr>
        <w:t>乙方在没有妥善处理完事故所涉所有事宜前，甲方有权暂停支付本合同款项，待事故相关事宜均处理完毕后再支付给乙方。由此给甲方造成损失的，甲方有权直接在合同款项中予以扣除，不足部分有权继续向乙方进行追索。</w:t>
      </w:r>
    </w:p>
    <w:p w14:paraId="2A901783">
      <w:pPr>
        <w:pStyle w:val="34"/>
        <w:shd w:val="clear" w:color="auto"/>
        <w:spacing w:line="240" w:lineRule="auto"/>
        <w:ind w:firstLine="500"/>
        <w:jc w:val="both"/>
        <w:rPr>
          <w:rFonts w:ascii="仿宋" w:hAnsi="仿宋" w:eastAsia="仿宋" w:cs="Times New Roman"/>
          <w:color w:val="auto"/>
          <w:sz w:val="24"/>
          <w:szCs w:val="24"/>
          <w:highlight w:val="none"/>
        </w:rPr>
      </w:pPr>
    </w:p>
    <w:p w14:paraId="355E6249">
      <w:pPr>
        <w:pStyle w:val="34"/>
        <w:shd w:val="clear" w:color="auto"/>
        <w:spacing w:line="240" w:lineRule="auto"/>
        <w:ind w:firstLine="500"/>
        <w:jc w:val="both"/>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八</w:t>
      </w:r>
      <w:r>
        <w:rPr>
          <w:rFonts w:ascii="仿宋" w:hAnsi="仿宋" w:eastAsia="仿宋" w:cs="Times New Roman"/>
          <w:color w:val="auto"/>
          <w:sz w:val="24"/>
          <w:szCs w:val="24"/>
          <w:highlight w:val="none"/>
        </w:rPr>
        <w:t>、违约责任</w:t>
      </w:r>
    </w:p>
    <w:p w14:paraId="79A281CE">
      <w:pPr>
        <w:pStyle w:val="34"/>
        <w:shd w:val="clear" w:color="auto"/>
        <w:spacing w:line="240" w:lineRule="auto"/>
        <w:ind w:firstLine="5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rPr>
        <w:t>1．由于甲方原因致使本合同无法履行或中断，甲方应承担违约责任；由于乙方原因致使本合同无法履行，乙方应承担违约责任。因不可抗社会及自然原因，乙方对此免除逾期</w:t>
      </w:r>
      <w:r>
        <w:rPr>
          <w:rFonts w:hint="eastAsia" w:ascii="仿宋" w:hAnsi="仿宋" w:eastAsia="仿宋" w:cs="Times New Roman"/>
          <w:color w:val="auto"/>
          <w:sz w:val="24"/>
          <w:szCs w:val="24"/>
          <w:highlight w:val="none"/>
          <w:lang w:eastAsia="zh-CN"/>
        </w:rPr>
        <w:t>交付</w:t>
      </w:r>
      <w:r>
        <w:rPr>
          <w:rFonts w:hint="eastAsia" w:ascii="仿宋" w:hAnsi="仿宋" w:eastAsia="仿宋" w:cs="Times New Roman"/>
          <w:color w:val="auto"/>
          <w:sz w:val="24"/>
          <w:szCs w:val="24"/>
          <w:highlight w:val="none"/>
        </w:rPr>
        <w:t>责任，并经双方协商另行约定</w:t>
      </w:r>
      <w:r>
        <w:rPr>
          <w:rFonts w:hint="eastAsia" w:ascii="仿宋" w:hAnsi="仿宋" w:eastAsia="仿宋" w:cs="Times New Roman"/>
          <w:color w:val="auto"/>
          <w:sz w:val="24"/>
          <w:szCs w:val="24"/>
          <w:highlight w:val="none"/>
          <w:lang w:eastAsia="zh-CN"/>
        </w:rPr>
        <w:t>交付</w:t>
      </w:r>
      <w:r>
        <w:rPr>
          <w:rFonts w:hint="eastAsia" w:ascii="仿宋" w:hAnsi="仿宋" w:eastAsia="仿宋" w:cs="Times New Roman"/>
          <w:color w:val="auto"/>
          <w:sz w:val="24"/>
          <w:szCs w:val="24"/>
          <w:highlight w:val="none"/>
        </w:rPr>
        <w:t>时间。但不可抗力情形发生后三日内，乙方应当向甲方提供不可抗力报告，否则不得以不可抗力为由免除逾期</w:t>
      </w:r>
      <w:r>
        <w:rPr>
          <w:rFonts w:hint="eastAsia" w:ascii="仿宋" w:hAnsi="仿宋" w:eastAsia="仿宋" w:cs="Times New Roman"/>
          <w:color w:val="auto"/>
          <w:sz w:val="24"/>
          <w:szCs w:val="24"/>
          <w:highlight w:val="none"/>
          <w:lang w:eastAsia="zh-CN"/>
        </w:rPr>
        <w:t>交付</w:t>
      </w:r>
      <w:r>
        <w:rPr>
          <w:rFonts w:hint="eastAsia" w:ascii="仿宋" w:hAnsi="仿宋" w:eastAsia="仿宋" w:cs="Times New Roman"/>
          <w:color w:val="auto"/>
          <w:sz w:val="24"/>
          <w:szCs w:val="24"/>
          <w:highlight w:val="none"/>
        </w:rPr>
        <w:t>责任。</w:t>
      </w:r>
    </w:p>
    <w:p w14:paraId="7973DE9D">
      <w:pPr>
        <w:pStyle w:val="34"/>
        <w:shd w:val="clear" w:color="auto"/>
        <w:spacing w:line="240" w:lineRule="auto"/>
        <w:ind w:firstLine="500"/>
        <w:rPr>
          <w:rFonts w:hint="eastAsia"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2</w:t>
      </w:r>
      <w:r>
        <w:rPr>
          <w:rFonts w:hint="eastAsia" w:ascii="仿宋" w:hAnsi="仿宋" w:eastAsia="仿宋" w:cs="Times New Roman"/>
          <w:color w:val="auto"/>
          <w:sz w:val="24"/>
          <w:szCs w:val="24"/>
          <w:highlight w:val="none"/>
        </w:rPr>
        <w:t>.若任一方因过失造成另一方严重损失，则按合同全额的10%作为违约金，造成直接经济损失金额大于违约金时，由违约方全部承担。</w:t>
      </w:r>
    </w:p>
    <w:p w14:paraId="661882F4">
      <w:pPr>
        <w:pStyle w:val="34"/>
        <w:shd w:val="clear" w:color="auto"/>
        <w:spacing w:line="240" w:lineRule="auto"/>
        <w:ind w:firstLine="500"/>
        <w:rPr>
          <w:rFonts w:hint="default"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highlight w:val="none"/>
          <w:lang w:val="en-US" w:eastAsia="zh-CN"/>
        </w:rPr>
        <w:t>3</w:t>
      </w:r>
      <w:r>
        <w:rPr>
          <w:rFonts w:hint="eastAsia" w:ascii="仿宋" w:hAnsi="仿宋" w:eastAsia="仿宋" w:cs="Times New Roman"/>
          <w:color w:val="auto"/>
          <w:sz w:val="24"/>
          <w:szCs w:val="24"/>
          <w:highlight w:val="none"/>
        </w:rPr>
        <w:t>.违约方除赔偿损失外，还应向守约方承担本合同项下产生的律师费、差旅费、诉讼费、担保手续费等一切合理费用。</w:t>
      </w:r>
      <w:r>
        <w:rPr>
          <w:rFonts w:hint="eastAsia" w:ascii="仿宋" w:hAnsi="仿宋" w:eastAsia="仿宋" w:cs="Times New Roman"/>
          <w:color w:val="auto"/>
          <w:sz w:val="24"/>
          <w:szCs w:val="24"/>
          <w:highlight w:val="none"/>
          <w:lang w:val="en-US" w:eastAsia="zh-CN"/>
        </w:rPr>
        <w:t>若违约方为乙方，乙方应对甲方发生的损失承担赔偿责任。该等损失包括但不限于甲方为维权所支付的诉讼（仲裁）费用、律师费用、公证费用、调查费用、保全费用、保全担保费用以及其他相关费用，亦包括甲方因乙方的违约行为向任何第三方支付的违约金、赔偿金、补偿金、罚金、行政罚款等。本合同约定的违约金或者其他费用，甲方有权直接在待支付给乙方的款项中予以扣除，不足部分有权继续向乙方进行追索。</w:t>
      </w:r>
    </w:p>
    <w:p w14:paraId="6B66B8F3">
      <w:pPr>
        <w:pStyle w:val="34"/>
        <w:shd w:val="clear" w:color="auto"/>
        <w:spacing w:line="240" w:lineRule="auto"/>
        <w:ind w:firstLine="500"/>
        <w:rPr>
          <w:rFonts w:ascii="仿宋" w:hAnsi="仿宋" w:eastAsia="仿宋" w:cs="Times New Roman"/>
          <w:color w:val="auto"/>
          <w:sz w:val="24"/>
          <w:szCs w:val="24"/>
          <w:highlight w:val="none"/>
        </w:rPr>
      </w:pPr>
    </w:p>
    <w:p w14:paraId="2C5B642D">
      <w:pPr>
        <w:pStyle w:val="34"/>
        <w:shd w:val="clear" w:color="auto"/>
        <w:spacing w:line="240" w:lineRule="auto"/>
        <w:ind w:firstLine="500"/>
        <w:rPr>
          <w:rFonts w:ascii="仿宋" w:hAnsi="仿宋" w:eastAsia="仿宋" w:cs="Times New Roman"/>
          <w:color w:val="auto"/>
          <w:sz w:val="24"/>
          <w:szCs w:val="24"/>
          <w:highlight w:val="none"/>
        </w:rPr>
      </w:pPr>
      <w:r>
        <w:rPr>
          <w:rFonts w:hint="eastAsia" w:ascii="仿宋" w:hAnsi="仿宋" w:eastAsia="仿宋" w:cs="Times New Roman"/>
          <w:color w:val="auto"/>
          <w:sz w:val="24"/>
          <w:szCs w:val="24"/>
          <w:highlight w:val="none"/>
          <w:lang w:val="en-US" w:eastAsia="zh-CN"/>
        </w:rPr>
        <w:t>九</w:t>
      </w:r>
      <w:r>
        <w:rPr>
          <w:rFonts w:ascii="仿宋" w:hAnsi="仿宋" w:eastAsia="仿宋" w:cs="Times New Roman"/>
          <w:color w:val="auto"/>
          <w:sz w:val="24"/>
          <w:szCs w:val="24"/>
          <w:highlight w:val="none"/>
        </w:rPr>
        <w:t>、其他约定事项</w:t>
      </w:r>
    </w:p>
    <w:p w14:paraId="491ED8EE">
      <w:pPr>
        <w:pStyle w:val="34"/>
        <w:shd w:val="clear" w:color="auto"/>
        <w:tabs>
          <w:tab w:val="left" w:pos="905"/>
        </w:tabs>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rPr>
        <w:t>.</w:t>
      </w:r>
      <w:r>
        <w:rPr>
          <w:rFonts w:hint="eastAsia" w:ascii="仿宋" w:hAnsi="仿宋" w:eastAsia="仿宋" w:cs="Times New Roman"/>
          <w:color w:val="auto"/>
          <w:sz w:val="24"/>
          <w:szCs w:val="24"/>
          <w:highlight w:val="none"/>
          <w:lang w:eastAsia="zh-CN"/>
        </w:rPr>
        <w:t>竞采</w:t>
      </w:r>
      <w:r>
        <w:rPr>
          <w:rFonts w:ascii="仿宋" w:hAnsi="仿宋" w:eastAsia="仿宋" w:cs="Times New Roman"/>
          <w:color w:val="auto"/>
          <w:sz w:val="24"/>
          <w:szCs w:val="24"/>
          <w:highlight w:val="none"/>
        </w:rPr>
        <w:t>文件及其补遗文件、响应文件和承诺是本合同不可分割的部分。</w:t>
      </w:r>
    </w:p>
    <w:p w14:paraId="3F750BD9">
      <w:pPr>
        <w:pStyle w:val="34"/>
        <w:shd w:val="clear" w:color="auto"/>
        <w:tabs>
          <w:tab w:val="left" w:pos="905"/>
        </w:tabs>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本合同如发生争议由甲乙双方协商解决，协商不成向</w:t>
      </w:r>
      <w:r>
        <w:rPr>
          <w:rFonts w:ascii="仿宋" w:hAnsi="仿宋" w:eastAsia="仿宋" w:cs="Times New Roman"/>
          <w:color w:val="auto"/>
          <w:sz w:val="24"/>
          <w:szCs w:val="24"/>
          <w:highlight w:val="none"/>
          <w:u w:val="single"/>
        </w:rPr>
        <w:t>甲方所在地人民法院</w:t>
      </w:r>
      <w:r>
        <w:rPr>
          <w:rFonts w:ascii="仿宋" w:hAnsi="仿宋" w:eastAsia="仿宋" w:cs="Times New Roman"/>
          <w:color w:val="auto"/>
          <w:sz w:val="24"/>
          <w:szCs w:val="24"/>
          <w:highlight w:val="none"/>
        </w:rPr>
        <w:t>提起诉讼。</w:t>
      </w:r>
    </w:p>
    <w:p w14:paraId="08545CDA">
      <w:pPr>
        <w:pStyle w:val="34"/>
        <w:shd w:val="clear" w:color="auto"/>
        <w:tabs>
          <w:tab w:val="left" w:pos="905"/>
        </w:tabs>
        <w:spacing w:line="240" w:lineRule="auto"/>
        <w:ind w:firstLine="5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3</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本合同一式6份，甲方执4份、乙方执2份，具同等法律效力。</w:t>
      </w:r>
      <w:r>
        <w:rPr>
          <w:rFonts w:hint="eastAsia" w:ascii="仿宋" w:hAnsi="仿宋" w:eastAsia="仿宋" w:cs="Times New Roman"/>
          <w:color w:val="auto"/>
          <w:sz w:val="24"/>
          <w:szCs w:val="24"/>
          <w:highlight w:val="none"/>
        </w:rPr>
        <w:t>本合同自双方法定代表人或授权代理人签字并加盖公章后生效。</w:t>
      </w:r>
    </w:p>
    <w:p w14:paraId="063A2DE8">
      <w:pPr>
        <w:pStyle w:val="34"/>
        <w:shd w:val="clear" w:color="auto"/>
        <w:tabs>
          <w:tab w:val="left" w:pos="905"/>
        </w:tabs>
        <w:spacing w:line="240" w:lineRule="auto"/>
        <w:ind w:firstLine="500"/>
        <w:jc w:val="both"/>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4</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甲乙双方确认本合同载明的地址即为本合同的通讯地址，任一方向对方地址邮寄通知或文件即视为送达，通讯地址持续适用于合同履行期间、也包括人民法院送达各类法律文书。任一方变更通讯地址应提前三日向另一方书面通知，否则向原地址寄送材料仍然有效。</w:t>
      </w:r>
    </w:p>
    <w:p w14:paraId="5ECA3AC2">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t>（以下无正文）</w:t>
      </w:r>
    </w:p>
    <w:p w14:paraId="56F698E8">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7E437DBC">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6702474A">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473F0391">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125B40DB">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4181E882">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170E4368">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91C3E90">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2390FEE0">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05203F26">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6D06E70E">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17EB8DA2">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147ECDF">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18EA454D">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0AB08719">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6CBB74A5">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6198CB78">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4465C64">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0CB29DFD">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14D2CFF6">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539F59ED">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48C817FC">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0A0C966">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5BB77B47">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90DAE13">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45BBEE99">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0B8D7477">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A0D1621">
      <w:pPr>
        <w:rPr>
          <w:rFonts w:hint="eastAsia" w:ascii="仿宋" w:hAnsi="仿宋" w:eastAsia="仿宋" w:cs="Times New Roman"/>
          <w:color w:val="auto"/>
          <w:sz w:val="24"/>
          <w:szCs w:val="24"/>
          <w:highlight w:val="none"/>
          <w:lang w:eastAsia="zh-CN"/>
        </w:rPr>
      </w:pPr>
      <w:r>
        <w:rPr>
          <w:rFonts w:hint="eastAsia" w:ascii="仿宋" w:hAnsi="仿宋" w:eastAsia="仿宋" w:cs="Times New Roman"/>
          <w:color w:val="auto"/>
          <w:sz w:val="24"/>
          <w:szCs w:val="24"/>
          <w:highlight w:val="none"/>
          <w:lang w:eastAsia="zh-CN"/>
        </w:rPr>
        <w:br w:type="page"/>
      </w:r>
    </w:p>
    <w:p w14:paraId="2D31BDB4">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362F11FA">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p w14:paraId="42CEB139">
      <w:pPr>
        <w:pStyle w:val="34"/>
        <w:shd w:val="clear" w:color="auto"/>
        <w:tabs>
          <w:tab w:val="left" w:pos="905"/>
        </w:tabs>
        <w:spacing w:line="240" w:lineRule="auto"/>
        <w:ind w:firstLine="500"/>
        <w:jc w:val="both"/>
        <w:rPr>
          <w:rFonts w:hint="eastAsia" w:ascii="仿宋" w:hAnsi="仿宋" w:eastAsia="仿宋" w:cs="Times New Roman"/>
          <w:color w:val="auto"/>
          <w:sz w:val="24"/>
          <w:szCs w:val="24"/>
          <w:highlight w:val="none"/>
          <w:lang w:eastAsia="zh-CN"/>
        </w:rPr>
      </w:pPr>
    </w:p>
    <w:tbl>
      <w:tblPr>
        <w:tblStyle w:val="20"/>
        <w:tblW w:w="9019" w:type="dxa"/>
        <w:jc w:val="center"/>
        <w:tblLayout w:type="fixed"/>
        <w:tblCellMar>
          <w:top w:w="0" w:type="dxa"/>
          <w:left w:w="108" w:type="dxa"/>
          <w:bottom w:w="0" w:type="dxa"/>
          <w:right w:w="108" w:type="dxa"/>
        </w:tblCellMar>
      </w:tblPr>
      <w:tblGrid>
        <w:gridCol w:w="4376"/>
        <w:gridCol w:w="4643"/>
      </w:tblGrid>
      <w:tr w14:paraId="2795952C">
        <w:tblPrEx>
          <w:tblCellMar>
            <w:top w:w="0" w:type="dxa"/>
            <w:left w:w="108" w:type="dxa"/>
            <w:bottom w:w="0" w:type="dxa"/>
            <w:right w:w="108" w:type="dxa"/>
          </w:tblCellMar>
        </w:tblPrEx>
        <w:trPr>
          <w:trHeight w:val="668" w:hRule="atLeast"/>
          <w:jc w:val="center"/>
        </w:trPr>
        <w:tc>
          <w:tcPr>
            <w:tcW w:w="4376" w:type="dxa"/>
          </w:tcPr>
          <w:p w14:paraId="1E2A0A90">
            <w:pPr>
              <w:keepNext w:val="0"/>
              <w:keepLines w:val="0"/>
              <w:pageBreakBefore w:val="0"/>
              <w:widowControl w:val="0"/>
              <w:kinsoku/>
              <w:wordWrap/>
              <w:overflowPunct/>
              <w:topLinePunct w:val="0"/>
              <w:autoSpaceDE/>
              <w:autoSpaceDN/>
              <w:bidi w:val="0"/>
              <w:adjustRightInd/>
              <w:snapToGrid/>
              <w:spacing w:line="380" w:lineRule="exact"/>
              <w:ind w:left="1400" w:hanging="1200" w:hangingChars="500"/>
              <w:textAlignment w:val="auto"/>
              <w:rPr>
                <w:rFonts w:hint="default" w:ascii="仿宋" w:hAnsi="仿宋" w:eastAsia="仿宋" w:cs="Times New Roman"/>
                <w:color w:val="auto"/>
                <w:kern w:val="0"/>
                <w:sz w:val="24"/>
                <w:szCs w:val="24"/>
                <w:highlight w:val="none"/>
                <w:lang w:val="en-US" w:eastAsia="zh-CN" w:bidi="zh-CN"/>
              </w:rPr>
            </w:pPr>
            <w:r>
              <w:rPr>
                <w:rFonts w:hint="eastAsia" w:ascii="仿宋" w:hAnsi="仿宋" w:eastAsia="仿宋" w:cs="Times New Roman"/>
                <w:color w:val="auto"/>
                <w:kern w:val="0"/>
                <w:sz w:val="24"/>
                <w:szCs w:val="24"/>
                <w:highlight w:val="none"/>
                <w:lang w:val="en-US" w:eastAsia="zh-CN" w:bidi="zh-CN"/>
              </w:rPr>
              <w:t>甲方：重庆绿发实业集团有限公司</w:t>
            </w:r>
          </w:p>
        </w:tc>
        <w:tc>
          <w:tcPr>
            <w:tcW w:w="4643" w:type="dxa"/>
          </w:tcPr>
          <w:p w14:paraId="54B36B50">
            <w:pPr>
              <w:keepNext w:val="0"/>
              <w:keepLines w:val="0"/>
              <w:pageBreakBefore w:val="0"/>
              <w:widowControl w:val="0"/>
              <w:kinsoku/>
              <w:wordWrap/>
              <w:overflowPunct/>
              <w:topLinePunct w:val="0"/>
              <w:autoSpaceDE/>
              <w:autoSpaceDN/>
              <w:bidi w:val="0"/>
              <w:adjustRightInd/>
              <w:snapToGrid/>
              <w:spacing w:line="380" w:lineRule="exact"/>
              <w:ind w:left="1400" w:hanging="1200" w:hangingChars="500"/>
              <w:jc w:val="both"/>
              <w:textAlignment w:val="auto"/>
              <w:rPr>
                <w:rFonts w:hint="eastAsia" w:ascii="仿宋" w:hAnsi="仿宋" w:eastAsia="仿宋" w:cs="Times New Roman"/>
                <w:color w:val="auto"/>
                <w:kern w:val="0"/>
                <w:sz w:val="24"/>
                <w:szCs w:val="24"/>
                <w:highlight w:val="none"/>
                <w:lang w:val="en-US" w:eastAsia="zh-CN" w:bidi="zh-CN"/>
              </w:rPr>
            </w:pPr>
            <w:r>
              <w:rPr>
                <w:rFonts w:hint="eastAsia" w:ascii="仿宋" w:hAnsi="仿宋" w:eastAsia="仿宋" w:cs="Times New Roman"/>
                <w:color w:val="auto"/>
                <w:kern w:val="0"/>
                <w:sz w:val="24"/>
                <w:szCs w:val="24"/>
                <w:highlight w:val="none"/>
                <w:lang w:val="zh-CN" w:eastAsia="zh-CN" w:bidi="zh-CN"/>
              </w:rPr>
              <w:t>乙方：</w:t>
            </w:r>
            <w:r>
              <w:rPr>
                <w:rFonts w:hint="eastAsia" w:ascii="仿宋" w:hAnsi="仿宋" w:eastAsia="仿宋" w:cs="Times New Roman"/>
                <w:color w:val="auto"/>
                <w:kern w:val="0"/>
                <w:sz w:val="24"/>
                <w:szCs w:val="24"/>
                <w:highlight w:val="none"/>
                <w:lang w:val="en-US" w:eastAsia="zh-CN" w:bidi="zh-CN"/>
              </w:rPr>
              <w:t xml:space="preserve">    </w:t>
            </w:r>
          </w:p>
        </w:tc>
      </w:tr>
      <w:tr w14:paraId="0084687E">
        <w:tblPrEx>
          <w:tblCellMar>
            <w:top w:w="0" w:type="dxa"/>
            <w:left w:w="108" w:type="dxa"/>
            <w:bottom w:w="0" w:type="dxa"/>
            <w:right w:w="108" w:type="dxa"/>
          </w:tblCellMar>
        </w:tblPrEx>
        <w:trPr>
          <w:trHeight w:val="2988" w:hRule="atLeast"/>
          <w:jc w:val="center"/>
        </w:trPr>
        <w:tc>
          <w:tcPr>
            <w:tcW w:w="4376" w:type="dxa"/>
          </w:tcPr>
          <w:p w14:paraId="3F868A90">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法定代表人：</w:t>
            </w:r>
          </w:p>
          <w:p w14:paraId="5E89C454">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p>
          <w:p w14:paraId="1ABE1C95">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分管领导：</w:t>
            </w:r>
          </w:p>
          <w:p w14:paraId="59E2E222">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部室负责人：</w:t>
            </w:r>
          </w:p>
        </w:tc>
        <w:tc>
          <w:tcPr>
            <w:tcW w:w="4643" w:type="dxa"/>
          </w:tcPr>
          <w:p w14:paraId="56E7A872">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法定代表人：</w:t>
            </w:r>
          </w:p>
          <w:p w14:paraId="4D65FD6F">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身份证号码：</w:t>
            </w:r>
            <w:r>
              <w:rPr>
                <w:rFonts w:hint="eastAsia" w:ascii="仿宋" w:hAnsi="仿宋" w:eastAsia="仿宋" w:cs="Times New Roman"/>
                <w:color w:val="auto"/>
                <w:kern w:val="0"/>
                <w:sz w:val="24"/>
                <w:szCs w:val="24"/>
                <w:highlight w:val="none"/>
                <w:lang w:val="en-US" w:eastAsia="zh-CN" w:bidi="zh-CN"/>
              </w:rPr>
              <w:t xml:space="preserve"> </w:t>
            </w:r>
          </w:p>
          <w:p w14:paraId="33A0403B">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委托代理人：</w:t>
            </w:r>
          </w:p>
          <w:p w14:paraId="04E4389D">
            <w:pPr>
              <w:keepNext w:val="0"/>
              <w:keepLines w:val="0"/>
              <w:pageBreakBefore w:val="0"/>
              <w:widowControl w:val="0"/>
              <w:kinsoku/>
              <w:wordWrap/>
              <w:overflowPunct/>
              <w:topLinePunct w:val="0"/>
              <w:autoSpaceDE/>
              <w:autoSpaceDN/>
              <w:bidi w:val="0"/>
              <w:adjustRightInd/>
              <w:snapToGrid/>
              <w:spacing w:before="240" w:beforeLines="10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身份证号码：</w:t>
            </w:r>
          </w:p>
        </w:tc>
      </w:tr>
      <w:tr w14:paraId="20575D5E">
        <w:tblPrEx>
          <w:tblCellMar>
            <w:top w:w="0" w:type="dxa"/>
            <w:left w:w="108" w:type="dxa"/>
            <w:bottom w:w="0" w:type="dxa"/>
            <w:right w:w="108" w:type="dxa"/>
          </w:tblCellMar>
        </w:tblPrEx>
        <w:trPr>
          <w:trHeight w:val="719" w:hRule="atLeast"/>
          <w:jc w:val="center"/>
        </w:trPr>
        <w:tc>
          <w:tcPr>
            <w:tcW w:w="4376" w:type="dxa"/>
          </w:tcPr>
          <w:p w14:paraId="7D6092AF">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经 办 人：</w:t>
            </w:r>
          </w:p>
        </w:tc>
        <w:tc>
          <w:tcPr>
            <w:tcW w:w="4643" w:type="dxa"/>
          </w:tcPr>
          <w:p w14:paraId="1FAE5389">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经 办 人：</w:t>
            </w:r>
          </w:p>
        </w:tc>
      </w:tr>
      <w:tr w14:paraId="54904B57">
        <w:tblPrEx>
          <w:tblCellMar>
            <w:top w:w="0" w:type="dxa"/>
            <w:left w:w="108" w:type="dxa"/>
            <w:bottom w:w="0" w:type="dxa"/>
            <w:right w:w="108" w:type="dxa"/>
          </w:tblCellMar>
        </w:tblPrEx>
        <w:trPr>
          <w:trHeight w:val="719" w:hRule="atLeast"/>
          <w:jc w:val="center"/>
        </w:trPr>
        <w:tc>
          <w:tcPr>
            <w:tcW w:w="4376" w:type="dxa"/>
          </w:tcPr>
          <w:p w14:paraId="2F90AEDB">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123"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统一社会信用代码：</w:t>
            </w:r>
            <w:r>
              <w:rPr>
                <w:rFonts w:hint="eastAsia" w:ascii="仿宋" w:hAnsi="仿宋" w:eastAsia="仿宋" w:cs="Times New Roman"/>
                <w:color w:val="auto"/>
                <w:kern w:val="0"/>
                <w:sz w:val="24"/>
                <w:szCs w:val="24"/>
                <w:highlight w:val="none"/>
                <w:lang w:val="en-US" w:eastAsia="zh-CN" w:bidi="zh-CN"/>
              </w:rPr>
              <w:t xml:space="preserve"> </w:t>
            </w:r>
          </w:p>
        </w:tc>
        <w:tc>
          <w:tcPr>
            <w:tcW w:w="4643" w:type="dxa"/>
          </w:tcPr>
          <w:p w14:paraId="7812BAFE">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536" w:hanging="1440" w:hangingChars="6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统一社会信用代码：</w:t>
            </w:r>
            <w:r>
              <w:rPr>
                <w:rFonts w:hint="eastAsia" w:ascii="仿宋" w:hAnsi="仿宋" w:eastAsia="仿宋" w:cs="Times New Roman"/>
                <w:color w:val="auto"/>
                <w:kern w:val="0"/>
                <w:sz w:val="24"/>
                <w:szCs w:val="24"/>
                <w:highlight w:val="none"/>
                <w:lang w:val="en-US" w:eastAsia="zh-CN" w:bidi="zh-CN"/>
              </w:rPr>
              <w:t xml:space="preserve"> </w:t>
            </w:r>
          </w:p>
        </w:tc>
      </w:tr>
      <w:tr w14:paraId="6A731750">
        <w:tblPrEx>
          <w:tblCellMar>
            <w:top w:w="0" w:type="dxa"/>
            <w:left w:w="108" w:type="dxa"/>
            <w:bottom w:w="0" w:type="dxa"/>
            <w:right w:w="108" w:type="dxa"/>
          </w:tblCellMar>
        </w:tblPrEx>
        <w:trPr>
          <w:trHeight w:val="719" w:hRule="atLeast"/>
          <w:jc w:val="center"/>
        </w:trPr>
        <w:tc>
          <w:tcPr>
            <w:tcW w:w="4376" w:type="dxa"/>
          </w:tcPr>
          <w:p w14:paraId="51EA5AC5">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开 户 行：</w:t>
            </w:r>
          </w:p>
        </w:tc>
        <w:tc>
          <w:tcPr>
            <w:tcW w:w="4643" w:type="dxa"/>
          </w:tcPr>
          <w:p w14:paraId="698E7917">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right="-244" w:rightChars="-87" w:hanging="1200" w:hangingChars="500"/>
              <w:jc w:val="lef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开 户 行：</w:t>
            </w:r>
            <w:r>
              <w:rPr>
                <w:rFonts w:hint="eastAsia" w:ascii="仿宋" w:hAnsi="仿宋" w:eastAsia="仿宋" w:cs="Times New Roman"/>
                <w:color w:val="auto"/>
                <w:kern w:val="0"/>
                <w:sz w:val="24"/>
                <w:szCs w:val="24"/>
                <w:highlight w:val="none"/>
                <w:lang w:val="en-US" w:eastAsia="zh-CN" w:bidi="zh-CN"/>
              </w:rPr>
              <w:t xml:space="preserve"> </w:t>
            </w:r>
          </w:p>
        </w:tc>
      </w:tr>
      <w:tr w14:paraId="022C3343">
        <w:tblPrEx>
          <w:tblCellMar>
            <w:top w:w="0" w:type="dxa"/>
            <w:left w:w="108" w:type="dxa"/>
            <w:bottom w:w="0" w:type="dxa"/>
            <w:right w:w="108" w:type="dxa"/>
          </w:tblCellMar>
        </w:tblPrEx>
        <w:trPr>
          <w:trHeight w:val="978" w:hRule="atLeast"/>
          <w:jc w:val="center"/>
        </w:trPr>
        <w:tc>
          <w:tcPr>
            <w:tcW w:w="4376" w:type="dxa"/>
          </w:tcPr>
          <w:p w14:paraId="484212D6">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账    号：</w:t>
            </w:r>
          </w:p>
        </w:tc>
        <w:tc>
          <w:tcPr>
            <w:tcW w:w="4643" w:type="dxa"/>
          </w:tcPr>
          <w:p w14:paraId="51A203FB">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账    号</w:t>
            </w:r>
            <w:r>
              <w:rPr>
                <w:rFonts w:hint="eastAsia" w:ascii="仿宋" w:hAnsi="仿宋" w:eastAsia="仿宋" w:cs="Times New Roman"/>
                <w:color w:val="auto"/>
                <w:kern w:val="0"/>
                <w:sz w:val="24"/>
                <w:szCs w:val="24"/>
                <w:highlight w:val="none"/>
                <w:lang w:val="en-US" w:eastAsia="zh-CN" w:bidi="zh-CN"/>
              </w:rPr>
              <w:t xml:space="preserve">： </w:t>
            </w:r>
          </w:p>
        </w:tc>
      </w:tr>
      <w:tr w14:paraId="5723FE86">
        <w:tblPrEx>
          <w:tblCellMar>
            <w:top w:w="0" w:type="dxa"/>
            <w:left w:w="108" w:type="dxa"/>
            <w:bottom w:w="0" w:type="dxa"/>
            <w:right w:w="108" w:type="dxa"/>
          </w:tblCellMar>
        </w:tblPrEx>
        <w:trPr>
          <w:trHeight w:val="719" w:hRule="atLeast"/>
          <w:jc w:val="center"/>
        </w:trPr>
        <w:tc>
          <w:tcPr>
            <w:tcW w:w="4376" w:type="dxa"/>
          </w:tcPr>
          <w:p w14:paraId="0AB00B5D">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联系电话：</w:t>
            </w:r>
            <w:r>
              <w:rPr>
                <w:rFonts w:hint="eastAsia" w:ascii="仿宋" w:hAnsi="仿宋" w:eastAsia="仿宋" w:cs="Times New Roman"/>
                <w:color w:val="auto"/>
                <w:kern w:val="0"/>
                <w:sz w:val="24"/>
                <w:szCs w:val="24"/>
                <w:highlight w:val="none"/>
                <w:lang w:val="en-US" w:eastAsia="zh-CN" w:bidi="zh-CN"/>
              </w:rPr>
              <w:t xml:space="preserve"> </w:t>
            </w:r>
          </w:p>
        </w:tc>
        <w:tc>
          <w:tcPr>
            <w:tcW w:w="4643" w:type="dxa"/>
          </w:tcPr>
          <w:p w14:paraId="73C49A46">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ind w:left="1400"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电    话：</w:t>
            </w:r>
            <w:r>
              <w:rPr>
                <w:rFonts w:hint="eastAsia" w:ascii="仿宋" w:hAnsi="仿宋" w:eastAsia="仿宋" w:cs="Times New Roman"/>
                <w:color w:val="auto"/>
                <w:kern w:val="0"/>
                <w:sz w:val="24"/>
                <w:szCs w:val="24"/>
                <w:highlight w:val="none"/>
                <w:lang w:val="en-US" w:eastAsia="zh-CN" w:bidi="zh-CN"/>
              </w:rPr>
              <w:t xml:space="preserve"> </w:t>
            </w:r>
          </w:p>
        </w:tc>
      </w:tr>
      <w:tr w14:paraId="13509553">
        <w:tblPrEx>
          <w:tblCellMar>
            <w:top w:w="0" w:type="dxa"/>
            <w:left w:w="108" w:type="dxa"/>
            <w:bottom w:w="0" w:type="dxa"/>
            <w:right w:w="108" w:type="dxa"/>
          </w:tblCellMar>
        </w:tblPrEx>
        <w:trPr>
          <w:trHeight w:val="491" w:hRule="atLeast"/>
          <w:jc w:val="center"/>
        </w:trPr>
        <w:tc>
          <w:tcPr>
            <w:tcW w:w="4376" w:type="dxa"/>
          </w:tcPr>
          <w:p w14:paraId="0A916B6D">
            <w:pPr>
              <w:keepNext w:val="0"/>
              <w:keepLines w:val="0"/>
              <w:pageBreakBefore w:val="0"/>
              <w:widowControl w:val="0"/>
              <w:kinsoku/>
              <w:wordWrap/>
              <w:overflowPunct/>
              <w:topLinePunct w:val="0"/>
              <w:autoSpaceDE/>
              <w:autoSpaceDN/>
              <w:bidi w:val="0"/>
              <w:adjustRightInd/>
              <w:snapToGrid/>
              <w:spacing w:line="380" w:lineRule="exact"/>
              <w:ind w:left="1403" w:hanging="1202" w:hangingChars="501"/>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地    址：</w:t>
            </w:r>
            <w:r>
              <w:rPr>
                <w:rFonts w:hint="eastAsia" w:ascii="仿宋" w:hAnsi="仿宋" w:eastAsia="仿宋" w:cs="Times New Roman"/>
                <w:color w:val="auto"/>
                <w:kern w:val="0"/>
                <w:sz w:val="24"/>
                <w:szCs w:val="24"/>
                <w:highlight w:val="none"/>
                <w:lang w:val="en-US" w:eastAsia="zh-CN" w:bidi="zh-CN"/>
              </w:rPr>
              <w:t xml:space="preserve"> </w:t>
            </w:r>
          </w:p>
        </w:tc>
        <w:tc>
          <w:tcPr>
            <w:tcW w:w="4643" w:type="dxa"/>
          </w:tcPr>
          <w:p w14:paraId="15EA3B71">
            <w:pPr>
              <w:keepNext w:val="0"/>
              <w:keepLines w:val="0"/>
              <w:pageBreakBefore w:val="0"/>
              <w:widowControl w:val="0"/>
              <w:kinsoku/>
              <w:wordWrap/>
              <w:overflowPunct/>
              <w:topLinePunct w:val="0"/>
              <w:autoSpaceDE/>
              <w:autoSpaceDN/>
              <w:bidi w:val="0"/>
              <w:adjustRightInd/>
              <w:snapToGrid/>
              <w:spacing w:line="380" w:lineRule="exact"/>
              <w:ind w:left="1400" w:hanging="1200" w:hangingChars="500"/>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地    址：</w:t>
            </w:r>
            <w:r>
              <w:rPr>
                <w:rFonts w:hint="eastAsia" w:ascii="仿宋" w:hAnsi="仿宋" w:eastAsia="仿宋" w:cs="Times New Roman"/>
                <w:color w:val="auto"/>
                <w:kern w:val="0"/>
                <w:sz w:val="24"/>
                <w:szCs w:val="24"/>
                <w:highlight w:val="none"/>
                <w:lang w:val="en-US" w:eastAsia="zh-CN" w:bidi="zh-CN"/>
              </w:rPr>
              <w:t xml:space="preserve"> </w:t>
            </w:r>
          </w:p>
        </w:tc>
      </w:tr>
      <w:tr w14:paraId="43F063A5">
        <w:tblPrEx>
          <w:tblCellMar>
            <w:top w:w="0" w:type="dxa"/>
            <w:left w:w="108" w:type="dxa"/>
            <w:bottom w:w="0" w:type="dxa"/>
            <w:right w:w="108" w:type="dxa"/>
          </w:tblCellMar>
        </w:tblPrEx>
        <w:trPr>
          <w:trHeight w:val="719" w:hRule="atLeast"/>
          <w:jc w:val="center"/>
        </w:trPr>
        <w:tc>
          <w:tcPr>
            <w:tcW w:w="4376" w:type="dxa"/>
          </w:tcPr>
          <w:p w14:paraId="1BD215E9">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时    间：</w:t>
            </w:r>
            <w:r>
              <w:rPr>
                <w:rFonts w:hint="eastAsia" w:ascii="仿宋" w:hAnsi="仿宋" w:eastAsia="仿宋" w:cs="Times New Roman"/>
                <w:color w:val="auto"/>
                <w:kern w:val="0"/>
                <w:sz w:val="24"/>
                <w:szCs w:val="24"/>
                <w:highlight w:val="none"/>
                <w:lang w:val="en-US" w:eastAsia="zh-CN" w:bidi="zh-CN"/>
              </w:rPr>
              <w:t xml:space="preserve">    </w:t>
            </w:r>
            <w:r>
              <w:rPr>
                <w:rFonts w:hint="eastAsia" w:ascii="仿宋" w:hAnsi="仿宋" w:eastAsia="仿宋" w:cs="Times New Roman"/>
                <w:color w:val="auto"/>
                <w:kern w:val="0"/>
                <w:sz w:val="24"/>
                <w:szCs w:val="24"/>
                <w:highlight w:val="none"/>
                <w:lang w:val="zh-CN" w:eastAsia="zh-CN" w:bidi="zh-CN"/>
              </w:rPr>
              <w:t>年</w:t>
            </w:r>
            <w:r>
              <w:rPr>
                <w:rFonts w:hint="eastAsia" w:ascii="仿宋" w:hAnsi="仿宋" w:eastAsia="仿宋" w:cs="Times New Roman"/>
                <w:color w:val="auto"/>
                <w:kern w:val="0"/>
                <w:sz w:val="24"/>
                <w:szCs w:val="24"/>
                <w:highlight w:val="none"/>
                <w:lang w:val="en-US" w:eastAsia="zh-CN" w:bidi="zh-CN"/>
              </w:rPr>
              <w:t xml:space="preserve">  </w:t>
            </w:r>
            <w:r>
              <w:rPr>
                <w:rFonts w:hint="eastAsia" w:ascii="仿宋" w:hAnsi="仿宋" w:eastAsia="仿宋" w:cs="Times New Roman"/>
                <w:color w:val="auto"/>
                <w:kern w:val="0"/>
                <w:sz w:val="24"/>
                <w:szCs w:val="24"/>
                <w:highlight w:val="none"/>
                <w:lang w:val="zh-CN" w:eastAsia="zh-CN" w:bidi="zh-CN"/>
              </w:rPr>
              <w:t>月</w:t>
            </w:r>
            <w:r>
              <w:rPr>
                <w:rFonts w:hint="eastAsia" w:ascii="仿宋" w:hAnsi="仿宋" w:eastAsia="仿宋" w:cs="Times New Roman"/>
                <w:color w:val="auto"/>
                <w:kern w:val="0"/>
                <w:sz w:val="24"/>
                <w:szCs w:val="24"/>
                <w:highlight w:val="none"/>
                <w:lang w:val="en-US" w:eastAsia="zh-CN" w:bidi="zh-CN"/>
              </w:rPr>
              <w:t xml:space="preserve">  </w:t>
            </w:r>
            <w:r>
              <w:rPr>
                <w:rFonts w:hint="eastAsia" w:ascii="仿宋" w:hAnsi="仿宋" w:eastAsia="仿宋" w:cs="Times New Roman"/>
                <w:color w:val="auto"/>
                <w:kern w:val="0"/>
                <w:sz w:val="24"/>
                <w:szCs w:val="24"/>
                <w:highlight w:val="none"/>
                <w:lang w:val="zh-CN" w:eastAsia="zh-CN" w:bidi="zh-CN"/>
              </w:rPr>
              <w:t>日</w:t>
            </w:r>
          </w:p>
        </w:tc>
        <w:tc>
          <w:tcPr>
            <w:tcW w:w="4643" w:type="dxa"/>
          </w:tcPr>
          <w:p w14:paraId="2D108079">
            <w:pPr>
              <w:keepNext w:val="0"/>
              <w:keepLines w:val="0"/>
              <w:pageBreakBefore w:val="0"/>
              <w:widowControl w:val="0"/>
              <w:kinsoku/>
              <w:wordWrap/>
              <w:overflowPunct/>
              <w:topLinePunct w:val="0"/>
              <w:autoSpaceDE/>
              <w:autoSpaceDN/>
              <w:bidi w:val="0"/>
              <w:adjustRightInd/>
              <w:snapToGrid/>
              <w:spacing w:before="120" w:beforeLines="50" w:after="120" w:afterLines="50" w:line="380" w:lineRule="exact"/>
              <w:textAlignment w:val="auto"/>
              <w:rPr>
                <w:rFonts w:hint="eastAsia" w:ascii="仿宋" w:hAnsi="仿宋" w:eastAsia="仿宋" w:cs="Times New Roman"/>
                <w:color w:val="auto"/>
                <w:kern w:val="0"/>
                <w:sz w:val="24"/>
                <w:szCs w:val="24"/>
                <w:highlight w:val="none"/>
                <w:lang w:val="zh-CN" w:eastAsia="zh-CN" w:bidi="zh-CN"/>
              </w:rPr>
            </w:pPr>
            <w:r>
              <w:rPr>
                <w:rFonts w:hint="eastAsia" w:ascii="仿宋" w:hAnsi="仿宋" w:eastAsia="仿宋" w:cs="Times New Roman"/>
                <w:color w:val="auto"/>
                <w:kern w:val="0"/>
                <w:sz w:val="24"/>
                <w:szCs w:val="24"/>
                <w:highlight w:val="none"/>
                <w:lang w:val="zh-CN" w:eastAsia="zh-CN" w:bidi="zh-CN"/>
              </w:rPr>
              <w:t>时    间：</w:t>
            </w:r>
            <w:r>
              <w:rPr>
                <w:rFonts w:hint="eastAsia" w:ascii="仿宋" w:hAnsi="仿宋" w:eastAsia="仿宋" w:cs="Times New Roman"/>
                <w:color w:val="auto"/>
                <w:kern w:val="0"/>
                <w:sz w:val="24"/>
                <w:szCs w:val="24"/>
                <w:highlight w:val="none"/>
                <w:lang w:val="en-US" w:eastAsia="zh-CN" w:bidi="zh-CN"/>
              </w:rPr>
              <w:t xml:space="preserve">    </w:t>
            </w:r>
            <w:r>
              <w:rPr>
                <w:rFonts w:hint="eastAsia" w:ascii="仿宋" w:hAnsi="仿宋" w:eastAsia="仿宋" w:cs="Times New Roman"/>
                <w:color w:val="auto"/>
                <w:kern w:val="0"/>
                <w:sz w:val="24"/>
                <w:szCs w:val="24"/>
                <w:highlight w:val="none"/>
                <w:lang w:val="zh-CN" w:eastAsia="zh-CN" w:bidi="zh-CN"/>
              </w:rPr>
              <w:t>年</w:t>
            </w:r>
            <w:r>
              <w:rPr>
                <w:rFonts w:hint="eastAsia" w:ascii="仿宋" w:hAnsi="仿宋" w:eastAsia="仿宋" w:cs="Times New Roman"/>
                <w:color w:val="auto"/>
                <w:kern w:val="0"/>
                <w:sz w:val="24"/>
                <w:szCs w:val="24"/>
                <w:highlight w:val="none"/>
                <w:lang w:val="en-US" w:eastAsia="zh-CN" w:bidi="zh-CN"/>
              </w:rPr>
              <w:t xml:space="preserve">  </w:t>
            </w:r>
            <w:r>
              <w:rPr>
                <w:rFonts w:hint="eastAsia" w:ascii="仿宋" w:hAnsi="仿宋" w:eastAsia="仿宋" w:cs="Times New Roman"/>
                <w:color w:val="auto"/>
                <w:kern w:val="0"/>
                <w:sz w:val="24"/>
                <w:szCs w:val="24"/>
                <w:highlight w:val="none"/>
                <w:lang w:val="zh-CN" w:eastAsia="zh-CN" w:bidi="zh-CN"/>
              </w:rPr>
              <w:t>月</w:t>
            </w:r>
            <w:r>
              <w:rPr>
                <w:rFonts w:hint="eastAsia" w:ascii="仿宋" w:hAnsi="仿宋" w:eastAsia="仿宋" w:cs="Times New Roman"/>
                <w:color w:val="auto"/>
                <w:kern w:val="0"/>
                <w:sz w:val="24"/>
                <w:szCs w:val="24"/>
                <w:highlight w:val="none"/>
                <w:lang w:val="en-US" w:eastAsia="zh-CN" w:bidi="zh-CN"/>
              </w:rPr>
              <w:t xml:space="preserve">  </w:t>
            </w:r>
            <w:r>
              <w:rPr>
                <w:rFonts w:hint="eastAsia" w:ascii="仿宋" w:hAnsi="仿宋" w:eastAsia="仿宋" w:cs="Times New Roman"/>
                <w:color w:val="auto"/>
                <w:kern w:val="0"/>
                <w:sz w:val="24"/>
                <w:szCs w:val="24"/>
                <w:highlight w:val="none"/>
                <w:lang w:val="zh-CN" w:eastAsia="zh-CN" w:bidi="zh-CN"/>
              </w:rPr>
              <w:t>日</w:t>
            </w:r>
          </w:p>
        </w:tc>
      </w:tr>
    </w:tbl>
    <w:p w14:paraId="727EB6B2">
      <w:pPr>
        <w:pStyle w:val="34"/>
        <w:shd w:val="clear" w:color="auto"/>
        <w:tabs>
          <w:tab w:val="left" w:pos="905"/>
        </w:tabs>
        <w:spacing w:line="240" w:lineRule="auto"/>
        <w:ind w:firstLine="500"/>
        <w:jc w:val="both"/>
        <w:rPr>
          <w:rFonts w:ascii="仿宋" w:hAnsi="仿宋" w:eastAsia="仿宋" w:cs="Times New Roman"/>
          <w:color w:val="auto"/>
          <w:sz w:val="24"/>
          <w:szCs w:val="24"/>
          <w:highlight w:val="none"/>
        </w:rPr>
      </w:pPr>
    </w:p>
    <w:p w14:paraId="180E0544">
      <w:pPr>
        <w:pStyle w:val="34"/>
        <w:shd w:val="clear" w:color="auto"/>
        <w:tabs>
          <w:tab w:val="left" w:pos="2410"/>
        </w:tabs>
        <w:spacing w:line="240" w:lineRule="auto"/>
        <w:ind w:firstLine="480" w:firstLineChars="200"/>
        <w:rPr>
          <w:rFonts w:ascii="仿宋" w:hAnsi="仿宋" w:eastAsia="仿宋" w:cs="Times New Roman"/>
          <w:color w:val="auto"/>
          <w:sz w:val="24"/>
          <w:szCs w:val="24"/>
          <w:highlight w:val="none"/>
        </w:rPr>
      </w:pPr>
      <w:r>
        <w:rPr>
          <w:rFonts w:ascii="仿宋" w:hAnsi="仿宋" w:eastAsia="仿宋" w:cs="Times New Roman"/>
          <w:color w:val="auto"/>
          <w:sz w:val="24"/>
          <w:szCs w:val="24"/>
          <w:highlight w:val="none"/>
        </w:rPr>
        <w:t>1</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本合同涉及的附件内容已由供、需双方按照需求文件及补遗文件、响应文件和</w:t>
      </w:r>
      <w:r>
        <w:rPr>
          <w:rFonts w:hint="eastAsia" w:ascii="仿宋" w:hAnsi="仿宋" w:eastAsia="仿宋" w:cs="Times New Roman"/>
          <w:color w:val="auto"/>
          <w:sz w:val="24"/>
          <w:szCs w:val="24"/>
          <w:highlight w:val="none"/>
        </w:rPr>
        <w:t>供应商</w:t>
      </w:r>
      <w:r>
        <w:rPr>
          <w:rFonts w:ascii="仿宋" w:hAnsi="仿宋" w:eastAsia="仿宋" w:cs="Times New Roman"/>
          <w:color w:val="auto"/>
          <w:sz w:val="24"/>
          <w:szCs w:val="24"/>
          <w:highlight w:val="none"/>
        </w:rPr>
        <w:t>承诺的内容进行认真核对无误。</w:t>
      </w:r>
    </w:p>
    <w:p w14:paraId="291EB5D3">
      <w:pPr>
        <w:pStyle w:val="34"/>
        <w:shd w:val="clear" w:color="auto"/>
        <w:tabs>
          <w:tab w:val="left" w:pos="2410"/>
        </w:tabs>
        <w:spacing w:line="240" w:lineRule="auto"/>
        <w:ind w:firstLine="480" w:firstLineChars="200"/>
        <w:rPr>
          <w:rFonts w:hint="eastAsia" w:ascii="仿宋" w:hAnsi="仿宋" w:eastAsia="仿宋" w:cs="仿宋"/>
          <w:color w:val="auto"/>
          <w:sz w:val="24"/>
          <w:highlight w:val="none"/>
        </w:rPr>
      </w:pPr>
      <w:r>
        <w:rPr>
          <w:rFonts w:ascii="仿宋" w:hAnsi="仿宋" w:eastAsia="仿宋" w:cs="Times New Roman"/>
          <w:color w:val="auto"/>
          <w:sz w:val="24"/>
          <w:szCs w:val="24"/>
          <w:highlight w:val="none"/>
        </w:rPr>
        <w:t>2</w:t>
      </w:r>
      <w:r>
        <w:rPr>
          <w:rFonts w:hint="eastAsia" w:ascii="仿宋" w:hAnsi="仿宋" w:eastAsia="仿宋" w:cs="Times New Roman"/>
          <w:color w:val="auto"/>
          <w:sz w:val="24"/>
          <w:szCs w:val="24"/>
          <w:highlight w:val="none"/>
          <w:lang w:val="en-US"/>
        </w:rPr>
        <w:t>.</w:t>
      </w:r>
      <w:r>
        <w:rPr>
          <w:rFonts w:ascii="仿宋" w:hAnsi="仿宋" w:eastAsia="仿宋" w:cs="Times New Roman"/>
          <w:color w:val="auto"/>
          <w:sz w:val="24"/>
          <w:szCs w:val="24"/>
          <w:highlight w:val="none"/>
        </w:rPr>
        <w:t>本项目实施过程中，如有单位、领导干部以及纪检监察对象存在徇私舞弊、滥用职权、玩忽职守等违反党纪、政纪或违法犯罪行为的，请向璧山区纪委监委举报，举报地址：璧山区公共服务中心1号楼222室，举报电话：023-41416200</w:t>
      </w:r>
      <w:r>
        <w:rPr>
          <w:rFonts w:hint="eastAsia" w:ascii="仿宋" w:hAnsi="仿宋" w:eastAsia="仿宋" w:cs="Times New Roman"/>
          <w:color w:val="auto"/>
          <w:sz w:val="24"/>
          <w:szCs w:val="24"/>
          <w:highlight w:val="none"/>
        </w:rPr>
        <w:t>。</w:t>
      </w:r>
    </w:p>
    <w:p w14:paraId="0098072E">
      <w:pPr>
        <w:spacing w:before="238" w:line="184" w:lineRule="auto"/>
        <w:outlineLvl w:val="0"/>
        <w:rPr>
          <w:rFonts w:hint="eastAsia" w:ascii="微软雅黑" w:hAnsi="微软雅黑" w:eastAsia="微软雅黑" w:cs="微软雅黑"/>
          <w:color w:val="auto"/>
          <w:spacing w:val="-1"/>
          <w:sz w:val="28"/>
          <w:szCs w:val="28"/>
          <w:highlight w:val="none"/>
          <w:lang w:eastAsia="zh-CN"/>
        </w:rPr>
      </w:pPr>
    </w:p>
    <w:p w14:paraId="031C868E">
      <w:pPr>
        <w:rPr>
          <w:rFonts w:hint="eastAsia" w:ascii="仿宋" w:hAnsi="仿宋" w:eastAsia="仿宋" w:cs="仿宋"/>
          <w:color w:val="auto"/>
          <w:szCs w:val="20"/>
          <w:highlight w:val="none"/>
          <w:lang w:val="en-US" w:eastAsia="zh-CN"/>
        </w:rPr>
      </w:pPr>
      <w:bookmarkStart w:id="174" w:name="_Toc9971"/>
      <w:bookmarkStart w:id="175" w:name="_Toc91054626"/>
      <w:bookmarkStart w:id="176" w:name="_Toc5030"/>
      <w:bookmarkStart w:id="177" w:name="_Toc10113"/>
      <w:r>
        <w:rPr>
          <w:rFonts w:hint="eastAsia" w:ascii="仿宋" w:hAnsi="仿宋" w:eastAsia="仿宋" w:cs="仿宋"/>
          <w:color w:val="auto"/>
          <w:sz w:val="24"/>
          <w:highlight w:val="none"/>
        </w:rPr>
        <w:br w:type="page"/>
      </w:r>
      <w:bookmarkEnd w:id="174"/>
      <w:bookmarkEnd w:id="175"/>
      <w:bookmarkEnd w:id="176"/>
      <w:bookmarkEnd w:id="177"/>
    </w:p>
    <w:p w14:paraId="3BE87199">
      <w:pPr>
        <w:spacing w:before="238" w:line="184" w:lineRule="auto"/>
        <w:outlineLvl w:val="0"/>
        <w:rPr>
          <w:rFonts w:ascii="微软雅黑" w:hAnsi="微软雅黑" w:eastAsia="微软雅黑" w:cs="微软雅黑"/>
          <w:color w:val="auto"/>
          <w:spacing w:val="-1"/>
          <w:sz w:val="28"/>
          <w:szCs w:val="28"/>
          <w:highlight w:val="none"/>
          <w:lang w:eastAsia="zh-CN"/>
        </w:rPr>
      </w:pPr>
    </w:p>
    <w:p w14:paraId="74623402">
      <w:pPr>
        <w:spacing w:line="500" w:lineRule="exact"/>
        <w:ind w:firstLine="560" w:firstLineChars="200"/>
        <w:rPr>
          <w:rFonts w:hint="eastAsia" w:ascii="仿宋" w:hAnsi="仿宋" w:eastAsia="仿宋" w:cs="仿宋"/>
          <w:color w:val="auto"/>
          <w:sz w:val="28"/>
          <w:szCs w:val="28"/>
          <w:highlight w:val="none"/>
          <w:lang w:val="en-US" w:eastAsia="zh-CN"/>
        </w:rPr>
      </w:pPr>
      <w:bookmarkStart w:id="178" w:name="_Toc18365"/>
      <w:bookmarkStart w:id="179" w:name="_Toc10837"/>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1:</w:t>
      </w:r>
    </w:p>
    <w:p w14:paraId="0979538C">
      <w:pPr>
        <w:spacing w:line="360" w:lineRule="auto"/>
        <w:ind w:firstLine="643" w:firstLineChars="200"/>
        <w:jc w:val="center"/>
        <w:rPr>
          <w:rFonts w:hint="eastAsia" w:ascii="仿宋" w:hAnsi="仿宋" w:eastAsia="仿宋" w:cs="仿宋"/>
          <w:color w:val="auto"/>
          <w:sz w:val="28"/>
          <w:szCs w:val="28"/>
          <w:highlight w:val="none"/>
        </w:rPr>
      </w:pPr>
      <w:r>
        <w:rPr>
          <w:rFonts w:hint="eastAsia" w:ascii="仿宋" w:hAnsi="仿宋" w:eastAsia="仿宋" w:cs="仿宋"/>
          <w:b/>
          <w:bCs/>
          <w:color w:val="auto"/>
          <w:sz w:val="32"/>
          <w:szCs w:val="32"/>
          <w:highlight w:val="none"/>
        </w:rPr>
        <w:t>璧山区工程建设领域中介机构承诺书</w:t>
      </w:r>
    </w:p>
    <w:p w14:paraId="43258ED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本中介机构郑重承诺，在参与工程建设项目的相关服务中，将严格遵守以下规定：</w:t>
      </w:r>
    </w:p>
    <w:p w14:paraId="6A3D699D">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1.遵守法律法规：严格遵守国家和地方政府颁布的相关法律法规，确保所有行为合法合规，不实施其他违反法律法规的行为。</w:t>
      </w:r>
    </w:p>
    <w:p w14:paraId="454B3DEE">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2.诚信经营：秉持诚实守信原则，提供真实、准确的信息和 专业的服务，不伪造、篡改、转借、借用资质与证照，提交中介 超市资料与实际相符且及时更新。</w:t>
      </w:r>
    </w:p>
    <w:p w14:paraId="64D9AD7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3.规范承揽业务：不超越资质范围承揽业务，资质、资格、能力符合采购公告要求才响应采购公告进行报名，具备的条件以 签约前提供核验的文件为准。</w:t>
      </w:r>
    </w:p>
    <w:p w14:paraId="2117696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4.正当竞争：不以商业诋毁、虚假宣传、商业贿赂等不正当手段承揽业务，不与其他中介机构相互串通扰乱公平竞争秩序。</w:t>
      </w:r>
    </w:p>
    <w:p w14:paraId="7FABC93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5.遵守交易规则：无正当理由不放弃中选。</w:t>
      </w:r>
    </w:p>
    <w:p w14:paraId="142C429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6.保证服务质量：按从业规范提供服务，确保服务质量合格。 </w:t>
      </w:r>
    </w:p>
    <w:p w14:paraId="3B8759A1">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7.禁止转包分包：不将服务项目转包或违法分包。</w:t>
      </w:r>
    </w:p>
    <w:p w14:paraId="0B5B938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8.真实准确：不提供虚假资料、信息和材料，不出具虚假报 告、结论、证明文件或其他资料。</w:t>
      </w:r>
    </w:p>
    <w:p w14:paraId="53A40FAA">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9.合理报价：不以低于成本价格的方式报价，不以报价低、 利润薄等不正当理由要求增加服务费或降低服务标准。</w:t>
      </w:r>
    </w:p>
    <w:p w14:paraId="52D552AF">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10.正当利益：不利用执业之便谋取不正当利益，不干预施 工单位对原材料供应商等的选择，不要求施工单位或其他项目相 关单位提供好处，不收取施工单位或其他项目相关单位提供的费 用或好处。</w:t>
      </w:r>
    </w:p>
    <w:p w14:paraId="04CC3989">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11.按时完成：按合同要求的服务时限完成服务。</w:t>
      </w:r>
    </w:p>
    <w:p w14:paraId="2F4AC704">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12.违约承担：积极配合情况核实，做到真实、客观。积极承担违约责任，不讨价还价。</w:t>
      </w:r>
    </w:p>
    <w:p w14:paraId="4027DB2B">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13.接受监督：愿意接受客户、政府部门及社会各界的监督和评价。</w:t>
      </w:r>
    </w:p>
    <w:p w14:paraId="58D319C6">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如有违反上述承诺，本中介机构愿意承担法律责任和经济赔偿责任。</w:t>
      </w:r>
    </w:p>
    <w:p w14:paraId="42D4F7FB">
      <w:pPr>
        <w:spacing w:line="360" w:lineRule="auto"/>
        <w:ind w:firstLine="480" w:firstLineChars="200"/>
        <w:rPr>
          <w:rFonts w:hint="eastAsia" w:ascii="仿宋" w:hAnsi="仿宋" w:eastAsia="仿宋" w:cs="仿宋"/>
          <w:color w:val="auto"/>
          <w:sz w:val="24"/>
          <w:szCs w:val="24"/>
          <w:highlight w:val="none"/>
        </w:rPr>
      </w:pPr>
    </w:p>
    <w:p w14:paraId="1EF1116D">
      <w:pPr>
        <w:spacing w:line="360" w:lineRule="auto"/>
        <w:ind w:firstLine="480" w:firstLineChars="200"/>
        <w:rPr>
          <w:rFonts w:hint="eastAsia" w:ascii="仿宋" w:hAnsi="仿宋" w:eastAsia="仿宋" w:cs="仿宋"/>
          <w:color w:val="auto"/>
          <w:sz w:val="24"/>
          <w:szCs w:val="24"/>
          <w:highlight w:val="none"/>
        </w:rPr>
      </w:pPr>
    </w:p>
    <w:p w14:paraId="59A26D36">
      <w:pPr>
        <w:spacing w:line="360" w:lineRule="auto"/>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承诺单位： </w:t>
      </w:r>
    </w:p>
    <w:p w14:paraId="2738CF41">
      <w:pPr>
        <w:spacing w:line="360" w:lineRule="auto"/>
        <w:ind w:firstLine="4320" w:firstLineChars="18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日    期 </w:t>
      </w:r>
    </w:p>
    <w:p w14:paraId="141D94D6">
      <w:pPr>
        <w:rPr>
          <w:rFonts w:hint="eastAsia" w:ascii="仿宋" w:hAnsi="仿宋" w:eastAsia="仿宋" w:cs="仿宋"/>
          <w:color w:val="auto"/>
          <w:sz w:val="24"/>
          <w:szCs w:val="24"/>
          <w:highlight w:val="none"/>
        </w:rPr>
        <w:sectPr>
          <w:footerReference r:id="rId6" w:type="default"/>
          <w:pgSz w:w="11900" w:h="16830"/>
          <w:pgMar w:top="1181" w:right="1496" w:bottom="954" w:left="1011" w:header="0" w:footer="1091" w:gutter="0"/>
          <w:pgNumType w:fmt="decimal"/>
          <w:cols w:space="720" w:num="1"/>
        </w:sectPr>
      </w:pPr>
      <w:r>
        <w:rPr>
          <w:rFonts w:hint="eastAsia" w:ascii="仿宋" w:hAnsi="仿宋" w:eastAsia="仿宋" w:cs="仿宋"/>
          <w:color w:val="auto"/>
          <w:sz w:val="24"/>
          <w:szCs w:val="24"/>
          <w:highlight w:val="none"/>
        </w:rPr>
        <w:br w:type="page"/>
      </w:r>
    </w:p>
    <w:p w14:paraId="2D0DDC4C">
      <w:pPr>
        <w:spacing w:line="360" w:lineRule="auto"/>
        <w:rPr>
          <w:rFonts w:hint="eastAsia" w:ascii="仿宋" w:hAnsi="仿宋" w:eastAsia="仿宋" w:cs="仿宋"/>
          <w:color w:val="auto"/>
          <w:sz w:val="24"/>
          <w:szCs w:val="24"/>
          <w:highlight w:val="none"/>
        </w:rPr>
      </w:pPr>
    </w:p>
    <w:p w14:paraId="4C321A93">
      <w:pPr>
        <w:spacing w:line="360" w:lineRule="auto"/>
        <w:ind w:firstLine="4320" w:firstLineChars="1800"/>
        <w:rPr>
          <w:rFonts w:hint="eastAsia" w:ascii="仿宋" w:hAnsi="仿宋" w:eastAsia="仿宋" w:cs="仿宋"/>
          <w:color w:val="auto"/>
          <w:sz w:val="24"/>
          <w:szCs w:val="24"/>
          <w:highlight w:val="none"/>
        </w:rPr>
      </w:pPr>
    </w:p>
    <w:p w14:paraId="23DF15D0">
      <w:pPr>
        <w:rPr>
          <w:rFonts w:hint="eastAsia" w:ascii="黑体" w:hAnsi="黑体" w:eastAsia="黑体" w:cs="黑体"/>
          <w:color w:val="auto"/>
          <w:sz w:val="31"/>
          <w:szCs w:val="31"/>
          <w:highlight w:val="none"/>
          <w:lang w:eastAsia="zh-CN"/>
        </w:rPr>
      </w:pPr>
      <w:r>
        <w:rPr>
          <w:rFonts w:ascii="黑体" w:hAnsi="黑体" w:eastAsia="黑体" w:cs="黑体"/>
          <w:b/>
          <w:bCs/>
          <w:color w:val="auto"/>
          <w:spacing w:val="28"/>
          <w:sz w:val="31"/>
          <w:szCs w:val="31"/>
          <w:highlight w:val="none"/>
        </w:rPr>
        <w:t>附件</w:t>
      </w:r>
      <w:r>
        <w:rPr>
          <w:rFonts w:hint="eastAsia" w:ascii="黑体" w:hAnsi="黑体" w:eastAsia="黑体" w:cs="黑体"/>
          <w:b/>
          <w:bCs/>
          <w:color w:val="auto"/>
          <w:spacing w:val="28"/>
          <w:sz w:val="31"/>
          <w:szCs w:val="31"/>
          <w:highlight w:val="none"/>
          <w:lang w:val="en-US" w:eastAsia="zh-CN"/>
        </w:rPr>
        <w:t>2</w:t>
      </w:r>
    </w:p>
    <w:p w14:paraId="4225DE96">
      <w:pPr>
        <w:spacing w:before="100" w:line="219" w:lineRule="auto"/>
        <w:ind w:left="3771"/>
        <w:rPr>
          <w:rFonts w:ascii="宋体" w:hAnsi="宋体" w:eastAsia="宋体" w:cs="宋体"/>
          <w:color w:val="auto"/>
          <w:sz w:val="44"/>
          <w:szCs w:val="44"/>
          <w:highlight w:val="none"/>
        </w:rPr>
      </w:pPr>
      <w:r>
        <w:rPr>
          <w:rFonts w:ascii="宋体" w:hAnsi="宋体" w:eastAsia="宋体" w:cs="宋体"/>
          <w:b/>
          <w:bCs/>
          <w:color w:val="auto"/>
          <w:spacing w:val="-8"/>
          <w:sz w:val="44"/>
          <w:szCs w:val="44"/>
          <w:highlight w:val="none"/>
        </w:rPr>
        <w:t>璧山区工程建设领域中介服务记实情况表</w:t>
      </w:r>
    </w:p>
    <w:p w14:paraId="68956A51">
      <w:pPr>
        <w:spacing w:before="225" w:line="220" w:lineRule="auto"/>
        <w:ind w:left="888"/>
        <w:rPr>
          <w:rFonts w:ascii="宋体" w:hAnsi="宋体" w:eastAsia="宋体" w:cs="宋体"/>
          <w:color w:val="auto"/>
          <w:sz w:val="22"/>
          <w:szCs w:val="22"/>
          <w:highlight w:val="none"/>
        </w:rPr>
      </w:pPr>
      <w:r>
        <w:rPr>
          <w:rFonts w:ascii="宋体" w:hAnsi="宋体" w:eastAsia="宋体" w:cs="宋体"/>
          <w:b/>
          <w:bCs/>
          <w:color w:val="auto"/>
          <w:spacing w:val="-4"/>
          <w:sz w:val="22"/>
          <w:szCs w:val="22"/>
          <w:highlight w:val="none"/>
        </w:rPr>
        <w:t>项目名称：</w:t>
      </w:r>
    </w:p>
    <w:p w14:paraId="60650CA9">
      <w:pPr>
        <w:spacing w:line="46" w:lineRule="exact"/>
        <w:rPr>
          <w:color w:val="auto"/>
          <w:highlight w:val="none"/>
        </w:rPr>
      </w:pPr>
    </w:p>
    <w:tbl>
      <w:tblPr>
        <w:tblStyle w:val="37"/>
        <w:tblW w:w="1467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1059"/>
        <w:gridCol w:w="1689"/>
        <w:gridCol w:w="1039"/>
        <w:gridCol w:w="2079"/>
        <w:gridCol w:w="1129"/>
        <w:gridCol w:w="1919"/>
        <w:gridCol w:w="3677"/>
        <w:gridCol w:w="1084"/>
      </w:tblGrid>
      <w:tr w14:paraId="6A2CF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3" w:hRule="atLeast"/>
        </w:trPr>
        <w:tc>
          <w:tcPr>
            <w:tcW w:w="1004" w:type="dxa"/>
            <w:vMerge w:val="restart"/>
            <w:tcBorders>
              <w:bottom w:val="nil"/>
            </w:tcBorders>
            <w:vAlign w:val="top"/>
          </w:tcPr>
          <w:p w14:paraId="48ECF10D">
            <w:pPr>
              <w:pStyle w:val="38"/>
              <w:spacing w:line="248" w:lineRule="auto"/>
              <w:rPr>
                <w:color w:val="auto"/>
                <w:highlight w:val="none"/>
              </w:rPr>
            </w:pPr>
          </w:p>
          <w:p w14:paraId="44B61E90">
            <w:pPr>
              <w:pStyle w:val="38"/>
              <w:spacing w:line="248" w:lineRule="auto"/>
              <w:rPr>
                <w:color w:val="auto"/>
                <w:highlight w:val="none"/>
              </w:rPr>
            </w:pPr>
          </w:p>
          <w:p w14:paraId="0325AF84">
            <w:pPr>
              <w:pStyle w:val="38"/>
              <w:spacing w:line="248" w:lineRule="auto"/>
              <w:rPr>
                <w:color w:val="auto"/>
                <w:highlight w:val="none"/>
              </w:rPr>
            </w:pPr>
          </w:p>
          <w:p w14:paraId="52CE9F0E">
            <w:pPr>
              <w:pStyle w:val="38"/>
              <w:spacing w:line="248" w:lineRule="auto"/>
              <w:rPr>
                <w:color w:val="auto"/>
                <w:highlight w:val="none"/>
              </w:rPr>
            </w:pPr>
          </w:p>
          <w:p w14:paraId="4BAABDFE">
            <w:pPr>
              <w:spacing w:before="68" w:line="221" w:lineRule="auto"/>
              <w:ind w:left="305"/>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时间</w:t>
            </w:r>
          </w:p>
        </w:tc>
        <w:tc>
          <w:tcPr>
            <w:tcW w:w="1059" w:type="dxa"/>
            <w:vMerge w:val="restart"/>
            <w:tcBorders>
              <w:bottom w:val="nil"/>
            </w:tcBorders>
            <w:vAlign w:val="top"/>
          </w:tcPr>
          <w:p w14:paraId="1302241C">
            <w:pPr>
              <w:pStyle w:val="38"/>
              <w:spacing w:line="259" w:lineRule="auto"/>
              <w:rPr>
                <w:color w:val="auto"/>
                <w:highlight w:val="none"/>
              </w:rPr>
            </w:pPr>
          </w:p>
          <w:p w14:paraId="4D4CCF39">
            <w:pPr>
              <w:pStyle w:val="38"/>
              <w:spacing w:line="260" w:lineRule="auto"/>
              <w:rPr>
                <w:color w:val="auto"/>
                <w:highlight w:val="none"/>
              </w:rPr>
            </w:pPr>
          </w:p>
          <w:p w14:paraId="4D0F2952">
            <w:pPr>
              <w:pStyle w:val="38"/>
              <w:spacing w:line="260" w:lineRule="auto"/>
              <w:rPr>
                <w:color w:val="auto"/>
                <w:highlight w:val="none"/>
              </w:rPr>
            </w:pPr>
          </w:p>
          <w:p w14:paraId="6A5016A9">
            <w:pPr>
              <w:spacing w:before="68" w:line="219" w:lineRule="auto"/>
              <w:ind w:left="10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中介服务</w:t>
            </w:r>
          </w:p>
          <w:p w14:paraId="0C7B0873">
            <w:pPr>
              <w:pStyle w:val="38"/>
              <w:spacing w:line="282" w:lineRule="auto"/>
              <w:rPr>
                <w:color w:val="auto"/>
                <w:highlight w:val="none"/>
              </w:rPr>
            </w:pPr>
          </w:p>
          <w:p w14:paraId="0D7CDA64">
            <w:pPr>
              <w:spacing w:before="68" w:line="219" w:lineRule="auto"/>
              <w:ind w:left="310"/>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类别</w:t>
            </w:r>
          </w:p>
        </w:tc>
        <w:tc>
          <w:tcPr>
            <w:tcW w:w="1689" w:type="dxa"/>
            <w:vMerge w:val="restart"/>
            <w:tcBorders>
              <w:bottom w:val="nil"/>
            </w:tcBorders>
            <w:vAlign w:val="top"/>
          </w:tcPr>
          <w:p w14:paraId="4587E46C">
            <w:pPr>
              <w:pStyle w:val="38"/>
              <w:spacing w:line="246" w:lineRule="auto"/>
              <w:rPr>
                <w:color w:val="auto"/>
                <w:highlight w:val="none"/>
              </w:rPr>
            </w:pPr>
          </w:p>
          <w:p w14:paraId="3586E4A5">
            <w:pPr>
              <w:pStyle w:val="38"/>
              <w:spacing w:line="247" w:lineRule="auto"/>
              <w:rPr>
                <w:color w:val="auto"/>
                <w:highlight w:val="none"/>
              </w:rPr>
            </w:pPr>
          </w:p>
          <w:p w14:paraId="5B0644E8">
            <w:pPr>
              <w:pStyle w:val="38"/>
              <w:spacing w:line="247" w:lineRule="auto"/>
              <w:rPr>
                <w:color w:val="auto"/>
                <w:highlight w:val="none"/>
              </w:rPr>
            </w:pPr>
          </w:p>
          <w:p w14:paraId="79583266">
            <w:pPr>
              <w:pStyle w:val="38"/>
              <w:spacing w:line="247" w:lineRule="auto"/>
              <w:rPr>
                <w:color w:val="auto"/>
                <w:highlight w:val="none"/>
              </w:rPr>
            </w:pPr>
          </w:p>
          <w:p w14:paraId="1438BAD9">
            <w:pPr>
              <w:spacing w:before="69" w:line="219" w:lineRule="auto"/>
              <w:ind w:left="2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中介机构名称</w:t>
            </w:r>
          </w:p>
        </w:tc>
        <w:tc>
          <w:tcPr>
            <w:tcW w:w="6166" w:type="dxa"/>
            <w:gridSpan w:val="4"/>
            <w:vAlign w:val="top"/>
          </w:tcPr>
          <w:p w14:paraId="4B78ACB0">
            <w:pPr>
              <w:spacing w:before="299" w:line="219" w:lineRule="auto"/>
              <w:ind w:left="2486"/>
              <w:rPr>
                <w:rFonts w:ascii="宋体" w:hAnsi="宋体" w:eastAsia="宋体" w:cs="宋体"/>
                <w:color w:val="auto"/>
                <w:sz w:val="21"/>
                <w:szCs w:val="21"/>
                <w:highlight w:val="none"/>
              </w:rPr>
            </w:pPr>
            <w:r>
              <w:rPr>
                <w:rFonts w:ascii="宋体" w:hAnsi="宋体" w:eastAsia="宋体" w:cs="宋体"/>
                <w:b/>
                <w:bCs/>
                <w:color w:val="auto"/>
                <w:spacing w:val="-2"/>
                <w:sz w:val="21"/>
                <w:szCs w:val="21"/>
                <w:highlight w:val="none"/>
              </w:rPr>
              <w:t>中介机构派员情况</w:t>
            </w:r>
          </w:p>
        </w:tc>
        <w:tc>
          <w:tcPr>
            <w:tcW w:w="3677" w:type="dxa"/>
            <w:vMerge w:val="restart"/>
            <w:tcBorders>
              <w:bottom w:val="nil"/>
            </w:tcBorders>
            <w:vAlign w:val="top"/>
          </w:tcPr>
          <w:p w14:paraId="47978511">
            <w:pPr>
              <w:pStyle w:val="38"/>
              <w:spacing w:line="246" w:lineRule="auto"/>
              <w:rPr>
                <w:color w:val="auto"/>
                <w:highlight w:val="none"/>
              </w:rPr>
            </w:pPr>
          </w:p>
          <w:p w14:paraId="2DE8EBA3">
            <w:pPr>
              <w:pStyle w:val="38"/>
              <w:spacing w:line="246" w:lineRule="auto"/>
              <w:rPr>
                <w:color w:val="auto"/>
                <w:highlight w:val="none"/>
              </w:rPr>
            </w:pPr>
          </w:p>
          <w:p w14:paraId="0B6882F0">
            <w:pPr>
              <w:pStyle w:val="38"/>
              <w:spacing w:line="247" w:lineRule="auto"/>
              <w:rPr>
                <w:color w:val="auto"/>
                <w:highlight w:val="none"/>
              </w:rPr>
            </w:pPr>
          </w:p>
          <w:p w14:paraId="7073CC19">
            <w:pPr>
              <w:pStyle w:val="38"/>
              <w:spacing w:line="247" w:lineRule="auto"/>
              <w:rPr>
                <w:color w:val="auto"/>
                <w:highlight w:val="none"/>
              </w:rPr>
            </w:pPr>
          </w:p>
          <w:p w14:paraId="1318B61E">
            <w:pPr>
              <w:spacing w:before="68" w:line="219" w:lineRule="auto"/>
              <w:ind w:left="1420"/>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工作内容</w:t>
            </w:r>
          </w:p>
        </w:tc>
        <w:tc>
          <w:tcPr>
            <w:tcW w:w="1084" w:type="dxa"/>
            <w:vMerge w:val="restart"/>
            <w:tcBorders>
              <w:bottom w:val="nil"/>
            </w:tcBorders>
            <w:vAlign w:val="top"/>
          </w:tcPr>
          <w:p w14:paraId="642B2FF4">
            <w:pPr>
              <w:pStyle w:val="38"/>
              <w:spacing w:line="246" w:lineRule="auto"/>
              <w:rPr>
                <w:color w:val="auto"/>
                <w:highlight w:val="none"/>
              </w:rPr>
            </w:pPr>
          </w:p>
          <w:p w14:paraId="2E29B627">
            <w:pPr>
              <w:pStyle w:val="38"/>
              <w:spacing w:line="246" w:lineRule="auto"/>
              <w:rPr>
                <w:color w:val="auto"/>
                <w:highlight w:val="none"/>
              </w:rPr>
            </w:pPr>
          </w:p>
          <w:p w14:paraId="67460AB6">
            <w:pPr>
              <w:pStyle w:val="38"/>
              <w:spacing w:line="247" w:lineRule="auto"/>
              <w:rPr>
                <w:color w:val="auto"/>
                <w:highlight w:val="none"/>
              </w:rPr>
            </w:pPr>
          </w:p>
          <w:p w14:paraId="239C7BEB">
            <w:pPr>
              <w:pStyle w:val="38"/>
              <w:spacing w:line="247" w:lineRule="auto"/>
              <w:rPr>
                <w:color w:val="auto"/>
                <w:highlight w:val="none"/>
              </w:rPr>
            </w:pPr>
          </w:p>
          <w:p w14:paraId="030BAA88">
            <w:pPr>
              <w:spacing w:before="68" w:line="219" w:lineRule="auto"/>
              <w:ind w:left="133"/>
              <w:rPr>
                <w:rFonts w:ascii="宋体" w:hAnsi="宋体" w:eastAsia="宋体" w:cs="宋体"/>
                <w:color w:val="auto"/>
                <w:sz w:val="21"/>
                <w:szCs w:val="21"/>
                <w:highlight w:val="none"/>
              </w:rPr>
            </w:pPr>
            <w:r>
              <w:rPr>
                <w:rFonts w:ascii="宋体" w:hAnsi="宋体" w:eastAsia="宋体" w:cs="宋体"/>
                <w:b/>
                <w:bCs/>
                <w:color w:val="auto"/>
                <w:spacing w:val="-4"/>
                <w:sz w:val="21"/>
                <w:szCs w:val="21"/>
                <w:highlight w:val="none"/>
              </w:rPr>
              <w:t>双方签字</w:t>
            </w:r>
          </w:p>
        </w:tc>
      </w:tr>
      <w:tr w14:paraId="52359F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7" w:hRule="atLeast"/>
        </w:trPr>
        <w:tc>
          <w:tcPr>
            <w:tcW w:w="1004" w:type="dxa"/>
            <w:vMerge w:val="continue"/>
            <w:tcBorders>
              <w:top w:val="nil"/>
            </w:tcBorders>
            <w:vAlign w:val="top"/>
          </w:tcPr>
          <w:p w14:paraId="687E5A0A">
            <w:pPr>
              <w:pStyle w:val="38"/>
              <w:rPr>
                <w:color w:val="auto"/>
                <w:highlight w:val="none"/>
              </w:rPr>
            </w:pPr>
          </w:p>
        </w:tc>
        <w:tc>
          <w:tcPr>
            <w:tcW w:w="1059" w:type="dxa"/>
            <w:vMerge w:val="continue"/>
            <w:tcBorders>
              <w:top w:val="nil"/>
            </w:tcBorders>
            <w:vAlign w:val="top"/>
          </w:tcPr>
          <w:p w14:paraId="0A6AA5CD">
            <w:pPr>
              <w:pStyle w:val="38"/>
              <w:rPr>
                <w:color w:val="auto"/>
                <w:highlight w:val="none"/>
              </w:rPr>
            </w:pPr>
          </w:p>
        </w:tc>
        <w:tc>
          <w:tcPr>
            <w:tcW w:w="1689" w:type="dxa"/>
            <w:vMerge w:val="continue"/>
            <w:tcBorders>
              <w:top w:val="nil"/>
            </w:tcBorders>
            <w:vAlign w:val="top"/>
          </w:tcPr>
          <w:p w14:paraId="4BB43D0B">
            <w:pPr>
              <w:pStyle w:val="38"/>
              <w:rPr>
                <w:color w:val="auto"/>
                <w:highlight w:val="none"/>
              </w:rPr>
            </w:pPr>
          </w:p>
        </w:tc>
        <w:tc>
          <w:tcPr>
            <w:tcW w:w="1039" w:type="dxa"/>
            <w:vAlign w:val="top"/>
          </w:tcPr>
          <w:p w14:paraId="70EBF09B">
            <w:pPr>
              <w:pStyle w:val="38"/>
              <w:spacing w:line="342" w:lineRule="auto"/>
              <w:rPr>
                <w:color w:val="auto"/>
                <w:highlight w:val="none"/>
              </w:rPr>
            </w:pPr>
          </w:p>
          <w:p w14:paraId="407C7448">
            <w:pPr>
              <w:pStyle w:val="38"/>
              <w:spacing w:line="343" w:lineRule="auto"/>
              <w:rPr>
                <w:color w:val="auto"/>
                <w:highlight w:val="none"/>
              </w:rPr>
            </w:pPr>
          </w:p>
          <w:p w14:paraId="36FE8625">
            <w:pPr>
              <w:spacing w:before="68" w:line="219" w:lineRule="auto"/>
              <w:ind w:left="306"/>
              <w:rPr>
                <w:rFonts w:ascii="宋体" w:hAnsi="宋体" w:eastAsia="宋体" w:cs="宋体"/>
                <w:color w:val="auto"/>
                <w:sz w:val="21"/>
                <w:szCs w:val="21"/>
                <w:highlight w:val="none"/>
              </w:rPr>
            </w:pPr>
            <w:r>
              <w:rPr>
                <w:rFonts w:ascii="宋体" w:hAnsi="宋体" w:eastAsia="宋体" w:cs="宋体"/>
                <w:b/>
                <w:bCs/>
                <w:color w:val="auto"/>
                <w:spacing w:val="8"/>
                <w:sz w:val="21"/>
                <w:szCs w:val="21"/>
                <w:highlight w:val="none"/>
              </w:rPr>
              <w:t>姓名</w:t>
            </w:r>
          </w:p>
        </w:tc>
        <w:tc>
          <w:tcPr>
            <w:tcW w:w="2079" w:type="dxa"/>
            <w:vAlign w:val="top"/>
          </w:tcPr>
          <w:p w14:paraId="7138B2DD">
            <w:pPr>
              <w:pStyle w:val="38"/>
              <w:spacing w:line="342" w:lineRule="auto"/>
              <w:rPr>
                <w:color w:val="auto"/>
                <w:highlight w:val="none"/>
              </w:rPr>
            </w:pPr>
          </w:p>
          <w:p w14:paraId="26166C26">
            <w:pPr>
              <w:pStyle w:val="38"/>
              <w:spacing w:line="343" w:lineRule="auto"/>
              <w:rPr>
                <w:color w:val="auto"/>
                <w:highlight w:val="none"/>
              </w:rPr>
            </w:pPr>
          </w:p>
          <w:p w14:paraId="38BC99E4">
            <w:pPr>
              <w:spacing w:before="68" w:line="219" w:lineRule="auto"/>
              <w:ind w:left="637"/>
              <w:rPr>
                <w:rFonts w:ascii="宋体" w:hAnsi="宋体" w:eastAsia="宋体" w:cs="宋体"/>
                <w:color w:val="auto"/>
                <w:sz w:val="21"/>
                <w:szCs w:val="21"/>
                <w:highlight w:val="none"/>
              </w:rPr>
            </w:pPr>
            <w:r>
              <w:rPr>
                <w:rFonts w:ascii="宋体" w:hAnsi="宋体" w:eastAsia="宋体" w:cs="宋体"/>
                <w:b/>
                <w:bCs/>
                <w:color w:val="auto"/>
                <w:spacing w:val="-1"/>
                <w:sz w:val="21"/>
                <w:szCs w:val="21"/>
                <w:highlight w:val="none"/>
              </w:rPr>
              <w:t>身份证号</w:t>
            </w:r>
          </w:p>
        </w:tc>
        <w:tc>
          <w:tcPr>
            <w:tcW w:w="1129" w:type="dxa"/>
            <w:vAlign w:val="top"/>
          </w:tcPr>
          <w:p w14:paraId="3E3B8B5A">
            <w:pPr>
              <w:pStyle w:val="38"/>
              <w:spacing w:line="294" w:lineRule="auto"/>
              <w:rPr>
                <w:color w:val="auto"/>
                <w:highlight w:val="none"/>
              </w:rPr>
            </w:pPr>
          </w:p>
          <w:p w14:paraId="2475485C">
            <w:pPr>
              <w:pStyle w:val="38"/>
              <w:spacing w:line="294" w:lineRule="auto"/>
              <w:rPr>
                <w:color w:val="auto"/>
                <w:highlight w:val="none"/>
              </w:rPr>
            </w:pPr>
          </w:p>
          <w:p w14:paraId="47BCED13">
            <w:pPr>
              <w:spacing w:before="69" w:line="219" w:lineRule="auto"/>
              <w:ind w:left="1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执业资格</w:t>
            </w:r>
          </w:p>
        </w:tc>
        <w:tc>
          <w:tcPr>
            <w:tcW w:w="1919" w:type="dxa"/>
            <w:vAlign w:val="top"/>
          </w:tcPr>
          <w:p w14:paraId="6D88FC94">
            <w:pPr>
              <w:pStyle w:val="38"/>
              <w:spacing w:line="390" w:lineRule="auto"/>
              <w:rPr>
                <w:color w:val="auto"/>
                <w:highlight w:val="none"/>
              </w:rPr>
            </w:pPr>
          </w:p>
          <w:p w14:paraId="42DE238B">
            <w:pPr>
              <w:spacing w:before="68" w:line="220" w:lineRule="auto"/>
              <w:ind w:left="1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与投标响应、合同</w:t>
            </w:r>
          </w:p>
          <w:p w14:paraId="00C5C210">
            <w:pPr>
              <w:pStyle w:val="38"/>
              <w:spacing w:line="269" w:lineRule="auto"/>
              <w:rPr>
                <w:color w:val="auto"/>
                <w:highlight w:val="none"/>
              </w:rPr>
            </w:pPr>
          </w:p>
          <w:p w14:paraId="04ED1B6F">
            <w:pPr>
              <w:spacing w:before="68" w:line="219" w:lineRule="auto"/>
              <w:ind w:left="32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约定是否相符</w:t>
            </w:r>
          </w:p>
        </w:tc>
        <w:tc>
          <w:tcPr>
            <w:tcW w:w="3677" w:type="dxa"/>
            <w:vMerge w:val="continue"/>
            <w:tcBorders>
              <w:top w:val="nil"/>
            </w:tcBorders>
            <w:vAlign w:val="top"/>
          </w:tcPr>
          <w:p w14:paraId="039B87FD">
            <w:pPr>
              <w:pStyle w:val="38"/>
              <w:rPr>
                <w:color w:val="auto"/>
                <w:highlight w:val="none"/>
              </w:rPr>
            </w:pPr>
          </w:p>
        </w:tc>
        <w:tc>
          <w:tcPr>
            <w:tcW w:w="1084" w:type="dxa"/>
            <w:vMerge w:val="continue"/>
            <w:tcBorders>
              <w:top w:val="nil"/>
            </w:tcBorders>
            <w:vAlign w:val="top"/>
          </w:tcPr>
          <w:p w14:paraId="4E797631">
            <w:pPr>
              <w:pStyle w:val="38"/>
              <w:rPr>
                <w:color w:val="auto"/>
                <w:highlight w:val="none"/>
              </w:rPr>
            </w:pPr>
          </w:p>
        </w:tc>
      </w:tr>
      <w:tr w14:paraId="66EA1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04" w:type="dxa"/>
            <w:vAlign w:val="top"/>
          </w:tcPr>
          <w:p w14:paraId="5052902D">
            <w:pPr>
              <w:pStyle w:val="38"/>
              <w:rPr>
                <w:color w:val="auto"/>
                <w:highlight w:val="none"/>
              </w:rPr>
            </w:pPr>
          </w:p>
        </w:tc>
        <w:tc>
          <w:tcPr>
            <w:tcW w:w="1059" w:type="dxa"/>
            <w:vAlign w:val="top"/>
          </w:tcPr>
          <w:p w14:paraId="761C4A69">
            <w:pPr>
              <w:pStyle w:val="38"/>
              <w:rPr>
                <w:color w:val="auto"/>
                <w:highlight w:val="none"/>
              </w:rPr>
            </w:pPr>
          </w:p>
        </w:tc>
        <w:tc>
          <w:tcPr>
            <w:tcW w:w="1689" w:type="dxa"/>
            <w:vAlign w:val="top"/>
          </w:tcPr>
          <w:p w14:paraId="50052C35">
            <w:pPr>
              <w:pStyle w:val="38"/>
              <w:rPr>
                <w:color w:val="auto"/>
                <w:highlight w:val="none"/>
              </w:rPr>
            </w:pPr>
          </w:p>
        </w:tc>
        <w:tc>
          <w:tcPr>
            <w:tcW w:w="1039" w:type="dxa"/>
            <w:vAlign w:val="top"/>
          </w:tcPr>
          <w:p w14:paraId="3C7E3271">
            <w:pPr>
              <w:pStyle w:val="38"/>
              <w:rPr>
                <w:color w:val="auto"/>
                <w:highlight w:val="none"/>
              </w:rPr>
            </w:pPr>
          </w:p>
        </w:tc>
        <w:tc>
          <w:tcPr>
            <w:tcW w:w="2079" w:type="dxa"/>
            <w:vAlign w:val="top"/>
          </w:tcPr>
          <w:p w14:paraId="70D2B784">
            <w:pPr>
              <w:pStyle w:val="38"/>
              <w:rPr>
                <w:color w:val="auto"/>
                <w:highlight w:val="none"/>
              </w:rPr>
            </w:pPr>
          </w:p>
        </w:tc>
        <w:tc>
          <w:tcPr>
            <w:tcW w:w="1129" w:type="dxa"/>
            <w:vAlign w:val="top"/>
          </w:tcPr>
          <w:p w14:paraId="55987E28">
            <w:pPr>
              <w:pStyle w:val="38"/>
              <w:rPr>
                <w:color w:val="auto"/>
                <w:highlight w:val="none"/>
              </w:rPr>
            </w:pPr>
          </w:p>
        </w:tc>
        <w:tc>
          <w:tcPr>
            <w:tcW w:w="1919" w:type="dxa"/>
            <w:vAlign w:val="top"/>
          </w:tcPr>
          <w:p w14:paraId="398EE0C2">
            <w:pPr>
              <w:pStyle w:val="38"/>
              <w:rPr>
                <w:color w:val="auto"/>
                <w:highlight w:val="none"/>
              </w:rPr>
            </w:pPr>
          </w:p>
        </w:tc>
        <w:tc>
          <w:tcPr>
            <w:tcW w:w="3677" w:type="dxa"/>
            <w:vAlign w:val="top"/>
          </w:tcPr>
          <w:p w14:paraId="46EC9E56">
            <w:pPr>
              <w:pStyle w:val="38"/>
              <w:rPr>
                <w:color w:val="auto"/>
                <w:highlight w:val="none"/>
              </w:rPr>
            </w:pPr>
          </w:p>
        </w:tc>
        <w:tc>
          <w:tcPr>
            <w:tcW w:w="1084" w:type="dxa"/>
            <w:vAlign w:val="top"/>
          </w:tcPr>
          <w:p w14:paraId="389AFA01">
            <w:pPr>
              <w:pStyle w:val="38"/>
              <w:rPr>
                <w:color w:val="auto"/>
                <w:highlight w:val="none"/>
              </w:rPr>
            </w:pPr>
          </w:p>
        </w:tc>
      </w:tr>
      <w:tr w14:paraId="1AB3B6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04" w:type="dxa"/>
            <w:vAlign w:val="top"/>
          </w:tcPr>
          <w:p w14:paraId="0D7FF0F5">
            <w:pPr>
              <w:pStyle w:val="38"/>
              <w:rPr>
                <w:color w:val="auto"/>
                <w:highlight w:val="none"/>
              </w:rPr>
            </w:pPr>
          </w:p>
        </w:tc>
        <w:tc>
          <w:tcPr>
            <w:tcW w:w="1059" w:type="dxa"/>
            <w:vAlign w:val="top"/>
          </w:tcPr>
          <w:p w14:paraId="66730331">
            <w:pPr>
              <w:pStyle w:val="38"/>
              <w:rPr>
                <w:color w:val="auto"/>
                <w:highlight w:val="none"/>
              </w:rPr>
            </w:pPr>
          </w:p>
        </w:tc>
        <w:tc>
          <w:tcPr>
            <w:tcW w:w="1689" w:type="dxa"/>
            <w:vAlign w:val="top"/>
          </w:tcPr>
          <w:p w14:paraId="2076B5AE">
            <w:pPr>
              <w:pStyle w:val="38"/>
              <w:rPr>
                <w:color w:val="auto"/>
                <w:highlight w:val="none"/>
              </w:rPr>
            </w:pPr>
          </w:p>
        </w:tc>
        <w:tc>
          <w:tcPr>
            <w:tcW w:w="1039" w:type="dxa"/>
            <w:vAlign w:val="top"/>
          </w:tcPr>
          <w:p w14:paraId="514FE08E">
            <w:pPr>
              <w:pStyle w:val="38"/>
              <w:rPr>
                <w:color w:val="auto"/>
                <w:highlight w:val="none"/>
              </w:rPr>
            </w:pPr>
          </w:p>
        </w:tc>
        <w:tc>
          <w:tcPr>
            <w:tcW w:w="2079" w:type="dxa"/>
            <w:vAlign w:val="top"/>
          </w:tcPr>
          <w:p w14:paraId="5899AED0">
            <w:pPr>
              <w:pStyle w:val="38"/>
              <w:rPr>
                <w:color w:val="auto"/>
                <w:highlight w:val="none"/>
              </w:rPr>
            </w:pPr>
          </w:p>
        </w:tc>
        <w:tc>
          <w:tcPr>
            <w:tcW w:w="1129" w:type="dxa"/>
            <w:vAlign w:val="top"/>
          </w:tcPr>
          <w:p w14:paraId="532D72CA">
            <w:pPr>
              <w:pStyle w:val="38"/>
              <w:rPr>
                <w:color w:val="auto"/>
                <w:highlight w:val="none"/>
              </w:rPr>
            </w:pPr>
          </w:p>
        </w:tc>
        <w:tc>
          <w:tcPr>
            <w:tcW w:w="1919" w:type="dxa"/>
            <w:vAlign w:val="top"/>
          </w:tcPr>
          <w:p w14:paraId="6ABBF6F2">
            <w:pPr>
              <w:pStyle w:val="38"/>
              <w:rPr>
                <w:color w:val="auto"/>
                <w:highlight w:val="none"/>
              </w:rPr>
            </w:pPr>
          </w:p>
        </w:tc>
        <w:tc>
          <w:tcPr>
            <w:tcW w:w="3677" w:type="dxa"/>
            <w:vAlign w:val="top"/>
          </w:tcPr>
          <w:p w14:paraId="68055084">
            <w:pPr>
              <w:pStyle w:val="38"/>
              <w:rPr>
                <w:color w:val="auto"/>
                <w:highlight w:val="none"/>
              </w:rPr>
            </w:pPr>
          </w:p>
        </w:tc>
        <w:tc>
          <w:tcPr>
            <w:tcW w:w="1084" w:type="dxa"/>
            <w:vAlign w:val="top"/>
          </w:tcPr>
          <w:p w14:paraId="740EF2CA">
            <w:pPr>
              <w:pStyle w:val="38"/>
              <w:rPr>
                <w:color w:val="auto"/>
                <w:highlight w:val="none"/>
              </w:rPr>
            </w:pPr>
          </w:p>
        </w:tc>
      </w:tr>
      <w:tr w14:paraId="108FB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1004" w:type="dxa"/>
            <w:vAlign w:val="top"/>
          </w:tcPr>
          <w:p w14:paraId="6D610C7F">
            <w:pPr>
              <w:pStyle w:val="38"/>
              <w:rPr>
                <w:color w:val="auto"/>
                <w:highlight w:val="none"/>
              </w:rPr>
            </w:pPr>
          </w:p>
        </w:tc>
        <w:tc>
          <w:tcPr>
            <w:tcW w:w="1059" w:type="dxa"/>
            <w:vAlign w:val="top"/>
          </w:tcPr>
          <w:p w14:paraId="63AD2D4B">
            <w:pPr>
              <w:pStyle w:val="38"/>
              <w:rPr>
                <w:color w:val="auto"/>
                <w:highlight w:val="none"/>
              </w:rPr>
            </w:pPr>
          </w:p>
        </w:tc>
        <w:tc>
          <w:tcPr>
            <w:tcW w:w="1689" w:type="dxa"/>
            <w:vAlign w:val="top"/>
          </w:tcPr>
          <w:p w14:paraId="0E6434A4">
            <w:pPr>
              <w:pStyle w:val="38"/>
              <w:rPr>
                <w:color w:val="auto"/>
                <w:highlight w:val="none"/>
              </w:rPr>
            </w:pPr>
          </w:p>
        </w:tc>
        <w:tc>
          <w:tcPr>
            <w:tcW w:w="1039" w:type="dxa"/>
            <w:vAlign w:val="top"/>
          </w:tcPr>
          <w:p w14:paraId="14109B4B">
            <w:pPr>
              <w:pStyle w:val="38"/>
              <w:rPr>
                <w:color w:val="auto"/>
                <w:highlight w:val="none"/>
              </w:rPr>
            </w:pPr>
          </w:p>
        </w:tc>
        <w:tc>
          <w:tcPr>
            <w:tcW w:w="2079" w:type="dxa"/>
            <w:vAlign w:val="top"/>
          </w:tcPr>
          <w:p w14:paraId="54C8FF31">
            <w:pPr>
              <w:pStyle w:val="38"/>
              <w:rPr>
                <w:color w:val="auto"/>
                <w:highlight w:val="none"/>
              </w:rPr>
            </w:pPr>
          </w:p>
        </w:tc>
        <w:tc>
          <w:tcPr>
            <w:tcW w:w="1129" w:type="dxa"/>
            <w:vAlign w:val="top"/>
          </w:tcPr>
          <w:p w14:paraId="727D396D">
            <w:pPr>
              <w:pStyle w:val="38"/>
              <w:rPr>
                <w:color w:val="auto"/>
                <w:highlight w:val="none"/>
              </w:rPr>
            </w:pPr>
          </w:p>
        </w:tc>
        <w:tc>
          <w:tcPr>
            <w:tcW w:w="1919" w:type="dxa"/>
            <w:vAlign w:val="top"/>
          </w:tcPr>
          <w:p w14:paraId="39FA8B11">
            <w:pPr>
              <w:pStyle w:val="38"/>
              <w:rPr>
                <w:color w:val="auto"/>
                <w:highlight w:val="none"/>
              </w:rPr>
            </w:pPr>
          </w:p>
        </w:tc>
        <w:tc>
          <w:tcPr>
            <w:tcW w:w="3677" w:type="dxa"/>
            <w:vAlign w:val="top"/>
          </w:tcPr>
          <w:p w14:paraId="04CF4EDC">
            <w:pPr>
              <w:pStyle w:val="38"/>
              <w:rPr>
                <w:color w:val="auto"/>
                <w:highlight w:val="none"/>
              </w:rPr>
            </w:pPr>
          </w:p>
        </w:tc>
        <w:tc>
          <w:tcPr>
            <w:tcW w:w="1084" w:type="dxa"/>
            <w:vAlign w:val="top"/>
          </w:tcPr>
          <w:p w14:paraId="19C22E2C">
            <w:pPr>
              <w:pStyle w:val="38"/>
              <w:rPr>
                <w:color w:val="auto"/>
                <w:highlight w:val="none"/>
              </w:rPr>
            </w:pPr>
          </w:p>
        </w:tc>
      </w:tr>
      <w:tr w14:paraId="203C8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4" w:hRule="atLeast"/>
        </w:trPr>
        <w:tc>
          <w:tcPr>
            <w:tcW w:w="1004" w:type="dxa"/>
            <w:vAlign w:val="top"/>
          </w:tcPr>
          <w:p w14:paraId="631E8067">
            <w:pPr>
              <w:pStyle w:val="38"/>
              <w:rPr>
                <w:color w:val="auto"/>
                <w:highlight w:val="none"/>
              </w:rPr>
            </w:pPr>
          </w:p>
        </w:tc>
        <w:tc>
          <w:tcPr>
            <w:tcW w:w="1059" w:type="dxa"/>
            <w:vAlign w:val="top"/>
          </w:tcPr>
          <w:p w14:paraId="19699D66">
            <w:pPr>
              <w:pStyle w:val="38"/>
              <w:rPr>
                <w:color w:val="auto"/>
                <w:highlight w:val="none"/>
              </w:rPr>
            </w:pPr>
          </w:p>
        </w:tc>
        <w:tc>
          <w:tcPr>
            <w:tcW w:w="1689" w:type="dxa"/>
            <w:vAlign w:val="top"/>
          </w:tcPr>
          <w:p w14:paraId="59192545">
            <w:pPr>
              <w:pStyle w:val="38"/>
              <w:rPr>
                <w:color w:val="auto"/>
                <w:highlight w:val="none"/>
              </w:rPr>
            </w:pPr>
          </w:p>
        </w:tc>
        <w:tc>
          <w:tcPr>
            <w:tcW w:w="1039" w:type="dxa"/>
            <w:vAlign w:val="top"/>
          </w:tcPr>
          <w:p w14:paraId="766EE63D">
            <w:pPr>
              <w:pStyle w:val="38"/>
              <w:rPr>
                <w:color w:val="auto"/>
                <w:highlight w:val="none"/>
              </w:rPr>
            </w:pPr>
          </w:p>
        </w:tc>
        <w:tc>
          <w:tcPr>
            <w:tcW w:w="2079" w:type="dxa"/>
            <w:vAlign w:val="top"/>
          </w:tcPr>
          <w:p w14:paraId="6DFE3AA2">
            <w:pPr>
              <w:pStyle w:val="38"/>
              <w:rPr>
                <w:color w:val="auto"/>
                <w:highlight w:val="none"/>
              </w:rPr>
            </w:pPr>
          </w:p>
        </w:tc>
        <w:tc>
          <w:tcPr>
            <w:tcW w:w="1129" w:type="dxa"/>
            <w:vAlign w:val="top"/>
          </w:tcPr>
          <w:p w14:paraId="4A388FE8">
            <w:pPr>
              <w:pStyle w:val="38"/>
              <w:rPr>
                <w:color w:val="auto"/>
                <w:highlight w:val="none"/>
              </w:rPr>
            </w:pPr>
          </w:p>
        </w:tc>
        <w:tc>
          <w:tcPr>
            <w:tcW w:w="1919" w:type="dxa"/>
            <w:vAlign w:val="top"/>
          </w:tcPr>
          <w:p w14:paraId="1D3A295C">
            <w:pPr>
              <w:pStyle w:val="38"/>
              <w:rPr>
                <w:color w:val="auto"/>
                <w:highlight w:val="none"/>
              </w:rPr>
            </w:pPr>
          </w:p>
        </w:tc>
        <w:tc>
          <w:tcPr>
            <w:tcW w:w="3677" w:type="dxa"/>
            <w:vAlign w:val="top"/>
          </w:tcPr>
          <w:p w14:paraId="2B687641">
            <w:pPr>
              <w:pStyle w:val="38"/>
              <w:rPr>
                <w:color w:val="auto"/>
                <w:highlight w:val="none"/>
              </w:rPr>
            </w:pPr>
          </w:p>
        </w:tc>
        <w:tc>
          <w:tcPr>
            <w:tcW w:w="1084" w:type="dxa"/>
            <w:vAlign w:val="top"/>
          </w:tcPr>
          <w:p w14:paraId="046A565D">
            <w:pPr>
              <w:pStyle w:val="38"/>
              <w:rPr>
                <w:color w:val="auto"/>
                <w:highlight w:val="none"/>
              </w:rPr>
            </w:pPr>
          </w:p>
        </w:tc>
      </w:tr>
    </w:tbl>
    <w:p w14:paraId="77764DCF">
      <w:pPr>
        <w:spacing w:before="11" w:line="290" w:lineRule="auto"/>
        <w:ind w:left="435" w:firstLine="409"/>
        <w:rPr>
          <w:rFonts w:ascii="宋体" w:hAnsi="宋体" w:eastAsia="宋体" w:cs="宋体"/>
          <w:color w:val="auto"/>
          <w:sz w:val="20"/>
          <w:szCs w:val="20"/>
          <w:highlight w:val="none"/>
        </w:rPr>
      </w:pPr>
      <w:r>
        <w:rPr>
          <w:rFonts w:ascii="宋体" w:hAnsi="宋体" w:eastAsia="宋体" w:cs="宋体"/>
          <w:color w:val="auto"/>
          <w:sz w:val="22"/>
          <w:szCs w:val="22"/>
          <w:highlight w:val="none"/>
        </w:rPr>
        <w:t>说明：1.中介服务类别：设计、评审、检验、检测、论证、会计、勘察、监理、评估、技术审查、造价、养护管理</w:t>
      </w:r>
      <w:r>
        <w:rPr>
          <w:rFonts w:ascii="宋体" w:hAnsi="宋体" w:eastAsia="宋体" w:cs="宋体"/>
          <w:color w:val="auto"/>
          <w:spacing w:val="-1"/>
          <w:sz w:val="22"/>
          <w:szCs w:val="22"/>
          <w:highlight w:val="none"/>
        </w:rPr>
        <w:t>、项目管理、评价鉴定、代理</w:t>
      </w:r>
      <w:r>
        <w:rPr>
          <w:rFonts w:ascii="宋体" w:hAnsi="宋体" w:eastAsia="宋体" w:cs="宋体"/>
          <w:color w:val="auto"/>
          <w:sz w:val="22"/>
          <w:szCs w:val="22"/>
          <w:highlight w:val="none"/>
        </w:rPr>
        <w:t xml:space="preserve"> </w:t>
      </w:r>
      <w:r>
        <w:rPr>
          <w:rFonts w:ascii="宋体" w:hAnsi="宋体" w:eastAsia="宋体" w:cs="宋体"/>
          <w:color w:val="auto"/>
          <w:spacing w:val="9"/>
          <w:sz w:val="20"/>
          <w:szCs w:val="20"/>
          <w:highlight w:val="none"/>
        </w:rPr>
        <w:t>服务等与工程建设相关的咨询服务及其他有偿中介服务。2.与投标响应是否相符：指中介机构派员与投标文件响应的项目负责人、技术负责人等是否</w:t>
      </w:r>
    </w:p>
    <w:p w14:paraId="561AD2D8">
      <w:pPr>
        <w:spacing w:before="101" w:line="220" w:lineRule="auto"/>
        <w:ind w:left="444"/>
        <w:rPr>
          <w:rFonts w:ascii="宋体" w:hAnsi="宋体" w:eastAsia="宋体" w:cs="宋体"/>
          <w:color w:val="auto"/>
          <w:sz w:val="17"/>
          <w:szCs w:val="17"/>
          <w:highlight w:val="none"/>
        </w:rPr>
        <w:sectPr>
          <w:pgSz w:w="16830" w:h="11900" w:orient="landscape"/>
          <w:pgMar w:top="1011" w:right="1181" w:bottom="1496" w:left="954" w:header="0" w:footer="1091" w:gutter="0"/>
          <w:pgNumType w:fmt="decimal"/>
          <w:cols w:space="720" w:num="1"/>
        </w:sectPr>
      </w:pPr>
      <w:r>
        <w:rPr>
          <w:rFonts w:ascii="宋体" w:hAnsi="宋体" w:eastAsia="宋体" w:cs="宋体"/>
          <w:color w:val="auto"/>
          <w:spacing w:val="-6"/>
          <w:sz w:val="17"/>
          <w:szCs w:val="17"/>
          <w:highlight w:val="none"/>
        </w:rPr>
        <w:t>一</w:t>
      </w:r>
      <w:r>
        <w:rPr>
          <w:rFonts w:ascii="宋体" w:hAnsi="宋体" w:eastAsia="宋体" w:cs="宋体"/>
          <w:color w:val="auto"/>
          <w:spacing w:val="-18"/>
          <w:sz w:val="17"/>
          <w:szCs w:val="17"/>
          <w:highlight w:val="none"/>
        </w:rPr>
        <w:t xml:space="preserve"> </w:t>
      </w:r>
      <w:r>
        <w:rPr>
          <w:rFonts w:ascii="宋体" w:hAnsi="宋体" w:eastAsia="宋体" w:cs="宋体"/>
          <w:color w:val="auto"/>
          <w:spacing w:val="-6"/>
          <w:sz w:val="17"/>
          <w:szCs w:val="17"/>
          <w:highlight w:val="none"/>
        </w:rPr>
        <w:t>致</w:t>
      </w:r>
      <w:r>
        <w:rPr>
          <w:rFonts w:ascii="宋体" w:hAnsi="宋体" w:eastAsia="宋体" w:cs="宋体"/>
          <w:color w:val="auto"/>
          <w:spacing w:val="-26"/>
          <w:sz w:val="17"/>
          <w:szCs w:val="17"/>
          <w:highlight w:val="none"/>
        </w:rPr>
        <w:t xml:space="preserve"> </w:t>
      </w:r>
      <w:r>
        <w:rPr>
          <w:rFonts w:ascii="宋体" w:hAnsi="宋体" w:eastAsia="宋体" w:cs="宋体"/>
          <w:color w:val="auto"/>
          <w:spacing w:val="-6"/>
          <w:sz w:val="17"/>
          <w:szCs w:val="17"/>
          <w:highlight w:val="none"/>
        </w:rPr>
        <w:t>。</w:t>
      </w:r>
    </w:p>
    <w:p w14:paraId="66339E25">
      <w:pPr>
        <w:pStyle w:val="7"/>
        <w:spacing w:line="333" w:lineRule="auto"/>
        <w:rPr>
          <w:color w:val="auto"/>
          <w:highlight w:val="none"/>
        </w:rPr>
      </w:pPr>
    </w:p>
    <w:p w14:paraId="7BAC1D5E">
      <w:pPr>
        <w:spacing w:before="100" w:line="224" w:lineRule="auto"/>
        <w:ind w:left="1079"/>
        <w:rPr>
          <w:rFonts w:hint="eastAsia" w:ascii="黑体" w:hAnsi="黑体" w:eastAsia="黑体" w:cs="黑体"/>
          <w:color w:val="auto"/>
          <w:sz w:val="31"/>
          <w:szCs w:val="31"/>
          <w:highlight w:val="none"/>
          <w:lang w:eastAsia="zh-CN"/>
        </w:rPr>
      </w:pPr>
      <w:r>
        <w:rPr>
          <w:rFonts w:ascii="黑体" w:hAnsi="黑体" w:eastAsia="黑体" w:cs="黑体"/>
          <w:b/>
          <w:bCs/>
          <w:color w:val="auto"/>
          <w:spacing w:val="24"/>
          <w:sz w:val="31"/>
          <w:szCs w:val="31"/>
          <w:highlight w:val="none"/>
        </w:rPr>
        <w:t>附件</w:t>
      </w:r>
      <w:r>
        <w:rPr>
          <w:rFonts w:hint="eastAsia" w:ascii="黑体" w:hAnsi="黑体" w:eastAsia="黑体" w:cs="黑体"/>
          <w:b/>
          <w:bCs/>
          <w:color w:val="auto"/>
          <w:spacing w:val="24"/>
          <w:sz w:val="31"/>
          <w:szCs w:val="31"/>
          <w:highlight w:val="none"/>
          <w:lang w:val="en-US" w:eastAsia="zh-CN"/>
        </w:rPr>
        <w:t>3</w:t>
      </w:r>
    </w:p>
    <w:p w14:paraId="0187B0D9">
      <w:pPr>
        <w:spacing w:before="110" w:line="219" w:lineRule="auto"/>
        <w:ind w:left="2841"/>
        <w:rPr>
          <w:rFonts w:ascii="宋体" w:hAnsi="宋体" w:eastAsia="宋体" w:cs="宋体"/>
          <w:color w:val="auto"/>
          <w:sz w:val="44"/>
          <w:szCs w:val="44"/>
          <w:highlight w:val="none"/>
        </w:rPr>
      </w:pPr>
      <w:r>
        <w:rPr>
          <w:rFonts w:ascii="宋体" w:hAnsi="宋体" w:eastAsia="宋体" w:cs="宋体"/>
          <w:b/>
          <w:bCs/>
          <w:color w:val="auto"/>
          <w:spacing w:val="-6"/>
          <w:sz w:val="44"/>
          <w:szCs w:val="44"/>
          <w:highlight w:val="none"/>
        </w:rPr>
        <w:t>璧山区工程建设领域中介服务问题处置情况表</w:t>
      </w:r>
    </w:p>
    <w:p w14:paraId="27166EE2">
      <w:pPr>
        <w:spacing w:before="213" w:line="223" w:lineRule="auto"/>
        <w:ind w:left="888"/>
        <w:rPr>
          <w:rFonts w:ascii="宋体" w:hAnsi="宋体" w:eastAsia="宋体" w:cs="宋体"/>
          <w:color w:val="auto"/>
          <w:sz w:val="22"/>
          <w:szCs w:val="22"/>
          <w:highlight w:val="none"/>
        </w:rPr>
      </w:pPr>
      <w:r>
        <w:rPr>
          <w:rFonts w:ascii="宋体" w:hAnsi="宋体" w:eastAsia="宋体" w:cs="宋体"/>
          <w:b/>
          <w:bCs/>
          <w:color w:val="auto"/>
          <w:spacing w:val="2"/>
          <w:position w:val="1"/>
          <w:sz w:val="22"/>
          <w:szCs w:val="22"/>
          <w:highlight w:val="none"/>
        </w:rPr>
        <w:t>填报单位：(盖章)</w:t>
      </w:r>
      <w:r>
        <w:rPr>
          <w:rFonts w:ascii="宋体" w:hAnsi="宋体" w:eastAsia="宋体" w:cs="宋体"/>
          <w:color w:val="auto"/>
          <w:spacing w:val="2"/>
          <w:position w:val="1"/>
          <w:sz w:val="22"/>
          <w:szCs w:val="22"/>
          <w:highlight w:val="none"/>
        </w:rPr>
        <w:t xml:space="preserve">                 </w:t>
      </w:r>
      <w:r>
        <w:rPr>
          <w:rFonts w:ascii="宋体" w:hAnsi="宋体" w:eastAsia="宋体" w:cs="宋体"/>
          <w:color w:val="auto"/>
          <w:spacing w:val="1"/>
          <w:position w:val="1"/>
          <w:sz w:val="22"/>
          <w:szCs w:val="22"/>
          <w:highlight w:val="none"/>
        </w:rPr>
        <w:t xml:space="preserve">   </w:t>
      </w:r>
      <w:r>
        <w:rPr>
          <w:rFonts w:ascii="宋体" w:hAnsi="宋体" w:eastAsia="宋体" w:cs="宋体"/>
          <w:color w:val="auto"/>
          <w:spacing w:val="1"/>
          <w:sz w:val="22"/>
          <w:szCs w:val="22"/>
          <w:highlight w:val="none"/>
        </w:rPr>
        <w:t>填报时间：</w:t>
      </w:r>
      <w:r>
        <w:rPr>
          <w:rFonts w:ascii="宋体" w:hAnsi="宋体" w:eastAsia="宋体" w:cs="宋体"/>
          <w:color w:val="auto"/>
          <w:spacing w:val="2"/>
          <w:sz w:val="22"/>
          <w:szCs w:val="22"/>
          <w:highlight w:val="none"/>
        </w:rPr>
        <w:t xml:space="preserve">                       </w:t>
      </w:r>
      <w:r>
        <w:rPr>
          <w:rFonts w:ascii="宋体" w:hAnsi="宋体" w:eastAsia="宋体" w:cs="宋体"/>
          <w:color w:val="auto"/>
          <w:spacing w:val="1"/>
          <w:position w:val="-2"/>
          <w:sz w:val="22"/>
          <w:szCs w:val="22"/>
          <w:highlight w:val="none"/>
        </w:rPr>
        <w:t xml:space="preserve">填报人：                      </w:t>
      </w:r>
      <w:r>
        <w:rPr>
          <w:rFonts w:ascii="宋体" w:hAnsi="宋体" w:eastAsia="宋体" w:cs="宋体"/>
          <w:b/>
          <w:bCs/>
          <w:color w:val="auto"/>
          <w:spacing w:val="1"/>
          <w:sz w:val="22"/>
          <w:szCs w:val="22"/>
          <w:highlight w:val="none"/>
        </w:rPr>
        <w:t>联系电话：</w:t>
      </w:r>
    </w:p>
    <w:p w14:paraId="021F212C">
      <w:pPr>
        <w:spacing w:line="74" w:lineRule="exact"/>
        <w:rPr>
          <w:color w:val="auto"/>
          <w:highlight w:val="none"/>
        </w:rPr>
      </w:pPr>
    </w:p>
    <w:tbl>
      <w:tblPr>
        <w:tblStyle w:val="37"/>
        <w:tblW w:w="1467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119"/>
        <w:gridCol w:w="959"/>
        <w:gridCol w:w="1399"/>
        <w:gridCol w:w="1619"/>
        <w:gridCol w:w="939"/>
        <w:gridCol w:w="920"/>
        <w:gridCol w:w="1539"/>
        <w:gridCol w:w="1499"/>
        <w:gridCol w:w="1319"/>
        <w:gridCol w:w="1329"/>
        <w:gridCol w:w="1384"/>
      </w:tblGrid>
      <w:tr w14:paraId="5787A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01" w:hRule="atLeast"/>
        </w:trPr>
        <w:tc>
          <w:tcPr>
            <w:tcW w:w="645" w:type="dxa"/>
            <w:vAlign w:val="top"/>
          </w:tcPr>
          <w:p w14:paraId="4C3E0380">
            <w:pPr>
              <w:pStyle w:val="38"/>
              <w:spacing w:line="243" w:lineRule="auto"/>
              <w:rPr>
                <w:color w:val="auto"/>
                <w:highlight w:val="none"/>
              </w:rPr>
            </w:pPr>
          </w:p>
          <w:p w14:paraId="0B4D0DC0">
            <w:pPr>
              <w:pStyle w:val="38"/>
              <w:spacing w:line="243" w:lineRule="auto"/>
              <w:rPr>
                <w:color w:val="auto"/>
                <w:highlight w:val="none"/>
              </w:rPr>
            </w:pPr>
          </w:p>
          <w:p w14:paraId="5A9257BE">
            <w:pPr>
              <w:pStyle w:val="38"/>
              <w:spacing w:line="243" w:lineRule="auto"/>
              <w:rPr>
                <w:color w:val="auto"/>
                <w:highlight w:val="none"/>
              </w:rPr>
            </w:pPr>
          </w:p>
          <w:p w14:paraId="7B68D9E2">
            <w:pPr>
              <w:spacing w:before="68" w:line="221" w:lineRule="auto"/>
              <w:ind w:left="88"/>
              <w:rPr>
                <w:rFonts w:ascii="宋体" w:hAnsi="宋体" w:eastAsia="宋体" w:cs="宋体"/>
                <w:color w:val="auto"/>
                <w:sz w:val="21"/>
                <w:szCs w:val="21"/>
                <w:highlight w:val="none"/>
              </w:rPr>
            </w:pPr>
            <w:r>
              <w:rPr>
                <w:rFonts w:ascii="宋体" w:hAnsi="宋体" w:eastAsia="宋体" w:cs="宋体"/>
                <w:b/>
                <w:bCs/>
                <w:color w:val="auto"/>
                <w:spacing w:val="-5"/>
                <w:sz w:val="21"/>
                <w:szCs w:val="21"/>
                <w:highlight w:val="none"/>
              </w:rPr>
              <w:t>序号</w:t>
            </w:r>
          </w:p>
        </w:tc>
        <w:tc>
          <w:tcPr>
            <w:tcW w:w="1119" w:type="dxa"/>
            <w:vAlign w:val="top"/>
          </w:tcPr>
          <w:p w14:paraId="63A7554F">
            <w:pPr>
              <w:pStyle w:val="38"/>
              <w:spacing w:line="243" w:lineRule="auto"/>
              <w:rPr>
                <w:color w:val="auto"/>
                <w:highlight w:val="none"/>
              </w:rPr>
            </w:pPr>
          </w:p>
          <w:p w14:paraId="10B679CB">
            <w:pPr>
              <w:pStyle w:val="38"/>
              <w:spacing w:line="244" w:lineRule="auto"/>
              <w:rPr>
                <w:color w:val="auto"/>
                <w:highlight w:val="none"/>
              </w:rPr>
            </w:pPr>
          </w:p>
          <w:p w14:paraId="2D3D4707">
            <w:pPr>
              <w:pStyle w:val="38"/>
              <w:spacing w:line="244" w:lineRule="auto"/>
              <w:rPr>
                <w:color w:val="auto"/>
                <w:highlight w:val="none"/>
              </w:rPr>
            </w:pPr>
          </w:p>
          <w:p w14:paraId="2D2B1564">
            <w:pPr>
              <w:spacing w:before="68" w:line="220" w:lineRule="auto"/>
              <w:ind w:left="1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w:t>
            </w:r>
          </w:p>
        </w:tc>
        <w:tc>
          <w:tcPr>
            <w:tcW w:w="959" w:type="dxa"/>
            <w:vAlign w:val="top"/>
          </w:tcPr>
          <w:p w14:paraId="604503F0">
            <w:pPr>
              <w:pStyle w:val="38"/>
              <w:spacing w:line="256" w:lineRule="auto"/>
              <w:rPr>
                <w:color w:val="auto"/>
                <w:highlight w:val="none"/>
              </w:rPr>
            </w:pPr>
          </w:p>
          <w:p w14:paraId="75CF8803">
            <w:pPr>
              <w:pStyle w:val="38"/>
              <w:spacing w:line="256" w:lineRule="auto"/>
              <w:rPr>
                <w:color w:val="auto"/>
                <w:highlight w:val="none"/>
              </w:rPr>
            </w:pPr>
          </w:p>
          <w:p w14:paraId="3F058D6B">
            <w:pPr>
              <w:spacing w:before="69" w:line="220" w:lineRule="auto"/>
              <w:ind w:left="261"/>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项 目</w:t>
            </w:r>
          </w:p>
          <w:p w14:paraId="08C3E08E">
            <w:pPr>
              <w:pStyle w:val="38"/>
              <w:spacing w:line="269" w:lineRule="auto"/>
              <w:rPr>
                <w:color w:val="auto"/>
                <w:highlight w:val="none"/>
              </w:rPr>
            </w:pPr>
          </w:p>
          <w:p w14:paraId="17423DE2">
            <w:pPr>
              <w:spacing w:before="68" w:line="229" w:lineRule="auto"/>
              <w:ind w:left="26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业主</w:t>
            </w:r>
          </w:p>
        </w:tc>
        <w:tc>
          <w:tcPr>
            <w:tcW w:w="1399" w:type="dxa"/>
            <w:vAlign w:val="top"/>
          </w:tcPr>
          <w:p w14:paraId="2A2B0203">
            <w:pPr>
              <w:pStyle w:val="38"/>
              <w:spacing w:line="260" w:lineRule="auto"/>
              <w:rPr>
                <w:color w:val="auto"/>
                <w:highlight w:val="none"/>
              </w:rPr>
            </w:pPr>
          </w:p>
          <w:p w14:paraId="0F3A3D46">
            <w:pPr>
              <w:pStyle w:val="38"/>
              <w:spacing w:line="260" w:lineRule="auto"/>
              <w:rPr>
                <w:color w:val="auto"/>
                <w:highlight w:val="none"/>
              </w:rPr>
            </w:pPr>
          </w:p>
          <w:p w14:paraId="04A21294">
            <w:pPr>
              <w:spacing w:before="69" w:line="219" w:lineRule="auto"/>
              <w:ind w:left="27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中介机构</w:t>
            </w:r>
          </w:p>
          <w:p w14:paraId="48877AFB">
            <w:pPr>
              <w:pStyle w:val="38"/>
              <w:spacing w:line="275" w:lineRule="auto"/>
              <w:rPr>
                <w:color w:val="auto"/>
                <w:highlight w:val="none"/>
              </w:rPr>
            </w:pPr>
          </w:p>
          <w:p w14:paraId="17CF6E7E">
            <w:pPr>
              <w:spacing w:before="68" w:line="221" w:lineRule="auto"/>
              <w:ind w:left="48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名称</w:t>
            </w:r>
          </w:p>
        </w:tc>
        <w:tc>
          <w:tcPr>
            <w:tcW w:w="1619" w:type="dxa"/>
            <w:vAlign w:val="top"/>
          </w:tcPr>
          <w:p w14:paraId="4919E0C6">
            <w:pPr>
              <w:pStyle w:val="38"/>
              <w:spacing w:line="260" w:lineRule="auto"/>
              <w:rPr>
                <w:color w:val="auto"/>
                <w:highlight w:val="none"/>
              </w:rPr>
            </w:pPr>
          </w:p>
          <w:p w14:paraId="36BE1473">
            <w:pPr>
              <w:pStyle w:val="38"/>
              <w:spacing w:line="260" w:lineRule="auto"/>
              <w:rPr>
                <w:color w:val="auto"/>
                <w:highlight w:val="none"/>
              </w:rPr>
            </w:pPr>
          </w:p>
          <w:p w14:paraId="19482EED">
            <w:pPr>
              <w:spacing w:before="69" w:line="219" w:lineRule="auto"/>
              <w:ind w:left="17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中介机构资质</w:t>
            </w:r>
          </w:p>
          <w:p w14:paraId="2D4292A9">
            <w:pPr>
              <w:pStyle w:val="38"/>
              <w:spacing w:line="292" w:lineRule="auto"/>
              <w:rPr>
                <w:color w:val="auto"/>
                <w:highlight w:val="none"/>
              </w:rPr>
            </w:pPr>
          </w:p>
          <w:p w14:paraId="6DD61A37">
            <w:pPr>
              <w:spacing w:before="68" w:line="219" w:lineRule="auto"/>
              <w:ind w:left="38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审查部门</w:t>
            </w:r>
          </w:p>
        </w:tc>
        <w:tc>
          <w:tcPr>
            <w:tcW w:w="939" w:type="dxa"/>
            <w:vAlign w:val="top"/>
          </w:tcPr>
          <w:p w14:paraId="4BB42238">
            <w:pPr>
              <w:pStyle w:val="38"/>
              <w:spacing w:line="255" w:lineRule="auto"/>
              <w:rPr>
                <w:color w:val="auto"/>
                <w:highlight w:val="none"/>
              </w:rPr>
            </w:pPr>
          </w:p>
          <w:p w14:paraId="5D14E1F9">
            <w:pPr>
              <w:pStyle w:val="38"/>
              <w:spacing w:line="255" w:lineRule="auto"/>
              <w:rPr>
                <w:color w:val="auto"/>
                <w:highlight w:val="none"/>
              </w:rPr>
            </w:pPr>
          </w:p>
          <w:p w14:paraId="698314BE">
            <w:pPr>
              <w:spacing w:before="69" w:line="219" w:lineRule="auto"/>
              <w:ind w:left="14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中介服</w:t>
            </w:r>
          </w:p>
          <w:p w14:paraId="5C39E9BA">
            <w:pPr>
              <w:pStyle w:val="38"/>
              <w:spacing w:line="302" w:lineRule="auto"/>
              <w:rPr>
                <w:color w:val="auto"/>
                <w:highlight w:val="none"/>
              </w:rPr>
            </w:pPr>
          </w:p>
          <w:p w14:paraId="42969B02">
            <w:pPr>
              <w:spacing w:before="68" w:line="219" w:lineRule="auto"/>
              <w:ind w:left="1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务类别</w:t>
            </w:r>
          </w:p>
        </w:tc>
        <w:tc>
          <w:tcPr>
            <w:tcW w:w="920" w:type="dxa"/>
            <w:vAlign w:val="top"/>
          </w:tcPr>
          <w:p w14:paraId="6F84FF1F">
            <w:pPr>
              <w:pStyle w:val="38"/>
              <w:spacing w:line="261" w:lineRule="auto"/>
              <w:rPr>
                <w:color w:val="auto"/>
                <w:highlight w:val="none"/>
              </w:rPr>
            </w:pPr>
          </w:p>
          <w:p w14:paraId="24E7D3DB">
            <w:pPr>
              <w:pStyle w:val="38"/>
              <w:spacing w:line="261" w:lineRule="auto"/>
              <w:rPr>
                <w:color w:val="auto"/>
                <w:highlight w:val="none"/>
              </w:rPr>
            </w:pPr>
          </w:p>
          <w:p w14:paraId="118DAC9D">
            <w:pPr>
              <w:spacing w:before="68" w:line="514" w:lineRule="auto"/>
              <w:ind w:left="245" w:right="21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执业</w:t>
            </w:r>
            <w:r>
              <w:rPr>
                <w:rFonts w:ascii="宋体" w:hAnsi="宋体" w:eastAsia="宋体" w:cs="宋体"/>
                <w:color w:val="auto"/>
                <w:sz w:val="21"/>
                <w:szCs w:val="21"/>
                <w:highlight w:val="none"/>
              </w:rPr>
              <w:t xml:space="preserve"> </w:t>
            </w:r>
            <w:r>
              <w:rPr>
                <w:rFonts w:ascii="宋体" w:hAnsi="宋体" w:eastAsia="宋体" w:cs="宋体"/>
                <w:color w:val="auto"/>
                <w:spacing w:val="14"/>
                <w:sz w:val="21"/>
                <w:szCs w:val="21"/>
                <w:highlight w:val="none"/>
              </w:rPr>
              <w:t>人员</w:t>
            </w:r>
          </w:p>
        </w:tc>
        <w:tc>
          <w:tcPr>
            <w:tcW w:w="1539" w:type="dxa"/>
            <w:vAlign w:val="top"/>
          </w:tcPr>
          <w:p w14:paraId="1CDDB7B7">
            <w:pPr>
              <w:pStyle w:val="38"/>
              <w:spacing w:line="261" w:lineRule="auto"/>
              <w:rPr>
                <w:color w:val="auto"/>
                <w:highlight w:val="none"/>
              </w:rPr>
            </w:pPr>
          </w:p>
          <w:p w14:paraId="62149A0A">
            <w:pPr>
              <w:pStyle w:val="38"/>
              <w:spacing w:line="261" w:lineRule="auto"/>
              <w:rPr>
                <w:color w:val="auto"/>
                <w:highlight w:val="none"/>
              </w:rPr>
            </w:pPr>
          </w:p>
          <w:p w14:paraId="6E8D646F">
            <w:pPr>
              <w:spacing w:before="68" w:line="219" w:lineRule="auto"/>
              <w:ind w:left="13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执业人员资质</w:t>
            </w:r>
          </w:p>
          <w:p w14:paraId="2962448B">
            <w:pPr>
              <w:pStyle w:val="38"/>
              <w:spacing w:line="290" w:lineRule="auto"/>
              <w:rPr>
                <w:color w:val="auto"/>
                <w:highlight w:val="none"/>
              </w:rPr>
            </w:pPr>
          </w:p>
          <w:p w14:paraId="6BB2B198">
            <w:pPr>
              <w:spacing w:before="69" w:line="219" w:lineRule="auto"/>
              <w:ind w:left="34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审查部门</w:t>
            </w:r>
          </w:p>
        </w:tc>
        <w:tc>
          <w:tcPr>
            <w:tcW w:w="1499" w:type="dxa"/>
            <w:vAlign w:val="top"/>
          </w:tcPr>
          <w:p w14:paraId="3AC3E022">
            <w:pPr>
              <w:pStyle w:val="38"/>
              <w:spacing w:line="243" w:lineRule="auto"/>
              <w:rPr>
                <w:color w:val="auto"/>
                <w:highlight w:val="none"/>
              </w:rPr>
            </w:pPr>
          </w:p>
          <w:p w14:paraId="48347C9A">
            <w:pPr>
              <w:pStyle w:val="38"/>
              <w:spacing w:line="244" w:lineRule="auto"/>
              <w:rPr>
                <w:color w:val="auto"/>
                <w:highlight w:val="none"/>
              </w:rPr>
            </w:pPr>
          </w:p>
          <w:p w14:paraId="0DD1AA93">
            <w:pPr>
              <w:pStyle w:val="38"/>
              <w:spacing w:line="244" w:lineRule="auto"/>
              <w:rPr>
                <w:color w:val="auto"/>
                <w:highlight w:val="none"/>
              </w:rPr>
            </w:pPr>
          </w:p>
          <w:p w14:paraId="0A705EF5">
            <w:pPr>
              <w:spacing w:before="68" w:line="219" w:lineRule="auto"/>
              <w:ind w:left="1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问题来源渠道</w:t>
            </w:r>
          </w:p>
        </w:tc>
        <w:tc>
          <w:tcPr>
            <w:tcW w:w="1319" w:type="dxa"/>
            <w:vAlign w:val="top"/>
          </w:tcPr>
          <w:p w14:paraId="1AFA7E74">
            <w:pPr>
              <w:pStyle w:val="38"/>
              <w:spacing w:line="244" w:lineRule="auto"/>
              <w:rPr>
                <w:color w:val="auto"/>
                <w:highlight w:val="none"/>
              </w:rPr>
            </w:pPr>
          </w:p>
          <w:p w14:paraId="44329956">
            <w:pPr>
              <w:pStyle w:val="38"/>
              <w:spacing w:line="244" w:lineRule="auto"/>
              <w:rPr>
                <w:color w:val="auto"/>
                <w:highlight w:val="none"/>
              </w:rPr>
            </w:pPr>
          </w:p>
          <w:p w14:paraId="183064B0">
            <w:pPr>
              <w:pStyle w:val="38"/>
              <w:spacing w:line="245" w:lineRule="auto"/>
              <w:rPr>
                <w:color w:val="auto"/>
                <w:highlight w:val="none"/>
              </w:rPr>
            </w:pPr>
          </w:p>
          <w:p w14:paraId="2B0E0F1C">
            <w:pPr>
              <w:spacing w:before="69" w:line="221" w:lineRule="auto"/>
              <w:ind w:left="25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主要问题</w:t>
            </w:r>
          </w:p>
        </w:tc>
        <w:tc>
          <w:tcPr>
            <w:tcW w:w="1329" w:type="dxa"/>
            <w:vAlign w:val="top"/>
          </w:tcPr>
          <w:p w14:paraId="487E27C3">
            <w:pPr>
              <w:pStyle w:val="38"/>
              <w:spacing w:line="243" w:lineRule="auto"/>
              <w:rPr>
                <w:color w:val="auto"/>
                <w:highlight w:val="none"/>
              </w:rPr>
            </w:pPr>
          </w:p>
          <w:p w14:paraId="786BE5E2">
            <w:pPr>
              <w:pStyle w:val="38"/>
              <w:spacing w:line="244" w:lineRule="auto"/>
              <w:rPr>
                <w:color w:val="auto"/>
                <w:highlight w:val="none"/>
              </w:rPr>
            </w:pPr>
          </w:p>
          <w:p w14:paraId="5CE1784F">
            <w:pPr>
              <w:pStyle w:val="38"/>
              <w:spacing w:line="244" w:lineRule="auto"/>
              <w:rPr>
                <w:color w:val="auto"/>
                <w:highlight w:val="none"/>
              </w:rPr>
            </w:pPr>
          </w:p>
          <w:p w14:paraId="02891DB4">
            <w:pPr>
              <w:spacing w:before="68" w:line="219" w:lineRule="auto"/>
              <w:ind w:left="25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处理意见</w:t>
            </w:r>
          </w:p>
        </w:tc>
        <w:tc>
          <w:tcPr>
            <w:tcW w:w="1384" w:type="dxa"/>
            <w:vAlign w:val="top"/>
          </w:tcPr>
          <w:p w14:paraId="3D4323ED">
            <w:pPr>
              <w:pStyle w:val="38"/>
              <w:spacing w:line="242" w:lineRule="auto"/>
              <w:rPr>
                <w:color w:val="auto"/>
                <w:highlight w:val="none"/>
              </w:rPr>
            </w:pPr>
          </w:p>
          <w:p w14:paraId="4B9C45D4">
            <w:pPr>
              <w:pStyle w:val="38"/>
              <w:spacing w:line="243" w:lineRule="auto"/>
              <w:rPr>
                <w:color w:val="auto"/>
                <w:highlight w:val="none"/>
              </w:rPr>
            </w:pPr>
          </w:p>
          <w:p w14:paraId="33FE0404">
            <w:pPr>
              <w:pStyle w:val="38"/>
              <w:spacing w:line="243" w:lineRule="auto"/>
              <w:rPr>
                <w:color w:val="auto"/>
                <w:highlight w:val="none"/>
              </w:rPr>
            </w:pPr>
          </w:p>
          <w:p w14:paraId="6896B480">
            <w:pPr>
              <w:spacing w:before="68" w:line="219" w:lineRule="auto"/>
              <w:ind w:left="282"/>
              <w:rPr>
                <w:rFonts w:ascii="宋体" w:hAnsi="宋体" w:eastAsia="宋体" w:cs="宋体"/>
                <w:color w:val="auto"/>
                <w:sz w:val="21"/>
                <w:szCs w:val="21"/>
                <w:highlight w:val="none"/>
              </w:rPr>
            </w:pPr>
            <w:r>
              <w:rPr>
                <w:rFonts w:ascii="宋体" w:hAnsi="宋体" w:eastAsia="宋体" w:cs="宋体"/>
                <w:b/>
                <w:bCs/>
                <w:color w:val="auto"/>
                <w:spacing w:val="1"/>
                <w:sz w:val="21"/>
                <w:szCs w:val="21"/>
                <w:highlight w:val="none"/>
              </w:rPr>
              <w:t>办结时间</w:t>
            </w:r>
          </w:p>
        </w:tc>
      </w:tr>
      <w:tr w14:paraId="1B2D0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8" w:hRule="atLeast"/>
        </w:trPr>
        <w:tc>
          <w:tcPr>
            <w:tcW w:w="645" w:type="dxa"/>
            <w:vAlign w:val="top"/>
          </w:tcPr>
          <w:p w14:paraId="7E28DC42">
            <w:pPr>
              <w:pStyle w:val="38"/>
              <w:rPr>
                <w:color w:val="auto"/>
                <w:highlight w:val="none"/>
              </w:rPr>
            </w:pPr>
          </w:p>
        </w:tc>
        <w:tc>
          <w:tcPr>
            <w:tcW w:w="1119" w:type="dxa"/>
            <w:vAlign w:val="top"/>
          </w:tcPr>
          <w:p w14:paraId="114C61EA">
            <w:pPr>
              <w:pStyle w:val="38"/>
              <w:rPr>
                <w:color w:val="auto"/>
                <w:highlight w:val="none"/>
              </w:rPr>
            </w:pPr>
          </w:p>
        </w:tc>
        <w:tc>
          <w:tcPr>
            <w:tcW w:w="959" w:type="dxa"/>
            <w:vAlign w:val="top"/>
          </w:tcPr>
          <w:p w14:paraId="23DC65FD">
            <w:pPr>
              <w:pStyle w:val="38"/>
              <w:rPr>
                <w:color w:val="auto"/>
                <w:highlight w:val="none"/>
              </w:rPr>
            </w:pPr>
          </w:p>
        </w:tc>
        <w:tc>
          <w:tcPr>
            <w:tcW w:w="1399" w:type="dxa"/>
            <w:vAlign w:val="top"/>
          </w:tcPr>
          <w:p w14:paraId="0B2CD302">
            <w:pPr>
              <w:pStyle w:val="38"/>
              <w:rPr>
                <w:color w:val="auto"/>
                <w:highlight w:val="none"/>
              </w:rPr>
            </w:pPr>
          </w:p>
        </w:tc>
        <w:tc>
          <w:tcPr>
            <w:tcW w:w="1619" w:type="dxa"/>
            <w:vAlign w:val="top"/>
          </w:tcPr>
          <w:p w14:paraId="42137900">
            <w:pPr>
              <w:pStyle w:val="38"/>
              <w:rPr>
                <w:color w:val="auto"/>
                <w:highlight w:val="none"/>
              </w:rPr>
            </w:pPr>
          </w:p>
        </w:tc>
        <w:tc>
          <w:tcPr>
            <w:tcW w:w="939" w:type="dxa"/>
            <w:vAlign w:val="top"/>
          </w:tcPr>
          <w:p w14:paraId="3116A87B">
            <w:pPr>
              <w:pStyle w:val="38"/>
              <w:rPr>
                <w:color w:val="auto"/>
                <w:highlight w:val="none"/>
              </w:rPr>
            </w:pPr>
          </w:p>
        </w:tc>
        <w:tc>
          <w:tcPr>
            <w:tcW w:w="920" w:type="dxa"/>
            <w:vAlign w:val="top"/>
          </w:tcPr>
          <w:p w14:paraId="2C30C2C1">
            <w:pPr>
              <w:pStyle w:val="38"/>
              <w:rPr>
                <w:color w:val="auto"/>
                <w:highlight w:val="none"/>
              </w:rPr>
            </w:pPr>
          </w:p>
        </w:tc>
        <w:tc>
          <w:tcPr>
            <w:tcW w:w="1539" w:type="dxa"/>
            <w:vAlign w:val="top"/>
          </w:tcPr>
          <w:p w14:paraId="0F6772D1">
            <w:pPr>
              <w:pStyle w:val="38"/>
              <w:rPr>
                <w:color w:val="auto"/>
                <w:highlight w:val="none"/>
              </w:rPr>
            </w:pPr>
          </w:p>
        </w:tc>
        <w:tc>
          <w:tcPr>
            <w:tcW w:w="1499" w:type="dxa"/>
            <w:vAlign w:val="top"/>
          </w:tcPr>
          <w:p w14:paraId="551FF5F9">
            <w:pPr>
              <w:pStyle w:val="38"/>
              <w:rPr>
                <w:color w:val="auto"/>
                <w:highlight w:val="none"/>
              </w:rPr>
            </w:pPr>
          </w:p>
        </w:tc>
        <w:tc>
          <w:tcPr>
            <w:tcW w:w="1319" w:type="dxa"/>
            <w:vAlign w:val="top"/>
          </w:tcPr>
          <w:p w14:paraId="414EB5E0">
            <w:pPr>
              <w:pStyle w:val="38"/>
              <w:rPr>
                <w:color w:val="auto"/>
                <w:highlight w:val="none"/>
              </w:rPr>
            </w:pPr>
          </w:p>
        </w:tc>
        <w:tc>
          <w:tcPr>
            <w:tcW w:w="1329" w:type="dxa"/>
            <w:vAlign w:val="top"/>
          </w:tcPr>
          <w:p w14:paraId="4452823A">
            <w:pPr>
              <w:pStyle w:val="38"/>
              <w:rPr>
                <w:color w:val="auto"/>
                <w:highlight w:val="none"/>
              </w:rPr>
            </w:pPr>
          </w:p>
        </w:tc>
        <w:tc>
          <w:tcPr>
            <w:tcW w:w="1384" w:type="dxa"/>
            <w:vAlign w:val="top"/>
          </w:tcPr>
          <w:p w14:paraId="652C0F08">
            <w:pPr>
              <w:pStyle w:val="38"/>
              <w:rPr>
                <w:color w:val="auto"/>
                <w:highlight w:val="none"/>
              </w:rPr>
            </w:pPr>
          </w:p>
        </w:tc>
      </w:tr>
      <w:tr w14:paraId="6CFE40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8" w:hRule="atLeast"/>
        </w:trPr>
        <w:tc>
          <w:tcPr>
            <w:tcW w:w="645" w:type="dxa"/>
            <w:vAlign w:val="top"/>
          </w:tcPr>
          <w:p w14:paraId="5E8F9A68">
            <w:pPr>
              <w:pStyle w:val="38"/>
              <w:rPr>
                <w:color w:val="auto"/>
                <w:highlight w:val="none"/>
              </w:rPr>
            </w:pPr>
          </w:p>
        </w:tc>
        <w:tc>
          <w:tcPr>
            <w:tcW w:w="1119" w:type="dxa"/>
            <w:vAlign w:val="top"/>
          </w:tcPr>
          <w:p w14:paraId="2218982A">
            <w:pPr>
              <w:pStyle w:val="38"/>
              <w:rPr>
                <w:color w:val="auto"/>
                <w:highlight w:val="none"/>
              </w:rPr>
            </w:pPr>
          </w:p>
        </w:tc>
        <w:tc>
          <w:tcPr>
            <w:tcW w:w="959" w:type="dxa"/>
            <w:vAlign w:val="top"/>
          </w:tcPr>
          <w:p w14:paraId="7362BE30">
            <w:pPr>
              <w:pStyle w:val="38"/>
              <w:rPr>
                <w:color w:val="auto"/>
                <w:highlight w:val="none"/>
              </w:rPr>
            </w:pPr>
          </w:p>
        </w:tc>
        <w:tc>
          <w:tcPr>
            <w:tcW w:w="1399" w:type="dxa"/>
            <w:vAlign w:val="top"/>
          </w:tcPr>
          <w:p w14:paraId="22C36D14">
            <w:pPr>
              <w:pStyle w:val="38"/>
              <w:rPr>
                <w:color w:val="auto"/>
                <w:highlight w:val="none"/>
              </w:rPr>
            </w:pPr>
          </w:p>
        </w:tc>
        <w:tc>
          <w:tcPr>
            <w:tcW w:w="1619" w:type="dxa"/>
            <w:vAlign w:val="top"/>
          </w:tcPr>
          <w:p w14:paraId="6EDBDA38">
            <w:pPr>
              <w:pStyle w:val="38"/>
              <w:rPr>
                <w:color w:val="auto"/>
                <w:highlight w:val="none"/>
              </w:rPr>
            </w:pPr>
          </w:p>
        </w:tc>
        <w:tc>
          <w:tcPr>
            <w:tcW w:w="939" w:type="dxa"/>
            <w:vAlign w:val="top"/>
          </w:tcPr>
          <w:p w14:paraId="256FE04B">
            <w:pPr>
              <w:pStyle w:val="38"/>
              <w:rPr>
                <w:color w:val="auto"/>
                <w:highlight w:val="none"/>
              </w:rPr>
            </w:pPr>
          </w:p>
        </w:tc>
        <w:tc>
          <w:tcPr>
            <w:tcW w:w="920" w:type="dxa"/>
            <w:vAlign w:val="top"/>
          </w:tcPr>
          <w:p w14:paraId="4EBAD048">
            <w:pPr>
              <w:pStyle w:val="38"/>
              <w:rPr>
                <w:color w:val="auto"/>
                <w:highlight w:val="none"/>
              </w:rPr>
            </w:pPr>
          </w:p>
        </w:tc>
        <w:tc>
          <w:tcPr>
            <w:tcW w:w="1539" w:type="dxa"/>
            <w:vAlign w:val="top"/>
          </w:tcPr>
          <w:p w14:paraId="3DF65CD7">
            <w:pPr>
              <w:pStyle w:val="38"/>
              <w:rPr>
                <w:color w:val="auto"/>
                <w:highlight w:val="none"/>
              </w:rPr>
            </w:pPr>
          </w:p>
        </w:tc>
        <w:tc>
          <w:tcPr>
            <w:tcW w:w="1499" w:type="dxa"/>
            <w:vAlign w:val="top"/>
          </w:tcPr>
          <w:p w14:paraId="54CB7FB2">
            <w:pPr>
              <w:pStyle w:val="38"/>
              <w:rPr>
                <w:color w:val="auto"/>
                <w:highlight w:val="none"/>
              </w:rPr>
            </w:pPr>
          </w:p>
        </w:tc>
        <w:tc>
          <w:tcPr>
            <w:tcW w:w="1319" w:type="dxa"/>
            <w:vAlign w:val="top"/>
          </w:tcPr>
          <w:p w14:paraId="4FBC96D9">
            <w:pPr>
              <w:pStyle w:val="38"/>
              <w:rPr>
                <w:color w:val="auto"/>
                <w:highlight w:val="none"/>
              </w:rPr>
            </w:pPr>
          </w:p>
        </w:tc>
        <w:tc>
          <w:tcPr>
            <w:tcW w:w="1329" w:type="dxa"/>
            <w:vAlign w:val="top"/>
          </w:tcPr>
          <w:p w14:paraId="30884AFF">
            <w:pPr>
              <w:pStyle w:val="38"/>
              <w:rPr>
                <w:color w:val="auto"/>
                <w:highlight w:val="none"/>
              </w:rPr>
            </w:pPr>
          </w:p>
        </w:tc>
        <w:tc>
          <w:tcPr>
            <w:tcW w:w="1384" w:type="dxa"/>
            <w:vAlign w:val="top"/>
          </w:tcPr>
          <w:p w14:paraId="48D2819F">
            <w:pPr>
              <w:pStyle w:val="38"/>
              <w:rPr>
                <w:color w:val="auto"/>
                <w:highlight w:val="none"/>
              </w:rPr>
            </w:pPr>
          </w:p>
        </w:tc>
      </w:tr>
      <w:tr w14:paraId="0F1E7C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645" w:type="dxa"/>
            <w:vAlign w:val="top"/>
          </w:tcPr>
          <w:p w14:paraId="1B24CEA2">
            <w:pPr>
              <w:pStyle w:val="38"/>
              <w:rPr>
                <w:color w:val="auto"/>
                <w:highlight w:val="none"/>
              </w:rPr>
            </w:pPr>
          </w:p>
        </w:tc>
        <w:tc>
          <w:tcPr>
            <w:tcW w:w="1119" w:type="dxa"/>
            <w:vAlign w:val="top"/>
          </w:tcPr>
          <w:p w14:paraId="04AD7820">
            <w:pPr>
              <w:pStyle w:val="38"/>
              <w:rPr>
                <w:color w:val="auto"/>
                <w:highlight w:val="none"/>
              </w:rPr>
            </w:pPr>
          </w:p>
        </w:tc>
        <w:tc>
          <w:tcPr>
            <w:tcW w:w="959" w:type="dxa"/>
            <w:vAlign w:val="top"/>
          </w:tcPr>
          <w:p w14:paraId="18E95D71">
            <w:pPr>
              <w:pStyle w:val="38"/>
              <w:rPr>
                <w:color w:val="auto"/>
                <w:highlight w:val="none"/>
              </w:rPr>
            </w:pPr>
          </w:p>
        </w:tc>
        <w:tc>
          <w:tcPr>
            <w:tcW w:w="1399" w:type="dxa"/>
            <w:vAlign w:val="top"/>
          </w:tcPr>
          <w:p w14:paraId="16D8DB16">
            <w:pPr>
              <w:pStyle w:val="38"/>
              <w:rPr>
                <w:color w:val="auto"/>
                <w:highlight w:val="none"/>
              </w:rPr>
            </w:pPr>
          </w:p>
        </w:tc>
        <w:tc>
          <w:tcPr>
            <w:tcW w:w="1619" w:type="dxa"/>
            <w:vAlign w:val="top"/>
          </w:tcPr>
          <w:p w14:paraId="4853D7A1">
            <w:pPr>
              <w:pStyle w:val="38"/>
              <w:rPr>
                <w:color w:val="auto"/>
                <w:highlight w:val="none"/>
              </w:rPr>
            </w:pPr>
          </w:p>
        </w:tc>
        <w:tc>
          <w:tcPr>
            <w:tcW w:w="939" w:type="dxa"/>
            <w:vAlign w:val="top"/>
          </w:tcPr>
          <w:p w14:paraId="5FD081B8">
            <w:pPr>
              <w:pStyle w:val="38"/>
              <w:rPr>
                <w:color w:val="auto"/>
                <w:highlight w:val="none"/>
              </w:rPr>
            </w:pPr>
          </w:p>
        </w:tc>
        <w:tc>
          <w:tcPr>
            <w:tcW w:w="920" w:type="dxa"/>
            <w:vAlign w:val="top"/>
          </w:tcPr>
          <w:p w14:paraId="3316A100">
            <w:pPr>
              <w:pStyle w:val="38"/>
              <w:rPr>
                <w:color w:val="auto"/>
                <w:highlight w:val="none"/>
              </w:rPr>
            </w:pPr>
          </w:p>
        </w:tc>
        <w:tc>
          <w:tcPr>
            <w:tcW w:w="1539" w:type="dxa"/>
            <w:vAlign w:val="top"/>
          </w:tcPr>
          <w:p w14:paraId="1F23606E">
            <w:pPr>
              <w:pStyle w:val="38"/>
              <w:rPr>
                <w:color w:val="auto"/>
                <w:highlight w:val="none"/>
              </w:rPr>
            </w:pPr>
          </w:p>
        </w:tc>
        <w:tc>
          <w:tcPr>
            <w:tcW w:w="1499" w:type="dxa"/>
            <w:vAlign w:val="top"/>
          </w:tcPr>
          <w:p w14:paraId="09DEC992">
            <w:pPr>
              <w:pStyle w:val="38"/>
              <w:rPr>
                <w:color w:val="auto"/>
                <w:highlight w:val="none"/>
              </w:rPr>
            </w:pPr>
          </w:p>
        </w:tc>
        <w:tc>
          <w:tcPr>
            <w:tcW w:w="1319" w:type="dxa"/>
            <w:vAlign w:val="top"/>
          </w:tcPr>
          <w:p w14:paraId="21430AF9">
            <w:pPr>
              <w:pStyle w:val="38"/>
              <w:rPr>
                <w:color w:val="auto"/>
                <w:highlight w:val="none"/>
              </w:rPr>
            </w:pPr>
          </w:p>
        </w:tc>
        <w:tc>
          <w:tcPr>
            <w:tcW w:w="1329" w:type="dxa"/>
            <w:vAlign w:val="top"/>
          </w:tcPr>
          <w:p w14:paraId="5A5B95DE">
            <w:pPr>
              <w:pStyle w:val="38"/>
              <w:rPr>
                <w:color w:val="auto"/>
                <w:highlight w:val="none"/>
              </w:rPr>
            </w:pPr>
          </w:p>
        </w:tc>
        <w:tc>
          <w:tcPr>
            <w:tcW w:w="1384" w:type="dxa"/>
            <w:vAlign w:val="top"/>
          </w:tcPr>
          <w:p w14:paraId="42D2D2A7">
            <w:pPr>
              <w:pStyle w:val="38"/>
              <w:rPr>
                <w:color w:val="auto"/>
                <w:highlight w:val="none"/>
              </w:rPr>
            </w:pPr>
          </w:p>
        </w:tc>
      </w:tr>
    </w:tbl>
    <w:p w14:paraId="1D22BE6F">
      <w:pPr>
        <w:spacing w:before="32" w:line="218" w:lineRule="auto"/>
        <w:ind w:left="824"/>
        <w:rPr>
          <w:rFonts w:ascii="宋体" w:hAnsi="宋体" w:eastAsia="宋体" w:cs="宋体"/>
          <w:color w:val="auto"/>
          <w:sz w:val="22"/>
          <w:szCs w:val="22"/>
          <w:highlight w:val="none"/>
        </w:rPr>
      </w:pPr>
      <w:r>
        <w:rPr>
          <w:rFonts w:ascii="宋体" w:hAnsi="宋体" w:eastAsia="宋体" w:cs="宋体"/>
          <w:color w:val="auto"/>
          <w:spacing w:val="2"/>
          <w:sz w:val="22"/>
          <w:szCs w:val="22"/>
          <w:highlight w:val="none"/>
        </w:rPr>
        <w:t>填表说明：1.中介服务类别：设计、评审、检验、检测、论证、会计、勘察、监理、评估、技术审查、造价、</w:t>
      </w:r>
      <w:r>
        <w:rPr>
          <w:rFonts w:ascii="宋体" w:hAnsi="宋体" w:eastAsia="宋体" w:cs="宋体"/>
          <w:color w:val="auto"/>
          <w:spacing w:val="1"/>
          <w:sz w:val="22"/>
          <w:szCs w:val="22"/>
          <w:highlight w:val="none"/>
        </w:rPr>
        <w:t>养护管理、项目管理、</w:t>
      </w:r>
    </w:p>
    <w:p w14:paraId="1F341220">
      <w:pPr>
        <w:spacing w:before="59" w:line="361" w:lineRule="auto"/>
        <w:ind w:left="405" w:right="1722"/>
        <w:rPr>
          <w:rFonts w:ascii="仿宋" w:hAnsi="仿宋" w:eastAsia="仿宋" w:cs="仿宋"/>
          <w:color w:val="auto"/>
          <w:sz w:val="17"/>
          <w:szCs w:val="17"/>
          <w:highlight w:val="none"/>
        </w:rPr>
        <w:sectPr>
          <w:footerReference r:id="rId7" w:type="default"/>
          <w:pgSz w:w="16830" w:h="11900"/>
          <w:pgMar w:top="1011" w:right="524" w:bottom="1496" w:left="1624" w:header="0" w:footer="1094" w:gutter="0"/>
          <w:pgNumType w:fmt="decimal"/>
          <w:cols w:space="720" w:num="1"/>
        </w:sectPr>
      </w:pPr>
      <w:r>
        <w:rPr>
          <w:rFonts w:ascii="仿宋" w:hAnsi="仿宋" w:eastAsia="仿宋" w:cs="仿宋"/>
          <w:color w:val="auto"/>
          <w:spacing w:val="-1"/>
          <w:sz w:val="21"/>
          <w:szCs w:val="21"/>
          <w:highlight w:val="none"/>
        </w:rPr>
        <w:t>评价鉴定、代理服务等与工程建设相关的咨询服务及其他有偿中介服务。2.处理意见：包含对中介机构、执业人员、是否移交线索的处理</w:t>
      </w:r>
      <w:r>
        <w:rPr>
          <w:rFonts w:ascii="仿宋" w:hAnsi="仿宋" w:eastAsia="仿宋" w:cs="仿宋"/>
          <w:color w:val="auto"/>
          <w:spacing w:val="12"/>
          <w:sz w:val="21"/>
          <w:szCs w:val="21"/>
          <w:highlight w:val="none"/>
        </w:rPr>
        <w:t xml:space="preserve"> </w:t>
      </w:r>
      <w:r>
        <w:rPr>
          <w:rFonts w:ascii="仿宋" w:hAnsi="仿宋" w:eastAsia="仿宋" w:cs="仿宋"/>
          <w:color w:val="auto"/>
          <w:spacing w:val="-11"/>
          <w:sz w:val="17"/>
          <w:szCs w:val="17"/>
          <w:highlight w:val="none"/>
        </w:rPr>
        <w:t>意</w:t>
      </w:r>
      <w:r>
        <w:rPr>
          <w:rFonts w:ascii="仿宋" w:hAnsi="仿宋" w:eastAsia="仿宋" w:cs="仿宋"/>
          <w:color w:val="auto"/>
          <w:spacing w:val="-14"/>
          <w:sz w:val="17"/>
          <w:szCs w:val="17"/>
          <w:highlight w:val="none"/>
        </w:rPr>
        <w:t xml:space="preserve"> </w:t>
      </w:r>
      <w:r>
        <w:rPr>
          <w:rFonts w:ascii="仿宋" w:hAnsi="仿宋" w:eastAsia="仿宋" w:cs="仿宋"/>
          <w:color w:val="auto"/>
          <w:spacing w:val="-11"/>
          <w:sz w:val="17"/>
          <w:szCs w:val="17"/>
          <w:highlight w:val="none"/>
        </w:rPr>
        <w:t>见</w:t>
      </w:r>
      <w:r>
        <w:rPr>
          <w:rFonts w:ascii="仿宋" w:hAnsi="仿宋" w:eastAsia="仿宋" w:cs="仿宋"/>
          <w:color w:val="auto"/>
          <w:spacing w:val="-27"/>
          <w:sz w:val="17"/>
          <w:szCs w:val="17"/>
          <w:highlight w:val="none"/>
        </w:rPr>
        <w:t xml:space="preserve"> </w:t>
      </w:r>
      <w:r>
        <w:rPr>
          <w:rFonts w:ascii="仿宋" w:hAnsi="仿宋" w:eastAsia="仿宋" w:cs="仿宋"/>
          <w:color w:val="auto"/>
          <w:spacing w:val="-11"/>
          <w:sz w:val="17"/>
          <w:szCs w:val="17"/>
          <w:highlight w:val="none"/>
        </w:rPr>
        <w:t>。</w:t>
      </w:r>
    </w:p>
    <w:p w14:paraId="332C76D0">
      <w:pPr>
        <w:pStyle w:val="2"/>
        <w:bidi w:val="0"/>
        <w:jc w:val="center"/>
        <w:rPr>
          <w:color w:val="auto"/>
          <w:highlight w:val="none"/>
        </w:rPr>
      </w:pPr>
      <w:r>
        <w:rPr>
          <w:rFonts w:hint="eastAsia"/>
          <w:color w:val="auto"/>
          <w:highlight w:val="none"/>
        </w:rPr>
        <w:t>第七篇  响应文件编制要求</w:t>
      </w:r>
      <w:bookmarkEnd w:id="178"/>
      <w:bookmarkEnd w:id="179"/>
    </w:p>
    <w:p w14:paraId="4BD6DE3B">
      <w:pPr>
        <w:pStyle w:val="3"/>
        <w:rPr>
          <w:color w:val="auto"/>
          <w:highlight w:val="none"/>
        </w:rPr>
      </w:pPr>
      <w:bookmarkStart w:id="180" w:name="_Toc5181"/>
      <w:r>
        <w:rPr>
          <w:rFonts w:hint="eastAsia"/>
          <w:color w:val="auto"/>
          <w:highlight w:val="none"/>
        </w:rPr>
        <w:t>一、经济部分</w:t>
      </w:r>
      <w:bookmarkEnd w:id="180"/>
    </w:p>
    <w:p w14:paraId="0D186104">
      <w:pPr>
        <w:spacing w:line="360" w:lineRule="auto"/>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（一）报价函</w:t>
      </w:r>
    </w:p>
    <w:p w14:paraId="115B86A0">
      <w:pPr>
        <w:pStyle w:val="3"/>
        <w:rPr>
          <w:color w:val="auto"/>
          <w:highlight w:val="none"/>
        </w:rPr>
      </w:pPr>
      <w:bookmarkStart w:id="181" w:name="_Toc13844"/>
      <w:r>
        <w:rPr>
          <w:rFonts w:hint="eastAsia"/>
          <w:color w:val="auto"/>
          <w:highlight w:val="none"/>
        </w:rPr>
        <w:t>二、服务部分</w:t>
      </w:r>
      <w:bookmarkEnd w:id="181"/>
    </w:p>
    <w:p w14:paraId="4CD9524B">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（一）服务条款差异表</w:t>
      </w:r>
    </w:p>
    <w:p w14:paraId="26C48CB0">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lang w:eastAsia="zh-CN"/>
        </w:rPr>
        <w:t>方案</w:t>
      </w:r>
    </w:p>
    <w:p w14:paraId="5D56121B">
      <w:pPr>
        <w:pStyle w:val="3"/>
        <w:rPr>
          <w:color w:val="auto"/>
          <w:highlight w:val="none"/>
        </w:rPr>
      </w:pPr>
      <w:bookmarkStart w:id="182" w:name="_Toc19511"/>
      <w:r>
        <w:rPr>
          <w:rFonts w:hint="eastAsia"/>
          <w:color w:val="auto"/>
          <w:highlight w:val="none"/>
        </w:rPr>
        <w:t>三、商务文件</w:t>
      </w:r>
      <w:bookmarkEnd w:id="182"/>
    </w:p>
    <w:p w14:paraId="4A016B4D">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s="宋体"/>
          <w:color w:val="auto"/>
          <w:sz w:val="24"/>
          <w:szCs w:val="24"/>
          <w:highlight w:val="none"/>
        </w:rPr>
        <w:t>（一）商务条款偏离表</w:t>
      </w:r>
    </w:p>
    <w:p w14:paraId="0F48C68E">
      <w:pPr>
        <w:spacing w:line="360" w:lineRule="auto"/>
        <w:ind w:firstLine="480" w:firstLineChars="200"/>
        <w:rPr>
          <w:rFonts w:hint="eastAsia" w:ascii="仿宋" w:hAnsi="仿宋" w:eastAsia="仿宋"/>
          <w:color w:val="auto"/>
          <w:sz w:val="24"/>
          <w:szCs w:val="24"/>
          <w:highlight w:val="none"/>
        </w:rPr>
      </w:pPr>
      <w:r>
        <w:rPr>
          <w:rFonts w:hint="eastAsia" w:ascii="仿宋" w:hAnsi="仿宋" w:eastAsia="仿宋"/>
          <w:color w:val="auto"/>
          <w:sz w:val="24"/>
          <w:szCs w:val="24"/>
          <w:highlight w:val="none"/>
        </w:rPr>
        <w:t>（</w:t>
      </w:r>
      <w:r>
        <w:rPr>
          <w:rFonts w:hint="eastAsia" w:ascii="仿宋" w:hAnsi="仿宋" w:eastAsia="仿宋"/>
          <w:color w:val="auto"/>
          <w:sz w:val="24"/>
          <w:szCs w:val="24"/>
          <w:highlight w:val="none"/>
          <w:lang w:eastAsia="zh-CN"/>
        </w:rPr>
        <w:t>二</w:t>
      </w:r>
      <w:r>
        <w:rPr>
          <w:rFonts w:hint="eastAsia" w:ascii="仿宋" w:hAnsi="仿宋" w:eastAsia="仿宋"/>
          <w:color w:val="auto"/>
          <w:sz w:val="24"/>
          <w:szCs w:val="24"/>
          <w:highlight w:val="none"/>
        </w:rPr>
        <w:t>）其</w:t>
      </w:r>
      <w:r>
        <w:rPr>
          <w:rFonts w:hint="eastAsia" w:ascii="仿宋" w:hAnsi="仿宋" w:eastAsia="仿宋"/>
          <w:color w:val="auto"/>
          <w:sz w:val="24"/>
          <w:szCs w:val="24"/>
          <w:highlight w:val="none"/>
          <w:lang w:eastAsia="zh-CN"/>
        </w:rPr>
        <w:t>他</w:t>
      </w:r>
      <w:r>
        <w:rPr>
          <w:rFonts w:hint="eastAsia" w:ascii="仿宋" w:hAnsi="仿宋" w:eastAsia="仿宋"/>
          <w:color w:val="auto"/>
          <w:sz w:val="24"/>
          <w:szCs w:val="24"/>
          <w:highlight w:val="none"/>
        </w:rPr>
        <w:t>优惠承诺</w:t>
      </w:r>
    </w:p>
    <w:p w14:paraId="75F5EE14">
      <w:pPr>
        <w:pStyle w:val="3"/>
        <w:rPr>
          <w:color w:val="auto"/>
          <w:highlight w:val="none"/>
        </w:rPr>
      </w:pPr>
      <w:bookmarkStart w:id="183" w:name="_Toc8652"/>
      <w:r>
        <w:rPr>
          <w:rFonts w:hint="eastAsia"/>
          <w:color w:val="auto"/>
          <w:highlight w:val="none"/>
        </w:rPr>
        <w:t>四、资格条件及其他</w:t>
      </w:r>
      <w:bookmarkEnd w:id="183"/>
    </w:p>
    <w:p w14:paraId="76BB73D1">
      <w:pPr>
        <w:snapToGrid w:val="0"/>
        <w:spacing w:line="400" w:lineRule="exact"/>
        <w:ind w:left="476" w:leftChars="1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（一）法人营业执照（副本）或事业单位法人证书（副本）或个体工商户营业执照或有效的自然人身份证明或社会团体法人登记证书复印件</w:t>
      </w:r>
    </w:p>
    <w:p w14:paraId="10571130">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（二）法定代表人身份证明书（格式）</w:t>
      </w:r>
    </w:p>
    <w:p w14:paraId="773B2671">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（三）法定代表人授权委托书（格式）</w:t>
      </w:r>
    </w:p>
    <w:p w14:paraId="333EAC3F">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（四）基本资格条件承诺函（格式）</w:t>
      </w:r>
    </w:p>
    <w:p w14:paraId="0662B5A5">
      <w:pPr>
        <w:snapToGrid w:val="0"/>
        <w:spacing w:line="400" w:lineRule="exact"/>
        <w:ind w:firstLine="480" w:firstLineChars="20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（五）特定资格条件证书或证明文件</w:t>
      </w:r>
    </w:p>
    <w:p w14:paraId="46DB3305">
      <w:pPr>
        <w:spacing w:line="360" w:lineRule="auto"/>
        <w:ind w:firstLine="480" w:firstLineChars="200"/>
        <w:rPr>
          <w:rFonts w:hint="eastAsia" w:ascii="方正仿宋_GBK" w:hAnsi="方正仿宋_GBK" w:eastAsia="方正仿宋_GBK" w:cs="方正仿宋_GBK"/>
          <w:color w:val="auto"/>
          <w:sz w:val="24"/>
          <w:szCs w:val="24"/>
          <w:highlight w:val="none"/>
          <w:bdr w:val="single" w:color="auto" w:sz="4" w:space="0"/>
        </w:rPr>
        <w:sectPr>
          <w:headerReference r:id="rId8" w:type="default"/>
          <w:footerReference r:id="rId9" w:type="default"/>
          <w:pgSz w:w="11907" w:h="16840"/>
          <w:pgMar w:top="1134" w:right="1191" w:bottom="1134" w:left="1304" w:header="851" w:footer="992" w:gutter="0"/>
          <w:pgNumType w:fmt="decimal"/>
          <w:cols w:space="720" w:num="1"/>
          <w:docGrid w:linePitch="380" w:charSpace="-5735"/>
        </w:sectPr>
      </w:pPr>
    </w:p>
    <w:p w14:paraId="51ED926B">
      <w:pPr>
        <w:numPr>
          <w:ilvl w:val="0"/>
          <w:numId w:val="5"/>
        </w:numPr>
        <w:rPr>
          <w:color w:val="auto"/>
          <w:highlight w:val="none"/>
        </w:rPr>
      </w:pPr>
      <w:r>
        <w:rPr>
          <w:rFonts w:hint="eastAsia"/>
          <w:color w:val="auto"/>
          <w:highlight w:val="none"/>
        </w:rPr>
        <w:t>经济部分</w:t>
      </w:r>
    </w:p>
    <w:p w14:paraId="2216F089">
      <w:pPr>
        <w:snapToGrid w:val="0"/>
        <w:spacing w:line="4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（一）报价函</w:t>
      </w:r>
    </w:p>
    <w:p w14:paraId="57E93E6F">
      <w:pPr>
        <w:jc w:val="center"/>
        <w:rPr>
          <w:rFonts w:hint="eastAsia" w:ascii="方正仿宋_GBK" w:hAnsi="方正仿宋_GBK" w:eastAsia="方正仿宋_GBK" w:cs="方正仿宋_GBK"/>
          <w:b/>
          <w:color w:val="auto"/>
          <w:sz w:val="24"/>
          <w:szCs w:val="24"/>
          <w:highlight w:val="none"/>
        </w:rPr>
      </w:pPr>
      <w:r>
        <w:rPr>
          <w:rFonts w:hint="eastAsia" w:ascii="方正仿宋_GBK" w:hAnsi="方正仿宋_GBK" w:eastAsia="方正仿宋_GBK" w:cs="方正仿宋_GBK"/>
          <w:b/>
          <w:color w:val="auto"/>
          <w:sz w:val="24"/>
          <w:szCs w:val="24"/>
          <w:highlight w:val="none"/>
        </w:rPr>
        <w:t>报价函</w:t>
      </w:r>
    </w:p>
    <w:p w14:paraId="5F83ABC8">
      <w:pPr>
        <w:pStyle w:val="7"/>
        <w:spacing w:line="554" w:lineRule="exact"/>
        <w:rPr>
          <w:rFonts w:ascii="方正仿宋_GBK" w:eastAsia="方正仿宋_GBK"/>
          <w:color w:val="auto"/>
          <w:sz w:val="24"/>
          <w:szCs w:val="24"/>
          <w:highlight w:val="none"/>
        </w:rPr>
      </w:pPr>
      <w:r>
        <w:rPr>
          <w:rFonts w:hint="eastAsia" w:ascii="方正仿宋_GBK" w:eastAsia="方正仿宋_GBK"/>
          <w:color w:val="auto"/>
          <w:sz w:val="24"/>
          <w:szCs w:val="24"/>
          <w:highlight w:val="none"/>
          <w:u w:val="single"/>
        </w:rPr>
        <w:t>（采购代理机构名称）</w:t>
      </w:r>
      <w:r>
        <w:rPr>
          <w:rFonts w:hint="eastAsia" w:ascii="方正仿宋_GBK" w:eastAsia="方正仿宋_GBK"/>
          <w:color w:val="auto"/>
          <w:sz w:val="24"/>
          <w:szCs w:val="24"/>
          <w:highlight w:val="none"/>
        </w:rPr>
        <w:t>：</w:t>
      </w:r>
    </w:p>
    <w:p w14:paraId="19C79D36">
      <w:pPr>
        <w:pStyle w:val="7"/>
        <w:spacing w:line="554" w:lineRule="exact"/>
        <w:ind w:firstLine="480" w:firstLineChars="200"/>
        <w:rPr>
          <w:rFonts w:ascii="方正仿宋_GBK" w:eastAsia="方正仿宋_GBK"/>
          <w:color w:val="auto"/>
          <w:sz w:val="24"/>
          <w:szCs w:val="24"/>
          <w:highlight w:val="none"/>
        </w:rPr>
      </w:pPr>
      <w:r>
        <w:rPr>
          <w:rFonts w:hint="eastAsia" w:ascii="方正仿宋_GBK" w:eastAsia="方正仿宋_GBK"/>
          <w:color w:val="auto"/>
          <w:sz w:val="24"/>
          <w:szCs w:val="24"/>
          <w:highlight w:val="none"/>
        </w:rPr>
        <w:t>我方收到</w:t>
      </w:r>
      <w:r>
        <w:rPr>
          <w:rFonts w:hint="eastAsia" w:ascii="方正仿宋_GBK" w:eastAsia="方正仿宋_GBK"/>
          <w:color w:val="auto"/>
          <w:sz w:val="24"/>
          <w:szCs w:val="24"/>
          <w:highlight w:val="none"/>
          <w:u w:val="single"/>
        </w:rPr>
        <w:t xml:space="preserve">        （</w:t>
      </w:r>
      <w:r>
        <w:rPr>
          <w:rFonts w:hint="eastAsia" w:ascii="方正仿宋_GBK" w:eastAsia="方正仿宋_GBK"/>
          <w:color w:val="auto"/>
          <w:sz w:val="24"/>
          <w:szCs w:val="24"/>
          <w:highlight w:val="none"/>
        </w:rPr>
        <w:t>项目名称）的采购</w:t>
      </w:r>
      <w:r>
        <w:rPr>
          <w:rFonts w:hint="eastAsia" w:ascii="方正仿宋_GBK" w:eastAsia="方正仿宋_GBK"/>
          <w:color w:val="auto"/>
          <w:sz w:val="24"/>
          <w:szCs w:val="24"/>
          <w:highlight w:val="none"/>
          <w:lang w:eastAsia="zh-CN"/>
        </w:rPr>
        <w:t>竞采</w:t>
      </w:r>
      <w:r>
        <w:rPr>
          <w:rFonts w:hint="eastAsia" w:ascii="方正仿宋_GBK" w:eastAsia="方正仿宋_GBK"/>
          <w:color w:val="auto"/>
          <w:sz w:val="24"/>
          <w:szCs w:val="24"/>
          <w:highlight w:val="none"/>
        </w:rPr>
        <w:t>文件，经详细研究，决定参加该项目的竞选。</w:t>
      </w:r>
    </w:p>
    <w:p w14:paraId="32AE157C">
      <w:pPr>
        <w:tabs>
          <w:tab w:val="left" w:pos="6300"/>
        </w:tabs>
        <w:snapToGrid w:val="0"/>
        <w:spacing w:line="360" w:lineRule="auto"/>
        <w:ind w:left="14" w:leftChars="5" w:firstLine="458" w:firstLineChars="191"/>
        <w:jc w:val="left"/>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1.愿意按照采购</w:t>
      </w:r>
      <w:r>
        <w:rPr>
          <w:rFonts w:hint="eastAsia" w:ascii="Times New Roman" w:eastAsia="方正仿宋_GBK"/>
          <w:color w:val="auto"/>
          <w:sz w:val="24"/>
          <w:szCs w:val="24"/>
          <w:highlight w:val="none"/>
          <w:lang w:eastAsia="zh-CN"/>
        </w:rPr>
        <w:t>竞采</w:t>
      </w:r>
      <w:r>
        <w:rPr>
          <w:rFonts w:ascii="Times New Roman" w:hAnsi="Times New Roman" w:eastAsia="方正仿宋_GBK"/>
          <w:color w:val="auto"/>
          <w:sz w:val="24"/>
          <w:szCs w:val="24"/>
          <w:highlight w:val="none"/>
        </w:rPr>
        <w:t>文件中的一切要求，提供本项目的技术服务，</w:t>
      </w:r>
      <w:r>
        <w:rPr>
          <w:rFonts w:hint="eastAsia" w:ascii="方正仿宋_GBK" w:hAnsi="方正仿宋_GBK" w:eastAsia="方正仿宋_GBK" w:cs="方正仿宋_GBK"/>
          <w:i w:val="0"/>
          <w:iCs w:val="0"/>
          <w:color w:val="auto"/>
          <w:sz w:val="24"/>
          <w:szCs w:val="24"/>
          <w:highlight w:val="none"/>
        </w:rPr>
        <w:t>报价为人民币</w:t>
      </w:r>
      <w:r>
        <w:rPr>
          <w:rFonts w:hint="eastAsia" w:ascii="方正仿宋_GBK" w:hAnsi="方正仿宋_GBK" w:eastAsia="方正仿宋_GBK" w:cs="方正仿宋_GBK"/>
          <w:i w:val="0"/>
          <w:iCs w:val="0"/>
          <w:color w:val="auto"/>
          <w:sz w:val="24"/>
          <w:szCs w:val="24"/>
          <w:highlight w:val="none"/>
          <w:u w:val="single"/>
        </w:rPr>
        <w:t>大写：     元整</w:t>
      </w:r>
      <w:r>
        <w:rPr>
          <w:rFonts w:hint="eastAsia" w:ascii="方正仿宋_GBK" w:hAnsi="方正仿宋_GBK" w:eastAsia="方正仿宋_GBK" w:cs="方正仿宋_GBK"/>
          <w:i w:val="0"/>
          <w:iCs w:val="0"/>
          <w:color w:val="auto"/>
          <w:sz w:val="24"/>
          <w:szCs w:val="24"/>
          <w:highlight w:val="none"/>
        </w:rPr>
        <w:t>；人民币</w:t>
      </w:r>
      <w:r>
        <w:rPr>
          <w:rFonts w:hint="eastAsia" w:ascii="方正仿宋_GBK" w:hAnsi="方正仿宋_GBK" w:eastAsia="方正仿宋_GBK" w:cs="方正仿宋_GBK"/>
          <w:i w:val="0"/>
          <w:iCs w:val="0"/>
          <w:color w:val="auto"/>
          <w:sz w:val="24"/>
          <w:szCs w:val="24"/>
          <w:highlight w:val="none"/>
          <w:u w:val="single"/>
        </w:rPr>
        <w:t>小写：    元</w:t>
      </w:r>
      <w:r>
        <w:rPr>
          <w:rFonts w:ascii="Times New Roman" w:hAnsi="Times New Roman" w:eastAsia="方正仿宋_GBK"/>
          <w:color w:val="auto"/>
          <w:sz w:val="24"/>
          <w:szCs w:val="24"/>
          <w:highlight w:val="none"/>
        </w:rPr>
        <w:t>。</w:t>
      </w:r>
    </w:p>
    <w:p w14:paraId="659F9316">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2.我方现提交的响应文件为：响应文件电子文档壹份。</w:t>
      </w:r>
    </w:p>
    <w:p w14:paraId="7CA9F3BC">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3.我方承诺：本次竞选的有效期为 90 天。</w:t>
      </w:r>
    </w:p>
    <w:p w14:paraId="2806BE47">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4.我方完全理解和接受贵方采购</w:t>
      </w:r>
      <w:r>
        <w:rPr>
          <w:rFonts w:hint="eastAsia" w:ascii="Times New Roman" w:eastAsia="方正仿宋_GBK"/>
          <w:color w:val="auto"/>
          <w:sz w:val="24"/>
          <w:szCs w:val="24"/>
          <w:highlight w:val="none"/>
          <w:lang w:eastAsia="zh-CN"/>
        </w:rPr>
        <w:t>竞采</w:t>
      </w:r>
      <w:r>
        <w:rPr>
          <w:rFonts w:ascii="Times New Roman" w:hAnsi="Times New Roman" w:eastAsia="方正仿宋_GBK"/>
          <w:color w:val="auto"/>
          <w:sz w:val="24"/>
          <w:szCs w:val="24"/>
          <w:highlight w:val="none"/>
        </w:rPr>
        <w:t>文件的一切规定和要求及评审办法。</w:t>
      </w:r>
    </w:p>
    <w:p w14:paraId="4B7C4DE9">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5.在整个竞选过程中，我方若有违规行为，</w:t>
      </w:r>
      <w:r>
        <w:rPr>
          <w:rFonts w:hint="eastAsia" w:ascii="Times New Roman" w:hAnsi="Times New Roman" w:eastAsia="方正仿宋_GBK"/>
          <w:color w:val="auto"/>
          <w:sz w:val="24"/>
          <w:szCs w:val="24"/>
          <w:highlight w:val="none"/>
        </w:rPr>
        <w:t>接受按照《中华人民共和国政府采购法》规定给予惩罚。</w:t>
      </w:r>
    </w:p>
    <w:p w14:paraId="66404D9B">
      <w:pPr>
        <w:pStyle w:val="7"/>
        <w:spacing w:line="554" w:lineRule="exact"/>
        <w:ind w:firstLine="480" w:firstLineChars="200"/>
        <w:rPr>
          <w:rFonts w:ascii="Times New Roman" w:hAnsi="Times New Roman" w:eastAsia="方正仿宋_GBK"/>
          <w:color w:val="auto"/>
          <w:sz w:val="24"/>
          <w:szCs w:val="24"/>
          <w:highlight w:val="none"/>
        </w:rPr>
      </w:pPr>
      <w:r>
        <w:rPr>
          <w:rFonts w:ascii="Times New Roman" w:hAnsi="Times New Roman" w:eastAsia="方正仿宋_GBK"/>
          <w:color w:val="auto"/>
          <w:sz w:val="24"/>
          <w:szCs w:val="24"/>
          <w:highlight w:val="none"/>
        </w:rPr>
        <w:t>6.我方若中选，将按照竞选结果签订合同，并且严格履行合同义务。本承诺函将成为合同不可分割的一部分，与合同具有同等的法律效力。</w:t>
      </w:r>
    </w:p>
    <w:p w14:paraId="04011C32">
      <w:pPr>
        <w:pStyle w:val="7"/>
        <w:spacing w:line="554" w:lineRule="exact"/>
        <w:ind w:firstLine="480" w:firstLineChars="200"/>
        <w:rPr>
          <w:rFonts w:ascii="方正仿宋_GBK" w:eastAsia="方正仿宋_GBK"/>
          <w:color w:val="auto"/>
          <w:sz w:val="24"/>
          <w:szCs w:val="24"/>
          <w:highlight w:val="none"/>
        </w:rPr>
      </w:pPr>
      <w:r>
        <w:rPr>
          <w:rFonts w:ascii="Times New Roman" w:hAnsi="Times New Roman" w:eastAsia="方正仿宋_GBK"/>
          <w:color w:val="auto"/>
          <w:sz w:val="24"/>
          <w:szCs w:val="24"/>
          <w:highlight w:val="none"/>
        </w:rPr>
        <w:t>7.我方理解</w:t>
      </w:r>
      <w:r>
        <w:rPr>
          <w:rFonts w:hint="eastAsia" w:ascii="方正仿宋_GBK" w:eastAsia="方正仿宋_GBK"/>
          <w:color w:val="auto"/>
          <w:sz w:val="24"/>
          <w:szCs w:val="24"/>
          <w:highlight w:val="none"/>
        </w:rPr>
        <w:t>，最低报价不是成交的唯一条件。</w:t>
      </w:r>
    </w:p>
    <w:p w14:paraId="6A2844DC">
      <w:pPr>
        <w:pStyle w:val="7"/>
        <w:spacing w:line="554" w:lineRule="exact"/>
        <w:rPr>
          <w:rFonts w:ascii="方正仿宋_GBK" w:eastAsia="方正仿宋_GBK"/>
          <w:color w:val="auto"/>
          <w:sz w:val="24"/>
          <w:szCs w:val="24"/>
          <w:highlight w:val="none"/>
        </w:rPr>
      </w:pPr>
    </w:p>
    <w:p w14:paraId="68D12E38">
      <w:pPr>
        <w:pStyle w:val="7"/>
        <w:spacing w:line="554" w:lineRule="exact"/>
        <w:ind w:right="960" w:firstLine="480" w:firstLineChars="200"/>
        <w:jc w:val="righ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供应商名称（公章）：</w:t>
      </w:r>
    </w:p>
    <w:p w14:paraId="1C127DAA">
      <w:pPr>
        <w:spacing w:line="554" w:lineRule="exact"/>
        <w:jc w:val="right"/>
        <w:rPr>
          <w:rFonts w:ascii="方正仿宋_GBK" w:eastAsia="方正仿宋_GBK"/>
          <w:color w:val="auto"/>
          <w:sz w:val="24"/>
          <w:szCs w:val="24"/>
          <w:highlight w:val="none"/>
        </w:rPr>
      </w:pPr>
      <w:r>
        <w:rPr>
          <w:rFonts w:hint="eastAsia" w:ascii="方正仿宋_GBK" w:eastAsia="方正仿宋_GBK"/>
          <w:color w:val="auto"/>
          <w:sz w:val="24"/>
          <w:szCs w:val="24"/>
          <w:highlight w:val="none"/>
        </w:rPr>
        <w:t>年   月   日</w:t>
      </w:r>
    </w:p>
    <w:p w14:paraId="4707934C">
      <w:pPr>
        <w:spacing w:line="554" w:lineRule="exact"/>
        <w:jc w:val="right"/>
        <w:rPr>
          <w:rFonts w:ascii="方正仿宋_GBK" w:eastAsia="方正仿宋_GBK"/>
          <w:color w:val="auto"/>
          <w:highlight w:val="none"/>
        </w:rPr>
      </w:pPr>
    </w:p>
    <w:p w14:paraId="2BFD4BA7">
      <w:pPr>
        <w:rPr>
          <w:rFonts w:hint="eastAsia"/>
          <w:color w:val="auto"/>
          <w:highlight w:val="none"/>
        </w:rPr>
      </w:pPr>
    </w:p>
    <w:p w14:paraId="329BC5E3">
      <w:pPr>
        <w:rPr>
          <w:rFonts w:hint="eastAsia"/>
          <w:color w:val="auto"/>
          <w:highlight w:val="none"/>
        </w:rPr>
      </w:pPr>
    </w:p>
    <w:p w14:paraId="279628C3">
      <w:pPr>
        <w:rPr>
          <w:rFonts w:hint="eastAsia"/>
          <w:color w:val="auto"/>
          <w:highlight w:val="none"/>
        </w:rPr>
      </w:pPr>
    </w:p>
    <w:p w14:paraId="0DB3B96F">
      <w:pPr>
        <w:rPr>
          <w:rFonts w:hint="eastAsia"/>
          <w:color w:val="auto"/>
          <w:highlight w:val="none"/>
        </w:rPr>
      </w:pPr>
    </w:p>
    <w:p w14:paraId="77D6B237">
      <w:pPr>
        <w:rPr>
          <w:rFonts w:hint="eastAsia"/>
          <w:color w:val="auto"/>
          <w:highlight w:val="none"/>
        </w:rPr>
      </w:pPr>
    </w:p>
    <w:p w14:paraId="4646A224">
      <w:pPr>
        <w:pStyle w:val="2"/>
        <w:rPr>
          <w:rFonts w:hint="eastAsia"/>
          <w:color w:val="auto"/>
          <w:highlight w:val="none"/>
        </w:rPr>
      </w:pPr>
    </w:p>
    <w:p w14:paraId="36C16A4F">
      <w:pPr>
        <w:rPr>
          <w:rFonts w:hint="eastAsia"/>
          <w:color w:val="auto"/>
          <w:highlight w:val="none"/>
        </w:rPr>
      </w:pPr>
    </w:p>
    <w:p w14:paraId="28C0E14B">
      <w:pPr>
        <w:numPr>
          <w:ilvl w:val="0"/>
          <w:numId w:val="5"/>
        </w:numPr>
        <w:snapToGrid w:val="0"/>
        <w:spacing w:line="400" w:lineRule="exact"/>
        <w:rPr>
          <w:rFonts w:hint="eastAsia" w:ascii="方正仿宋_GBK" w:hAnsi="方正仿宋_GBK" w:eastAsia="方正仿宋_GBK" w:cs="方正仿宋_GBK"/>
          <w:color w:val="auto"/>
          <w:highlight w:val="none"/>
        </w:rPr>
      </w:pPr>
      <w:bookmarkStart w:id="184" w:name="_Toc486608278"/>
      <w:bookmarkStart w:id="185" w:name="_Toc3192"/>
      <w:bookmarkStart w:id="186" w:name="_Toc486585241"/>
      <w:bookmarkStart w:id="187" w:name="_Toc9090"/>
      <w:bookmarkStart w:id="188" w:name="_Toc487204798"/>
      <w:r>
        <w:rPr>
          <w:rFonts w:hint="eastAsia" w:ascii="方正仿宋_GBK" w:hAnsi="方正仿宋_GBK" w:eastAsia="方正仿宋_GBK" w:cs="方正仿宋_GBK"/>
          <w:color w:val="auto"/>
          <w:highlight w:val="none"/>
        </w:rPr>
        <w:t>服务部分</w:t>
      </w:r>
      <w:bookmarkEnd w:id="184"/>
      <w:bookmarkEnd w:id="185"/>
      <w:bookmarkEnd w:id="186"/>
      <w:bookmarkEnd w:id="187"/>
      <w:bookmarkEnd w:id="188"/>
    </w:p>
    <w:p w14:paraId="4A21692A">
      <w:pPr>
        <w:rPr>
          <w:rFonts w:hint="eastAsia" w:ascii="方正仿宋_GBK" w:hAnsi="方正仿宋_GBK" w:eastAsia="方正仿宋_GBK" w:cs="方正仿宋_GBK"/>
          <w:color w:val="auto"/>
          <w:szCs w:val="24"/>
          <w:highlight w:val="none"/>
        </w:rPr>
      </w:pPr>
    </w:p>
    <w:p w14:paraId="7ECC527C">
      <w:pPr>
        <w:rPr>
          <w:rFonts w:hint="eastAsia" w:ascii="方正仿宋_GBK" w:hAnsi="方正仿宋_GBK" w:eastAsia="方正仿宋_GBK" w:cs="方正仿宋_GBK"/>
          <w:color w:val="auto"/>
          <w:sz w:val="24"/>
          <w:szCs w:val="18"/>
          <w:highlight w:val="none"/>
        </w:rPr>
      </w:pPr>
      <w:r>
        <w:rPr>
          <w:rFonts w:hint="eastAsia" w:ascii="方正仿宋_GBK" w:hAnsi="方正仿宋_GBK" w:eastAsia="方正仿宋_GBK" w:cs="方正仿宋_GBK"/>
          <w:color w:val="auto"/>
          <w:sz w:val="24"/>
          <w:szCs w:val="18"/>
          <w:highlight w:val="none"/>
        </w:rPr>
        <w:t>（</w:t>
      </w:r>
      <w:r>
        <w:rPr>
          <w:rFonts w:hint="eastAsia" w:ascii="方正仿宋_GBK" w:hAnsi="方正仿宋_GBK" w:eastAsia="方正仿宋_GBK" w:cs="方正仿宋_GBK"/>
          <w:color w:val="auto"/>
          <w:sz w:val="24"/>
          <w:szCs w:val="18"/>
          <w:highlight w:val="none"/>
          <w:lang w:eastAsia="zh-CN"/>
        </w:rPr>
        <w:t>一</w:t>
      </w:r>
      <w:r>
        <w:rPr>
          <w:rFonts w:hint="eastAsia" w:ascii="方正仿宋_GBK" w:hAnsi="方正仿宋_GBK" w:eastAsia="方正仿宋_GBK" w:cs="方正仿宋_GBK"/>
          <w:color w:val="auto"/>
          <w:sz w:val="24"/>
          <w:szCs w:val="18"/>
          <w:highlight w:val="none"/>
        </w:rPr>
        <w:t>）服务条款差异表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1E813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7F856444">
            <w:pPr>
              <w:jc w:val="center"/>
              <w:rPr>
                <w:rFonts w:hint="eastAsia" w:ascii="方正仿宋_GBK" w:hAnsi="方正仿宋_GBK" w:eastAsia="方正仿宋_GBK" w:cs="方正仿宋_GBK"/>
                <w:color w:val="auto"/>
                <w:szCs w:val="21"/>
                <w:highlight w:val="none"/>
              </w:rPr>
            </w:pPr>
            <w:r>
              <w:rPr>
                <w:rFonts w:hint="eastAsia" w:ascii="方正仿宋_GBK" w:hAnsi="方正仿宋_GBK" w:eastAsia="方正仿宋_GBK" w:cs="方正仿宋_GBK"/>
                <w:color w:val="auto"/>
                <w:sz w:val="21"/>
                <w:szCs w:val="21"/>
                <w:highlight w:val="none"/>
              </w:rPr>
              <w:t>序号</w:t>
            </w:r>
          </w:p>
        </w:tc>
        <w:tc>
          <w:tcPr>
            <w:tcW w:w="1542" w:type="pct"/>
            <w:vAlign w:val="center"/>
          </w:tcPr>
          <w:p w14:paraId="3B648368">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招标要求</w:t>
            </w:r>
          </w:p>
        </w:tc>
        <w:tc>
          <w:tcPr>
            <w:tcW w:w="1600" w:type="pct"/>
            <w:vAlign w:val="center"/>
          </w:tcPr>
          <w:p w14:paraId="1A120C9E">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投标应答</w:t>
            </w:r>
          </w:p>
        </w:tc>
        <w:tc>
          <w:tcPr>
            <w:tcW w:w="1199" w:type="pct"/>
            <w:vAlign w:val="center"/>
          </w:tcPr>
          <w:p w14:paraId="417AC916">
            <w:pPr>
              <w:jc w:val="center"/>
              <w:rPr>
                <w:rFonts w:hint="eastAsia" w:ascii="方正仿宋_GBK" w:hAnsi="方正仿宋_GBK" w:eastAsia="方正仿宋_GBK" w:cs="方正仿宋_GBK"/>
                <w:color w:val="auto"/>
                <w:sz w:val="21"/>
                <w:szCs w:val="21"/>
                <w:highlight w:val="none"/>
              </w:rPr>
            </w:pPr>
            <w:r>
              <w:rPr>
                <w:rFonts w:hint="eastAsia" w:ascii="方正仿宋_GBK" w:hAnsi="方正仿宋_GBK" w:eastAsia="方正仿宋_GBK" w:cs="方正仿宋_GBK"/>
                <w:color w:val="auto"/>
                <w:sz w:val="21"/>
                <w:szCs w:val="21"/>
                <w:highlight w:val="none"/>
              </w:rPr>
              <w:t>差异说明</w:t>
            </w:r>
          </w:p>
        </w:tc>
      </w:tr>
      <w:tr w14:paraId="48DBD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5E99A4E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4758FD07">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3BEFC2B8">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80DEA20">
            <w:pPr>
              <w:jc w:val="center"/>
              <w:rPr>
                <w:rFonts w:hint="eastAsia" w:ascii="方正仿宋_GBK" w:hAnsi="方正仿宋_GBK" w:eastAsia="方正仿宋_GBK" w:cs="方正仿宋_GBK"/>
                <w:color w:val="auto"/>
                <w:sz w:val="21"/>
                <w:szCs w:val="21"/>
                <w:highlight w:val="none"/>
              </w:rPr>
            </w:pPr>
          </w:p>
        </w:tc>
      </w:tr>
      <w:tr w14:paraId="1B452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45E63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789EDE58">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1C4BF8C">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3F50EC9">
            <w:pPr>
              <w:jc w:val="center"/>
              <w:rPr>
                <w:rFonts w:hint="eastAsia" w:ascii="方正仿宋_GBK" w:hAnsi="方正仿宋_GBK" w:eastAsia="方正仿宋_GBK" w:cs="方正仿宋_GBK"/>
                <w:color w:val="auto"/>
                <w:sz w:val="21"/>
                <w:szCs w:val="21"/>
                <w:highlight w:val="none"/>
              </w:rPr>
            </w:pPr>
          </w:p>
        </w:tc>
      </w:tr>
      <w:tr w14:paraId="474A1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6DBAE3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74B6738D">
            <w:pPr>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167BDBB1">
            <w:pPr>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8A7C555">
            <w:pPr>
              <w:jc w:val="center"/>
              <w:rPr>
                <w:rFonts w:hint="eastAsia" w:ascii="方正仿宋_GBK" w:hAnsi="方正仿宋_GBK" w:eastAsia="方正仿宋_GBK" w:cs="方正仿宋_GBK"/>
                <w:color w:val="auto"/>
                <w:sz w:val="21"/>
                <w:szCs w:val="21"/>
                <w:highlight w:val="none"/>
              </w:rPr>
            </w:pPr>
          </w:p>
        </w:tc>
      </w:tr>
      <w:tr w14:paraId="198F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F9E152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6E9E362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6909757">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40AB35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1CD72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137069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2703A5D2">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1FD252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77874E6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53108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587023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276CBFE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120B35D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531E78E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BCB5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BAE07F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1E73F5C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1A8C0D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1FAC10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0A516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27929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6D2F978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5D3F1E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EF2F94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1B7C4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FBCD58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3A586F8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DBADBE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34938C5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CC9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A7157FE">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2" w:type="pct"/>
            <w:vAlign w:val="center"/>
          </w:tcPr>
          <w:p w14:paraId="39495AB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E29846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9" w:type="pct"/>
            <w:vAlign w:val="center"/>
          </w:tcPr>
          <w:p w14:paraId="29C95B8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bl>
    <w:p w14:paraId="3C6C7B86">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28CB8FCF">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w:t>
      </w:r>
    </w:p>
    <w:p w14:paraId="2458C0A8">
      <w:pPr>
        <w:spacing w:line="500" w:lineRule="exact"/>
        <w:ind w:firstLine="720" w:firstLineChars="3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（供应商公章）                               （签署或盖章）</w:t>
      </w:r>
    </w:p>
    <w:p w14:paraId="7BE3B94E">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6A48E21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091676D5">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1.本表即为对本项目“第二篇  项目服务需求”中所列条款进行比较和响应；</w:t>
      </w:r>
    </w:p>
    <w:p w14:paraId="3DD98120">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2.本表可扩展；</w:t>
      </w:r>
    </w:p>
    <w:p w14:paraId="5C3B87DC">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3.可附相关技术（质量）支撑材料。（格式自定）</w:t>
      </w:r>
    </w:p>
    <w:p w14:paraId="21AF9A80">
      <w:pPr>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br w:type="page"/>
      </w:r>
    </w:p>
    <w:p w14:paraId="77DD232D">
      <w:pPr>
        <w:snapToGrid w:val="0"/>
        <w:spacing w:line="400" w:lineRule="exact"/>
        <w:ind w:firstLine="480" w:firstLineChars="200"/>
        <w:rPr>
          <w:rFonts w:hint="eastAsia" w:ascii="方正仿宋_GBK" w:hAnsi="方正仿宋_GBK" w:eastAsia="方正仿宋_GBK" w:cs="方正仿宋_GBK"/>
          <w:color w:val="auto"/>
          <w:sz w:val="24"/>
          <w:szCs w:val="24"/>
          <w:highlight w:val="none"/>
          <w:lang w:eastAsia="zh-CN"/>
        </w:rPr>
      </w:pPr>
      <w:r>
        <w:rPr>
          <w:rFonts w:hint="eastAsia" w:ascii="方正仿宋_GBK" w:hAnsi="方正仿宋_GBK" w:eastAsia="方正仿宋_GBK" w:cs="方正仿宋_GBK"/>
          <w:color w:val="auto"/>
          <w:sz w:val="24"/>
          <w:szCs w:val="24"/>
          <w:highlight w:val="none"/>
        </w:rPr>
        <w:t>（二）</w:t>
      </w:r>
      <w:r>
        <w:rPr>
          <w:rFonts w:hint="eastAsia" w:ascii="方正仿宋_GBK" w:hAnsi="方正仿宋_GBK" w:eastAsia="方正仿宋_GBK" w:cs="方正仿宋_GBK"/>
          <w:color w:val="auto"/>
          <w:sz w:val="24"/>
          <w:szCs w:val="24"/>
          <w:highlight w:val="none"/>
          <w:lang w:val="en-US" w:eastAsia="zh-CN"/>
        </w:rPr>
        <w:t>服务</w:t>
      </w:r>
      <w:r>
        <w:rPr>
          <w:rFonts w:hint="eastAsia" w:ascii="方正仿宋_GBK" w:hAnsi="方正仿宋_GBK" w:eastAsia="方正仿宋_GBK" w:cs="方正仿宋_GBK"/>
          <w:color w:val="auto"/>
          <w:sz w:val="24"/>
          <w:szCs w:val="24"/>
          <w:highlight w:val="none"/>
          <w:lang w:eastAsia="zh-CN"/>
        </w:rPr>
        <w:t>方案</w:t>
      </w:r>
    </w:p>
    <w:p w14:paraId="5D769F6F">
      <w:pPr>
        <w:snapToGrid w:val="0"/>
        <w:spacing w:line="400" w:lineRule="exact"/>
        <w:ind w:firstLine="56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4"/>
          <w:highlight w:val="none"/>
        </w:rPr>
        <w:br w:type="page"/>
      </w:r>
    </w:p>
    <w:p w14:paraId="2ACF4E9A">
      <w:pPr>
        <w:numPr>
          <w:ilvl w:val="0"/>
          <w:numId w:val="5"/>
        </w:numPr>
        <w:spacing w:line="360" w:lineRule="auto"/>
        <w:rPr>
          <w:rFonts w:hint="eastAsia" w:ascii="方正仿宋_GBK" w:hAnsi="方正仿宋_GBK" w:eastAsia="方正仿宋_GBK" w:cs="方正仿宋_GBK"/>
          <w:color w:val="auto"/>
          <w:highlight w:val="none"/>
        </w:rPr>
      </w:pPr>
      <w:bookmarkStart w:id="189" w:name="_Toc106030419"/>
      <w:bookmarkStart w:id="190" w:name="_Toc10372"/>
      <w:bookmarkStart w:id="191" w:name="_Toc26494"/>
      <w:bookmarkStart w:id="192" w:name="_Toc75793542"/>
      <w:bookmarkStart w:id="193" w:name="_Toc6786"/>
      <w:bookmarkStart w:id="194" w:name="_Toc14954"/>
      <w:bookmarkStart w:id="195" w:name="_Toc492721039"/>
      <w:bookmarkStart w:id="196" w:name="_Toc30496"/>
      <w:bookmarkStart w:id="197" w:name="_Toc23523"/>
      <w:bookmarkStart w:id="198" w:name="_Toc7069"/>
      <w:bookmarkStart w:id="199" w:name="_Toc28242"/>
      <w:bookmarkStart w:id="200" w:name="_Toc4362"/>
      <w:bookmarkStart w:id="201" w:name="_Toc32670"/>
      <w:bookmarkStart w:id="202" w:name="_Toc493178791"/>
      <w:bookmarkStart w:id="203" w:name="_Toc22113"/>
      <w:bookmarkStart w:id="204" w:name="_Toc17290"/>
      <w:bookmarkStart w:id="205" w:name="_Toc5573"/>
      <w:bookmarkStart w:id="206" w:name="_Toc8958"/>
      <w:r>
        <w:rPr>
          <w:rFonts w:hint="eastAsia" w:ascii="方正仿宋_GBK" w:hAnsi="方正仿宋_GBK" w:eastAsia="方正仿宋_GBK" w:cs="方正仿宋_GBK"/>
          <w:color w:val="auto"/>
          <w:highlight w:val="none"/>
        </w:rPr>
        <w:t>商务文件</w:t>
      </w:r>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14:paraId="232E5C54">
      <w:pPr>
        <w:rPr>
          <w:rFonts w:hint="eastAsia" w:ascii="方正仿宋_GBK" w:hAnsi="方正仿宋_GBK" w:eastAsia="方正仿宋_GBK" w:cs="方正仿宋_GBK"/>
          <w:b/>
          <w:color w:val="auto"/>
          <w:szCs w:val="28"/>
          <w:highlight w:val="none"/>
        </w:rPr>
      </w:pPr>
    </w:p>
    <w:p w14:paraId="4498D144">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w:t>
      </w:r>
      <w:r>
        <w:rPr>
          <w:rFonts w:hint="eastAsia" w:ascii="方正仿宋_GBK" w:hAnsi="方正仿宋_GBK" w:eastAsia="方正仿宋_GBK" w:cs="方正仿宋_GBK"/>
          <w:color w:val="auto"/>
          <w:sz w:val="22"/>
          <w:szCs w:val="16"/>
          <w:highlight w:val="none"/>
          <w:lang w:eastAsia="zh-CN"/>
        </w:rPr>
        <w:t>一</w:t>
      </w:r>
      <w:r>
        <w:rPr>
          <w:rFonts w:hint="eastAsia" w:ascii="方正仿宋_GBK" w:hAnsi="方正仿宋_GBK" w:eastAsia="方正仿宋_GBK" w:cs="方正仿宋_GBK"/>
          <w:color w:val="auto"/>
          <w:sz w:val="22"/>
          <w:szCs w:val="16"/>
          <w:highlight w:val="none"/>
        </w:rPr>
        <w:t>）商务条款偏离表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8"/>
        <w:gridCol w:w="3082"/>
        <w:gridCol w:w="2307"/>
      </w:tblGrid>
      <w:tr w14:paraId="266E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vAlign w:val="center"/>
          </w:tcPr>
          <w:p w14:paraId="35A0F3DF">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序号</w:t>
            </w:r>
          </w:p>
        </w:tc>
        <w:tc>
          <w:tcPr>
            <w:tcW w:w="1541" w:type="pct"/>
            <w:vAlign w:val="center"/>
          </w:tcPr>
          <w:p w14:paraId="7AB88780">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招标商务要求</w:t>
            </w:r>
          </w:p>
        </w:tc>
        <w:tc>
          <w:tcPr>
            <w:tcW w:w="1600" w:type="pct"/>
            <w:vAlign w:val="center"/>
          </w:tcPr>
          <w:p w14:paraId="1433435F">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投标商务应答</w:t>
            </w:r>
          </w:p>
        </w:tc>
        <w:tc>
          <w:tcPr>
            <w:tcW w:w="1198" w:type="pct"/>
            <w:vAlign w:val="center"/>
          </w:tcPr>
          <w:p w14:paraId="0DAC4F62">
            <w:pPr>
              <w:rPr>
                <w:rFonts w:hint="eastAsia" w:ascii="方正仿宋_GBK" w:hAnsi="方正仿宋_GBK" w:eastAsia="方正仿宋_GBK" w:cs="方正仿宋_GBK"/>
                <w:color w:val="auto"/>
                <w:sz w:val="22"/>
                <w:szCs w:val="16"/>
                <w:highlight w:val="none"/>
              </w:rPr>
            </w:pPr>
            <w:r>
              <w:rPr>
                <w:rFonts w:hint="eastAsia" w:ascii="方正仿宋_GBK" w:hAnsi="方正仿宋_GBK" w:eastAsia="方正仿宋_GBK" w:cs="方正仿宋_GBK"/>
                <w:color w:val="auto"/>
                <w:sz w:val="22"/>
                <w:szCs w:val="16"/>
                <w:highlight w:val="none"/>
              </w:rPr>
              <w:t>差异说明</w:t>
            </w:r>
          </w:p>
        </w:tc>
      </w:tr>
      <w:tr w14:paraId="51D8A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69126645">
            <w:pPr>
              <w:rPr>
                <w:rFonts w:hint="eastAsia" w:ascii="方正仿宋_GBK" w:hAnsi="方正仿宋_GBK" w:eastAsia="方正仿宋_GBK" w:cs="方正仿宋_GBK"/>
                <w:color w:val="auto"/>
                <w:sz w:val="22"/>
                <w:szCs w:val="16"/>
                <w:highlight w:val="none"/>
              </w:rPr>
            </w:pPr>
          </w:p>
        </w:tc>
        <w:tc>
          <w:tcPr>
            <w:tcW w:w="1541" w:type="pct"/>
            <w:vAlign w:val="center"/>
          </w:tcPr>
          <w:p w14:paraId="01EA5D41">
            <w:pPr>
              <w:rPr>
                <w:rFonts w:hint="eastAsia" w:ascii="方正仿宋_GBK" w:hAnsi="方正仿宋_GBK" w:eastAsia="方正仿宋_GBK" w:cs="方正仿宋_GBK"/>
                <w:color w:val="auto"/>
                <w:sz w:val="22"/>
                <w:szCs w:val="16"/>
                <w:highlight w:val="none"/>
              </w:rPr>
            </w:pPr>
          </w:p>
        </w:tc>
        <w:tc>
          <w:tcPr>
            <w:tcW w:w="1600" w:type="pct"/>
            <w:vAlign w:val="center"/>
          </w:tcPr>
          <w:p w14:paraId="17084794">
            <w:pPr>
              <w:rPr>
                <w:rFonts w:hint="eastAsia" w:ascii="方正仿宋_GBK" w:hAnsi="方正仿宋_GBK" w:eastAsia="方正仿宋_GBK" w:cs="方正仿宋_GBK"/>
                <w:color w:val="auto"/>
                <w:sz w:val="22"/>
                <w:szCs w:val="16"/>
                <w:highlight w:val="none"/>
              </w:rPr>
            </w:pPr>
          </w:p>
        </w:tc>
        <w:tc>
          <w:tcPr>
            <w:tcW w:w="1198" w:type="pct"/>
            <w:vAlign w:val="center"/>
          </w:tcPr>
          <w:p w14:paraId="33AEBEC1">
            <w:pPr>
              <w:rPr>
                <w:rFonts w:hint="eastAsia" w:ascii="方正仿宋_GBK" w:hAnsi="方正仿宋_GBK" w:eastAsia="方正仿宋_GBK" w:cs="方正仿宋_GBK"/>
                <w:color w:val="auto"/>
                <w:sz w:val="22"/>
                <w:szCs w:val="16"/>
                <w:highlight w:val="none"/>
              </w:rPr>
            </w:pPr>
          </w:p>
        </w:tc>
      </w:tr>
      <w:tr w14:paraId="1D6B1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00C832D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1B53675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9AFD9B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1A3FD21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FF37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0A4C63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3C54610E">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C1C175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2CB8933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8BB1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ABB90B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08ABD92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43B6A62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5111F399">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6524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CDFC2F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F484ED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0405230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541CF79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5425B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DB318C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6ACA8DC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7AE761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7AF640E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8961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44FD3158">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405ADAA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8822E4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353620D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C7B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255DE8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3462B0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55ED3A14">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08D9F440">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690B8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9348AB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5FBB23D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295BBFC3">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3FD85396">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3F61A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7956343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7B1EEBBD">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6C469AEF">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6BB2A49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717F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20BBC8B5">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5F0F9A2C">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749A82B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6694B20A">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r w14:paraId="2887E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vAlign w:val="center"/>
          </w:tcPr>
          <w:p w14:paraId="34EDDA0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541" w:type="pct"/>
            <w:vAlign w:val="center"/>
          </w:tcPr>
          <w:p w14:paraId="23D122EB">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600" w:type="pct"/>
            <w:vAlign w:val="center"/>
          </w:tcPr>
          <w:p w14:paraId="293560F2">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c>
          <w:tcPr>
            <w:tcW w:w="1198" w:type="pct"/>
            <w:vAlign w:val="center"/>
          </w:tcPr>
          <w:p w14:paraId="7FD4FA01">
            <w:pPr>
              <w:tabs>
                <w:tab w:val="left" w:pos="6300"/>
              </w:tabs>
              <w:snapToGrid w:val="0"/>
              <w:spacing w:line="500" w:lineRule="exact"/>
              <w:jc w:val="center"/>
              <w:rPr>
                <w:rFonts w:hint="eastAsia" w:ascii="方正仿宋_GBK" w:hAnsi="方正仿宋_GBK" w:eastAsia="方正仿宋_GBK" w:cs="方正仿宋_GBK"/>
                <w:color w:val="auto"/>
                <w:sz w:val="21"/>
                <w:szCs w:val="21"/>
                <w:highlight w:val="none"/>
              </w:rPr>
            </w:pPr>
          </w:p>
        </w:tc>
      </w:tr>
    </w:tbl>
    <w:p w14:paraId="01A597E1">
      <w:pPr>
        <w:spacing w:line="500" w:lineRule="exact"/>
        <w:ind w:firstLine="600" w:firstLineChars="250"/>
        <w:rPr>
          <w:rFonts w:hint="eastAsia" w:ascii="方正仿宋_GBK" w:hAnsi="方正仿宋_GBK" w:eastAsia="方正仿宋_GBK" w:cs="方正仿宋_GBK"/>
          <w:color w:val="auto"/>
          <w:sz w:val="24"/>
          <w:szCs w:val="28"/>
          <w:highlight w:val="none"/>
        </w:rPr>
      </w:pPr>
    </w:p>
    <w:p w14:paraId="48C04E3B">
      <w:pPr>
        <w:spacing w:line="500" w:lineRule="exact"/>
        <w:ind w:firstLine="600" w:firstLineChars="25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供应商：                     法定代表人（或法定代表人授权代表）或自然人：</w:t>
      </w:r>
    </w:p>
    <w:p w14:paraId="14860FD2">
      <w:pPr>
        <w:spacing w:line="500" w:lineRule="exact"/>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 xml:space="preserve">    （供应商公章）                               （签署或盖章）</w:t>
      </w:r>
    </w:p>
    <w:p w14:paraId="761996D2">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szCs w:val="28"/>
          <w:highlight w:val="none"/>
        </w:rPr>
        <w:t xml:space="preserve">                                            年     月     日</w:t>
      </w:r>
    </w:p>
    <w:p w14:paraId="4EBBE495">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注：</w:t>
      </w:r>
    </w:p>
    <w:p w14:paraId="193D105B">
      <w:pPr>
        <w:tabs>
          <w:tab w:val="left" w:pos="6300"/>
        </w:tabs>
        <w:snapToGrid w:val="0"/>
        <w:spacing w:line="500" w:lineRule="exact"/>
        <w:ind w:firstLine="570"/>
        <w:rPr>
          <w:rFonts w:hint="eastAsia" w:ascii="方正仿宋_GBK" w:hAnsi="方正仿宋_GBK" w:eastAsia="方正仿宋_GBK" w:cs="方正仿宋_GBK"/>
          <w:color w:val="auto"/>
          <w:sz w:val="24"/>
          <w:szCs w:val="24"/>
          <w:highlight w:val="none"/>
        </w:rPr>
      </w:pPr>
      <w:r>
        <w:rPr>
          <w:rFonts w:hint="eastAsia" w:ascii="方正仿宋_GBK" w:hAnsi="方正仿宋_GBK" w:eastAsia="方正仿宋_GBK" w:cs="方正仿宋_GBK"/>
          <w:color w:val="auto"/>
          <w:sz w:val="24"/>
          <w:szCs w:val="24"/>
          <w:highlight w:val="none"/>
        </w:rPr>
        <w:t>1.本表即为对本项目“第三篇 项目商务需求”中所列条款进行比较和响应；</w:t>
      </w:r>
    </w:p>
    <w:p w14:paraId="56A93FEF">
      <w:pPr>
        <w:tabs>
          <w:tab w:val="left" w:pos="6300"/>
        </w:tabs>
        <w:snapToGrid w:val="0"/>
        <w:spacing w:line="500" w:lineRule="exact"/>
        <w:ind w:firstLine="57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2.本表可扩展。</w:t>
      </w:r>
    </w:p>
    <w:p w14:paraId="368C2C60">
      <w:pPr>
        <w:tabs>
          <w:tab w:val="left" w:pos="6300"/>
        </w:tabs>
        <w:snapToGrid w:val="0"/>
        <w:spacing w:line="500" w:lineRule="exact"/>
        <w:ind w:firstLine="56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Cs w:val="28"/>
          <w:highlight w:val="none"/>
        </w:rPr>
        <w:br w:type="page"/>
      </w:r>
      <w:r>
        <w:rPr>
          <w:rFonts w:hint="eastAsia" w:ascii="方正仿宋_GBK" w:hAnsi="方正仿宋_GBK" w:eastAsia="方正仿宋_GBK" w:cs="方正仿宋_GBK"/>
          <w:color w:val="auto"/>
          <w:sz w:val="24"/>
          <w:szCs w:val="28"/>
          <w:highlight w:val="none"/>
        </w:rPr>
        <w:t>（</w:t>
      </w:r>
      <w:r>
        <w:rPr>
          <w:rFonts w:hint="eastAsia" w:ascii="方正仿宋_GBK" w:hAnsi="方正仿宋_GBK" w:eastAsia="方正仿宋_GBK" w:cs="方正仿宋_GBK"/>
          <w:color w:val="auto"/>
          <w:sz w:val="24"/>
          <w:szCs w:val="28"/>
          <w:highlight w:val="none"/>
          <w:lang w:eastAsia="zh-CN"/>
        </w:rPr>
        <w:t>二</w:t>
      </w:r>
      <w:r>
        <w:rPr>
          <w:rFonts w:hint="eastAsia" w:ascii="方正仿宋_GBK" w:hAnsi="方正仿宋_GBK" w:eastAsia="方正仿宋_GBK" w:cs="方正仿宋_GBK"/>
          <w:color w:val="auto"/>
          <w:sz w:val="24"/>
          <w:szCs w:val="28"/>
          <w:highlight w:val="none"/>
        </w:rPr>
        <w:t>）其他优惠承诺</w:t>
      </w:r>
    </w:p>
    <w:p w14:paraId="3A8F3904">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p>
    <w:p w14:paraId="238B15A3">
      <w:pPr>
        <w:pStyle w:val="19"/>
        <w:ind w:left="560" w:firstLine="880"/>
        <w:rPr>
          <w:color w:val="auto"/>
          <w:highlight w:val="none"/>
        </w:rPr>
      </w:pPr>
    </w:p>
    <w:p w14:paraId="29C9D71F">
      <w:pPr>
        <w:numPr>
          <w:ilvl w:val="0"/>
          <w:numId w:val="5"/>
        </w:numPr>
        <w:spacing w:line="360" w:lineRule="auto"/>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资格条件及其他</w:t>
      </w:r>
    </w:p>
    <w:p w14:paraId="3F4E8FFC">
      <w:pPr>
        <w:spacing w:line="400" w:lineRule="exact"/>
        <w:ind w:firstLine="480" w:firstLineChars="200"/>
        <w:rPr>
          <w:rFonts w:hint="eastAsia" w:ascii="方正仿宋_GBK" w:hAnsi="方正仿宋_GBK" w:eastAsia="方正仿宋_GBK" w:cs="方正仿宋_GBK"/>
          <w:color w:val="auto"/>
          <w:sz w:val="24"/>
          <w:szCs w:val="28"/>
          <w:highlight w:val="none"/>
        </w:rPr>
      </w:pPr>
      <w:r>
        <w:rPr>
          <w:rFonts w:hint="eastAsia" w:ascii="方正仿宋_GBK" w:hAnsi="方正仿宋_GBK" w:eastAsia="方正仿宋_GBK" w:cs="方正仿宋_GBK"/>
          <w:color w:val="auto"/>
          <w:sz w:val="24"/>
          <w:szCs w:val="28"/>
          <w:highlight w:val="none"/>
        </w:rPr>
        <w:t>（一）法人营业执照（副本）或事业单位法人证书（副本）或个体工商户营业执照或有效的自然人身份证明或社会团体法人登记证书复印件</w:t>
      </w:r>
    </w:p>
    <w:p w14:paraId="43F69A94">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6694E60C">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794A42BB">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30EF011C">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5C0A6EB4">
      <w:pPr>
        <w:tabs>
          <w:tab w:val="left" w:pos="6300"/>
        </w:tabs>
        <w:snapToGrid w:val="0"/>
        <w:spacing w:line="500" w:lineRule="exact"/>
        <w:ind w:firstLine="570"/>
        <w:rPr>
          <w:rFonts w:hint="eastAsia" w:ascii="方正仿宋_GBK" w:hAnsi="方正仿宋_GBK" w:eastAsia="方正仿宋_GBK" w:cs="方正仿宋_GBK"/>
          <w:color w:val="auto"/>
          <w:highlight w:val="none"/>
        </w:rPr>
      </w:pPr>
    </w:p>
    <w:p w14:paraId="1745DFF0">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r>
        <w:rPr>
          <w:rFonts w:hint="eastAsia" w:ascii="方正仿宋_GBK" w:hAnsi="方正仿宋_GBK" w:eastAsia="方正仿宋_GBK" w:cs="方正仿宋_GBK"/>
          <w:color w:val="auto"/>
          <w:sz w:val="24"/>
          <w:highlight w:val="none"/>
        </w:rPr>
        <w:t>（二）法定代表人身份证明书（格式）</w:t>
      </w:r>
    </w:p>
    <w:p w14:paraId="6EACA6EB">
      <w:pPr>
        <w:tabs>
          <w:tab w:val="left" w:pos="6300"/>
        </w:tabs>
        <w:snapToGrid w:val="0"/>
        <w:spacing w:line="500" w:lineRule="exact"/>
        <w:rPr>
          <w:rFonts w:hint="eastAsia" w:ascii="方正仿宋_GBK" w:hAnsi="方正仿宋_GBK" w:eastAsia="方正仿宋_GBK" w:cs="方正仿宋_GBK"/>
          <w:color w:val="auto"/>
          <w:sz w:val="24"/>
          <w:highlight w:val="none"/>
        </w:rPr>
      </w:pPr>
    </w:p>
    <w:p w14:paraId="708C701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项目名称：</w:t>
      </w:r>
      <w:r>
        <w:rPr>
          <w:rFonts w:hint="eastAsia" w:ascii="方正仿宋_GBK" w:hAnsi="方正仿宋_GBK" w:eastAsia="方正仿宋_GBK" w:cs="方正仿宋_GBK"/>
          <w:color w:val="auto"/>
          <w:sz w:val="24"/>
          <w:highlight w:val="none"/>
          <w:u w:val="single"/>
        </w:rPr>
        <w:t xml:space="preserve">                                                </w:t>
      </w:r>
    </w:p>
    <w:p w14:paraId="56B42F3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59833DBF">
      <w:pPr>
        <w:tabs>
          <w:tab w:val="left" w:pos="6300"/>
        </w:tabs>
        <w:snapToGrid w:val="0"/>
        <w:spacing w:line="500" w:lineRule="exac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1AE4A527">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（法定代表人姓名）</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（性别）在</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（供应商名称）任</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（职务名称）职务，是（供应商名称）</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的法定代表人。</w:t>
      </w:r>
    </w:p>
    <w:p w14:paraId="50A077B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71CE02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特此证明。</w:t>
      </w:r>
    </w:p>
    <w:p w14:paraId="69CFEEA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902E570">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F28EE0D">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供应商：</w:t>
      </w:r>
    </w:p>
    <w:p w14:paraId="504145EF">
      <w:pPr>
        <w:tabs>
          <w:tab w:val="left" w:pos="6300"/>
        </w:tabs>
        <w:snapToGrid w:val="0"/>
        <w:spacing w:line="500" w:lineRule="exact"/>
        <w:ind w:firstLine="5848" w:firstLineChars="2437"/>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7324BA29">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306BD04">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年   月   日</w:t>
      </w:r>
    </w:p>
    <w:p w14:paraId="148E21B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法定代表人电话：XXXXXXX      电子邮箱：XXXXXX@XXXXX（若授权他人办理并签署响应文件的可不填写）</w:t>
      </w:r>
    </w:p>
    <w:p w14:paraId="2BAF319C">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（附：法定代表人身份证正反面复印件）</w:t>
      </w:r>
    </w:p>
    <w:p w14:paraId="7B0EEAE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0655EFAB">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9D8277F">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64700BB3">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397DC6B1">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p>
    <w:p w14:paraId="293C4706">
      <w:pPr>
        <w:snapToGrid w:val="0"/>
        <w:spacing w:line="400" w:lineRule="exact"/>
        <w:ind w:firstLine="480" w:firstLineChars="200"/>
        <w:rPr>
          <w:rFonts w:hint="eastAsia" w:ascii="方正仿宋_GBK" w:hAnsi="宋体" w:eastAsia="方正仿宋_GBK"/>
          <w:color w:val="auto"/>
          <w:sz w:val="24"/>
          <w:szCs w:val="24"/>
          <w:highlight w:val="none"/>
        </w:rPr>
      </w:pPr>
      <w:r>
        <w:rPr>
          <w:rFonts w:hint="eastAsia" w:ascii="方正仿宋_GBK" w:hAnsi="方正仿宋_GBK" w:eastAsia="方正仿宋_GBK" w:cs="方正仿宋_GBK"/>
          <w:color w:val="auto"/>
          <w:sz w:val="24"/>
          <w:highlight w:val="none"/>
        </w:rPr>
        <w:br w:type="column"/>
      </w:r>
      <w:r>
        <w:rPr>
          <w:rFonts w:hint="eastAsia" w:ascii="方正仿宋_GBK" w:hAnsi="宋体" w:eastAsia="方正仿宋_GBK"/>
          <w:color w:val="auto"/>
          <w:sz w:val="24"/>
          <w:szCs w:val="24"/>
          <w:highlight w:val="none"/>
        </w:rPr>
        <w:t>（三）法定代表人授权委托书（格式）</w:t>
      </w:r>
    </w:p>
    <w:p w14:paraId="087D790A">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50992F87">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szCs w:val="28"/>
          <w:highlight w:val="none"/>
        </w:rPr>
        <w:t>项目名称</w:t>
      </w:r>
      <w:r>
        <w:rPr>
          <w:rFonts w:hint="eastAsia" w:ascii="方正仿宋_GBK" w:hAnsi="宋体" w:eastAsia="方正仿宋_GBK"/>
          <w:color w:val="auto"/>
          <w:sz w:val="24"/>
          <w:highlight w:val="none"/>
        </w:rPr>
        <w:t>：</w:t>
      </w:r>
      <w:r>
        <w:rPr>
          <w:rFonts w:hint="eastAsia" w:ascii="方正仿宋_GBK" w:hAnsi="宋体" w:eastAsia="方正仿宋_GBK"/>
          <w:color w:val="auto"/>
          <w:sz w:val="24"/>
          <w:highlight w:val="none"/>
          <w:u w:val="single"/>
        </w:rPr>
        <w:t xml:space="preserve">                                                </w:t>
      </w:r>
    </w:p>
    <w:p w14:paraId="1FC11F0B">
      <w:pPr>
        <w:tabs>
          <w:tab w:val="left" w:pos="6300"/>
        </w:tabs>
        <w:snapToGrid w:val="0"/>
        <w:spacing w:line="500" w:lineRule="exact"/>
        <w:ind w:firstLine="570"/>
        <w:rPr>
          <w:rFonts w:hint="eastAsia" w:ascii="方正仿宋_GBK" w:hAnsi="宋体" w:eastAsia="方正仿宋_GBK"/>
          <w:color w:val="auto"/>
          <w:sz w:val="24"/>
          <w:highlight w:val="none"/>
        </w:rPr>
      </w:pPr>
    </w:p>
    <w:p w14:paraId="4ED0AA09">
      <w:pPr>
        <w:tabs>
          <w:tab w:val="left" w:pos="6300"/>
        </w:tabs>
        <w:snapToGrid w:val="0"/>
        <w:spacing w:line="500" w:lineRule="exac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致：</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（采购代理机构名称）：</w:t>
      </w:r>
    </w:p>
    <w:p w14:paraId="3617E839">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（供应商法定代表人名称）是</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（供应商名称）的法定代表人，特授权</w:t>
      </w:r>
      <w:r>
        <w:rPr>
          <w:rFonts w:hint="eastAsia" w:ascii="方正仿宋_GBK" w:hAnsi="宋体" w:eastAsia="方正仿宋_GBK"/>
          <w:color w:val="auto"/>
          <w:sz w:val="24"/>
          <w:highlight w:val="none"/>
          <w:u w:val="single"/>
        </w:rPr>
        <w:t xml:space="preserve">          </w:t>
      </w:r>
      <w:r>
        <w:rPr>
          <w:rFonts w:hint="eastAsia" w:ascii="方正仿宋_GBK" w:hAnsi="宋体" w:eastAsia="方正仿宋_GBK"/>
          <w:color w:val="auto"/>
          <w:sz w:val="24"/>
          <w:highlight w:val="none"/>
        </w:rPr>
        <w:t>（被授权人姓名及身份证代码）代表我单位全权办理上述项目的磋商、签约等具体工作，并签署全部有关文件、协议及合同。</w:t>
      </w:r>
    </w:p>
    <w:p w14:paraId="4E349B16">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我单位对被授权人的</w:t>
      </w:r>
      <w:r>
        <w:rPr>
          <w:rFonts w:hint="eastAsia" w:ascii="方正仿宋_GBK" w:hAnsi="宋体" w:eastAsia="方正仿宋_GBK"/>
          <w:color w:val="auto"/>
          <w:sz w:val="24"/>
          <w:szCs w:val="28"/>
          <w:highlight w:val="none"/>
        </w:rPr>
        <w:t>签署</w:t>
      </w:r>
      <w:r>
        <w:rPr>
          <w:rFonts w:hint="eastAsia" w:ascii="方正仿宋_GBK" w:hAnsi="宋体" w:eastAsia="方正仿宋_GBK"/>
          <w:color w:val="auto"/>
          <w:sz w:val="24"/>
          <w:highlight w:val="none"/>
        </w:rPr>
        <w:t>负全部责任。</w:t>
      </w:r>
    </w:p>
    <w:p w14:paraId="532E86AA">
      <w:pPr>
        <w:tabs>
          <w:tab w:val="left" w:pos="6300"/>
        </w:tabs>
        <w:snapToGrid w:val="0"/>
        <w:spacing w:line="500" w:lineRule="exact"/>
        <w:ind w:firstLine="480" w:firstLineChars="20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在撤销授权的书面通知以前，本授权书一直有效。被授权人在授权书有效期内签署的所有文件不因授权的撤销而失效。</w:t>
      </w:r>
    </w:p>
    <w:p w14:paraId="3AF10246">
      <w:pPr>
        <w:tabs>
          <w:tab w:val="left" w:pos="6300"/>
        </w:tabs>
        <w:snapToGrid w:val="0"/>
        <w:spacing w:line="500" w:lineRule="exact"/>
        <w:ind w:firstLine="570"/>
        <w:rPr>
          <w:rFonts w:hint="eastAsia" w:ascii="方正仿宋_GBK" w:hAnsi="宋体" w:eastAsia="方正仿宋_GBK"/>
          <w:color w:val="auto"/>
          <w:sz w:val="24"/>
          <w:highlight w:val="none"/>
        </w:rPr>
      </w:pPr>
    </w:p>
    <w:p w14:paraId="4AF0FB17">
      <w:pPr>
        <w:tabs>
          <w:tab w:val="left" w:pos="6300"/>
        </w:tabs>
        <w:snapToGrid w:val="0"/>
        <w:spacing w:line="500" w:lineRule="exact"/>
        <w:ind w:firstLine="570"/>
        <w:rPr>
          <w:rFonts w:hint="eastAsia" w:ascii="方正仿宋_GBK" w:hAnsi="宋体" w:eastAsia="方正仿宋_GBK"/>
          <w:color w:val="auto"/>
          <w:sz w:val="24"/>
          <w:highlight w:val="none"/>
        </w:rPr>
      </w:pPr>
    </w:p>
    <w:p w14:paraId="19DD7C0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被授权人：                                 供应商法定代表人：</w:t>
      </w:r>
    </w:p>
    <w:p w14:paraId="60EB9D69">
      <w:pPr>
        <w:tabs>
          <w:tab w:val="left" w:pos="6300"/>
        </w:tabs>
        <w:snapToGrid w:val="0"/>
        <w:spacing w:line="500" w:lineRule="exact"/>
        <w:ind w:firstLine="570"/>
        <w:rPr>
          <w:rFonts w:hint="eastAsia" w:ascii="方正仿宋_GBK" w:hAnsi="宋体" w:eastAsia="方正仿宋_GBK"/>
          <w:color w:val="auto"/>
          <w:sz w:val="24"/>
          <w:szCs w:val="28"/>
          <w:highlight w:val="none"/>
        </w:rPr>
      </w:pPr>
      <w:r>
        <w:rPr>
          <w:rFonts w:hint="eastAsia" w:ascii="方正仿宋_GBK" w:hAnsi="宋体" w:eastAsia="方正仿宋_GBK"/>
          <w:color w:val="auto"/>
          <w:sz w:val="24"/>
          <w:szCs w:val="28"/>
          <w:highlight w:val="none"/>
        </w:rPr>
        <w:t>（签署或盖章）                                （签署或盖章）</w:t>
      </w:r>
    </w:p>
    <w:p w14:paraId="4A02BDEE">
      <w:pPr>
        <w:tabs>
          <w:tab w:val="left" w:pos="6300"/>
        </w:tabs>
        <w:snapToGrid w:val="0"/>
        <w:spacing w:line="500" w:lineRule="exact"/>
        <w:ind w:firstLine="570"/>
        <w:rPr>
          <w:rFonts w:hint="eastAsia" w:ascii="方正仿宋_GBK" w:hAnsi="宋体" w:eastAsia="方正仿宋_GBK"/>
          <w:color w:val="auto"/>
          <w:sz w:val="24"/>
          <w:szCs w:val="28"/>
          <w:highlight w:val="none"/>
        </w:rPr>
      </w:pPr>
    </w:p>
    <w:p w14:paraId="663D25CE">
      <w:pPr>
        <w:tabs>
          <w:tab w:val="left" w:pos="6300"/>
        </w:tabs>
        <w:snapToGrid w:val="0"/>
        <w:spacing w:line="500" w:lineRule="exact"/>
        <w:ind w:firstLine="570"/>
        <w:rPr>
          <w:rFonts w:hint="eastAsia" w:ascii="方正仿宋_GBK" w:hAnsi="宋体" w:eastAsia="方正仿宋_GBK"/>
          <w:color w:val="auto"/>
          <w:sz w:val="24"/>
          <w:highlight w:val="none"/>
        </w:rPr>
      </w:pPr>
    </w:p>
    <w:p w14:paraId="52E04194">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（附：被授权人身份证正反面复印件）</w:t>
      </w:r>
    </w:p>
    <w:p w14:paraId="00409A45">
      <w:pPr>
        <w:tabs>
          <w:tab w:val="left" w:pos="6300"/>
        </w:tabs>
        <w:snapToGrid w:val="0"/>
        <w:spacing w:line="500" w:lineRule="exact"/>
        <w:ind w:firstLine="570"/>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 xml:space="preserve">                                          </w:t>
      </w:r>
    </w:p>
    <w:p w14:paraId="496AF1D4">
      <w:pPr>
        <w:tabs>
          <w:tab w:val="left" w:pos="6300"/>
        </w:tabs>
        <w:snapToGrid w:val="0"/>
        <w:spacing w:line="500" w:lineRule="exact"/>
        <w:ind w:firstLine="570"/>
        <w:rPr>
          <w:rFonts w:hint="eastAsia" w:ascii="方正仿宋_GBK" w:hAnsi="宋体" w:eastAsia="方正仿宋_GBK"/>
          <w:color w:val="auto"/>
          <w:sz w:val="24"/>
          <w:highlight w:val="none"/>
        </w:rPr>
      </w:pPr>
    </w:p>
    <w:p w14:paraId="26CC24AA">
      <w:pPr>
        <w:tabs>
          <w:tab w:val="left" w:pos="6300"/>
        </w:tabs>
        <w:snapToGrid w:val="0"/>
        <w:spacing w:line="500" w:lineRule="exact"/>
        <w:ind w:firstLine="570"/>
        <w:rPr>
          <w:rFonts w:hint="eastAsia" w:ascii="方正仿宋_GBK" w:hAnsi="宋体" w:eastAsia="方正仿宋_GBK"/>
          <w:color w:val="auto"/>
          <w:sz w:val="24"/>
          <w:highlight w:val="none"/>
        </w:rPr>
      </w:pPr>
    </w:p>
    <w:p w14:paraId="00A75D09">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（供应商公章）</w:t>
      </w:r>
    </w:p>
    <w:p w14:paraId="2FA8DC7D">
      <w:pPr>
        <w:tabs>
          <w:tab w:val="left" w:pos="6300"/>
        </w:tabs>
        <w:snapToGrid w:val="0"/>
        <w:spacing w:line="500" w:lineRule="exact"/>
        <w:ind w:right="480" w:firstLine="570"/>
        <w:jc w:val="right"/>
        <w:rPr>
          <w:rFonts w:hint="eastAsia" w:ascii="方正仿宋_GBK" w:hAnsi="宋体" w:eastAsia="方正仿宋_GBK"/>
          <w:color w:val="auto"/>
          <w:sz w:val="24"/>
          <w:highlight w:val="none"/>
        </w:rPr>
      </w:pPr>
      <w:r>
        <w:rPr>
          <w:rFonts w:hint="eastAsia" w:ascii="方正仿宋_GBK" w:hAnsi="宋体" w:eastAsia="方正仿宋_GBK"/>
          <w:color w:val="auto"/>
          <w:sz w:val="24"/>
          <w:highlight w:val="none"/>
        </w:rPr>
        <w:t>年   月   日</w:t>
      </w:r>
    </w:p>
    <w:p w14:paraId="7C1F866B">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被授权人电话：XXXXXXX     电子邮箱：XXXXXX@XXXXX（若法定代表人办理并签署响应文件的可不填写）</w:t>
      </w:r>
    </w:p>
    <w:p w14:paraId="6074A880">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注：</w:t>
      </w:r>
    </w:p>
    <w:p w14:paraId="76710ED6">
      <w:pPr>
        <w:tabs>
          <w:tab w:val="left" w:pos="6300"/>
        </w:tabs>
        <w:snapToGrid w:val="0"/>
        <w:spacing w:line="500" w:lineRule="exact"/>
        <w:ind w:right="480" w:firstLine="570"/>
        <w:jc w:val="left"/>
        <w:rPr>
          <w:rFonts w:hint="eastAsia" w:ascii="方正仿宋_GBK" w:hAnsi="仿宋" w:eastAsia="方正仿宋_GBK"/>
          <w:color w:val="auto"/>
          <w:sz w:val="24"/>
          <w:highlight w:val="none"/>
        </w:rPr>
      </w:pPr>
      <w:r>
        <w:rPr>
          <w:rFonts w:hint="eastAsia" w:ascii="方正仿宋_GBK" w:hAnsi="仿宋" w:eastAsia="方正仿宋_GBK"/>
          <w:color w:val="auto"/>
          <w:sz w:val="24"/>
          <w:highlight w:val="none"/>
        </w:rPr>
        <w:t>1.若为法定代表人办理并签署响应文件的，不提供此文件。</w:t>
      </w:r>
    </w:p>
    <w:p w14:paraId="6A532DDD">
      <w:pPr>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br w:type="page"/>
      </w:r>
    </w:p>
    <w:p w14:paraId="14135686">
      <w:pPr>
        <w:tabs>
          <w:tab w:val="left" w:pos="6300"/>
        </w:tabs>
        <w:snapToGrid w:val="0"/>
        <w:spacing w:line="500" w:lineRule="exact"/>
        <w:ind w:firstLine="57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（四）基本资格条件承诺函</w:t>
      </w:r>
    </w:p>
    <w:p w14:paraId="44EB00FC">
      <w:pPr>
        <w:jc w:val="center"/>
        <w:rPr>
          <w:rFonts w:hint="eastAsia" w:ascii="方正仿宋_GBK" w:hAnsi="方正仿宋_GBK" w:eastAsia="方正仿宋_GBK" w:cs="方正仿宋_GBK"/>
          <w:color w:val="auto"/>
          <w:highlight w:val="none"/>
        </w:rPr>
      </w:pPr>
      <w:r>
        <w:rPr>
          <w:rFonts w:hint="eastAsia" w:ascii="方正仿宋_GBK" w:hAnsi="方正仿宋_GBK" w:eastAsia="方正仿宋_GBK" w:cs="方正仿宋_GBK"/>
          <w:color w:val="auto"/>
          <w:highlight w:val="none"/>
        </w:rPr>
        <w:t>基本资格条件承诺函</w:t>
      </w:r>
    </w:p>
    <w:p w14:paraId="0691A721">
      <w:pPr>
        <w:tabs>
          <w:tab w:val="left" w:pos="6300"/>
        </w:tabs>
        <w:snapToGrid w:val="0"/>
        <w:spacing w:line="530" w:lineRule="exact"/>
        <w:rPr>
          <w:rFonts w:hint="eastAsia" w:ascii="方正仿宋_GBK" w:hAnsi="方正仿宋_GBK" w:eastAsia="方正仿宋_GBK" w:cs="方正仿宋_GBK"/>
          <w:color w:val="auto"/>
          <w:sz w:val="24"/>
          <w:highlight w:val="none"/>
        </w:rPr>
      </w:pPr>
    </w:p>
    <w:p w14:paraId="1CC55FD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致</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（采购代理机构名称）：</w:t>
      </w:r>
    </w:p>
    <w:p w14:paraId="5AF9FC64">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 xml:space="preserve">    </w:t>
      </w:r>
      <w:r>
        <w:rPr>
          <w:rFonts w:hint="eastAsia" w:ascii="方正仿宋_GBK" w:hAnsi="方正仿宋_GBK" w:eastAsia="方正仿宋_GBK" w:cs="方正仿宋_GBK"/>
          <w:color w:val="auto"/>
          <w:sz w:val="24"/>
          <w:highlight w:val="none"/>
          <w:u w:val="single"/>
        </w:rPr>
        <w:t xml:space="preserve">              </w:t>
      </w:r>
      <w:r>
        <w:rPr>
          <w:rFonts w:hint="eastAsia" w:ascii="方正仿宋_GBK" w:hAnsi="方正仿宋_GBK" w:eastAsia="方正仿宋_GBK" w:cs="方正仿宋_GBK"/>
          <w:color w:val="auto"/>
          <w:sz w:val="24"/>
          <w:highlight w:val="none"/>
        </w:rPr>
        <w:t>（供应商名称）郑重承诺：</w:t>
      </w:r>
    </w:p>
    <w:p w14:paraId="435460E5">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1.我方具有良好的商业信誉和健全的财务会计制度，具有履行合同所必需的设备和专业技术能力，具</w:t>
      </w:r>
      <w:r>
        <w:rPr>
          <w:rFonts w:hint="eastAsia" w:ascii="方正仿宋_GBK" w:hAnsi="方正仿宋_GBK" w:eastAsia="方正仿宋_GBK" w:cs="方正仿宋_GBK"/>
          <w:color w:val="auto"/>
          <w:sz w:val="24"/>
          <w:highlight w:val="none"/>
          <w:lang w:val="zh-CN"/>
        </w:rPr>
        <w:t>有依法缴纳税收和社会保障金的良好记录</w:t>
      </w:r>
      <w:r>
        <w:rPr>
          <w:rFonts w:hint="eastAsia" w:ascii="方正仿宋_GBK" w:hAnsi="方正仿宋_GBK" w:eastAsia="方正仿宋_GBK" w:cs="方正仿宋_GBK"/>
          <w:color w:val="auto"/>
          <w:sz w:val="24"/>
          <w:highlight w:val="none"/>
        </w:rPr>
        <w:t>，参加本项目采购活动前三年内无重大违法活动记录。</w:t>
      </w:r>
    </w:p>
    <w:p w14:paraId="1715FF7F">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2.我方未列入在信用中国网站（www.creditchina.gov.cn）“失信被执行人”、“重大税收违法案件当事人名单”中，也未列入中国政府采购网（www.ccgp.gov.cn）“政府采购严重违法失信行为记录名单”中。</w:t>
      </w:r>
    </w:p>
    <w:p w14:paraId="41F7577F">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3.我方在采购项目评审（评标）环节结束后，随时接受采购人、采购代理机构的检查验证，配合提供相关证明材料，证明符合《中华人民共和国政府采购法》规定的供应商基本资格条件。</w:t>
      </w:r>
    </w:p>
    <w:p w14:paraId="48E46AFE">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我方对以上承诺负全部法律责任。</w:t>
      </w:r>
    </w:p>
    <w:p w14:paraId="7DE97387">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特此承诺。</w:t>
      </w:r>
    </w:p>
    <w:p w14:paraId="0001F968">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rPr>
      </w:pPr>
    </w:p>
    <w:p w14:paraId="66C9CBE4">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（供应商公章）</w:t>
      </w:r>
    </w:p>
    <w:p w14:paraId="669FE41C">
      <w:pPr>
        <w:tabs>
          <w:tab w:val="left" w:pos="6300"/>
        </w:tabs>
        <w:snapToGrid w:val="0"/>
        <w:spacing w:line="500" w:lineRule="exact"/>
        <w:ind w:firstLine="480" w:firstLineChars="200"/>
        <w:jc w:val="right"/>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color w:val="auto"/>
          <w:sz w:val="24"/>
          <w:highlight w:val="none"/>
        </w:rPr>
        <w:t>年   月   日</w:t>
      </w:r>
    </w:p>
    <w:p w14:paraId="1EFEFEA9">
      <w:pPr>
        <w:snapToGrid w:val="0"/>
        <w:spacing w:line="440" w:lineRule="exact"/>
        <w:ind w:firstLine="480" w:firstLineChars="200"/>
        <w:rPr>
          <w:rFonts w:hint="eastAsia" w:ascii="方正仿宋_GBK" w:hAnsi="方正仿宋_GBK" w:eastAsia="方正仿宋_GBK" w:cs="方正仿宋_GBK"/>
          <w:color w:val="auto"/>
          <w:sz w:val="24"/>
          <w:szCs w:val="24"/>
          <w:highlight w:val="none"/>
        </w:rPr>
      </w:pPr>
    </w:p>
    <w:p w14:paraId="377C4FDE">
      <w:pPr>
        <w:spacing w:line="400" w:lineRule="exact"/>
        <w:rPr>
          <w:rFonts w:hint="eastAsia" w:ascii="方正仿宋_GBK" w:hAnsi="方正仿宋_GBK" w:eastAsia="方正仿宋_GBK" w:cs="方正仿宋_GBK"/>
          <w:color w:val="auto"/>
          <w:highlight w:val="none"/>
        </w:rPr>
      </w:pPr>
    </w:p>
    <w:p w14:paraId="3710D383">
      <w:pPr>
        <w:spacing w:line="400" w:lineRule="exact"/>
        <w:rPr>
          <w:rFonts w:hint="eastAsia" w:ascii="方正仿宋_GBK" w:hAnsi="方正仿宋_GBK" w:eastAsia="方正仿宋_GBK" w:cs="方正仿宋_GBK"/>
          <w:color w:val="auto"/>
          <w:highlight w:val="none"/>
        </w:rPr>
      </w:pPr>
    </w:p>
    <w:p w14:paraId="1B8F1698">
      <w:pPr>
        <w:spacing w:line="400" w:lineRule="exact"/>
        <w:rPr>
          <w:rFonts w:hint="eastAsia" w:ascii="方正仿宋_GBK" w:hAnsi="方正仿宋_GBK" w:eastAsia="方正仿宋_GBK" w:cs="方正仿宋_GBK"/>
          <w:color w:val="auto"/>
          <w:highlight w:val="none"/>
        </w:rPr>
      </w:pPr>
    </w:p>
    <w:p w14:paraId="5B627C11">
      <w:pPr>
        <w:spacing w:line="400" w:lineRule="exact"/>
        <w:rPr>
          <w:rFonts w:hint="eastAsia" w:ascii="方正仿宋_GBK" w:hAnsi="方正仿宋_GBK" w:eastAsia="方正仿宋_GBK" w:cs="方正仿宋_GBK"/>
          <w:color w:val="auto"/>
          <w:highlight w:val="none"/>
        </w:rPr>
      </w:pPr>
    </w:p>
    <w:p w14:paraId="6C3E7084">
      <w:pPr>
        <w:spacing w:line="400" w:lineRule="exact"/>
        <w:rPr>
          <w:rFonts w:hint="eastAsia" w:ascii="方正仿宋_GBK" w:hAnsi="方正仿宋_GBK" w:eastAsia="方正仿宋_GBK" w:cs="方正仿宋_GBK"/>
          <w:color w:val="auto"/>
          <w:highlight w:val="none"/>
        </w:rPr>
      </w:pPr>
    </w:p>
    <w:p w14:paraId="326F57B6">
      <w:pPr>
        <w:spacing w:line="400" w:lineRule="exact"/>
        <w:rPr>
          <w:rFonts w:hint="eastAsia" w:ascii="方正仿宋_GBK" w:hAnsi="方正仿宋_GBK" w:eastAsia="方正仿宋_GBK" w:cs="方正仿宋_GBK"/>
          <w:color w:val="auto"/>
          <w:highlight w:val="none"/>
        </w:rPr>
      </w:pPr>
    </w:p>
    <w:p w14:paraId="7484C059">
      <w:pPr>
        <w:spacing w:line="400" w:lineRule="exact"/>
        <w:rPr>
          <w:rFonts w:hint="eastAsia" w:ascii="方正仿宋_GBK" w:hAnsi="方正仿宋_GBK" w:eastAsia="方正仿宋_GBK" w:cs="方正仿宋_GBK"/>
          <w:color w:val="auto"/>
          <w:highlight w:val="none"/>
        </w:rPr>
      </w:pPr>
    </w:p>
    <w:p w14:paraId="23D4115E">
      <w:pPr>
        <w:spacing w:line="400" w:lineRule="exact"/>
        <w:rPr>
          <w:rFonts w:hint="eastAsia" w:ascii="方正仿宋_GBK" w:hAnsi="方正仿宋_GBK" w:eastAsia="方正仿宋_GBK" w:cs="方正仿宋_GBK"/>
          <w:color w:val="auto"/>
          <w:highlight w:val="none"/>
        </w:rPr>
      </w:pPr>
    </w:p>
    <w:p w14:paraId="19AB0084">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503F98BA">
      <w:pPr>
        <w:tabs>
          <w:tab w:val="left" w:pos="6300"/>
        </w:tabs>
        <w:snapToGrid w:val="0"/>
        <w:spacing w:line="500" w:lineRule="exact"/>
        <w:ind w:firstLine="480" w:firstLineChars="200"/>
        <w:rPr>
          <w:rFonts w:hint="eastAsia" w:ascii="方正仿宋_GBK" w:hAnsi="方正仿宋_GBK" w:eastAsia="方正仿宋_GBK" w:cs="方正仿宋_GBK"/>
          <w:color w:val="auto"/>
          <w:sz w:val="24"/>
          <w:szCs w:val="28"/>
          <w:highlight w:val="none"/>
        </w:rPr>
      </w:pPr>
    </w:p>
    <w:p w14:paraId="32D2EA11">
      <w:pPr>
        <w:tabs>
          <w:tab w:val="left" w:pos="6300"/>
        </w:tabs>
        <w:snapToGrid w:val="0"/>
        <w:spacing w:line="500" w:lineRule="exact"/>
        <w:ind w:firstLine="480" w:firstLineChars="200"/>
        <w:rPr>
          <w:rFonts w:hint="eastAsia" w:ascii="方正仿宋_GBK" w:hAnsi="方正仿宋_GBK" w:eastAsia="方正仿宋_GBK" w:cs="方正仿宋_GBK"/>
          <w:color w:val="auto"/>
          <w:sz w:val="24"/>
          <w:highlight w:val="none"/>
          <w:lang w:eastAsia="zh-CN"/>
        </w:rPr>
      </w:pPr>
      <w:r>
        <w:rPr>
          <w:rFonts w:hint="eastAsia" w:ascii="方正仿宋_GBK" w:hAnsi="方正仿宋_GBK" w:eastAsia="方正仿宋_GBK" w:cs="方正仿宋_GBK"/>
          <w:color w:val="auto"/>
          <w:sz w:val="24"/>
          <w:highlight w:val="none"/>
        </w:rPr>
        <w:t>（五）特定资格条件证书或证明文件</w:t>
      </w:r>
      <w:r>
        <w:rPr>
          <w:rFonts w:hint="eastAsia" w:ascii="方正仿宋_GBK" w:hAnsi="方正仿宋_GBK" w:eastAsia="方正仿宋_GBK" w:cs="方正仿宋_GBK"/>
          <w:color w:val="auto"/>
          <w:sz w:val="24"/>
          <w:highlight w:val="none"/>
          <w:lang w:eastAsia="zh-CN"/>
        </w:rPr>
        <w:t>（如果有）</w:t>
      </w:r>
    </w:p>
    <w:p w14:paraId="606A677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D111407">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33A46C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2DBA3269">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B2CB21F">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5CBA3024">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DD5CFF5">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E97E603">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645FCC3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A2B477B">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962152B">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2D30A82">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3546E8AE">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7C5931AD">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04D3AB38">
      <w:pPr>
        <w:tabs>
          <w:tab w:val="left" w:pos="6300"/>
        </w:tabs>
        <w:snapToGrid w:val="0"/>
        <w:spacing w:line="500" w:lineRule="exact"/>
        <w:ind w:firstLine="570"/>
        <w:jc w:val="left"/>
        <w:rPr>
          <w:rFonts w:hint="eastAsia" w:ascii="方正仿宋_GBK" w:hAnsi="方正仿宋_GBK" w:eastAsia="方正仿宋_GBK" w:cs="方正仿宋_GBK"/>
          <w:color w:val="auto"/>
          <w:sz w:val="24"/>
          <w:highlight w:val="none"/>
        </w:rPr>
      </w:pPr>
    </w:p>
    <w:p w14:paraId="475C3013">
      <w:pPr>
        <w:tabs>
          <w:tab w:val="left" w:pos="6300"/>
        </w:tabs>
        <w:snapToGrid w:val="0"/>
        <w:spacing w:line="500" w:lineRule="exact"/>
        <w:jc w:val="left"/>
        <w:rPr>
          <w:rFonts w:hint="eastAsia" w:ascii="方正仿宋_GBK" w:hAnsi="方正仿宋_GBK" w:eastAsia="方正仿宋_GBK" w:cs="方正仿宋_GBK"/>
          <w:color w:val="auto"/>
          <w:sz w:val="24"/>
          <w:highlight w:val="none"/>
        </w:rPr>
      </w:pPr>
    </w:p>
    <w:p w14:paraId="36AD339A">
      <w:pPr>
        <w:pStyle w:val="7"/>
        <w:jc w:val="center"/>
        <w:rPr>
          <w:color w:val="auto"/>
          <w:highlight w:val="none"/>
        </w:rPr>
      </w:pPr>
      <w:r>
        <w:rPr>
          <w:rFonts w:hint="eastAsia"/>
          <w:color w:val="auto"/>
          <w:highlight w:val="none"/>
        </w:rPr>
        <w:t>（结束）</w:t>
      </w:r>
    </w:p>
    <w:p w14:paraId="2DA16799">
      <w:pPr>
        <w:pStyle w:val="5"/>
        <w:ind w:left="560"/>
        <w:rPr>
          <w:rFonts w:hint="eastAsia" w:ascii="方正仿宋_GBK" w:hAnsi="方正仿宋_GBK" w:eastAsia="方正仿宋_GBK" w:cs="方正仿宋_GBK"/>
          <w:color w:val="auto"/>
          <w:sz w:val="24"/>
          <w:szCs w:val="24"/>
          <w:highlight w:val="none"/>
        </w:rPr>
      </w:pPr>
    </w:p>
    <w:p w14:paraId="24102B74">
      <w:pPr>
        <w:rPr>
          <w:rFonts w:hint="eastAsia" w:ascii="方正仿宋_GBK" w:hAnsi="方正仿宋_GBK" w:eastAsia="方正仿宋_GBK" w:cs="方正仿宋_GBK"/>
          <w:color w:val="auto"/>
          <w:sz w:val="24"/>
          <w:szCs w:val="24"/>
          <w:highlight w:val="none"/>
        </w:rPr>
      </w:pPr>
    </w:p>
    <w:p w14:paraId="1B5FD6F0">
      <w:pPr>
        <w:pStyle w:val="5"/>
        <w:ind w:left="560"/>
        <w:rPr>
          <w:rFonts w:hint="eastAsia" w:ascii="方正仿宋_GBK" w:hAnsi="方正仿宋_GBK" w:eastAsia="方正仿宋_GBK" w:cs="方正仿宋_GBK"/>
          <w:color w:val="auto"/>
          <w:sz w:val="24"/>
          <w:szCs w:val="24"/>
          <w:highlight w:val="none"/>
        </w:rPr>
      </w:pPr>
    </w:p>
    <w:p w14:paraId="46C567D7">
      <w:pPr>
        <w:rPr>
          <w:rFonts w:hint="eastAsia" w:ascii="方正仿宋_GBK" w:hAnsi="方正仿宋_GBK" w:eastAsia="方正仿宋_GBK" w:cs="方正仿宋_GBK"/>
          <w:color w:val="auto"/>
          <w:sz w:val="24"/>
          <w:szCs w:val="24"/>
          <w:highlight w:val="none"/>
        </w:rPr>
      </w:pPr>
    </w:p>
    <w:p w14:paraId="1E2D74DB">
      <w:pPr>
        <w:pStyle w:val="5"/>
        <w:ind w:left="560"/>
        <w:rPr>
          <w:rFonts w:hint="eastAsia" w:ascii="方正仿宋_GBK" w:hAnsi="方正仿宋_GBK" w:eastAsia="方正仿宋_GBK" w:cs="方正仿宋_GBK"/>
          <w:color w:val="auto"/>
          <w:sz w:val="24"/>
          <w:szCs w:val="24"/>
          <w:highlight w:val="none"/>
        </w:rPr>
      </w:pPr>
    </w:p>
    <w:p w14:paraId="50E8AF8D">
      <w:pPr>
        <w:rPr>
          <w:rFonts w:hint="eastAsia" w:ascii="方正仿宋_GBK" w:hAnsi="方正仿宋_GBK" w:eastAsia="方正仿宋_GBK" w:cs="方正仿宋_GBK"/>
          <w:color w:val="auto"/>
          <w:sz w:val="24"/>
          <w:szCs w:val="24"/>
          <w:highlight w:val="none"/>
        </w:rPr>
      </w:pPr>
    </w:p>
    <w:p w14:paraId="09A3A4B2">
      <w:pPr>
        <w:pStyle w:val="5"/>
        <w:ind w:left="560"/>
        <w:rPr>
          <w:rFonts w:hint="eastAsia" w:ascii="方正仿宋_GBK" w:hAnsi="方正仿宋_GBK" w:eastAsia="方正仿宋_GBK" w:cs="方正仿宋_GBK"/>
          <w:color w:val="auto"/>
          <w:sz w:val="24"/>
          <w:szCs w:val="24"/>
          <w:highlight w:val="none"/>
        </w:rPr>
      </w:pPr>
    </w:p>
    <w:p w14:paraId="65F1E66D">
      <w:pPr>
        <w:rPr>
          <w:rFonts w:hint="eastAsia" w:ascii="方正仿宋_GBK" w:hAnsi="方正仿宋_GBK" w:eastAsia="方正仿宋_GBK" w:cs="方正仿宋_GBK"/>
          <w:color w:val="auto"/>
          <w:sz w:val="24"/>
          <w:szCs w:val="24"/>
          <w:highlight w:val="none"/>
        </w:rPr>
      </w:pPr>
    </w:p>
    <w:sectPr>
      <w:headerReference r:id="rId10" w:type="default"/>
      <w:footerReference r:id="rId11" w:type="default"/>
      <w:pgSz w:w="11907" w:h="16840"/>
      <w:pgMar w:top="1134" w:right="1191" w:bottom="1134" w:left="1304" w:header="851" w:footer="992" w:gutter="0"/>
      <w:pgNumType w:fmt="decimal"/>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A332ED-4073-4BD2-AABA-B61E2C2C545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D9402890-6D2B-4047-AE3B-35DB409E6E9F}"/>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embedRegular r:id="rId3" w:fontKey="{E82A0880-C7B6-45ED-BBBF-D93707DF7BC1}"/>
  </w:font>
  <w:font w:name="Tahoma">
    <w:panose1 w:val="020B0604030504040204"/>
    <w:charset w:val="00"/>
    <w:family w:val="swiss"/>
    <w:pitch w:val="default"/>
    <w:sig w:usb0="E1002EFF" w:usb1="C000605B" w:usb2="00000029" w:usb3="00000000" w:csb0="200101FF" w:csb1="20280000"/>
  </w:font>
  <w:font w:name="MingLiU">
    <w:panose1 w:val="02020509000000000000"/>
    <w:charset w:val="88"/>
    <w:family w:val="modern"/>
    <w:pitch w:val="default"/>
    <w:sig w:usb0="A00002FF" w:usb1="28CFFCFA" w:usb2="00000016" w:usb3="00000000" w:csb0="00100001" w:csb1="00000000"/>
  </w:font>
  <w:font w:name="Gulim">
    <w:panose1 w:val="020B0600000101010101"/>
    <w:charset w:val="81"/>
    <w:family w:val="swiss"/>
    <w:pitch w:val="default"/>
    <w:sig w:usb0="B00002AF" w:usb1="69D77CFB" w:usb2="00000030" w:usb3="00000000" w:csb0="4008009F" w:csb1="DFD70000"/>
  </w:font>
  <w:font w:name="方正仿宋_GBK">
    <w:panose1 w:val="02000000000000000000"/>
    <w:charset w:val="86"/>
    <w:family w:val="auto"/>
    <w:pitch w:val="default"/>
    <w:sig w:usb0="A00002BF" w:usb1="38CF7CFA" w:usb2="00082016" w:usb3="00000000" w:csb0="00040001" w:csb1="00000000"/>
    <w:embedRegular r:id="rId4" w:fontKey="{D6BFA359-BC6C-4354-9BDF-E084E18B23F5}"/>
  </w:font>
  <w:font w:name="Times New Roman Regular">
    <w:altName w:val="Times New Roman"/>
    <w:panose1 w:val="00000000000000000000"/>
    <w:charset w:val="00"/>
    <w:family w:val="auto"/>
    <w:pitch w:val="default"/>
    <w:sig w:usb0="00000000" w:usb1="00000000" w:usb2="00000000" w:usb3="00000000" w:csb0="00040001" w:csb1="00000000"/>
    <w:embedRegular r:id="rId5" w:fontKey="{07677AEF-10C6-4DC7-8D65-B318F2F78339}"/>
  </w:font>
  <w:font w:name="方正小标宋_GBK">
    <w:panose1 w:val="03000509000000000000"/>
    <w:charset w:val="86"/>
    <w:family w:val="script"/>
    <w:pitch w:val="default"/>
    <w:sig w:usb0="00000001" w:usb1="080E0000" w:usb2="00000000" w:usb3="00000000" w:csb0="00040000" w:csb1="00000000"/>
    <w:embedRegular r:id="rId6" w:fontKey="{D793EBA0-5B13-4B1C-97DC-EE4B3CA3336F}"/>
  </w:font>
  <w:font w:name="微软雅黑">
    <w:panose1 w:val="020B0503020204020204"/>
    <w:charset w:val="86"/>
    <w:family w:val="swiss"/>
    <w:pitch w:val="default"/>
    <w:sig w:usb0="80000287" w:usb1="280F3C52" w:usb2="00000016" w:usb3="00000000" w:csb0="0004001F" w:csb1="00000000"/>
    <w:embedRegular r:id="rId7" w:fontKey="{1B795CFB-AFD6-499A-8328-2924DC06F15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F3F4D9">
    <w:pPr>
      <w:pStyle w:val="1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334394D">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334394D">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F3588">
    <w:pPr>
      <w:pStyle w:val="14"/>
      <w:framePr w:wrap="around" w:vAnchor="text" w:hAnchor="margin" w:xAlign="center" w:y="1"/>
      <w:rPr>
        <w:rStyle w:val="23"/>
      </w:rPr>
    </w:pPr>
    <w:r>
      <w:fldChar w:fldCharType="begin"/>
    </w:r>
    <w:r>
      <w:rPr>
        <w:rStyle w:val="23"/>
      </w:rPr>
      <w:instrText xml:space="preserve">PAGE  </w:instrText>
    </w:r>
    <w:r>
      <w:fldChar w:fldCharType="separate"/>
    </w:r>
    <w:r>
      <w:fldChar w:fldCharType="end"/>
    </w:r>
  </w:p>
  <w:p w14:paraId="30155A27">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29E96A">
    <w:pPr>
      <w:spacing w:line="235" w:lineRule="auto"/>
      <w:ind w:left="1005"/>
      <w:rPr>
        <w:rFonts w:ascii="宋体" w:hAnsi="宋体" w:eastAsia="宋体" w:cs="宋体"/>
        <w:sz w:val="31"/>
        <w:szCs w:val="31"/>
      </w:rPr>
    </w:pPr>
    <w:r>
      <w:rPr>
        <w:sz w:val="3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1DB791">
                          <w:pPr>
                            <w:pStyle w:val="14"/>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1DB791">
                    <w:pPr>
                      <w:pStyle w:val="14"/>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358A2A">
    <w:pPr>
      <w:spacing w:line="233" w:lineRule="auto"/>
      <w:ind w:left="11594"/>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58E446">
                          <w:pPr>
                            <w:pStyle w:val="14"/>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858E446">
                    <w:pPr>
                      <w:pStyle w:val="14"/>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8D41F">
    <w:pPr>
      <w:pStyle w:val="14"/>
      <w:jc w:val="center"/>
      <w:rPr>
        <w:rFonts w:ascii="宋体"/>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BA17F05">
                          <w:pPr>
                            <w:pStyle w:val="14"/>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2BA17F05">
                    <w:pPr>
                      <w:pStyle w:val="14"/>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8601B">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2FE793">
                          <w:pPr>
                            <w:pStyle w:val="14"/>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432FE793">
                    <w:pPr>
                      <w:pStyle w:val="14"/>
                    </w:pPr>
                    <w:r>
                      <w:fldChar w:fldCharType="begin"/>
                    </w:r>
                    <w:r>
                      <w:instrText xml:space="preserve"> PAGE  \* MERGEFORMAT </w:instrText>
                    </w:r>
                    <w:r>
                      <w:fldChar w:fldCharType="separate"/>
                    </w:r>
                    <w:r>
                      <w:t>31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AD0DA">
    <w:pPr>
      <w:pStyle w:val="15"/>
      <w:jc w:val="left"/>
      <w:rPr>
        <w:b/>
        <w:bCs/>
      </w:rPr>
    </w:pPr>
    <w:r>
      <w:rPr>
        <w:rFonts w:hint="eastAsia" w:ascii="仿宋" w:hAnsi="仿宋" w:eastAsia="仿宋" w:cs="宋体"/>
        <w:b/>
        <w:bCs/>
      </w:rPr>
      <w:t>重庆璟浩工程咨询有限公司                                                          竞采文件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D4E3D">
    <w:pPr>
      <w:pStyle w:val="15"/>
    </w:pPr>
    <w:r>
      <w:rPr>
        <w:rFonts w:hint="eastAsia" w:ascii="仿宋" w:hAnsi="仿宋" w:eastAsia="仿宋" w:cs="宋体"/>
        <w:b/>
        <w:bCs/>
      </w:rPr>
      <w:t>重庆璟浩工程咨询有限公司                                                                        竞采文件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67483B">
    <w:pPr>
      <w:pStyle w:val="15"/>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604AC8"/>
    <w:multiLevelType w:val="singleLevel"/>
    <w:tmpl w:val="D4604AC8"/>
    <w:lvl w:ilvl="0" w:tentative="0">
      <w:start w:val="1"/>
      <w:numFmt w:val="chineseCounting"/>
      <w:suff w:val="nothing"/>
      <w:lvlText w:val="（%1）"/>
      <w:lvlJc w:val="left"/>
      <w:rPr>
        <w:rFonts w:hint="eastAsia"/>
      </w:rPr>
    </w:lvl>
  </w:abstractNum>
  <w:abstractNum w:abstractNumId="1">
    <w:nsid w:val="483CD81B"/>
    <w:multiLevelType w:val="singleLevel"/>
    <w:tmpl w:val="483CD81B"/>
    <w:lvl w:ilvl="0" w:tentative="0">
      <w:start w:val="2"/>
      <w:numFmt w:val="chineseCounting"/>
      <w:suff w:val="nothing"/>
      <w:lvlText w:val="%1、"/>
      <w:lvlJc w:val="left"/>
      <w:rPr>
        <w:rFonts w:hint="eastAsia"/>
      </w:rPr>
    </w:lvl>
  </w:abstractNum>
  <w:abstractNum w:abstractNumId="2">
    <w:nsid w:val="5A272F86"/>
    <w:multiLevelType w:val="singleLevel"/>
    <w:tmpl w:val="5A272F86"/>
    <w:lvl w:ilvl="0" w:tentative="0">
      <w:start w:val="2"/>
      <w:numFmt w:val="chineseCounting"/>
      <w:suff w:val="nothing"/>
      <w:lvlText w:val="（%1）"/>
      <w:lvlJc w:val="left"/>
      <w:rPr>
        <w:rFonts w:hint="eastAsia"/>
      </w:rPr>
    </w:lvl>
  </w:abstractNum>
  <w:abstractNum w:abstractNumId="3">
    <w:nsid w:val="64F7617D"/>
    <w:multiLevelType w:val="singleLevel"/>
    <w:tmpl w:val="64F7617D"/>
    <w:lvl w:ilvl="0" w:tentative="0">
      <w:start w:val="1"/>
      <w:numFmt w:val="chineseCounting"/>
      <w:suff w:val="nothing"/>
      <w:lvlText w:val="%1、"/>
      <w:lvlJc w:val="left"/>
      <w:rPr>
        <w:rFonts w:hint="eastAsia"/>
      </w:rPr>
    </w:lvl>
  </w:abstractNum>
  <w:abstractNum w:abstractNumId="4">
    <w:nsid w:val="7D764751"/>
    <w:multiLevelType w:val="singleLevel"/>
    <w:tmpl w:val="7D764751"/>
    <w:lvl w:ilvl="0" w:tentative="0">
      <w:start w:val="3"/>
      <w:numFmt w:val="chineseCounting"/>
      <w:suff w:val="space"/>
      <w:lvlText w:val="第%1篇"/>
      <w:lvlJc w:val="left"/>
      <w:rPr>
        <w:rFonts w:hint="eastAsia"/>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ZiYTZkNGJmMjBkY2RjNTc3YjVmNDYxZjQwN2ZlMWUifQ=="/>
  </w:docVars>
  <w:rsids>
    <w:rsidRoot w:val="4DEF5E83"/>
    <w:rsid w:val="001C0BF9"/>
    <w:rsid w:val="00214EA5"/>
    <w:rsid w:val="002A0829"/>
    <w:rsid w:val="003229F9"/>
    <w:rsid w:val="00511C50"/>
    <w:rsid w:val="00817A62"/>
    <w:rsid w:val="009314F6"/>
    <w:rsid w:val="00A241E2"/>
    <w:rsid w:val="00AB27B8"/>
    <w:rsid w:val="00D54920"/>
    <w:rsid w:val="00F941FA"/>
    <w:rsid w:val="010131A7"/>
    <w:rsid w:val="016A6B09"/>
    <w:rsid w:val="01782C45"/>
    <w:rsid w:val="01B87D5F"/>
    <w:rsid w:val="02D20C1F"/>
    <w:rsid w:val="02FC6AF6"/>
    <w:rsid w:val="032D4760"/>
    <w:rsid w:val="0333432F"/>
    <w:rsid w:val="036412FD"/>
    <w:rsid w:val="036C5C5C"/>
    <w:rsid w:val="037E30D1"/>
    <w:rsid w:val="038500F8"/>
    <w:rsid w:val="03A70F25"/>
    <w:rsid w:val="03AC20C9"/>
    <w:rsid w:val="04223B99"/>
    <w:rsid w:val="042E69E2"/>
    <w:rsid w:val="04D85F23"/>
    <w:rsid w:val="050414F1"/>
    <w:rsid w:val="05290F57"/>
    <w:rsid w:val="05467D5B"/>
    <w:rsid w:val="05654685"/>
    <w:rsid w:val="056E4905"/>
    <w:rsid w:val="057332A8"/>
    <w:rsid w:val="05AE345A"/>
    <w:rsid w:val="05E55DDC"/>
    <w:rsid w:val="06A32425"/>
    <w:rsid w:val="06B70870"/>
    <w:rsid w:val="06F34B4B"/>
    <w:rsid w:val="072349EF"/>
    <w:rsid w:val="07697D31"/>
    <w:rsid w:val="07A44B7C"/>
    <w:rsid w:val="07B15B08"/>
    <w:rsid w:val="07B471FE"/>
    <w:rsid w:val="08092730"/>
    <w:rsid w:val="098324D2"/>
    <w:rsid w:val="0AEF67D4"/>
    <w:rsid w:val="0C770FC2"/>
    <w:rsid w:val="0C9910B8"/>
    <w:rsid w:val="0CB63DBF"/>
    <w:rsid w:val="0CF32576"/>
    <w:rsid w:val="0D057EFC"/>
    <w:rsid w:val="0D1F2DFE"/>
    <w:rsid w:val="0D8A776F"/>
    <w:rsid w:val="0E715230"/>
    <w:rsid w:val="0FDC6129"/>
    <w:rsid w:val="101C58C4"/>
    <w:rsid w:val="102B7629"/>
    <w:rsid w:val="105C48D7"/>
    <w:rsid w:val="106877E7"/>
    <w:rsid w:val="10AA3894"/>
    <w:rsid w:val="116544B1"/>
    <w:rsid w:val="11751EFC"/>
    <w:rsid w:val="13276B00"/>
    <w:rsid w:val="13540CE3"/>
    <w:rsid w:val="13936861"/>
    <w:rsid w:val="13FF7A53"/>
    <w:rsid w:val="14217A06"/>
    <w:rsid w:val="14997EA7"/>
    <w:rsid w:val="14AE0CDA"/>
    <w:rsid w:val="15211C4B"/>
    <w:rsid w:val="15344EF4"/>
    <w:rsid w:val="15770AE8"/>
    <w:rsid w:val="160A5D40"/>
    <w:rsid w:val="17340E19"/>
    <w:rsid w:val="17C3201F"/>
    <w:rsid w:val="18694035"/>
    <w:rsid w:val="19212219"/>
    <w:rsid w:val="1957287E"/>
    <w:rsid w:val="1960032A"/>
    <w:rsid w:val="19667E4D"/>
    <w:rsid w:val="198F3F13"/>
    <w:rsid w:val="19A80DC9"/>
    <w:rsid w:val="1A2D1FED"/>
    <w:rsid w:val="1A653468"/>
    <w:rsid w:val="1ABD5F72"/>
    <w:rsid w:val="1B8934C7"/>
    <w:rsid w:val="1BB6167F"/>
    <w:rsid w:val="1BCB46BE"/>
    <w:rsid w:val="1C367B36"/>
    <w:rsid w:val="1C4865E5"/>
    <w:rsid w:val="1C8B4B07"/>
    <w:rsid w:val="1C9D13F9"/>
    <w:rsid w:val="1CD048C1"/>
    <w:rsid w:val="1D6B7F07"/>
    <w:rsid w:val="1D92358E"/>
    <w:rsid w:val="1D925B8A"/>
    <w:rsid w:val="1DB216A4"/>
    <w:rsid w:val="1E2B7565"/>
    <w:rsid w:val="1EB308A5"/>
    <w:rsid w:val="1F5D7D23"/>
    <w:rsid w:val="1F7405B1"/>
    <w:rsid w:val="203C379F"/>
    <w:rsid w:val="21224D81"/>
    <w:rsid w:val="219D08AB"/>
    <w:rsid w:val="21E12896"/>
    <w:rsid w:val="22155FAB"/>
    <w:rsid w:val="224C26E2"/>
    <w:rsid w:val="225856E4"/>
    <w:rsid w:val="22A22F34"/>
    <w:rsid w:val="22A63C2D"/>
    <w:rsid w:val="22C562CD"/>
    <w:rsid w:val="22F0182A"/>
    <w:rsid w:val="231B7B7A"/>
    <w:rsid w:val="232C638A"/>
    <w:rsid w:val="236723EA"/>
    <w:rsid w:val="23897339"/>
    <w:rsid w:val="24912949"/>
    <w:rsid w:val="24AA7567"/>
    <w:rsid w:val="25094B3F"/>
    <w:rsid w:val="258242A3"/>
    <w:rsid w:val="25893620"/>
    <w:rsid w:val="2641067D"/>
    <w:rsid w:val="26AB7B5B"/>
    <w:rsid w:val="26C93665"/>
    <w:rsid w:val="26F70B82"/>
    <w:rsid w:val="27147861"/>
    <w:rsid w:val="27637EA1"/>
    <w:rsid w:val="27764078"/>
    <w:rsid w:val="27B9485D"/>
    <w:rsid w:val="27BF5BC8"/>
    <w:rsid w:val="28171FD2"/>
    <w:rsid w:val="2899437D"/>
    <w:rsid w:val="28D406FC"/>
    <w:rsid w:val="28DF032D"/>
    <w:rsid w:val="296D59A0"/>
    <w:rsid w:val="29702FAD"/>
    <w:rsid w:val="2AE05372"/>
    <w:rsid w:val="2B326508"/>
    <w:rsid w:val="2B6709C4"/>
    <w:rsid w:val="2BBF53D5"/>
    <w:rsid w:val="2BD650E5"/>
    <w:rsid w:val="2C3F32B8"/>
    <w:rsid w:val="2C992537"/>
    <w:rsid w:val="2CAA24D4"/>
    <w:rsid w:val="2CDF21B9"/>
    <w:rsid w:val="2CFE2B46"/>
    <w:rsid w:val="2DB92430"/>
    <w:rsid w:val="2E132621"/>
    <w:rsid w:val="2E5D1AEE"/>
    <w:rsid w:val="2EC93486"/>
    <w:rsid w:val="2F454A5C"/>
    <w:rsid w:val="30E005E5"/>
    <w:rsid w:val="31D41AA5"/>
    <w:rsid w:val="31F43B9D"/>
    <w:rsid w:val="32676A97"/>
    <w:rsid w:val="3268462F"/>
    <w:rsid w:val="3272322F"/>
    <w:rsid w:val="328F34B6"/>
    <w:rsid w:val="32B011BC"/>
    <w:rsid w:val="33521A86"/>
    <w:rsid w:val="35011425"/>
    <w:rsid w:val="353A4937"/>
    <w:rsid w:val="3547648D"/>
    <w:rsid w:val="356544C7"/>
    <w:rsid w:val="35771216"/>
    <w:rsid w:val="35987B8D"/>
    <w:rsid w:val="35CD46D8"/>
    <w:rsid w:val="363520FB"/>
    <w:rsid w:val="367139CE"/>
    <w:rsid w:val="36D36DF1"/>
    <w:rsid w:val="3789228D"/>
    <w:rsid w:val="37A24350"/>
    <w:rsid w:val="37FD732F"/>
    <w:rsid w:val="38BE37BC"/>
    <w:rsid w:val="39451F9F"/>
    <w:rsid w:val="39704576"/>
    <w:rsid w:val="3979525D"/>
    <w:rsid w:val="39A24859"/>
    <w:rsid w:val="39C37F20"/>
    <w:rsid w:val="3AAF3477"/>
    <w:rsid w:val="3AB160D5"/>
    <w:rsid w:val="3B05510A"/>
    <w:rsid w:val="3B31058A"/>
    <w:rsid w:val="3BD864DE"/>
    <w:rsid w:val="3BFD113E"/>
    <w:rsid w:val="3C1926A8"/>
    <w:rsid w:val="3C2A6D55"/>
    <w:rsid w:val="3CA040CD"/>
    <w:rsid w:val="3D6E2D89"/>
    <w:rsid w:val="3D753879"/>
    <w:rsid w:val="3D7D2A20"/>
    <w:rsid w:val="3DBE08A9"/>
    <w:rsid w:val="3E377B2F"/>
    <w:rsid w:val="3E9A0C6C"/>
    <w:rsid w:val="3EBB3C2C"/>
    <w:rsid w:val="3EF0645B"/>
    <w:rsid w:val="3FA550A3"/>
    <w:rsid w:val="3FB026E8"/>
    <w:rsid w:val="3FE91433"/>
    <w:rsid w:val="404A3285"/>
    <w:rsid w:val="40694082"/>
    <w:rsid w:val="41087697"/>
    <w:rsid w:val="41417280"/>
    <w:rsid w:val="41684B4C"/>
    <w:rsid w:val="41744D2D"/>
    <w:rsid w:val="419F6289"/>
    <w:rsid w:val="41AB652E"/>
    <w:rsid w:val="42825A3B"/>
    <w:rsid w:val="42FC4EA8"/>
    <w:rsid w:val="432E655F"/>
    <w:rsid w:val="43C747E9"/>
    <w:rsid w:val="43FA7557"/>
    <w:rsid w:val="447A7C06"/>
    <w:rsid w:val="46155B08"/>
    <w:rsid w:val="46192347"/>
    <w:rsid w:val="46357180"/>
    <w:rsid w:val="468679DC"/>
    <w:rsid w:val="46B3312C"/>
    <w:rsid w:val="47216284"/>
    <w:rsid w:val="479B6000"/>
    <w:rsid w:val="49027FE8"/>
    <w:rsid w:val="49CA74E0"/>
    <w:rsid w:val="49E369F5"/>
    <w:rsid w:val="4AC93198"/>
    <w:rsid w:val="4B3F63AB"/>
    <w:rsid w:val="4B594059"/>
    <w:rsid w:val="4BCA6B34"/>
    <w:rsid w:val="4BD1512D"/>
    <w:rsid w:val="4C670DF0"/>
    <w:rsid w:val="4C770C39"/>
    <w:rsid w:val="4C8C608C"/>
    <w:rsid w:val="4D0104F9"/>
    <w:rsid w:val="4D0F047A"/>
    <w:rsid w:val="4D5819A6"/>
    <w:rsid w:val="4DEF5E83"/>
    <w:rsid w:val="4E3A10AC"/>
    <w:rsid w:val="4F046A5D"/>
    <w:rsid w:val="4F0516BA"/>
    <w:rsid w:val="4F977F9F"/>
    <w:rsid w:val="4FD322A6"/>
    <w:rsid w:val="4FE45692"/>
    <w:rsid w:val="5038161B"/>
    <w:rsid w:val="504852D5"/>
    <w:rsid w:val="50690566"/>
    <w:rsid w:val="509C153C"/>
    <w:rsid w:val="50ED2F48"/>
    <w:rsid w:val="514744C0"/>
    <w:rsid w:val="5186459D"/>
    <w:rsid w:val="51C75820"/>
    <w:rsid w:val="51E93115"/>
    <w:rsid w:val="51EB103B"/>
    <w:rsid w:val="51FF6894"/>
    <w:rsid w:val="525C5004"/>
    <w:rsid w:val="52AB07CA"/>
    <w:rsid w:val="52B775E1"/>
    <w:rsid w:val="52FD2E8D"/>
    <w:rsid w:val="531130E7"/>
    <w:rsid w:val="53180B34"/>
    <w:rsid w:val="531A4192"/>
    <w:rsid w:val="535A7887"/>
    <w:rsid w:val="53B84F4D"/>
    <w:rsid w:val="53CD66E0"/>
    <w:rsid w:val="54001B3E"/>
    <w:rsid w:val="54700DD8"/>
    <w:rsid w:val="54703A7A"/>
    <w:rsid w:val="548062A4"/>
    <w:rsid w:val="55CB16B9"/>
    <w:rsid w:val="55DE6D3A"/>
    <w:rsid w:val="566F1192"/>
    <w:rsid w:val="56A54175"/>
    <w:rsid w:val="56C836F9"/>
    <w:rsid w:val="56F800AF"/>
    <w:rsid w:val="570858F2"/>
    <w:rsid w:val="57C230D5"/>
    <w:rsid w:val="57DC0F5F"/>
    <w:rsid w:val="588C08D1"/>
    <w:rsid w:val="58D33F9D"/>
    <w:rsid w:val="594D6182"/>
    <w:rsid w:val="59561490"/>
    <w:rsid w:val="5A180D4E"/>
    <w:rsid w:val="5AC056CA"/>
    <w:rsid w:val="5B256394"/>
    <w:rsid w:val="5B5B4F5B"/>
    <w:rsid w:val="5B8F3C7E"/>
    <w:rsid w:val="5C5251DF"/>
    <w:rsid w:val="5CB62EC5"/>
    <w:rsid w:val="5D725FF1"/>
    <w:rsid w:val="5D8B36D2"/>
    <w:rsid w:val="5DFE04B3"/>
    <w:rsid w:val="5E4075E5"/>
    <w:rsid w:val="5EE93CAC"/>
    <w:rsid w:val="5F1F0576"/>
    <w:rsid w:val="5F30231F"/>
    <w:rsid w:val="5F506A56"/>
    <w:rsid w:val="5F97237B"/>
    <w:rsid w:val="5FE536D5"/>
    <w:rsid w:val="5FEB66AA"/>
    <w:rsid w:val="600773E4"/>
    <w:rsid w:val="614F3918"/>
    <w:rsid w:val="61515E49"/>
    <w:rsid w:val="6232470C"/>
    <w:rsid w:val="634E31D8"/>
    <w:rsid w:val="63B72157"/>
    <w:rsid w:val="64370110"/>
    <w:rsid w:val="643B5584"/>
    <w:rsid w:val="64567B35"/>
    <w:rsid w:val="645C744A"/>
    <w:rsid w:val="64610CE9"/>
    <w:rsid w:val="64B41760"/>
    <w:rsid w:val="65512720"/>
    <w:rsid w:val="65F06D2C"/>
    <w:rsid w:val="66646CC6"/>
    <w:rsid w:val="66BB2590"/>
    <w:rsid w:val="66E203D8"/>
    <w:rsid w:val="670859D2"/>
    <w:rsid w:val="671B7922"/>
    <w:rsid w:val="672A74A7"/>
    <w:rsid w:val="677F153E"/>
    <w:rsid w:val="67A07E5F"/>
    <w:rsid w:val="6813679E"/>
    <w:rsid w:val="690946BA"/>
    <w:rsid w:val="696F3EA8"/>
    <w:rsid w:val="6AE04B74"/>
    <w:rsid w:val="6AF01C56"/>
    <w:rsid w:val="6B272C8C"/>
    <w:rsid w:val="6C710B23"/>
    <w:rsid w:val="6C9D7D69"/>
    <w:rsid w:val="6CEB1A97"/>
    <w:rsid w:val="6D17288C"/>
    <w:rsid w:val="6D396CA7"/>
    <w:rsid w:val="6D6230BC"/>
    <w:rsid w:val="6E1E4550"/>
    <w:rsid w:val="6EAD3978"/>
    <w:rsid w:val="6ECE2FB7"/>
    <w:rsid w:val="6F443096"/>
    <w:rsid w:val="6F5778B8"/>
    <w:rsid w:val="6F5A6401"/>
    <w:rsid w:val="700C662F"/>
    <w:rsid w:val="704E0CBB"/>
    <w:rsid w:val="70D21129"/>
    <w:rsid w:val="70E51287"/>
    <w:rsid w:val="71557AF1"/>
    <w:rsid w:val="71780AA4"/>
    <w:rsid w:val="72A46970"/>
    <w:rsid w:val="72B83205"/>
    <w:rsid w:val="73835A79"/>
    <w:rsid w:val="74542618"/>
    <w:rsid w:val="74A569D0"/>
    <w:rsid w:val="74FD0F42"/>
    <w:rsid w:val="74FD4A5E"/>
    <w:rsid w:val="75D32535"/>
    <w:rsid w:val="75F05AFC"/>
    <w:rsid w:val="762878B8"/>
    <w:rsid w:val="76877F5D"/>
    <w:rsid w:val="768B3D56"/>
    <w:rsid w:val="76C01EF0"/>
    <w:rsid w:val="774C5829"/>
    <w:rsid w:val="777110D9"/>
    <w:rsid w:val="77C11D73"/>
    <w:rsid w:val="791553F6"/>
    <w:rsid w:val="799B1910"/>
    <w:rsid w:val="79B44B41"/>
    <w:rsid w:val="7A024B57"/>
    <w:rsid w:val="7A373298"/>
    <w:rsid w:val="7A41363F"/>
    <w:rsid w:val="7A542AC5"/>
    <w:rsid w:val="7AB61F4E"/>
    <w:rsid w:val="7B5628D6"/>
    <w:rsid w:val="7B721153"/>
    <w:rsid w:val="7B826770"/>
    <w:rsid w:val="7C025669"/>
    <w:rsid w:val="7C030480"/>
    <w:rsid w:val="7C331A1A"/>
    <w:rsid w:val="7C4C02E1"/>
    <w:rsid w:val="7C59694A"/>
    <w:rsid w:val="7C76543A"/>
    <w:rsid w:val="7C7D2A53"/>
    <w:rsid w:val="7DD926ED"/>
    <w:rsid w:val="7EC41BEB"/>
    <w:rsid w:val="7ED21848"/>
    <w:rsid w:val="7EE534A5"/>
    <w:rsid w:val="7F0B3EEA"/>
    <w:rsid w:val="7F437DBC"/>
    <w:rsid w:val="7F9B153D"/>
    <w:rsid w:val="7FFD3B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qFormat="1" w:unhideWhenUsed="0" w:uiPriority="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autoRedefine/>
    <w:qFormat/>
    <w:uiPriority w:val="0"/>
    <w:pPr>
      <w:keepNext/>
      <w:keepLines/>
      <w:spacing w:before="260" w:after="260" w:line="413" w:lineRule="auto"/>
      <w:outlineLvl w:val="2"/>
    </w:pPr>
    <w:rPr>
      <w:b/>
      <w:sz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annotation text"/>
    <w:basedOn w:val="1"/>
    <w:qFormat/>
    <w:uiPriority w:val="0"/>
    <w:pPr>
      <w:jc w:val="left"/>
    </w:pPr>
  </w:style>
  <w:style w:type="paragraph" w:styleId="7">
    <w:name w:val="Body Text"/>
    <w:basedOn w:val="1"/>
    <w:autoRedefine/>
    <w:qFormat/>
    <w:uiPriority w:val="0"/>
    <w:rPr>
      <w:rFonts w:ascii="仿宋_GB2312" w:eastAsia="仿宋_GB2312"/>
      <w:sz w:val="32"/>
    </w:rPr>
  </w:style>
  <w:style w:type="paragraph" w:styleId="8">
    <w:name w:val="Body Text Indent"/>
    <w:basedOn w:val="1"/>
    <w:autoRedefine/>
    <w:qFormat/>
    <w:uiPriority w:val="0"/>
    <w:pPr>
      <w:spacing w:line="700" w:lineRule="exact"/>
      <w:ind w:left="960"/>
    </w:pPr>
    <w:rPr>
      <w:sz w:val="44"/>
    </w:rPr>
  </w:style>
  <w:style w:type="paragraph" w:styleId="9">
    <w:name w:val="Block Text"/>
    <w:basedOn w:val="1"/>
    <w:autoRedefine/>
    <w:qFormat/>
    <w:uiPriority w:val="0"/>
    <w:pPr>
      <w:autoSpaceDE w:val="0"/>
      <w:autoSpaceDN w:val="0"/>
      <w:adjustRightInd w:val="0"/>
      <w:spacing w:line="1270" w:lineRule="exact"/>
      <w:ind w:left="2160" w:right="-20" w:hanging="2160" w:hangingChars="300"/>
      <w:jc w:val="left"/>
    </w:pPr>
    <w:rPr>
      <w:rFonts w:eastAsia="仿宋_GB2312"/>
      <w:sz w:val="72"/>
      <w:szCs w:val="24"/>
    </w:rPr>
  </w:style>
  <w:style w:type="paragraph" w:styleId="10">
    <w:name w:val="toc 3"/>
    <w:basedOn w:val="1"/>
    <w:next w:val="1"/>
    <w:qFormat/>
    <w:uiPriority w:val="0"/>
    <w:pPr>
      <w:ind w:left="840" w:leftChars="400"/>
    </w:pPr>
  </w:style>
  <w:style w:type="paragraph" w:styleId="11">
    <w:name w:val="Plain Text"/>
    <w:basedOn w:val="1"/>
    <w:qFormat/>
    <w:uiPriority w:val="0"/>
    <w:pPr>
      <w:adjustRightInd w:val="0"/>
      <w:snapToGrid w:val="0"/>
      <w:spacing w:line="360" w:lineRule="auto"/>
      <w:jc w:val="left"/>
    </w:pPr>
    <w:rPr>
      <w:rFonts w:ascii="宋体" w:hAnsi="Courier New" w:eastAsia="Times New Roman"/>
      <w:color w:val="000000"/>
      <w:kern w:val="0"/>
      <w:lang w:eastAsia="en-US" w:bidi="en-US"/>
    </w:rPr>
  </w:style>
  <w:style w:type="paragraph" w:styleId="12">
    <w:name w:val="Date"/>
    <w:basedOn w:val="1"/>
    <w:next w:val="1"/>
    <w:autoRedefine/>
    <w:qFormat/>
    <w:uiPriority w:val="0"/>
  </w:style>
  <w:style w:type="paragraph" w:styleId="13">
    <w:name w:val="Body Text Indent 2"/>
    <w:basedOn w:val="1"/>
    <w:autoRedefine/>
    <w:qFormat/>
    <w:uiPriority w:val="0"/>
    <w:pPr>
      <w:snapToGrid w:val="0"/>
      <w:spacing w:line="560" w:lineRule="atLeast"/>
      <w:ind w:firstLine="540"/>
    </w:pPr>
  </w:style>
  <w:style w:type="paragraph" w:styleId="14">
    <w:name w:val="footer"/>
    <w:basedOn w:val="1"/>
    <w:autoRedefine/>
    <w:qFormat/>
    <w:uiPriority w:val="0"/>
    <w:pPr>
      <w:tabs>
        <w:tab w:val="center" w:pos="4153"/>
        <w:tab w:val="right" w:pos="8306"/>
      </w:tabs>
      <w:snapToGrid w:val="0"/>
      <w:jc w:val="left"/>
    </w:pPr>
    <w:rPr>
      <w:sz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rPr>
  </w:style>
  <w:style w:type="paragraph" w:styleId="16">
    <w:name w:val="toc 1"/>
    <w:basedOn w:val="1"/>
    <w:next w:val="1"/>
    <w:autoRedefine/>
    <w:qFormat/>
    <w:uiPriority w:val="0"/>
    <w:pPr>
      <w:spacing w:line="180" w:lineRule="auto"/>
      <w:jc w:val="center"/>
    </w:pPr>
    <w:rPr>
      <w:sz w:val="30"/>
    </w:rPr>
  </w:style>
  <w:style w:type="paragraph" w:styleId="17">
    <w:name w:val="List"/>
    <w:basedOn w:val="1"/>
    <w:autoRedefine/>
    <w:semiHidden/>
    <w:qFormat/>
    <w:uiPriority w:val="0"/>
    <w:pPr>
      <w:ind w:left="200" w:hanging="200" w:hangingChars="200"/>
    </w:pPr>
  </w:style>
  <w:style w:type="paragraph" w:styleId="18">
    <w:name w:val="toc 2"/>
    <w:basedOn w:val="1"/>
    <w:next w:val="1"/>
    <w:qFormat/>
    <w:uiPriority w:val="0"/>
    <w:pPr>
      <w:ind w:left="420" w:leftChars="200"/>
    </w:pPr>
  </w:style>
  <w:style w:type="paragraph" w:styleId="19">
    <w:name w:val="Body Text First Indent 2"/>
    <w:basedOn w:val="8"/>
    <w:next w:val="1"/>
    <w:qFormat/>
    <w:uiPriority w:val="0"/>
    <w:pPr>
      <w:spacing w:after="120" w:line="240" w:lineRule="auto"/>
      <w:ind w:left="420" w:leftChars="200" w:firstLine="420" w:firstLineChars="200"/>
    </w:pPr>
  </w:style>
  <w:style w:type="table" w:styleId="21">
    <w:name w:val="Table Grid"/>
    <w:basedOn w:val="2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autoRedefine/>
    <w:qFormat/>
    <w:uiPriority w:val="0"/>
  </w:style>
  <w:style w:type="character" w:styleId="24">
    <w:name w:val="Hyperlink"/>
    <w:basedOn w:val="22"/>
    <w:autoRedefine/>
    <w:qFormat/>
    <w:uiPriority w:val="0"/>
    <w:rPr>
      <w:color w:val="0000FF"/>
      <w:u w:val="single"/>
    </w:rPr>
  </w:style>
  <w:style w:type="paragraph" w:customStyle="1" w:styleId="25">
    <w:name w:val="图例"/>
    <w:basedOn w:val="1"/>
    <w:autoRedefine/>
    <w:qFormat/>
    <w:uiPriority w:val="0"/>
    <w:pPr>
      <w:spacing w:before="120" w:after="120" w:line="360" w:lineRule="auto"/>
      <w:jc w:val="center"/>
    </w:pPr>
    <w:rPr>
      <w:rFonts w:eastAsia="仿宋_GB2312"/>
      <w:b/>
      <w:sz w:val="24"/>
    </w:rPr>
  </w:style>
  <w:style w:type="paragraph" w:customStyle="1" w:styleId="26">
    <w:name w:val="电建正文"/>
    <w:basedOn w:val="27"/>
    <w:autoRedefine/>
    <w:qFormat/>
    <w:uiPriority w:val="0"/>
    <w:pPr>
      <w:tabs>
        <w:tab w:val="left" w:pos="720"/>
      </w:tabs>
      <w:spacing w:line="360" w:lineRule="auto"/>
      <w:ind w:firstLine="200" w:firstLineChars="200"/>
    </w:pPr>
    <w:rPr>
      <w:rFonts w:ascii="Tahoma" w:hAnsi="Tahoma"/>
      <w:sz w:val="24"/>
    </w:rPr>
  </w:style>
  <w:style w:type="paragraph" w:customStyle="1" w:styleId="27">
    <w:name w:val="List First"/>
    <w:basedOn w:val="17"/>
    <w:next w:val="17"/>
    <w:autoRedefine/>
    <w:qFormat/>
    <w:uiPriority w:val="0"/>
    <w:pPr>
      <w:widowControl/>
      <w:tabs>
        <w:tab w:val="left" w:pos="720"/>
      </w:tabs>
      <w:overflowPunct w:val="0"/>
      <w:autoSpaceDE w:val="0"/>
      <w:autoSpaceDN w:val="0"/>
      <w:spacing w:before="80" w:after="80"/>
      <w:ind w:left="0"/>
      <w:jc w:val="left"/>
    </w:pPr>
    <w:rPr>
      <w:kern w:val="0"/>
      <w:sz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31">
    <w:name w:val="目录 53"/>
    <w:next w:val="1"/>
    <w:autoRedefine/>
    <w:qFormat/>
    <w:uiPriority w:val="0"/>
    <w:pPr>
      <w:wordWrap w:val="0"/>
      <w:ind w:left="1275"/>
      <w:jc w:val="both"/>
    </w:pPr>
    <w:rPr>
      <w:rFonts w:ascii="Times New Roman" w:hAnsi="Times New Roman" w:eastAsia="宋体" w:cs="Times New Roman"/>
      <w:sz w:val="21"/>
      <w:szCs w:val="22"/>
      <w:lang w:val="en-US" w:eastAsia="zh-CN" w:bidi="ar-SA"/>
    </w:rPr>
  </w:style>
  <w:style w:type="paragraph" w:customStyle="1" w:styleId="32">
    <w:name w:val="正文缩2"/>
    <w:autoRedefine/>
    <w:qFormat/>
    <w:uiPriority w:val="0"/>
    <w:pPr>
      <w:spacing w:line="360" w:lineRule="auto"/>
      <w:ind w:firstLine="240" w:firstLineChars="100"/>
    </w:pPr>
    <w:rPr>
      <w:rFonts w:ascii="Calibri" w:hAnsi="Calibri" w:eastAsia="宋体" w:cs="Times New Roman"/>
      <w:color w:val="FF0000"/>
      <w:sz w:val="24"/>
      <w:szCs w:val="24"/>
      <w:lang w:val="en-US" w:eastAsia="zh-CN" w:bidi="ar-SA"/>
    </w:rPr>
  </w:style>
  <w:style w:type="character" w:customStyle="1" w:styleId="33">
    <w:name w:val="font31"/>
    <w:basedOn w:val="22"/>
    <w:autoRedefine/>
    <w:qFormat/>
    <w:uiPriority w:val="0"/>
    <w:rPr>
      <w:rFonts w:hint="eastAsia" w:ascii="宋体" w:hAnsi="宋体" w:eastAsia="宋体" w:cs="宋体"/>
      <w:b/>
      <w:bCs/>
      <w:color w:val="000000"/>
      <w:sz w:val="20"/>
      <w:szCs w:val="20"/>
      <w:u w:val="none"/>
    </w:rPr>
  </w:style>
  <w:style w:type="paragraph" w:customStyle="1" w:styleId="34">
    <w:name w:val="正文文本1"/>
    <w:basedOn w:val="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paragraph" w:customStyle="1" w:styleId="35">
    <w:name w:val="正文文本 (2)"/>
    <w:basedOn w:val="1"/>
    <w:qFormat/>
    <w:uiPriority w:val="0"/>
    <w:pPr>
      <w:shd w:val="clear" w:color="auto" w:fill="FFFFFF"/>
      <w:spacing w:after="180"/>
      <w:ind w:firstLine="220"/>
      <w:jc w:val="left"/>
    </w:pPr>
    <w:rPr>
      <w:rFonts w:ascii="Gulim" w:hAnsi="Gulim" w:eastAsia="Gulim" w:cs="Gulim"/>
      <w:kern w:val="0"/>
      <w:sz w:val="20"/>
      <w:lang w:val="zh-CN" w:bidi="zh-CN"/>
    </w:rPr>
  </w:style>
  <w:style w:type="paragraph" w:customStyle="1" w:styleId="36">
    <w:name w:val="其他"/>
    <w:basedOn w:val="1"/>
    <w:qFormat/>
    <w:uiPriority w:val="0"/>
    <w:pPr>
      <w:shd w:val="clear" w:color="auto" w:fill="FFFFFF"/>
      <w:spacing w:line="430" w:lineRule="auto"/>
      <w:ind w:firstLine="400"/>
      <w:jc w:val="left"/>
    </w:pPr>
    <w:rPr>
      <w:rFonts w:ascii="MingLiU" w:hAnsi="MingLiU" w:eastAsia="MingLiU" w:cs="MingLiU"/>
      <w:kern w:val="0"/>
      <w:sz w:val="22"/>
      <w:szCs w:val="22"/>
      <w:lang w:val="zh-CN" w:bidi="zh-CN"/>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style>
  <w:style w:type="paragraph" w:customStyle="1" w:styleId="39">
    <w:name w:val="p0"/>
    <w:basedOn w:val="1"/>
    <w:qFormat/>
    <w:uiPriority w:val="99"/>
    <w:pPr>
      <w:jc w:val="both"/>
    </w:pPr>
    <w:rPr>
      <w:rFonts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4015</Words>
  <Characters>4286</Characters>
  <Lines>108</Lines>
  <Paragraphs>30</Paragraphs>
  <TotalTime>2</TotalTime>
  <ScaleCrop>false</ScaleCrop>
  <LinksUpToDate>false</LinksUpToDate>
  <CharactersWithSpaces>4362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2022-10-31T06:20:00Z</dcterms:created>
  <dc:creator>Administrator</dc:creator>
  <cp:lastModifiedBy>一</cp:lastModifiedBy>
  <cp:lastPrinted>2024-05-24T04:05:00Z</cp:lastPrinted>
  <dcterms:modified xsi:type="dcterms:W3CDTF">2025-07-30T02:28:11Z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A80DE78EF2974416AF3AAB6D5567C629_13</vt:lpwstr>
  </property>
  <property fmtid="{D5CDD505-2E9C-101B-9397-08002B2CF9AE}" pid="4" name="KSOTemplateDocerSaveRecord">
    <vt:lpwstr>eyJoZGlkIjoiODhlMzg4YWU0MDMyYjM1MWY5NTBiYmU1YWI5ZTdlMmIiLCJ1c2VySWQiOiIxNDQ1MDc0OSJ9</vt:lpwstr>
  </property>
</Properties>
</file>