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0"/>
        <w:rPr>
          <w:rFonts w:hint="eastAsia" w:ascii="宋体" w:hAnsi="宋体" w:eastAsia="宋体" w:cs="宋体"/>
          <w:b/>
          <w:bCs/>
          <w:color w:val="auto"/>
          <w:sz w:val="36"/>
          <w:szCs w:val="36"/>
          <w:highlight w:val="none"/>
        </w:rPr>
      </w:pPr>
    </w:p>
    <w:p w14:paraId="228C8411">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eastAsia" w:ascii="宋体" w:hAnsi="宋体" w:cs="宋体"/>
          <w:b/>
          <w:bCs/>
          <w:color w:val="auto"/>
          <w:spacing w:val="-20"/>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pacing w:val="-20"/>
          <w:sz w:val="36"/>
          <w:szCs w:val="36"/>
          <w:highlight w:val="none"/>
          <w:lang w:eastAsia="zh-CN"/>
        </w:rPr>
        <w:t>渝北区民政局厨房设施设备采购</w:t>
      </w:r>
    </w:p>
    <w:p w14:paraId="4A6D8E1D">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HXCQCG25082</w:t>
      </w:r>
    </w:p>
    <w:p w14:paraId="10DBECFB">
      <w:pPr>
        <w:pStyle w:val="9"/>
        <w:rPr>
          <w:rFonts w:hint="eastAsia"/>
          <w:color w:val="auto"/>
          <w:highlight w:val="none"/>
        </w:rPr>
      </w:pPr>
    </w:p>
    <w:p w14:paraId="4ED2C167">
      <w:pPr>
        <w:jc w:val="center"/>
        <w:rPr>
          <w:rFonts w:hint="eastAsia" w:ascii="宋体" w:hAnsi="宋体" w:eastAsia="宋体" w:cs="宋体"/>
          <w:color w:val="auto"/>
          <w:highlight w:val="none"/>
        </w:rPr>
      </w:pPr>
    </w:p>
    <w:p w14:paraId="305A08C0">
      <w:pPr>
        <w:pStyle w:val="23"/>
        <w:rPr>
          <w:rFonts w:hint="eastAsia" w:ascii="宋体" w:hAnsi="宋体" w:eastAsia="宋体" w:cs="宋体"/>
          <w:color w:val="auto"/>
          <w:highlight w:val="none"/>
        </w:rPr>
      </w:pPr>
    </w:p>
    <w:p w14:paraId="0F3EA82C">
      <w:pPr>
        <w:rPr>
          <w:rFonts w:hint="eastAsia" w:ascii="宋体" w:hAnsi="宋体" w:eastAsia="宋体" w:cs="宋体"/>
          <w:color w:val="auto"/>
          <w:highlight w:val="none"/>
        </w:rPr>
      </w:pPr>
    </w:p>
    <w:p w14:paraId="012AB42C">
      <w:pPr>
        <w:pStyle w:val="9"/>
        <w:rPr>
          <w:rFonts w:hint="eastAsia"/>
          <w:color w:val="auto"/>
          <w:highlight w:val="none"/>
        </w:rPr>
      </w:pPr>
    </w:p>
    <w:p w14:paraId="16D8CE03">
      <w:pPr>
        <w:pStyle w:val="23"/>
        <w:rPr>
          <w:rFonts w:hint="eastAsia" w:ascii="宋体" w:hAnsi="宋体" w:eastAsia="宋体" w:cs="宋体"/>
          <w:color w:val="auto"/>
          <w:highlight w:val="none"/>
        </w:rPr>
      </w:pPr>
    </w:p>
    <w:p w14:paraId="0AE2B62E">
      <w:pPr>
        <w:rPr>
          <w:rFonts w:hint="eastAsia" w:ascii="宋体" w:hAnsi="宋体" w:eastAsia="宋体" w:cs="宋体"/>
          <w:color w:val="auto"/>
          <w:highlight w:val="none"/>
        </w:rPr>
      </w:pPr>
    </w:p>
    <w:p w14:paraId="68E2717E">
      <w:pPr>
        <w:pStyle w:val="2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color w:val="auto"/>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color w:val="auto"/>
          <w:sz w:val="32"/>
          <w:highlight w:val="none"/>
        </w:rPr>
      </w:pPr>
      <w:r>
        <w:rPr>
          <w:rFonts w:hint="eastAsia" w:ascii="宋体" w:hAnsi="宋体" w:cs="宋体"/>
          <w:b/>
          <w:bCs/>
          <w:color w:val="auto"/>
          <w:sz w:val="120"/>
          <w:szCs w:val="120"/>
          <w:highlight w:val="none"/>
          <w:lang w:val="en-US" w:eastAsia="zh-CN"/>
        </w:rPr>
        <w:t>询比采购文件</w:t>
      </w:r>
    </w:p>
    <w:p w14:paraId="1A236B7D">
      <w:pPr>
        <w:pStyle w:val="23"/>
        <w:ind w:firstLine="0"/>
        <w:rPr>
          <w:rFonts w:hint="eastAsia" w:ascii="宋体" w:hAnsi="宋体" w:eastAsia="宋体" w:cs="宋体"/>
          <w:color w:val="auto"/>
          <w:highlight w:val="none"/>
        </w:rPr>
      </w:pPr>
    </w:p>
    <w:p w14:paraId="3A97482C">
      <w:pPr>
        <w:spacing w:line="500" w:lineRule="exact"/>
        <w:ind w:firstLine="2340" w:firstLineChars="650"/>
        <w:outlineLvl w:val="0"/>
        <w:rPr>
          <w:rFonts w:hint="eastAsia" w:ascii="宋体" w:hAnsi="宋体" w:eastAsia="宋体" w:cs="宋体"/>
          <w:color w:val="auto"/>
          <w:sz w:val="36"/>
          <w:szCs w:val="36"/>
          <w:highlight w:val="none"/>
        </w:rPr>
      </w:pPr>
    </w:p>
    <w:p w14:paraId="200D3DFF">
      <w:pPr>
        <w:spacing w:line="700" w:lineRule="exact"/>
        <w:jc w:val="center"/>
        <w:rPr>
          <w:rFonts w:hint="eastAsia" w:ascii="宋体" w:hAnsi="宋体" w:eastAsia="宋体" w:cs="宋体"/>
          <w:b/>
          <w:color w:val="auto"/>
          <w:sz w:val="36"/>
          <w:szCs w:val="36"/>
          <w:highlight w:val="none"/>
        </w:rPr>
      </w:pPr>
    </w:p>
    <w:p w14:paraId="13986EA4">
      <w:pPr>
        <w:pStyle w:val="10"/>
        <w:ind w:left="0" w:leftChars="0" w:firstLine="0" w:firstLineChars="0"/>
        <w:rPr>
          <w:rFonts w:hint="eastAsia" w:ascii="宋体" w:hAnsi="宋体" w:eastAsia="宋体" w:cs="宋体"/>
          <w:b/>
          <w:color w:val="auto"/>
          <w:sz w:val="36"/>
          <w:szCs w:val="36"/>
          <w:highlight w:val="none"/>
        </w:rPr>
      </w:pPr>
    </w:p>
    <w:p w14:paraId="02D72891">
      <w:pPr>
        <w:pStyle w:val="10"/>
        <w:rPr>
          <w:rFonts w:hint="eastAsia" w:ascii="宋体" w:hAnsi="宋体" w:eastAsia="宋体" w:cs="宋体"/>
          <w:b/>
          <w:color w:val="auto"/>
          <w:sz w:val="36"/>
          <w:szCs w:val="36"/>
          <w:highlight w:val="none"/>
        </w:rPr>
      </w:pPr>
    </w:p>
    <w:p w14:paraId="134E83F2">
      <w:pPr>
        <w:pStyle w:val="23"/>
        <w:ind w:firstLine="0"/>
        <w:rPr>
          <w:rFonts w:hint="eastAsia" w:ascii="宋体" w:hAnsi="宋体" w:eastAsia="宋体" w:cs="宋体"/>
          <w:color w:val="auto"/>
          <w:sz w:val="36"/>
          <w:szCs w:val="36"/>
          <w:highlight w:val="none"/>
        </w:rPr>
      </w:pPr>
    </w:p>
    <w:p w14:paraId="2100D0B0">
      <w:pPr>
        <w:spacing w:line="500" w:lineRule="exact"/>
        <w:ind w:firstLine="1446" w:firstLineChars="400"/>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cs="宋体"/>
          <w:b/>
          <w:bCs/>
          <w:color w:val="auto"/>
          <w:sz w:val="36"/>
          <w:szCs w:val="36"/>
          <w:highlight w:val="none"/>
          <w:lang w:eastAsia="zh-CN"/>
        </w:rPr>
        <w:t>重庆市渝北区民政局</w:t>
      </w:r>
    </w:p>
    <w:p w14:paraId="7D6B10EC">
      <w:pPr>
        <w:spacing w:line="700" w:lineRule="exact"/>
        <w:ind w:firstLine="1446" w:firstLineChars="400"/>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cs="宋体"/>
          <w:b/>
          <w:bCs/>
          <w:color w:val="auto"/>
          <w:sz w:val="36"/>
          <w:szCs w:val="36"/>
          <w:highlight w:val="none"/>
          <w:lang w:eastAsia="zh-CN"/>
        </w:rPr>
        <w:t>重庆鸿兴招标代理有限公司</w:t>
      </w:r>
    </w:p>
    <w:p w14:paraId="7B6061B4">
      <w:pPr>
        <w:pStyle w:val="9"/>
        <w:rPr>
          <w:rFonts w:hint="eastAsia" w:ascii="宋体" w:hAnsi="宋体" w:eastAsia="宋体" w:cs="宋体"/>
          <w:color w:val="auto"/>
          <w:sz w:val="36"/>
          <w:szCs w:val="36"/>
          <w:highlight w:val="none"/>
        </w:rPr>
      </w:pPr>
    </w:p>
    <w:p w14:paraId="7149D245">
      <w:pPr>
        <w:spacing w:line="48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月</w:t>
      </w:r>
    </w:p>
    <w:p w14:paraId="5ED27C0A">
      <w:pPr>
        <w:spacing w:line="480" w:lineRule="exact"/>
        <w:jc w:val="center"/>
        <w:outlineLvl w:val="0"/>
        <w:rPr>
          <w:rFonts w:hint="eastAsia" w:ascii="宋体" w:hAnsi="宋体" w:eastAsia="宋体" w:cs="宋体"/>
          <w:b/>
          <w:bCs/>
          <w:color w:val="auto"/>
          <w:sz w:val="44"/>
          <w:szCs w:val="44"/>
          <w:highlight w:val="none"/>
        </w:rPr>
      </w:pPr>
    </w:p>
    <w:p w14:paraId="29BBEBCF">
      <w:pPr>
        <w:spacing w:line="480" w:lineRule="exact"/>
        <w:jc w:val="center"/>
        <w:outlineLvl w:val="0"/>
        <w:rPr>
          <w:rFonts w:hint="eastAsia" w:ascii="宋体" w:hAnsi="宋体" w:eastAsia="宋体" w:cs="宋体"/>
          <w:b/>
          <w:bCs/>
          <w:color w:val="auto"/>
          <w:sz w:val="44"/>
          <w:szCs w:val="44"/>
          <w:highlight w:val="none"/>
        </w:rPr>
      </w:pPr>
    </w:p>
    <w:p w14:paraId="2BE25543">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73148248">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6D277927">
      <w:pPr>
        <w:pStyle w:val="19"/>
        <w:tabs>
          <w:tab w:val="right" w:leader="dot" w:pos="9412"/>
        </w:tabs>
        <w:spacing w:line="48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_Toc17317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第一篇  </w:t>
      </w:r>
      <w:r>
        <w:rPr>
          <w:rFonts w:hint="eastAsia" w:ascii="宋体" w:hAnsi="宋体" w:cs="宋体"/>
          <w:color w:val="auto"/>
          <w:szCs w:val="30"/>
          <w:highlight w:val="none"/>
          <w:lang w:eastAsia="zh-CN"/>
        </w:rPr>
        <w:t>采购</w:t>
      </w:r>
      <w:r>
        <w:rPr>
          <w:rFonts w:hint="eastAsia" w:ascii="宋体" w:hAnsi="宋体" w:eastAsia="宋体" w:cs="宋体"/>
          <w:color w:val="auto"/>
          <w:szCs w:val="30"/>
          <w:highlight w:val="none"/>
        </w:rPr>
        <w:t>邀请书</w:t>
      </w:r>
      <w:r>
        <w:rPr>
          <w:color w:val="auto"/>
          <w:highlight w:val="none"/>
        </w:rPr>
        <w:tab/>
      </w:r>
      <w:r>
        <w:rPr>
          <w:color w:val="auto"/>
          <w:highlight w:val="none"/>
        </w:rPr>
        <w:fldChar w:fldCharType="begin"/>
      </w:r>
      <w:r>
        <w:rPr>
          <w:color w:val="auto"/>
          <w:highlight w:val="none"/>
        </w:rPr>
        <w:instrText xml:space="preserve"> PAGEREF _Toc17317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4"/>
          <w:highlight w:val="none"/>
        </w:rPr>
        <w:fldChar w:fldCharType="end"/>
      </w:r>
    </w:p>
    <w:p w14:paraId="081EE494">
      <w:pPr>
        <w:pStyle w:val="19"/>
        <w:tabs>
          <w:tab w:val="right" w:leader="dot" w:pos="9412"/>
        </w:tabs>
        <w:spacing w:line="480" w:lineRule="auto"/>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_Toc23299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第二篇  </w:t>
      </w:r>
      <w:r>
        <w:rPr>
          <w:rFonts w:hint="eastAsia" w:ascii="宋体" w:hAnsi="宋体" w:cs="宋体"/>
          <w:color w:val="auto"/>
          <w:szCs w:val="30"/>
          <w:highlight w:val="none"/>
          <w:lang w:eastAsia="zh-CN"/>
        </w:rPr>
        <w:t>项目服务需求</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_Toc23299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54DB6B59">
      <w:pPr>
        <w:pStyle w:val="19"/>
        <w:tabs>
          <w:tab w:val="right" w:leader="dot" w:pos="9412"/>
        </w:tabs>
        <w:spacing w:line="480" w:lineRule="auto"/>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_Toc6175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_Toc6175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3B0FF3D1">
      <w:pPr>
        <w:pStyle w:val="19"/>
        <w:tabs>
          <w:tab w:val="right" w:leader="dot" w:pos="9412"/>
        </w:tabs>
        <w:spacing w:line="48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_Toc12201 </w:instrText>
      </w:r>
      <w:r>
        <w:rPr>
          <w:rFonts w:hint="eastAsia" w:ascii="宋体" w:hAnsi="宋体" w:eastAsia="宋体" w:cs="宋体"/>
          <w:color w:val="auto"/>
          <w:szCs w:val="24"/>
          <w:highlight w:val="none"/>
        </w:rPr>
        <w:fldChar w:fldCharType="separate"/>
      </w:r>
      <w:r>
        <w:rPr>
          <w:rFonts w:hint="eastAsia" w:ascii="宋体" w:hAnsi="宋体" w:eastAsia="宋体"/>
          <w:color w:val="auto"/>
          <w:szCs w:val="30"/>
          <w:highlight w:val="none"/>
        </w:rPr>
        <w:t>第四篇  开标程序及方法、评审标准、无效响应和</w:t>
      </w:r>
      <w:r>
        <w:rPr>
          <w:rFonts w:hint="eastAsia" w:ascii="宋体" w:hAnsi="宋体" w:eastAsia="宋体"/>
          <w:color w:val="auto"/>
          <w:szCs w:val="36"/>
          <w:highlight w:val="none"/>
        </w:rPr>
        <w:t>采购终止</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_Toc12201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51BBADC3">
      <w:pPr>
        <w:pStyle w:val="11"/>
        <w:tabs>
          <w:tab w:val="right" w:leader="dot" w:pos="9412"/>
        </w:tabs>
        <w:spacing w:line="480" w:lineRule="auto"/>
        <w:ind w:left="0" w:leftChars="0" w:firstLine="560" w:firstLineChars="200"/>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_Toc17949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五</w:t>
      </w:r>
      <w:r>
        <w:rPr>
          <w:rFonts w:hint="eastAsia" w:ascii="宋体" w:hAnsi="宋体" w:eastAsia="宋体" w:cs="宋体"/>
          <w:color w:val="auto"/>
          <w:szCs w:val="30"/>
          <w:highlight w:val="none"/>
        </w:rPr>
        <w:t xml:space="preserve">篇  </w:t>
      </w:r>
      <w:r>
        <w:rPr>
          <w:rFonts w:hint="eastAsia" w:ascii="宋体" w:hAnsi="宋体" w:eastAsia="宋体" w:cs="宋体"/>
          <w:color w:val="auto"/>
          <w:szCs w:val="30"/>
          <w:highlight w:val="none"/>
          <w:lang w:eastAsia="zh-CN"/>
        </w:rPr>
        <w:t>供应商须知</w:t>
      </w:r>
      <w:r>
        <w:rPr>
          <w:color w:val="auto"/>
          <w:highlight w:val="none"/>
        </w:rPr>
        <w:tab/>
      </w:r>
      <w:r>
        <w:rPr>
          <w:color w:val="auto"/>
          <w:highlight w:val="none"/>
        </w:rPr>
        <w:fldChar w:fldCharType="begin"/>
      </w:r>
      <w:r>
        <w:rPr>
          <w:color w:val="auto"/>
          <w:highlight w:val="none"/>
        </w:rPr>
        <w:instrText xml:space="preserve"> PAGEREF _Toc17949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4"/>
          <w:highlight w:val="none"/>
        </w:rPr>
        <w:fldChar w:fldCharType="end"/>
      </w:r>
    </w:p>
    <w:p w14:paraId="77B6B8DD">
      <w:pPr>
        <w:pStyle w:val="19"/>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_Toc17949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六</w:t>
      </w:r>
      <w:r>
        <w:rPr>
          <w:rFonts w:hint="eastAsia" w:ascii="宋体" w:hAnsi="宋体" w:eastAsia="宋体" w:cs="宋体"/>
          <w:color w:val="auto"/>
          <w:szCs w:val="30"/>
          <w:highlight w:val="none"/>
        </w:rPr>
        <w:t>篇  合同草案条款</w:t>
      </w:r>
      <w:r>
        <w:rPr>
          <w:color w:val="auto"/>
          <w:highlight w:val="none"/>
        </w:rPr>
        <w:tab/>
      </w:r>
      <w:r>
        <w:rPr>
          <w:color w:val="auto"/>
          <w:highlight w:val="none"/>
        </w:rPr>
        <w:fldChar w:fldCharType="begin"/>
      </w:r>
      <w:r>
        <w:rPr>
          <w:color w:val="auto"/>
          <w:highlight w:val="none"/>
        </w:rPr>
        <w:instrText xml:space="preserve"> PAGEREF _Toc17949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4"/>
          <w:highlight w:val="none"/>
        </w:rPr>
        <w:fldChar w:fldCharType="end"/>
      </w:r>
    </w:p>
    <w:p w14:paraId="26915014">
      <w:pPr>
        <w:pStyle w:val="19"/>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_Toc24744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七</w:t>
      </w:r>
      <w:r>
        <w:rPr>
          <w:rFonts w:hint="eastAsia" w:ascii="宋体" w:hAnsi="宋体" w:eastAsia="宋体" w:cs="宋体"/>
          <w:color w:val="auto"/>
          <w:szCs w:val="30"/>
          <w:highlight w:val="none"/>
        </w:rPr>
        <w:t>篇  响应文件格式要求</w:t>
      </w:r>
      <w:r>
        <w:rPr>
          <w:color w:val="auto"/>
          <w:highlight w:val="none"/>
        </w:rPr>
        <w:tab/>
      </w:r>
      <w:r>
        <w:rPr>
          <w:color w:val="auto"/>
          <w:highlight w:val="none"/>
        </w:rPr>
        <w:fldChar w:fldCharType="begin"/>
      </w:r>
      <w:r>
        <w:rPr>
          <w:color w:val="auto"/>
          <w:highlight w:val="none"/>
        </w:rPr>
        <w:instrText xml:space="preserve"> PAGEREF _Toc24744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eastAsia="宋体" w:cs="宋体"/>
          <w:color w:val="auto"/>
          <w:szCs w:val="24"/>
          <w:highlight w:val="none"/>
        </w:rPr>
        <w:fldChar w:fldCharType="end"/>
      </w:r>
    </w:p>
    <w:p w14:paraId="3407068D">
      <w:pPr>
        <w:pStyle w:val="18"/>
        <w:tabs>
          <w:tab w:val="right" w:leader="dot" w:pos="9412"/>
        </w:tabs>
        <w:rPr>
          <w:color w:val="auto"/>
          <w:highlight w:val="none"/>
        </w:rPr>
      </w:pPr>
    </w:p>
    <w:p w14:paraId="6382ED34">
      <w:pPr>
        <w:pStyle w:val="19"/>
        <w:tabs>
          <w:tab w:val="right" w:leader="dot" w:pos="9402"/>
        </w:tabs>
        <w:spacing w:line="240" w:lineRule="auto"/>
        <w:ind w:left="0" w:leftChars="0"/>
        <w:rPr>
          <w:rFonts w:hint="eastAsia" w:ascii="宋体" w:hAnsi="宋体" w:eastAsia="宋体" w:cs="宋体"/>
          <w:color w:val="auto"/>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color w:val="auto"/>
          <w:szCs w:val="24"/>
          <w:highlight w:val="none"/>
        </w:rPr>
        <w:fldChar w:fldCharType="end"/>
      </w:r>
    </w:p>
    <w:p w14:paraId="32ABB6A2">
      <w:pPr>
        <w:pStyle w:val="4"/>
        <w:spacing w:before="0" w:after="0" w:line="360" w:lineRule="auto"/>
        <w:jc w:val="center"/>
        <w:rPr>
          <w:rFonts w:hint="eastAsia" w:ascii="宋体" w:hAnsi="宋体" w:eastAsia="宋体" w:cs="宋体"/>
          <w:b w:val="0"/>
          <w:color w:val="auto"/>
          <w:sz w:val="36"/>
          <w:szCs w:val="30"/>
          <w:highlight w:val="none"/>
        </w:rPr>
      </w:pPr>
      <w:bookmarkStart w:id="0" w:name="_Toc12789052"/>
      <w:bookmarkStart w:id="1" w:name="_Toc11641050"/>
      <w:bookmarkStart w:id="2" w:name="_Toc17317"/>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p>
    <w:p w14:paraId="3547E15A">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重庆市渝北区民政局</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渝北区民政局厨房设施设备采购</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rPr>
        <w:t>。欢迎有资格的供应商前来参加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w:t>
      </w:r>
    </w:p>
    <w:p w14:paraId="783081B4">
      <w:pPr>
        <w:pStyle w:val="5"/>
        <w:numPr>
          <w:ilvl w:val="0"/>
          <w:numId w:val="1"/>
        </w:numPr>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3" w:name="_Toc317775175"/>
      <w:bookmarkStart w:id="4" w:name="_Toc29871"/>
      <w:bookmarkStart w:id="5" w:name="_Toc313893526"/>
      <w:r>
        <w:rPr>
          <w:rFonts w:hint="eastAsia" w:ascii="宋体" w:hAnsi="宋体" w:eastAsia="宋体" w:cs="宋体"/>
          <w:color w:val="auto"/>
          <w:sz w:val="24"/>
          <w:szCs w:val="24"/>
          <w:highlight w:val="none"/>
        </w:rPr>
        <w:t>采购内容</w:t>
      </w:r>
      <w:bookmarkEnd w:id="3"/>
      <w:bookmarkEnd w:id="4"/>
      <w:bookmarkEnd w:id="5"/>
    </w:p>
    <w:tbl>
      <w:tblPr>
        <w:tblStyle w:val="2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2896"/>
        <w:gridCol w:w="2154"/>
      </w:tblGrid>
      <w:tr w14:paraId="7B05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928" w:type="dxa"/>
            <w:tcBorders>
              <w:top w:val="single" w:color="auto" w:sz="4" w:space="0"/>
              <w:left w:val="single" w:color="auto" w:sz="4" w:space="0"/>
              <w:right w:val="single" w:color="auto" w:sz="4" w:space="0"/>
            </w:tcBorders>
            <w:noWrap/>
            <w:vAlign w:val="center"/>
          </w:tcPr>
          <w:p w14:paraId="78A29E9E">
            <w:pPr>
              <w:widowControl/>
              <w:jc w:val="center"/>
              <w:rPr>
                <w:rFonts w:ascii="宋体" w:hAnsi="宋体" w:cs="宋体"/>
                <w:b/>
                <w:bCs/>
                <w:color w:val="auto"/>
                <w:kern w:val="0"/>
                <w:sz w:val="22"/>
                <w:szCs w:val="28"/>
                <w:highlight w:val="none"/>
              </w:rPr>
            </w:pPr>
            <w:bookmarkStart w:id="6" w:name="_Toc27165"/>
            <w:bookmarkStart w:id="7" w:name="_Toc373860293"/>
            <w:bookmarkStart w:id="8" w:name="_Toc317775178"/>
            <w:r>
              <w:rPr>
                <w:rFonts w:hint="eastAsia" w:ascii="宋体" w:hAnsi="宋体" w:cs="宋体"/>
                <w:b/>
                <w:bCs/>
                <w:color w:val="auto"/>
                <w:kern w:val="0"/>
                <w:sz w:val="22"/>
                <w:szCs w:val="28"/>
                <w:highlight w:val="none"/>
              </w:rPr>
              <w:t>项目名称</w:t>
            </w:r>
          </w:p>
        </w:tc>
        <w:tc>
          <w:tcPr>
            <w:tcW w:w="2896" w:type="dxa"/>
            <w:tcBorders>
              <w:top w:val="single" w:color="auto" w:sz="4" w:space="0"/>
              <w:left w:val="single" w:color="auto" w:sz="4" w:space="0"/>
              <w:right w:val="single" w:color="auto" w:sz="4" w:space="0"/>
            </w:tcBorders>
            <w:noWrap/>
            <w:vAlign w:val="center"/>
          </w:tcPr>
          <w:p w14:paraId="3A4E2CDB">
            <w:pPr>
              <w:jc w:val="center"/>
              <w:rPr>
                <w:rFonts w:ascii="宋体" w:hAnsi="宋体" w:cs="宋体"/>
                <w:b/>
                <w:bCs/>
                <w:color w:val="auto"/>
                <w:kern w:val="0"/>
                <w:sz w:val="22"/>
                <w:szCs w:val="28"/>
                <w:highlight w:val="none"/>
              </w:rPr>
            </w:pPr>
            <w:r>
              <w:rPr>
                <w:rFonts w:hint="eastAsia" w:ascii="宋体" w:hAnsi="宋体" w:cs="宋体"/>
                <w:b/>
                <w:bCs/>
                <w:color w:val="auto"/>
                <w:kern w:val="0"/>
                <w:sz w:val="22"/>
                <w:szCs w:val="28"/>
                <w:highlight w:val="none"/>
              </w:rPr>
              <w:t>最高限价</w:t>
            </w:r>
          </w:p>
          <w:p w14:paraId="369D3389">
            <w:pPr>
              <w:jc w:val="center"/>
              <w:rPr>
                <w:rFonts w:ascii="宋体" w:hAnsi="宋体" w:cs="宋体"/>
                <w:b/>
                <w:bCs/>
                <w:color w:val="auto"/>
                <w:kern w:val="0"/>
                <w:sz w:val="22"/>
                <w:szCs w:val="28"/>
                <w:highlight w:val="none"/>
              </w:rPr>
            </w:pPr>
            <w:r>
              <w:rPr>
                <w:rFonts w:hint="eastAsia" w:ascii="宋体" w:hAnsi="宋体" w:cs="宋体"/>
                <w:b/>
                <w:bCs/>
                <w:color w:val="auto"/>
                <w:kern w:val="0"/>
                <w:sz w:val="22"/>
                <w:szCs w:val="28"/>
                <w:highlight w:val="none"/>
              </w:rPr>
              <w:t>（</w:t>
            </w:r>
            <w:r>
              <w:rPr>
                <w:rFonts w:hint="eastAsia" w:ascii="宋体" w:hAnsi="宋体" w:cs="宋体"/>
                <w:b/>
                <w:bCs/>
                <w:color w:val="auto"/>
                <w:kern w:val="0"/>
                <w:sz w:val="22"/>
                <w:szCs w:val="28"/>
                <w:highlight w:val="none"/>
                <w:lang w:eastAsia="zh-CN"/>
              </w:rPr>
              <w:t>万</w:t>
            </w:r>
            <w:r>
              <w:rPr>
                <w:rFonts w:hint="eastAsia" w:ascii="宋体" w:hAnsi="宋体" w:cs="宋体"/>
                <w:b/>
                <w:bCs/>
                <w:color w:val="auto"/>
                <w:kern w:val="0"/>
                <w:sz w:val="22"/>
                <w:szCs w:val="28"/>
                <w:highlight w:val="none"/>
              </w:rPr>
              <w:t>元）</w:t>
            </w:r>
          </w:p>
        </w:tc>
        <w:tc>
          <w:tcPr>
            <w:tcW w:w="2154" w:type="dxa"/>
            <w:tcBorders>
              <w:top w:val="single" w:color="auto" w:sz="4" w:space="0"/>
              <w:left w:val="single" w:color="auto" w:sz="4" w:space="0"/>
              <w:right w:val="single" w:color="auto" w:sz="4" w:space="0"/>
            </w:tcBorders>
            <w:noWrap/>
            <w:vAlign w:val="center"/>
          </w:tcPr>
          <w:p w14:paraId="38ACFD4B">
            <w:pPr>
              <w:jc w:val="center"/>
              <w:rPr>
                <w:rFonts w:ascii="宋体" w:hAnsi="宋体" w:cs="宋体"/>
                <w:b/>
                <w:bCs/>
                <w:color w:val="auto"/>
                <w:kern w:val="0"/>
                <w:sz w:val="22"/>
                <w:szCs w:val="28"/>
                <w:highlight w:val="none"/>
              </w:rPr>
            </w:pPr>
            <w:r>
              <w:rPr>
                <w:rFonts w:hint="eastAsia" w:ascii="宋体" w:hAnsi="宋体" w:cs="宋体"/>
                <w:b/>
                <w:bCs/>
                <w:color w:val="auto"/>
                <w:kern w:val="0"/>
                <w:sz w:val="22"/>
                <w:szCs w:val="28"/>
                <w:highlight w:val="none"/>
              </w:rPr>
              <w:t>成交供应商数量（名）</w:t>
            </w:r>
          </w:p>
        </w:tc>
      </w:tr>
      <w:tr w14:paraId="03DF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928" w:type="dxa"/>
            <w:tcBorders>
              <w:top w:val="single" w:color="auto" w:sz="4" w:space="0"/>
              <w:left w:val="single" w:color="auto" w:sz="4" w:space="0"/>
              <w:right w:val="single" w:color="auto" w:sz="4" w:space="0"/>
            </w:tcBorders>
            <w:noWrap/>
            <w:vAlign w:val="center"/>
          </w:tcPr>
          <w:p w14:paraId="05010996">
            <w:pPr>
              <w:widowControl/>
              <w:jc w:val="center"/>
              <w:rPr>
                <w:rFonts w:hint="eastAsia" w:ascii="宋体" w:hAnsi="宋体" w:eastAsia="宋体" w:cs="宋体"/>
                <w:color w:val="auto"/>
                <w:kern w:val="0"/>
                <w:sz w:val="22"/>
                <w:szCs w:val="28"/>
                <w:highlight w:val="none"/>
                <w:lang w:eastAsia="zh-CN"/>
              </w:rPr>
            </w:pPr>
            <w:r>
              <w:rPr>
                <w:rFonts w:hint="eastAsia" w:ascii="宋体" w:hAnsi="宋体" w:cs="宋体"/>
                <w:color w:val="auto"/>
                <w:kern w:val="0"/>
                <w:sz w:val="22"/>
                <w:szCs w:val="28"/>
                <w:highlight w:val="none"/>
                <w:lang w:eastAsia="zh-CN"/>
              </w:rPr>
              <w:t>渝北区民政局厨房设施设备采购</w:t>
            </w:r>
          </w:p>
        </w:tc>
        <w:tc>
          <w:tcPr>
            <w:tcW w:w="2896" w:type="dxa"/>
            <w:tcBorders>
              <w:top w:val="single" w:color="auto" w:sz="4" w:space="0"/>
              <w:left w:val="single" w:color="auto" w:sz="4" w:space="0"/>
              <w:right w:val="single" w:color="auto" w:sz="4" w:space="0"/>
            </w:tcBorders>
            <w:noWrap/>
            <w:vAlign w:val="center"/>
          </w:tcPr>
          <w:p w14:paraId="71FAB882">
            <w:pPr>
              <w:widowControl/>
              <w:jc w:val="center"/>
              <w:rPr>
                <w:rFonts w:hint="default" w:ascii="宋体" w:hAnsi="宋体" w:eastAsia="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17</w:t>
            </w:r>
          </w:p>
        </w:tc>
        <w:tc>
          <w:tcPr>
            <w:tcW w:w="2154" w:type="dxa"/>
            <w:tcBorders>
              <w:top w:val="single" w:color="auto" w:sz="4" w:space="0"/>
              <w:left w:val="single" w:color="auto" w:sz="4" w:space="0"/>
              <w:right w:val="single" w:color="auto" w:sz="4" w:space="0"/>
            </w:tcBorders>
            <w:noWrap/>
            <w:vAlign w:val="center"/>
          </w:tcPr>
          <w:p w14:paraId="3FEA42DA">
            <w:pPr>
              <w:widowControl/>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1</w:t>
            </w:r>
          </w:p>
        </w:tc>
      </w:tr>
    </w:tbl>
    <w:p w14:paraId="41D769E6">
      <w:pPr>
        <w:pStyle w:val="5"/>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6"/>
    </w:p>
    <w:p w14:paraId="166D4C91">
      <w:pPr>
        <w:spacing w:line="400" w:lineRule="exact"/>
        <w:ind w:firstLine="480" w:firstLineChars="200"/>
        <w:rPr>
          <w:rFonts w:hint="eastAsia" w:ascii="宋体" w:hAnsi="宋体" w:eastAsia="宋体" w:cs="宋体"/>
          <w:color w:val="auto"/>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kern w:val="0"/>
          <w:sz w:val="24"/>
          <w:szCs w:val="24"/>
          <w:highlight w:val="none"/>
          <w:lang w:val="en-US" w:eastAsia="zh-CN"/>
        </w:rPr>
        <w:t>17万</w:t>
      </w:r>
      <w:r>
        <w:rPr>
          <w:rFonts w:hint="eastAsia" w:ascii="宋体" w:hAnsi="宋体" w:eastAsia="宋体" w:cs="宋体"/>
          <w:color w:val="auto"/>
          <w:sz w:val="24"/>
          <w:szCs w:val="24"/>
          <w:highlight w:val="none"/>
        </w:rPr>
        <w:t>元。</w:t>
      </w:r>
    </w:p>
    <w:p w14:paraId="5DF4C024">
      <w:pPr>
        <w:pStyle w:val="5"/>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三、供应商资格条件</w:t>
      </w:r>
      <w:bookmarkEnd w:id="9"/>
    </w:p>
    <w:p w14:paraId="34B456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67661C7D">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bookmarkStart w:id="10" w:name="_Toc6513"/>
      <w:r>
        <w:rPr>
          <w:rFonts w:hint="eastAsia" w:ascii="宋体" w:hAnsi="宋体" w:cs="宋体"/>
          <w:color w:val="auto"/>
          <w:sz w:val="24"/>
          <w:szCs w:val="24"/>
          <w:highlight w:val="none"/>
          <w:lang w:val="en-US" w:eastAsia="zh-CN"/>
        </w:rPr>
        <w:t>无。</w:t>
      </w:r>
    </w:p>
    <w:p w14:paraId="0B5BC5DE">
      <w:pPr>
        <w:pStyle w:val="5"/>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有关说明</w:t>
      </w:r>
      <w:bookmarkEnd w:id="7"/>
      <w:bookmarkEnd w:id="10"/>
    </w:p>
    <w:bookmarkEnd w:id="8"/>
    <w:p w14:paraId="374B75CC">
      <w:pPr>
        <w:snapToGrid w:val="0"/>
        <w:spacing w:line="400" w:lineRule="exact"/>
        <w:ind w:firstLine="480" w:firstLineChars="200"/>
        <w:rPr>
          <w:rFonts w:ascii="宋体" w:hAnsi="宋体" w:cs="宋体"/>
          <w:color w:val="auto"/>
          <w:sz w:val="24"/>
          <w:szCs w:val="24"/>
          <w:highlight w:val="none"/>
        </w:rPr>
      </w:pPr>
      <w:bookmarkStart w:id="11" w:name="_Toc525047161"/>
      <w:bookmarkStart w:id="12" w:name="_Toc373860294"/>
      <w:bookmarkStart w:id="13" w:name="_Toc521053053"/>
      <w:r>
        <w:rPr>
          <w:rFonts w:hint="eastAsia" w:ascii="宋体" w:hAnsi="宋体" w:cs="宋体"/>
          <w:color w:val="auto"/>
          <w:sz w:val="24"/>
          <w:szCs w:val="24"/>
          <w:highlight w:val="none"/>
        </w:rPr>
        <w:t>（一）供应商需通过行采家（https://www.gec123.com/）进行注册，登记加入“行采家供应商库”。</w:t>
      </w:r>
    </w:p>
    <w:p w14:paraId="6040783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（二）凡有意参加本次采购的供应商，请在</w:t>
      </w:r>
      <w:r>
        <w:rPr>
          <w:rFonts w:hint="eastAsia" w:ascii="宋体" w:hAnsi="宋体" w:cs="宋体"/>
          <w:color w:val="auto"/>
          <w:sz w:val="24"/>
          <w:szCs w:val="24"/>
          <w:lang w:eastAsia="zh-CN"/>
        </w:rPr>
        <w:t>行采家</w:t>
      </w:r>
      <w:r>
        <w:rPr>
          <w:rFonts w:hint="eastAsia" w:ascii="宋体" w:hAnsi="宋体" w:cs="宋体"/>
          <w:color w:val="auto"/>
          <w:sz w:val="24"/>
          <w:szCs w:val="24"/>
          <w:lang w:val="en-US" w:eastAsia="zh-CN"/>
        </w:rPr>
        <w:t>·电子竞采</w:t>
      </w:r>
      <w:r>
        <w:rPr>
          <w:rFonts w:hint="eastAsia" w:ascii="宋体" w:hAnsi="宋体" w:cs="宋体"/>
          <w:color w:val="auto"/>
          <w:sz w:val="24"/>
          <w:szCs w:val="24"/>
          <w:lang w:eastAsia="zh-CN"/>
        </w:rPr>
        <w:t>（https://www.gec123.com/xe/）</w:t>
      </w:r>
      <w:r>
        <w:rPr>
          <w:rFonts w:hint="eastAsia" w:ascii="宋体" w:hAnsi="宋体" w:cs="宋体"/>
          <w:color w:val="auto"/>
          <w:sz w:val="24"/>
          <w:szCs w:val="24"/>
        </w:rPr>
        <w:t>上下载或到采购代理机构处领取本项目</w:t>
      </w:r>
      <w:r>
        <w:rPr>
          <w:rFonts w:hint="eastAsia" w:ascii="宋体" w:hAnsi="宋体" w:cs="宋体"/>
          <w:color w:val="auto"/>
          <w:sz w:val="24"/>
          <w:szCs w:val="24"/>
          <w:lang w:eastAsia="zh-CN"/>
        </w:rPr>
        <w:t>询比文件</w:t>
      </w:r>
      <w:r>
        <w:rPr>
          <w:rFonts w:hint="eastAsia" w:ascii="宋体" w:hAnsi="宋体" w:cs="宋体"/>
          <w:color w:val="auto"/>
          <w:sz w:val="24"/>
          <w:szCs w:val="24"/>
        </w:rPr>
        <w:t>以及澄清等</w:t>
      </w:r>
      <w:r>
        <w:rPr>
          <w:rFonts w:hint="eastAsia" w:ascii="宋体" w:hAnsi="宋体" w:cs="宋体"/>
          <w:color w:val="auto"/>
          <w:sz w:val="24"/>
          <w:szCs w:val="24"/>
          <w:lang w:eastAsia="zh-CN"/>
        </w:rPr>
        <w:t>询比</w:t>
      </w:r>
      <w:r>
        <w:rPr>
          <w:rFonts w:hint="eastAsia" w:ascii="宋体" w:hAnsi="宋体" w:cs="宋体"/>
          <w:color w:val="auto"/>
          <w:sz w:val="24"/>
          <w:szCs w:val="24"/>
        </w:rPr>
        <w:t>前公布的所有项目资料，无论供应商下载或领取与否，均视为已知晓所有</w:t>
      </w:r>
      <w:r>
        <w:rPr>
          <w:rFonts w:hint="eastAsia" w:ascii="宋体" w:hAnsi="宋体" w:cs="宋体"/>
          <w:color w:val="auto"/>
          <w:sz w:val="24"/>
          <w:szCs w:val="24"/>
          <w:lang w:eastAsia="zh-CN"/>
        </w:rPr>
        <w:t>询比</w:t>
      </w:r>
      <w:r>
        <w:rPr>
          <w:rFonts w:hint="eastAsia" w:ascii="宋体" w:hAnsi="宋体" w:cs="宋体"/>
          <w:color w:val="auto"/>
          <w:sz w:val="24"/>
          <w:szCs w:val="24"/>
        </w:rPr>
        <w:t>实质性要求内容。</w:t>
      </w:r>
    </w:p>
    <w:p w14:paraId="04CEC8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9D761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0084EA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6261A9B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.报名方式：</w:t>
      </w:r>
      <w:r>
        <w:rPr>
          <w:rFonts w:hint="eastAsia" w:ascii="宋体" w:hAnsi="宋体" w:cs="宋体"/>
          <w:color w:val="auto"/>
          <w:sz w:val="24"/>
          <w:szCs w:val="24"/>
        </w:rPr>
        <w:t>在规定的报名时间内，供应商将《重庆鸿兴招标代理有限公司项目报名表》（加盖供应商公章）扫描后发送至</w:t>
      </w:r>
      <w:r>
        <w:rPr>
          <w:rFonts w:hint="eastAsia" w:ascii="宋体" w:hAnsi="宋体" w:cs="宋体"/>
          <w:color w:val="auto"/>
          <w:sz w:val="24"/>
          <w:szCs w:val="24"/>
          <w:highlight w:val="none"/>
          <w:lang w:val="en-US" w:eastAsia="zh-CN"/>
        </w:rPr>
        <w:t>3900147494@qq.com</w:t>
      </w:r>
      <w:r>
        <w:rPr>
          <w:rFonts w:hint="eastAsia" w:ascii="宋体" w:hAnsi="宋体" w:cs="宋体"/>
          <w:color w:val="auto"/>
          <w:sz w:val="24"/>
          <w:szCs w:val="24"/>
        </w:rPr>
        <w:t>（邮件标题请备注报名单位全称），未在规定时间内报名的供应商，响应文件恕不接收。</w:t>
      </w:r>
    </w:p>
    <w:p w14:paraId="3EEA85D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rPr>
        <w:t>说明：在</w:t>
      </w:r>
      <w:r>
        <w:rPr>
          <w:rFonts w:hint="eastAsia" w:ascii="宋体" w:hAnsi="宋体" w:cs="宋体"/>
          <w:color w:val="auto"/>
          <w:sz w:val="24"/>
          <w:szCs w:val="24"/>
          <w:lang w:val="en-US" w:eastAsia="zh-CN"/>
        </w:rPr>
        <w:t>询比采购</w:t>
      </w:r>
      <w:r>
        <w:rPr>
          <w:rFonts w:hint="eastAsia" w:ascii="宋体" w:hAnsi="宋体" w:cs="宋体"/>
          <w:color w:val="auto"/>
          <w:sz w:val="24"/>
          <w:szCs w:val="24"/>
        </w:rPr>
        <w:t>文件提供期限内按以上要求依法获取了</w:t>
      </w:r>
      <w:r>
        <w:rPr>
          <w:rFonts w:hint="eastAsia" w:ascii="宋体" w:hAnsi="宋体" w:cs="宋体"/>
          <w:color w:val="auto"/>
          <w:sz w:val="24"/>
          <w:szCs w:val="24"/>
          <w:lang w:val="en-US" w:eastAsia="zh-CN"/>
        </w:rPr>
        <w:t>询比采购</w:t>
      </w:r>
      <w:r>
        <w:rPr>
          <w:rFonts w:hint="eastAsia" w:ascii="宋体" w:hAnsi="宋体" w:cs="宋体"/>
          <w:color w:val="auto"/>
          <w:sz w:val="24"/>
          <w:szCs w:val="24"/>
        </w:rPr>
        <w:t>文件的供应商，其响应文件才被接收。</w:t>
      </w:r>
    </w:p>
    <w:bookmarkEnd w:id="11"/>
    <w:bookmarkEnd w:id="12"/>
    <w:bookmarkEnd w:id="13"/>
    <w:p w14:paraId="63D60BD8">
      <w:pPr>
        <w:numPr>
          <w:ilvl w:val="0"/>
          <w:numId w:val="2"/>
        </w:numPr>
        <w:snapToGrid w:val="0"/>
        <w:spacing w:line="400" w:lineRule="exact"/>
        <w:ind w:firstLine="482" w:firstLineChars="200"/>
        <w:rPr>
          <w:rFonts w:hint="eastAsia" w:ascii="宋体" w:hAnsi="宋体" w:cs="宋体"/>
          <w:color w:val="auto"/>
          <w:sz w:val="24"/>
          <w:szCs w:val="24"/>
        </w:rPr>
      </w:pPr>
      <w:bookmarkStart w:id="14" w:name="_Toc525047163"/>
      <w:bookmarkStart w:id="15" w:name="_Toc65660336"/>
      <w:bookmarkStart w:id="16" w:name="_Toc26051"/>
      <w:bookmarkStart w:id="17" w:name="_Toc16269"/>
      <w:bookmarkStart w:id="18" w:name="_Toc25546"/>
      <w:bookmarkStart w:id="19" w:name="_Toc6563"/>
      <w:bookmarkStart w:id="20" w:name="_Toc521053055"/>
      <w:bookmarkStart w:id="21" w:name="_Toc102227313"/>
      <w:r>
        <w:rPr>
          <w:rFonts w:hint="eastAsia" w:ascii="宋体" w:hAnsi="宋体" w:cs="宋体"/>
          <w:b/>
          <w:bCs/>
          <w:color w:val="auto"/>
          <w:sz w:val="24"/>
          <w:szCs w:val="24"/>
        </w:rPr>
        <w:t>线上报价</w:t>
      </w:r>
      <w:r>
        <w:rPr>
          <w:rFonts w:hint="eastAsia" w:ascii="宋体" w:hAnsi="宋体" w:cs="宋体"/>
          <w:b/>
          <w:bCs/>
          <w:color w:val="auto"/>
          <w:sz w:val="24"/>
          <w:szCs w:val="24"/>
          <w:lang w:eastAsia="zh-CN"/>
        </w:rPr>
        <w:t>截止</w:t>
      </w:r>
      <w:r>
        <w:rPr>
          <w:rFonts w:hint="eastAsia" w:ascii="宋体" w:hAnsi="宋体" w:cs="宋体"/>
          <w:b/>
          <w:bCs/>
          <w:color w:val="auto"/>
          <w:sz w:val="24"/>
          <w:szCs w:val="24"/>
        </w:rPr>
        <w:t>时间</w:t>
      </w:r>
      <w:r>
        <w:rPr>
          <w:rFonts w:hint="eastAsia" w:ascii="宋体" w:hAnsi="宋体" w:cs="宋体"/>
          <w:color w:val="auto"/>
          <w:sz w:val="24"/>
          <w:szCs w:val="24"/>
        </w:rPr>
        <w:t>：</w:t>
      </w:r>
      <w:r>
        <w:rPr>
          <w:rFonts w:hint="eastAsia" w:ascii="宋体" w:hAnsi="宋体" w:cs="宋体"/>
          <w:color w:val="auto"/>
          <w:sz w:val="24"/>
          <w:szCs w:val="24"/>
          <w:lang w:val="en-US" w:eastAsia="zh-CN"/>
        </w:rPr>
        <w:t>2025年6月20日10:00</w:t>
      </w:r>
    </w:p>
    <w:p w14:paraId="259157E7">
      <w:pPr>
        <w:spacing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注：供应商线上报价时需上传签字盖章后的电子文档（PDF）格式一份。上传电子文档必须按照要求制作，规定签字、盖章的地方必须按其规定签字、盖章，未按要求制作响应文件的按无效响应处理。</w:t>
      </w:r>
    </w:p>
    <w:p w14:paraId="7AA349EA">
      <w:pPr>
        <w:spacing w:line="400" w:lineRule="exact"/>
        <w:ind w:firstLine="482" w:firstLineChars="200"/>
        <w:rPr>
          <w:rFonts w:hint="eastAsia" w:ascii="宋体" w:hAnsi="宋体" w:eastAsia="宋体" w:cs="宋体"/>
          <w:color w:val="auto"/>
          <w:sz w:val="24"/>
          <w:szCs w:val="24"/>
          <w:highlight w:val="none"/>
        </w:rPr>
      </w:pPr>
      <w:bookmarkStart w:id="22" w:name="_Toc3677"/>
      <w:bookmarkStart w:id="23" w:name="_Toc15146"/>
      <w:bookmarkStart w:id="24" w:name="_Toc28275"/>
      <w:bookmarkStart w:id="25" w:name="_Toc11197"/>
      <w:bookmarkStart w:id="26" w:name="_Toc31061"/>
      <w:bookmarkStart w:id="27" w:name="_Toc32188"/>
      <w:bookmarkStart w:id="28" w:name="_Toc11891"/>
      <w:bookmarkStart w:id="29" w:name="_Toc10624"/>
      <w:r>
        <w:rPr>
          <w:rFonts w:hint="eastAsia" w:ascii="宋体" w:hAnsi="宋体" w:eastAsia="宋体" w:cs="宋体"/>
          <w:b/>
          <w:bCs/>
          <w:color w:val="auto"/>
          <w:sz w:val="24"/>
          <w:szCs w:val="24"/>
          <w:highlight w:val="none"/>
        </w:rPr>
        <w:t>（五）</w:t>
      </w:r>
      <w:bookmarkEnd w:id="22"/>
      <w:bookmarkEnd w:id="23"/>
      <w:bookmarkEnd w:id="24"/>
      <w:bookmarkEnd w:id="25"/>
      <w:bookmarkEnd w:id="26"/>
      <w:bookmarkEnd w:id="27"/>
      <w:bookmarkEnd w:id="28"/>
      <w:bookmarkEnd w:id="29"/>
      <w:r>
        <w:rPr>
          <w:rFonts w:hint="eastAsia" w:ascii="宋体" w:hAnsi="宋体" w:eastAsia="宋体" w:cs="宋体"/>
          <w:b/>
          <w:bCs/>
          <w:color w:val="auto"/>
          <w:sz w:val="24"/>
          <w:szCs w:val="24"/>
          <w:highlight w:val="none"/>
        </w:rPr>
        <w:t>线下需提交纸质响应文件一式</w:t>
      </w: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份，其中正本一份，副本</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份（副本可为正本的复印件，应与正本一致，如出现不一致情况以正本为准），纸质响应文件密封后需邮寄至：</w:t>
      </w:r>
      <w:r>
        <w:rPr>
          <w:rFonts w:hint="eastAsia" w:ascii="宋体" w:hAnsi="宋体" w:eastAsia="宋体" w:cs="宋体"/>
          <w:b/>
          <w:bCs/>
          <w:color w:val="auto"/>
          <w:sz w:val="24"/>
          <w:szCs w:val="24"/>
          <w:highlight w:val="none"/>
        </w:rPr>
        <w:t>重庆市渝北区龙华大道88号川岚重庆1806室，收件人：</w:t>
      </w:r>
      <w:r>
        <w:rPr>
          <w:rFonts w:hint="eastAsia" w:ascii="宋体" w:hAnsi="宋体" w:eastAsia="宋体" w:cs="宋体"/>
          <w:b/>
          <w:bCs/>
          <w:color w:val="auto"/>
          <w:sz w:val="24"/>
          <w:szCs w:val="24"/>
          <w:highlight w:val="none"/>
          <w:lang w:val="en-US" w:eastAsia="zh-CN"/>
        </w:rPr>
        <w:t>王</w:t>
      </w:r>
      <w:r>
        <w:rPr>
          <w:rFonts w:hint="eastAsia" w:ascii="宋体" w:hAnsi="宋体" w:eastAsia="宋体" w:cs="宋体"/>
          <w:b/>
          <w:bCs/>
          <w:color w:val="auto"/>
          <w:sz w:val="24"/>
          <w:szCs w:val="24"/>
          <w:highlight w:val="none"/>
        </w:rPr>
        <w:t>老师，联系电话：</w:t>
      </w:r>
      <w:r>
        <w:rPr>
          <w:rFonts w:hint="eastAsia" w:ascii="宋体" w:hAnsi="宋体" w:cs="宋体"/>
          <w:b/>
          <w:bCs/>
          <w:color w:val="auto"/>
          <w:sz w:val="24"/>
          <w:szCs w:val="24"/>
          <w:highlight w:val="none"/>
          <w:lang w:val="en-US" w:eastAsia="zh-CN"/>
        </w:rPr>
        <w:t>18983366667</w:t>
      </w:r>
      <w:r>
        <w:rPr>
          <w:rFonts w:hint="eastAsia" w:ascii="宋体" w:hAnsi="宋体" w:eastAsia="宋体" w:cs="宋体"/>
          <w:b/>
          <w:bCs/>
          <w:color w:val="auto"/>
          <w:sz w:val="24"/>
          <w:szCs w:val="24"/>
          <w:highlight w:val="none"/>
        </w:rPr>
        <w:t>，收件截止时间同线上报价截止时间。（纸质响应文件具体装订要求详见“第五篇 供应商须知”）</w:t>
      </w:r>
    </w:p>
    <w:p w14:paraId="435442C9">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14"/>
      <w:bookmarkEnd w:id="15"/>
      <w:bookmarkEnd w:id="16"/>
      <w:bookmarkEnd w:id="17"/>
      <w:bookmarkEnd w:id="18"/>
      <w:bookmarkEnd w:id="19"/>
      <w:bookmarkEnd w:id="20"/>
    </w:p>
    <w:p w14:paraId="1DEB17A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活动，否则均为无效。</w:t>
      </w:r>
    </w:p>
    <w:p w14:paraId="7CA9FB9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w:t>
      </w:r>
    </w:p>
    <w:p w14:paraId="4494DEC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及补遗文件（如果有）一律在行采家·电子竞采（https://www.gec123.com/xe/）上发布，请各供应商无论下载与否，均视同供应商已知晓本项目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、补遗文件（如果有）的内容。</w:t>
      </w:r>
    </w:p>
    <w:p w14:paraId="71EDF5E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7C9BC1D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结果如何，供应商参与本项目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的所有费用均应由供应商自行承担。</w:t>
      </w:r>
    </w:p>
    <w:p w14:paraId="696CD8E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（七）本项目不接受联合体参与，否则按无效处理。</w:t>
      </w:r>
    </w:p>
    <w:p w14:paraId="76C15C3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（八）本项目不接受合同分包，否则按无效处理。</w:t>
      </w:r>
    </w:p>
    <w:p w14:paraId="3FC1C24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30" w:name="_Toc29174"/>
      <w:bookmarkStart w:id="31" w:name="_Toc521053056"/>
      <w:bookmarkStart w:id="32" w:name="_Toc1733"/>
      <w:bookmarkStart w:id="33" w:name="_Toc10415"/>
      <w:bookmarkStart w:id="34" w:name="_Toc65660337"/>
      <w:bookmarkStart w:id="35" w:name="_Toc525047164"/>
      <w:bookmarkStart w:id="36" w:name="_Toc4826"/>
      <w:r>
        <w:rPr>
          <w:rFonts w:hint="eastAsia" w:ascii="宋体" w:hAnsi="宋体" w:eastAsia="宋体" w:cs="宋体"/>
          <w:color w:val="auto"/>
          <w:sz w:val="24"/>
          <w:szCs w:val="24"/>
          <w:highlight w:val="none"/>
        </w:rPr>
        <w:t>七、联系方式</w:t>
      </w:r>
      <w:bookmarkEnd w:id="30"/>
      <w:bookmarkEnd w:id="31"/>
      <w:bookmarkEnd w:id="32"/>
      <w:bookmarkEnd w:id="33"/>
      <w:bookmarkEnd w:id="34"/>
      <w:bookmarkEnd w:id="35"/>
      <w:bookmarkEnd w:id="36"/>
    </w:p>
    <w:p w14:paraId="5B98AE42">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（一）采购人：</w:t>
      </w:r>
      <w:r>
        <w:rPr>
          <w:rFonts w:hint="eastAsia" w:ascii="宋体" w:hAnsi="宋体" w:cs="宋体"/>
          <w:color w:val="auto"/>
          <w:sz w:val="24"/>
          <w:szCs w:val="24"/>
          <w:highlight w:val="none"/>
          <w:lang w:eastAsia="zh-CN"/>
        </w:rPr>
        <w:t>重庆市渝北区民政局</w:t>
      </w:r>
    </w:p>
    <w:p w14:paraId="4D8AEB2B">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刘老师</w:t>
      </w:r>
    </w:p>
    <w:p w14:paraId="20BAAA69">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18717066166</w:t>
      </w:r>
    </w:p>
    <w:p w14:paraId="4A869348">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highlight w:val="none"/>
        </w:rPr>
        <w:t>地  址：重庆市渝北区龙平街10号</w:t>
      </w:r>
    </w:p>
    <w:p w14:paraId="5CE15663">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（二）采购代理机构：重庆鸿兴招标代理有限公司</w:t>
      </w:r>
    </w:p>
    <w:p w14:paraId="4BBBEEED">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于</w:t>
      </w:r>
      <w:r>
        <w:rPr>
          <w:rFonts w:hint="eastAsia" w:ascii="宋体" w:hAnsi="宋体" w:cs="宋体"/>
          <w:color w:val="auto"/>
          <w:sz w:val="24"/>
          <w:szCs w:val="24"/>
        </w:rPr>
        <w:t>老师</w:t>
      </w:r>
    </w:p>
    <w:p w14:paraId="03C9E792">
      <w:pPr>
        <w:snapToGrid w:val="0"/>
        <w:spacing w:line="400" w:lineRule="exact"/>
        <w:ind w:firstLine="360" w:firstLineChars="15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19112060623</w:t>
      </w:r>
    </w:p>
    <w:p w14:paraId="06C1D19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rPr>
        <w:t>地  址：</w:t>
      </w:r>
      <w:r>
        <w:rPr>
          <w:rFonts w:hint="eastAsia" w:ascii="宋体" w:hAnsi="宋体" w:cs="宋体"/>
          <w:color w:val="auto"/>
          <w:sz w:val="24"/>
          <w:szCs w:val="24"/>
          <w:highlight w:val="none"/>
        </w:rPr>
        <w:t>重庆市渝北区龙华大道88号川岚重庆1806室</w:t>
      </w:r>
    </w:p>
    <w:p w14:paraId="6F673F13">
      <w:pPr>
        <w:snapToGrid w:val="0"/>
        <w:spacing w:line="400" w:lineRule="exact"/>
        <w:ind w:firstLine="360" w:firstLineChars="150"/>
        <w:rPr>
          <w:rFonts w:hint="eastAsia" w:ascii="宋体" w:hAnsi="宋体" w:eastAsia="宋体" w:cs="宋体"/>
          <w:color w:val="auto"/>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5296B1D5">
      <w:pPr>
        <w:pStyle w:val="4"/>
        <w:spacing w:before="0" w:after="0" w:line="360" w:lineRule="auto"/>
        <w:jc w:val="center"/>
        <w:rPr>
          <w:rFonts w:hint="eastAsia" w:ascii="宋体" w:hAnsi="宋体" w:eastAsia="宋体" w:cs="宋体"/>
          <w:b/>
          <w:bCs/>
          <w:color w:val="auto"/>
          <w:sz w:val="36"/>
          <w:szCs w:val="30"/>
          <w:highlight w:val="none"/>
        </w:rPr>
      </w:pPr>
      <w:bookmarkStart w:id="37" w:name="_Toc23299"/>
      <w:r>
        <w:rPr>
          <w:rFonts w:hint="eastAsia" w:ascii="宋体" w:hAnsi="宋体" w:eastAsia="宋体" w:cs="宋体"/>
          <w:b/>
          <w:bCs/>
          <w:color w:val="auto"/>
          <w:sz w:val="36"/>
          <w:szCs w:val="30"/>
          <w:highlight w:val="none"/>
        </w:rPr>
        <w:t xml:space="preserve">第二篇  </w:t>
      </w:r>
      <w:bookmarkEnd w:id="37"/>
      <w:r>
        <w:rPr>
          <w:rFonts w:hint="eastAsia" w:ascii="宋体" w:hAnsi="宋体" w:eastAsia="宋体" w:cs="宋体"/>
          <w:b/>
          <w:bCs/>
          <w:color w:val="auto"/>
          <w:sz w:val="36"/>
          <w:szCs w:val="30"/>
          <w:highlight w:val="none"/>
        </w:rPr>
        <w:t>项目技术（质量）需求</w:t>
      </w:r>
    </w:p>
    <w:p w14:paraId="03F39455">
      <w:pPr>
        <w:spacing w:line="360" w:lineRule="auto"/>
        <w:rPr>
          <w:rFonts w:hint="eastAsia"/>
          <w:color w:val="auto"/>
          <w:highlight w:val="none"/>
        </w:rPr>
      </w:pPr>
      <w:r>
        <w:rPr>
          <w:rFonts w:hint="eastAsia" w:ascii="宋体" w:hAnsi="宋体" w:cs="宋体"/>
          <w:b/>
          <w:bCs/>
          <w:color w:val="auto"/>
          <w:sz w:val="24"/>
          <w:szCs w:val="24"/>
          <w:highlight w:val="none"/>
        </w:rPr>
        <w:t>注：本篇服务需求均为符合性审查中的实质性要求，响应文件若不满足按无效处理。</w:t>
      </w:r>
    </w:p>
    <w:bookmarkEnd w:id="21"/>
    <w:p w14:paraId="4BC21EB5">
      <w:pPr>
        <w:pStyle w:val="4"/>
        <w:adjustRightInd w:val="0"/>
        <w:snapToGrid w:val="0"/>
        <w:spacing w:before="0" w:after="0" w:line="400" w:lineRule="exact"/>
        <w:ind w:firstLine="482" w:firstLineChars="200"/>
        <w:outlineLvl w:val="0"/>
        <w:rPr>
          <w:rFonts w:ascii="宋体" w:hAnsi="宋体" w:eastAsia="宋体" w:cs="宋体"/>
          <w:color w:val="auto"/>
          <w:sz w:val="24"/>
          <w:highlight w:val="none"/>
        </w:rPr>
      </w:pPr>
      <w:bookmarkStart w:id="38" w:name="_Toc3233"/>
      <w:bookmarkStart w:id="39" w:name="_Toc3184"/>
      <w:bookmarkStart w:id="40" w:name="_Toc342913389"/>
      <w:r>
        <w:rPr>
          <w:rFonts w:hint="eastAsia" w:ascii="宋体" w:hAnsi="宋体" w:eastAsia="宋体" w:cs="宋体"/>
          <w:color w:val="auto"/>
          <w:sz w:val="24"/>
          <w:highlight w:val="none"/>
        </w:rPr>
        <w:t>一、项目一览表</w:t>
      </w:r>
      <w:bookmarkEnd w:id="38"/>
      <w:bookmarkEnd w:id="39"/>
    </w:p>
    <w:tbl>
      <w:tblPr>
        <w:tblStyle w:val="2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2971"/>
        <w:gridCol w:w="2699"/>
      </w:tblGrid>
      <w:tr w14:paraId="5F20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828" w:type="dxa"/>
            <w:tcBorders>
              <w:top w:val="single" w:color="auto" w:sz="4" w:space="0"/>
              <w:left w:val="single" w:color="auto" w:sz="4" w:space="0"/>
              <w:right w:val="single" w:color="auto" w:sz="4" w:space="0"/>
            </w:tcBorders>
            <w:noWrap/>
            <w:vAlign w:val="center"/>
          </w:tcPr>
          <w:p w14:paraId="5DE2F11F">
            <w:pPr>
              <w:widowControl/>
              <w:jc w:val="center"/>
              <w:rPr>
                <w:rFonts w:ascii="宋体" w:hAnsi="宋体" w:cs="宋体"/>
                <w:b/>
                <w:bCs/>
                <w:color w:val="auto"/>
                <w:kern w:val="0"/>
                <w:sz w:val="22"/>
                <w:szCs w:val="28"/>
                <w:highlight w:val="none"/>
              </w:rPr>
            </w:pPr>
            <w:r>
              <w:rPr>
                <w:rFonts w:hint="eastAsia" w:ascii="宋体" w:hAnsi="宋体" w:cs="宋体"/>
                <w:b/>
                <w:bCs/>
                <w:color w:val="auto"/>
                <w:kern w:val="0"/>
                <w:sz w:val="22"/>
                <w:szCs w:val="28"/>
                <w:highlight w:val="none"/>
              </w:rPr>
              <w:t>项目名称</w:t>
            </w:r>
          </w:p>
        </w:tc>
        <w:tc>
          <w:tcPr>
            <w:tcW w:w="2971" w:type="dxa"/>
            <w:tcBorders>
              <w:top w:val="single" w:color="auto" w:sz="4" w:space="0"/>
              <w:left w:val="single" w:color="auto" w:sz="4" w:space="0"/>
              <w:right w:val="single" w:color="auto" w:sz="4" w:space="0"/>
            </w:tcBorders>
            <w:noWrap/>
            <w:vAlign w:val="center"/>
          </w:tcPr>
          <w:p w14:paraId="2C36B8C3">
            <w:pPr>
              <w:jc w:val="center"/>
              <w:rPr>
                <w:rFonts w:ascii="宋体" w:hAnsi="宋体" w:cs="宋体"/>
                <w:b/>
                <w:bCs/>
                <w:color w:val="auto"/>
                <w:kern w:val="0"/>
                <w:sz w:val="22"/>
                <w:szCs w:val="28"/>
                <w:highlight w:val="none"/>
              </w:rPr>
            </w:pPr>
            <w:r>
              <w:rPr>
                <w:rFonts w:hint="eastAsia" w:ascii="宋体" w:hAnsi="宋体" w:cs="宋体"/>
                <w:color w:val="auto"/>
                <w:sz w:val="24"/>
                <w:szCs w:val="24"/>
              </w:rPr>
              <w:t>数量/单位</w:t>
            </w:r>
          </w:p>
        </w:tc>
        <w:tc>
          <w:tcPr>
            <w:tcW w:w="2699" w:type="dxa"/>
            <w:tcBorders>
              <w:top w:val="single" w:color="auto" w:sz="4" w:space="0"/>
              <w:left w:val="single" w:color="auto" w:sz="4" w:space="0"/>
              <w:right w:val="single" w:color="auto" w:sz="4" w:space="0"/>
            </w:tcBorders>
            <w:noWrap/>
            <w:vAlign w:val="center"/>
          </w:tcPr>
          <w:p w14:paraId="12BF02CD">
            <w:pPr>
              <w:jc w:val="center"/>
              <w:rPr>
                <w:rFonts w:ascii="宋体" w:hAnsi="宋体" w:cs="宋体"/>
                <w:b/>
                <w:bCs/>
                <w:color w:val="auto"/>
                <w:kern w:val="0"/>
                <w:sz w:val="22"/>
                <w:szCs w:val="28"/>
                <w:highlight w:val="none"/>
              </w:rPr>
            </w:pPr>
            <w:r>
              <w:rPr>
                <w:rFonts w:hint="eastAsia" w:ascii="宋体" w:hAnsi="宋体" w:cs="宋体"/>
                <w:b/>
                <w:bCs/>
                <w:color w:val="auto"/>
                <w:kern w:val="0"/>
                <w:sz w:val="22"/>
                <w:szCs w:val="28"/>
                <w:highlight w:val="none"/>
              </w:rPr>
              <w:t>备注</w:t>
            </w:r>
          </w:p>
        </w:tc>
      </w:tr>
      <w:tr w14:paraId="2A45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828" w:type="dxa"/>
            <w:tcBorders>
              <w:top w:val="single" w:color="auto" w:sz="4" w:space="0"/>
              <w:left w:val="single" w:color="auto" w:sz="4" w:space="0"/>
              <w:right w:val="single" w:color="auto" w:sz="4" w:space="0"/>
            </w:tcBorders>
            <w:noWrap/>
            <w:vAlign w:val="center"/>
          </w:tcPr>
          <w:p w14:paraId="17493A0F">
            <w:pPr>
              <w:widowControl/>
              <w:jc w:val="center"/>
              <w:rPr>
                <w:rFonts w:hint="eastAsia" w:ascii="宋体" w:hAnsi="宋体" w:eastAsia="宋体" w:cs="宋体"/>
                <w:color w:val="auto"/>
                <w:kern w:val="0"/>
                <w:sz w:val="22"/>
                <w:szCs w:val="28"/>
                <w:highlight w:val="none"/>
                <w:lang w:eastAsia="zh-CN"/>
              </w:rPr>
            </w:pPr>
            <w:r>
              <w:rPr>
                <w:rFonts w:hint="eastAsia" w:ascii="宋体" w:hAnsi="宋体" w:cs="宋体"/>
                <w:color w:val="auto"/>
                <w:kern w:val="0"/>
                <w:sz w:val="22"/>
                <w:szCs w:val="28"/>
                <w:highlight w:val="none"/>
                <w:lang w:eastAsia="zh-CN"/>
              </w:rPr>
              <w:t>渝北区民政局厨房设施设备采购</w:t>
            </w:r>
          </w:p>
        </w:tc>
        <w:tc>
          <w:tcPr>
            <w:tcW w:w="2971" w:type="dxa"/>
            <w:tcBorders>
              <w:top w:val="single" w:color="auto" w:sz="4" w:space="0"/>
              <w:left w:val="single" w:color="auto" w:sz="4" w:space="0"/>
              <w:right w:val="single" w:color="auto" w:sz="4" w:space="0"/>
            </w:tcBorders>
            <w:noWrap/>
            <w:vAlign w:val="center"/>
          </w:tcPr>
          <w:p w14:paraId="343E0FB4">
            <w:pPr>
              <w:widowControl/>
              <w:jc w:val="center"/>
              <w:rPr>
                <w:rFonts w:hint="default" w:ascii="宋体" w:hAnsi="宋体" w:eastAsia="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1项</w:t>
            </w:r>
          </w:p>
        </w:tc>
        <w:tc>
          <w:tcPr>
            <w:tcW w:w="2699" w:type="dxa"/>
            <w:tcBorders>
              <w:top w:val="single" w:color="auto" w:sz="4" w:space="0"/>
              <w:left w:val="single" w:color="auto" w:sz="4" w:space="0"/>
              <w:right w:val="single" w:color="auto" w:sz="4" w:space="0"/>
            </w:tcBorders>
            <w:noWrap/>
            <w:vAlign w:val="center"/>
          </w:tcPr>
          <w:p w14:paraId="7327C5CE">
            <w:pPr>
              <w:widowControl/>
              <w:jc w:val="center"/>
              <w:rPr>
                <w:rFonts w:ascii="宋体" w:hAnsi="宋体" w:cs="宋体"/>
                <w:color w:val="auto"/>
                <w:kern w:val="0"/>
                <w:sz w:val="22"/>
                <w:szCs w:val="28"/>
                <w:highlight w:val="none"/>
              </w:rPr>
            </w:pPr>
          </w:p>
        </w:tc>
      </w:tr>
    </w:tbl>
    <w:p w14:paraId="58E1D00B">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outlineLvl w:val="0"/>
        <w:rPr>
          <w:rFonts w:ascii="宋体" w:hAnsi="宋体" w:eastAsia="宋体" w:cs="宋体"/>
          <w:color w:val="auto"/>
          <w:sz w:val="24"/>
          <w:highlight w:val="none"/>
        </w:rPr>
      </w:pPr>
      <w:bookmarkStart w:id="41" w:name="_Toc2260"/>
      <w:bookmarkStart w:id="42" w:name="_Toc32413"/>
      <w:r>
        <w:rPr>
          <w:rFonts w:hint="eastAsia" w:ascii="宋体" w:hAnsi="宋体" w:eastAsia="宋体" w:cs="宋体"/>
          <w:color w:val="auto"/>
          <w:sz w:val="24"/>
          <w:highlight w:val="none"/>
        </w:rPr>
        <w:t>二、技术规格及质量要求</w:t>
      </w:r>
      <w:bookmarkEnd w:id="41"/>
      <w:bookmarkEnd w:id="42"/>
    </w:p>
    <w:tbl>
      <w:tblPr>
        <w:tblStyle w:val="25"/>
        <w:tblW w:w="10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1045"/>
        <w:gridCol w:w="1213"/>
        <w:gridCol w:w="4274"/>
        <w:gridCol w:w="713"/>
        <w:gridCol w:w="675"/>
        <w:gridCol w:w="1462"/>
      </w:tblGrid>
      <w:tr w14:paraId="3053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530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bookmarkStart w:id="43" w:name="_Toc12305"/>
            <w:bookmarkStart w:id="44" w:name="_Toc4511"/>
            <w:r>
              <w:rPr>
                <w:rFonts w:hint="eastAsia" w:ascii="宋体" w:hAnsi="宋体" w:cs="宋体"/>
                <w:b/>
                <w:bCs/>
                <w:i w:val="0"/>
                <w:iCs w:val="0"/>
                <w:color w:val="auto"/>
                <w:kern w:val="0"/>
                <w:sz w:val="22"/>
                <w:szCs w:val="22"/>
                <w:highlight w:val="none"/>
                <w:u w:val="none"/>
                <w:lang w:val="en-US" w:eastAsia="zh-CN" w:bidi="ar"/>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DB0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CF2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尺寸(WxDxH)</w:t>
            </w:r>
          </w:p>
        </w:tc>
        <w:tc>
          <w:tcPr>
            <w:tcW w:w="4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933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7DB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47C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14A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参考图片</w:t>
            </w:r>
          </w:p>
        </w:tc>
      </w:tr>
      <w:tr w14:paraId="5C7A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94AB">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A烹饪区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563C">
            <w:pPr>
              <w:jc w:val="center"/>
              <w:rPr>
                <w:rFonts w:hint="eastAsia" w:ascii="宋体" w:hAnsi="宋体" w:eastAsia="宋体" w:cs="宋体"/>
                <w:i w:val="0"/>
                <w:iCs w:val="0"/>
                <w:color w:val="auto"/>
                <w:sz w:val="22"/>
                <w:szCs w:val="22"/>
                <w:highlight w:val="none"/>
                <w:u w:val="none"/>
              </w:rPr>
            </w:pPr>
          </w:p>
        </w:tc>
        <w:tc>
          <w:tcPr>
            <w:tcW w:w="4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350E">
            <w:pPr>
              <w:jc w:val="left"/>
              <w:rPr>
                <w:rFonts w:hint="eastAsia" w:ascii="宋体" w:hAnsi="宋体" w:eastAsia="宋体" w:cs="宋体"/>
                <w:i w:val="0"/>
                <w:iCs w:val="0"/>
                <w:color w:val="auto"/>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1C0F">
            <w:pPr>
              <w:rPr>
                <w:rFonts w:hint="eastAsia" w:ascii="宋体" w:hAnsi="宋体" w:eastAsia="宋体" w:cs="宋体"/>
                <w:i w:val="0"/>
                <w:iCs w:val="0"/>
                <w:color w:val="auto"/>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9FFD">
            <w:pP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CAF9">
            <w:pPr>
              <w:jc w:val="center"/>
              <w:rPr>
                <w:rFonts w:hint="eastAsia" w:ascii="宋体" w:hAnsi="宋体" w:eastAsia="宋体" w:cs="宋体"/>
                <w:b/>
                <w:bCs/>
                <w:i w:val="0"/>
                <w:iCs w:val="0"/>
                <w:color w:val="auto"/>
                <w:sz w:val="22"/>
                <w:szCs w:val="22"/>
                <w:highlight w:val="none"/>
                <w:u w:val="none"/>
              </w:rPr>
            </w:pPr>
          </w:p>
        </w:tc>
      </w:tr>
      <w:tr w14:paraId="5BDD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E4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FE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双通工作台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4C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1800*800*800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AF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1.面板采用304#1.5mm厚不锈钢磨砂板,底部带加强筋。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2.侧板、吊滑门、底板采用1.2mm厚不锈钢磨砂板。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3.台脚采用φ51mm可拆卸加固型不锈钢可调脚。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60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7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E4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876300" cy="552450"/>
                  <wp:effectExtent l="0" t="0" r="0" b="0"/>
                  <wp:docPr id="2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IMG_256"/>
                          <pic:cNvPicPr>
                            <a:picLocks noChangeAspect="1"/>
                          </pic:cNvPicPr>
                        </pic:nvPicPr>
                        <pic:blipFill>
                          <a:blip r:embed="rId13"/>
                          <a:stretch>
                            <a:fillRect/>
                          </a:stretch>
                        </pic:blipFill>
                        <pic:spPr>
                          <a:xfrm>
                            <a:off x="0" y="0"/>
                            <a:ext cx="876300" cy="552450"/>
                          </a:xfrm>
                          <a:prstGeom prst="rect">
                            <a:avLst/>
                          </a:prstGeom>
                          <a:noFill/>
                          <a:ln w="9525">
                            <a:noFill/>
                          </a:ln>
                        </pic:spPr>
                      </pic:pic>
                    </a:graphicData>
                  </a:graphic>
                </wp:inline>
              </w:drawing>
            </w:r>
          </w:p>
        </w:tc>
      </w:tr>
      <w:tr w14:paraId="0A59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27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5D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双层平板工作台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53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1500*800*800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55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1.面板采用304#1.5mm厚不锈钢磨砂板,底部带加强筋。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2.底板采用1.2mm厚不锈钢磨砂板,底部带加强筋。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3.工作台的支撑脚管采用38mm*38mm*1.2mm不锈钢方管，配加固型不锈钢可调脚。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2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C7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CA3928">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483870</wp:posOffset>
                  </wp:positionV>
                  <wp:extent cx="876300" cy="609600"/>
                  <wp:effectExtent l="0" t="0" r="0" b="0"/>
                  <wp:wrapSquare wrapText="bothSides"/>
                  <wp:docPr id="2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IMG_257"/>
                          <pic:cNvPicPr>
                            <a:picLocks noChangeAspect="1"/>
                          </pic:cNvPicPr>
                        </pic:nvPicPr>
                        <pic:blipFill>
                          <a:blip r:embed="rId14"/>
                          <a:stretch>
                            <a:fillRect/>
                          </a:stretch>
                        </pic:blipFill>
                        <pic:spPr>
                          <a:xfrm>
                            <a:off x="0" y="0"/>
                            <a:ext cx="876300" cy="609600"/>
                          </a:xfrm>
                          <a:prstGeom prst="rect">
                            <a:avLst/>
                          </a:prstGeom>
                          <a:noFill/>
                          <a:ln w="9525">
                            <a:noFill/>
                          </a:ln>
                        </pic:spPr>
                      </pic:pic>
                    </a:graphicData>
                  </a:graphic>
                </wp:anchor>
              </w:drawing>
            </w:r>
          </w:p>
        </w:tc>
      </w:tr>
      <w:tr w14:paraId="2B53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89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57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不锈钢封墙钢</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D7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L*10*2000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0CB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采用1.2mm厚不锈钢磨砂板。</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C1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E0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5821B3BE">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676275" cy="476250"/>
                  <wp:effectExtent l="0" t="0" r="9525" b="0"/>
                  <wp:docPr id="2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IMG_258"/>
                          <pic:cNvPicPr>
                            <a:picLocks noChangeAspect="1"/>
                          </pic:cNvPicPr>
                        </pic:nvPicPr>
                        <pic:blipFill>
                          <a:blip r:embed="rId15"/>
                          <a:stretch>
                            <a:fillRect/>
                          </a:stretch>
                        </pic:blipFill>
                        <pic:spPr>
                          <a:xfrm>
                            <a:off x="0" y="0"/>
                            <a:ext cx="676275" cy="476250"/>
                          </a:xfrm>
                          <a:prstGeom prst="rect">
                            <a:avLst/>
                          </a:prstGeom>
                          <a:noFill/>
                          <a:ln w="9525">
                            <a:noFill/>
                          </a:ln>
                        </pic:spPr>
                      </pic:pic>
                    </a:graphicData>
                  </a:graphic>
                </wp:inline>
              </w:drawing>
            </w:r>
          </w:p>
        </w:tc>
      </w:tr>
      <w:tr w14:paraId="591F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0A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6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烟罩式油烟一体机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E0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L*1200*1000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44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1.箱体全不锈钢材质，集油烟收集、抽排、净化、除味、自清洁、火情预警六大功能于一体。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2.采用圆筒蜂巢线型结构电场，利用蜂巢双驱油烟净化技术，深层净化效率更高。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3.采用智能数字高频高压电源功率强劲，能量利用率高具有软启动，恒流输出控制，灭弧，多次放电，开路，短路，过载，过温等保护功能。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4.搭载绝缘F等级离心式风机噪音低，风量大，耐高温达155度。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4.智能控制面板：人性化设计触摸和感应控制，操作简单，智能数码显示屏运行状态一目了然，随时掌控设备运行状况。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5.设备自带火灾探测预警装置，烟气温度过高时设备净化和风机自动开启停止工作模式同时发出报警声，在遇到火情的条件下预警。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6.数字电源具有数据采集，分析和存储功能可通过云服务系统，用户可随时通过平台或手机对设备运行实时状态，对设备出现的问题进行提示，并远程对设备进行调试和关停。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7.设备依据GB 30122-2013标准，在高温条件下对火灾探测报警器响应状况进行测试，须提供带CMA或CNAS标识的检测报告复印件加盖供应商公章。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8.设备依据GB/T16157-1996标准，在额定风量条件下设备的除味效率≥90%，须提供带CMA或CNAS标识的检测报告复印件加盖供应商公章。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 xml:space="preserve">9.设备依据GB 18483-2001标准，在额定风量条件下设备的油烟净化效率≥99%，须提供带CMA或CNAS标识的检测报告复印件加盖供应商公章。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10.设备依据GB 29539-2013《吸油烟机能效限定值及能效等级》标准，测试达到一级能效，须提供带CMA或CNAS标识的检测报告复印件加盖供应商公章。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11.设备满足《HI/T62-2001》标准要求，具备中国环保产品认证证书或环境保护产品认证证书，须提供证书复印件加盖供应商公章。</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0A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7E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3B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714375" cy="495300"/>
                  <wp:effectExtent l="0" t="0" r="9525" b="0"/>
                  <wp:docPr id="2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IMG_259"/>
                          <pic:cNvPicPr>
                            <a:picLocks noChangeAspect="1"/>
                          </pic:cNvPicPr>
                        </pic:nvPicPr>
                        <pic:blipFill>
                          <a:blip r:embed="rId16"/>
                          <a:stretch>
                            <a:fillRect/>
                          </a:stretch>
                        </pic:blipFill>
                        <pic:spPr>
                          <a:xfrm>
                            <a:off x="0" y="0"/>
                            <a:ext cx="714375" cy="495300"/>
                          </a:xfrm>
                          <a:prstGeom prst="rect">
                            <a:avLst/>
                          </a:prstGeom>
                          <a:noFill/>
                          <a:ln w="9525">
                            <a:noFill/>
                          </a:ln>
                        </pic:spPr>
                      </pic:pic>
                    </a:graphicData>
                  </a:graphic>
                </wp:inline>
              </w:drawing>
            </w:r>
          </w:p>
        </w:tc>
      </w:tr>
      <w:tr w14:paraId="607E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8360">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B面点及加工区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A03E">
            <w:pPr>
              <w:jc w:val="center"/>
              <w:rPr>
                <w:rFonts w:hint="eastAsia" w:ascii="宋体" w:hAnsi="宋体" w:eastAsia="宋体" w:cs="宋体"/>
                <w:i w:val="0"/>
                <w:iCs w:val="0"/>
                <w:color w:val="auto"/>
                <w:sz w:val="22"/>
                <w:szCs w:val="22"/>
                <w:highlight w:val="none"/>
                <w:u w:val="none"/>
              </w:rPr>
            </w:pPr>
          </w:p>
        </w:tc>
        <w:tc>
          <w:tcPr>
            <w:tcW w:w="4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EF09">
            <w:pPr>
              <w:jc w:val="left"/>
              <w:rPr>
                <w:rFonts w:hint="eastAsia" w:ascii="宋体" w:hAnsi="宋体" w:eastAsia="宋体" w:cs="宋体"/>
                <w:i w:val="0"/>
                <w:iCs w:val="0"/>
                <w:color w:val="auto"/>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EE78">
            <w:pPr>
              <w:rPr>
                <w:rFonts w:hint="eastAsia" w:ascii="宋体" w:hAnsi="宋体" w:eastAsia="宋体" w:cs="宋体"/>
                <w:i w:val="0"/>
                <w:iCs w:val="0"/>
                <w:color w:val="auto"/>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9AAA">
            <w:pP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BB19">
            <w:pPr>
              <w:jc w:val="center"/>
              <w:rPr>
                <w:rFonts w:hint="eastAsia" w:ascii="宋体" w:hAnsi="宋体" w:eastAsia="宋体" w:cs="宋体"/>
                <w:b/>
                <w:bCs/>
                <w:i w:val="0"/>
                <w:iCs w:val="0"/>
                <w:color w:val="auto"/>
                <w:sz w:val="22"/>
                <w:szCs w:val="22"/>
                <w:highlight w:val="none"/>
                <w:u w:val="none"/>
              </w:rPr>
            </w:pPr>
          </w:p>
        </w:tc>
      </w:tr>
      <w:tr w14:paraId="7BAA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A1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79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四层栅格层架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85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1200*500*1700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02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1.顶部采用加固密封盖及装饰板，搁板采用304#1.2mm厚不锈钢磨砂板。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2.立柱采用1.0mm厚不锈钢磨砂板成型圆孔条形柱，货架各层高度可调控。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3.产品抛光后表面纹理应均匀一致，焊纹均匀一致，底部配加固型不锈钢可调脚。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45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4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CE0498">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1312" behindDoc="0" locked="0" layoutInCell="1" allowOverlap="1">
                  <wp:simplePos x="0" y="0"/>
                  <wp:positionH relativeFrom="column">
                    <wp:posOffset>23495</wp:posOffset>
                  </wp:positionH>
                  <wp:positionV relativeFrom="paragraph">
                    <wp:posOffset>635000</wp:posOffset>
                  </wp:positionV>
                  <wp:extent cx="749935" cy="521970"/>
                  <wp:effectExtent l="0" t="0" r="12065" b="11430"/>
                  <wp:wrapSquare wrapText="bothSides"/>
                  <wp:docPr id="2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IMG_260"/>
                          <pic:cNvPicPr>
                            <a:picLocks noChangeAspect="1"/>
                          </pic:cNvPicPr>
                        </pic:nvPicPr>
                        <pic:blipFill>
                          <a:blip r:embed="rId17"/>
                          <a:stretch>
                            <a:fillRect/>
                          </a:stretch>
                        </pic:blipFill>
                        <pic:spPr>
                          <a:xfrm>
                            <a:off x="0" y="0"/>
                            <a:ext cx="749935" cy="521970"/>
                          </a:xfrm>
                          <a:prstGeom prst="rect">
                            <a:avLst/>
                          </a:prstGeom>
                          <a:noFill/>
                          <a:ln w="9525">
                            <a:noFill/>
                          </a:ln>
                        </pic:spPr>
                      </pic:pic>
                    </a:graphicData>
                  </a:graphic>
                </wp:anchor>
              </w:drawing>
            </w:r>
          </w:p>
        </w:tc>
      </w:tr>
      <w:tr w14:paraId="5BEE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5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E2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粘捕式灭蝇灯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A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370*195*135</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2B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1.材质:ABS材质。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2.配置灯管:H型18W诱蚊灯管。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3.采用诱、捕结合的方式：365nm光波的诱虫光源、以及无毒的粘虫板来引诱和捕捉飞虫。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4.机器全程静音工作，覆盖面积：≥60㎡。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8E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9C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0459DF">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3360" behindDoc="0" locked="0" layoutInCell="1" allowOverlap="1">
                  <wp:simplePos x="0" y="0"/>
                  <wp:positionH relativeFrom="column">
                    <wp:posOffset>-15875</wp:posOffset>
                  </wp:positionH>
                  <wp:positionV relativeFrom="paragraph">
                    <wp:posOffset>222250</wp:posOffset>
                  </wp:positionV>
                  <wp:extent cx="773430" cy="538480"/>
                  <wp:effectExtent l="0" t="0" r="7620" b="13970"/>
                  <wp:wrapSquare wrapText="bothSides"/>
                  <wp:docPr id="2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IMG_261"/>
                          <pic:cNvPicPr>
                            <a:picLocks noChangeAspect="1"/>
                          </pic:cNvPicPr>
                        </pic:nvPicPr>
                        <pic:blipFill>
                          <a:blip r:embed="rId18"/>
                          <a:stretch>
                            <a:fillRect/>
                          </a:stretch>
                        </pic:blipFill>
                        <pic:spPr>
                          <a:xfrm>
                            <a:off x="0" y="0"/>
                            <a:ext cx="773430" cy="538480"/>
                          </a:xfrm>
                          <a:prstGeom prst="rect">
                            <a:avLst/>
                          </a:prstGeom>
                          <a:noFill/>
                          <a:ln w="9525">
                            <a:noFill/>
                          </a:ln>
                        </pic:spPr>
                      </pic:pic>
                    </a:graphicData>
                  </a:graphic>
                </wp:anchor>
              </w:drawing>
            </w:r>
          </w:p>
        </w:tc>
      </w:tr>
      <w:tr w14:paraId="610F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28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DE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电热水器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3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870*415*400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9C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1.操控方式：机械式；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2.外型设计：圆筒型；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3.加热功率：≧3KW；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4.类型：储水式电热水器；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5.能效等级：≧2级能效；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6.专用搪瓷内胆，防腐抗垢。一体发泡保温层，安全速热，减少热量损耗；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7.防水等级：IPX4/8、加热方式：双管加热；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8.电压/频率：220V/50Hz；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9.加热功率：3000W。</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36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B7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FFBC8F">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2336" behindDoc="0" locked="0" layoutInCell="1" allowOverlap="1">
                  <wp:simplePos x="0" y="0"/>
                  <wp:positionH relativeFrom="column">
                    <wp:posOffset>-32385</wp:posOffset>
                  </wp:positionH>
                  <wp:positionV relativeFrom="paragraph">
                    <wp:posOffset>721995</wp:posOffset>
                  </wp:positionV>
                  <wp:extent cx="796925" cy="554355"/>
                  <wp:effectExtent l="0" t="0" r="3175" b="17145"/>
                  <wp:wrapSquare wrapText="bothSides"/>
                  <wp:docPr id="2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IMG_262"/>
                          <pic:cNvPicPr>
                            <a:picLocks noChangeAspect="1"/>
                          </pic:cNvPicPr>
                        </pic:nvPicPr>
                        <pic:blipFill>
                          <a:blip r:embed="rId19"/>
                          <a:stretch>
                            <a:fillRect/>
                          </a:stretch>
                        </pic:blipFill>
                        <pic:spPr>
                          <a:xfrm>
                            <a:off x="0" y="0"/>
                            <a:ext cx="796925" cy="554355"/>
                          </a:xfrm>
                          <a:prstGeom prst="rect">
                            <a:avLst/>
                          </a:prstGeom>
                          <a:noFill/>
                          <a:ln w="9525">
                            <a:noFill/>
                          </a:ln>
                        </pic:spPr>
                      </pic:pic>
                    </a:graphicData>
                  </a:graphic>
                </wp:anchor>
              </w:drawing>
            </w:r>
          </w:p>
        </w:tc>
      </w:tr>
      <w:tr w14:paraId="0044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3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78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双层平板工作台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D1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820*700*800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6DF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1.面板采用304#1.5mm厚不锈钢磨砂板,底部带加强筋。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2.底板采用1.2mm厚不锈钢磨砂板,底部带加强筋。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3.工作台的支撑脚管采用38mm*38mm*1.2mm不锈钢方管，配加固型不锈钢可调脚。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B6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B0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22E885">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4384" behindDoc="0" locked="0" layoutInCell="1" allowOverlap="1">
                  <wp:simplePos x="0" y="0"/>
                  <wp:positionH relativeFrom="column">
                    <wp:posOffset>18415</wp:posOffset>
                  </wp:positionH>
                  <wp:positionV relativeFrom="paragraph">
                    <wp:posOffset>577215</wp:posOffset>
                  </wp:positionV>
                  <wp:extent cx="813435" cy="565785"/>
                  <wp:effectExtent l="0" t="0" r="5715" b="5715"/>
                  <wp:wrapSquare wrapText="bothSides"/>
                  <wp:docPr id="2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IMG_263"/>
                          <pic:cNvPicPr>
                            <a:picLocks noChangeAspect="1"/>
                          </pic:cNvPicPr>
                        </pic:nvPicPr>
                        <pic:blipFill>
                          <a:blip r:embed="rId14"/>
                          <a:stretch>
                            <a:fillRect/>
                          </a:stretch>
                        </pic:blipFill>
                        <pic:spPr>
                          <a:xfrm>
                            <a:off x="0" y="0"/>
                            <a:ext cx="813435" cy="565785"/>
                          </a:xfrm>
                          <a:prstGeom prst="rect">
                            <a:avLst/>
                          </a:prstGeom>
                          <a:noFill/>
                          <a:ln w="9525">
                            <a:noFill/>
                          </a:ln>
                        </pic:spPr>
                      </pic:pic>
                    </a:graphicData>
                  </a:graphic>
                </wp:anchor>
              </w:drawing>
            </w:r>
          </w:p>
        </w:tc>
      </w:tr>
      <w:tr w14:paraId="7AF2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0AF8">
            <w:pPr>
              <w:jc w:val="center"/>
              <w:rPr>
                <w:rFonts w:hint="eastAsia" w:ascii="宋体" w:hAnsi="宋体" w:eastAsia="宋体" w:cs="宋体"/>
                <w:i w:val="0"/>
                <w:iCs w:val="0"/>
                <w:color w:val="auto"/>
                <w:sz w:val="22"/>
                <w:szCs w:val="22"/>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3D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平板推车</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86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850*600*800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73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1.车面板采用304#1.5mm不锈钢板。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2.推手采用Ф38*1.2mm不锈钢管。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3.底部装有2个万向承重轮和2个定向承重轮。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0A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1C0123">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5408" behindDoc="0" locked="0" layoutInCell="1" allowOverlap="1">
                  <wp:simplePos x="0" y="0"/>
                  <wp:positionH relativeFrom="column">
                    <wp:posOffset>29845</wp:posOffset>
                  </wp:positionH>
                  <wp:positionV relativeFrom="paragraph">
                    <wp:posOffset>381000</wp:posOffset>
                  </wp:positionV>
                  <wp:extent cx="687705" cy="482600"/>
                  <wp:effectExtent l="0" t="0" r="17145" b="12700"/>
                  <wp:wrapSquare wrapText="bothSides"/>
                  <wp:docPr id="2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IMG_264"/>
                          <pic:cNvPicPr>
                            <a:picLocks noChangeAspect="1"/>
                          </pic:cNvPicPr>
                        </pic:nvPicPr>
                        <pic:blipFill>
                          <a:blip r:embed="rId20"/>
                          <a:stretch>
                            <a:fillRect/>
                          </a:stretch>
                        </pic:blipFill>
                        <pic:spPr>
                          <a:xfrm>
                            <a:off x="0" y="0"/>
                            <a:ext cx="687705" cy="482600"/>
                          </a:xfrm>
                          <a:prstGeom prst="rect">
                            <a:avLst/>
                          </a:prstGeom>
                          <a:noFill/>
                          <a:ln w="9525">
                            <a:noFill/>
                          </a:ln>
                        </pic:spPr>
                      </pic:pic>
                    </a:graphicData>
                  </a:graphic>
                </wp:anchor>
              </w:drawing>
            </w:r>
          </w:p>
        </w:tc>
      </w:tr>
      <w:tr w14:paraId="20B2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B41F">
            <w:pPr>
              <w:jc w:val="center"/>
              <w:rPr>
                <w:rFonts w:hint="eastAsia" w:ascii="宋体" w:hAnsi="宋体" w:eastAsia="宋体" w:cs="宋体"/>
                <w:i w:val="0"/>
                <w:iCs w:val="0"/>
                <w:color w:val="auto"/>
                <w:sz w:val="22"/>
                <w:szCs w:val="22"/>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45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四层平板货架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8B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1200*500*1700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12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1.顶部采用加固密封盖及装饰板，搁板采用304#1.2mm厚不锈钢磨砂板。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2.立柱采用1.0mm厚不锈钢磨砂板成型圆孔条形柱，货架各层高度可调控。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3.产品抛光后表面纹理应均匀一致，焊纹均匀一致，底部配加固型不锈钢可调脚。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D8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D4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5E7A4B07">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0288" behindDoc="0" locked="0" layoutInCell="1" allowOverlap="1">
                  <wp:simplePos x="0" y="0"/>
                  <wp:positionH relativeFrom="column">
                    <wp:posOffset>-3175</wp:posOffset>
                  </wp:positionH>
                  <wp:positionV relativeFrom="paragraph">
                    <wp:posOffset>539750</wp:posOffset>
                  </wp:positionV>
                  <wp:extent cx="771525" cy="609600"/>
                  <wp:effectExtent l="0" t="0" r="9525" b="0"/>
                  <wp:wrapSquare wrapText="bothSides"/>
                  <wp:docPr id="2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descr="IMG_265"/>
                          <pic:cNvPicPr>
                            <a:picLocks noChangeAspect="1"/>
                          </pic:cNvPicPr>
                        </pic:nvPicPr>
                        <pic:blipFill>
                          <a:blip r:embed="rId21"/>
                          <a:stretch>
                            <a:fillRect/>
                          </a:stretch>
                        </pic:blipFill>
                        <pic:spPr>
                          <a:xfrm>
                            <a:off x="0" y="0"/>
                            <a:ext cx="771525" cy="609600"/>
                          </a:xfrm>
                          <a:prstGeom prst="rect">
                            <a:avLst/>
                          </a:prstGeom>
                          <a:noFill/>
                          <a:ln w="9525">
                            <a:noFill/>
                          </a:ln>
                        </pic:spPr>
                      </pic:pic>
                    </a:graphicData>
                  </a:graphic>
                </wp:anchor>
              </w:drawing>
            </w:r>
          </w:p>
        </w:tc>
      </w:tr>
      <w:tr w14:paraId="310D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3209">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C</w:t>
            </w:r>
            <w:r>
              <w:rPr>
                <w:rFonts w:hint="eastAsia" w:ascii="宋体" w:hAnsi="宋体" w:eastAsia="宋体" w:cs="宋体"/>
                <w:b/>
                <w:bCs/>
                <w:i w:val="0"/>
                <w:iCs w:val="0"/>
                <w:color w:val="auto"/>
                <w:kern w:val="0"/>
                <w:sz w:val="22"/>
                <w:szCs w:val="22"/>
                <w:highlight w:val="none"/>
                <w:u w:val="none"/>
                <w:lang w:val="en-US" w:eastAsia="zh-CN" w:bidi="ar"/>
              </w:rPr>
              <w:t>就餐区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8B4E">
            <w:pPr>
              <w:jc w:val="center"/>
              <w:rPr>
                <w:rFonts w:hint="eastAsia" w:ascii="宋体" w:hAnsi="宋体" w:eastAsia="宋体" w:cs="宋体"/>
                <w:i w:val="0"/>
                <w:iCs w:val="0"/>
                <w:color w:val="auto"/>
                <w:sz w:val="22"/>
                <w:szCs w:val="22"/>
                <w:highlight w:val="none"/>
                <w:u w:val="none"/>
              </w:rPr>
            </w:pPr>
          </w:p>
        </w:tc>
        <w:tc>
          <w:tcPr>
            <w:tcW w:w="4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48E">
            <w:pPr>
              <w:jc w:val="left"/>
              <w:rPr>
                <w:rFonts w:hint="eastAsia" w:ascii="宋体" w:hAnsi="宋体" w:eastAsia="宋体" w:cs="宋体"/>
                <w:i w:val="0"/>
                <w:iCs w:val="0"/>
                <w:color w:val="auto"/>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FFA1">
            <w:pPr>
              <w:rPr>
                <w:rFonts w:hint="eastAsia" w:ascii="宋体" w:hAnsi="宋体" w:eastAsia="宋体" w:cs="宋体"/>
                <w:i w:val="0"/>
                <w:iCs w:val="0"/>
                <w:color w:val="auto"/>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8FF3">
            <w:pP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E997">
            <w:pPr>
              <w:jc w:val="center"/>
              <w:rPr>
                <w:rFonts w:hint="eastAsia" w:ascii="宋体" w:hAnsi="宋体" w:eastAsia="宋体" w:cs="宋体"/>
                <w:b/>
                <w:bCs/>
                <w:i w:val="0"/>
                <w:iCs w:val="0"/>
                <w:color w:val="auto"/>
                <w:sz w:val="22"/>
                <w:szCs w:val="22"/>
                <w:highlight w:val="none"/>
                <w:u w:val="none"/>
              </w:rPr>
            </w:pPr>
          </w:p>
        </w:tc>
      </w:tr>
      <w:tr w14:paraId="6304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C2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C</w:t>
            </w:r>
            <w:r>
              <w:rPr>
                <w:rFonts w:hint="eastAsia" w:ascii="宋体" w:hAnsi="宋体" w:eastAsia="宋体" w:cs="宋体"/>
                <w:b w:val="0"/>
                <w:bCs w:val="0"/>
                <w:i w:val="0"/>
                <w:iCs w:val="0"/>
                <w:color w:val="auto"/>
                <w:kern w:val="0"/>
                <w:sz w:val="22"/>
                <w:szCs w:val="22"/>
                <w:highlight w:val="none"/>
                <w:u w:val="none"/>
                <w:lang w:val="en-US" w:eastAsia="zh-CN" w:bidi="ar"/>
              </w:rPr>
              <w:t>01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77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活动双层平板工作台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4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1800*800*800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F3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1.面板采用304#1.5mm厚不锈钢磨砂板,底部带加强筋。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2.底板采用1.2mm厚不锈钢磨砂板,底部带加强筋。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3.工作台的支撑脚管采用38mm*38mm*1.2mm不锈钢方管，配加固型不锈钢可调脚。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E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B5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2E1134">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594995</wp:posOffset>
                  </wp:positionV>
                  <wp:extent cx="751840" cy="523240"/>
                  <wp:effectExtent l="0" t="0" r="10160" b="10160"/>
                  <wp:wrapSquare wrapText="bothSides"/>
                  <wp:docPr id="3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descr="IMG_266"/>
                          <pic:cNvPicPr>
                            <a:picLocks noChangeAspect="1"/>
                          </pic:cNvPicPr>
                        </pic:nvPicPr>
                        <pic:blipFill>
                          <a:blip r:embed="rId22"/>
                          <a:stretch>
                            <a:fillRect/>
                          </a:stretch>
                        </pic:blipFill>
                        <pic:spPr>
                          <a:xfrm>
                            <a:off x="0" y="0"/>
                            <a:ext cx="751840" cy="523240"/>
                          </a:xfrm>
                          <a:prstGeom prst="rect">
                            <a:avLst/>
                          </a:prstGeom>
                          <a:noFill/>
                          <a:ln w="9525">
                            <a:noFill/>
                          </a:ln>
                        </pic:spPr>
                      </pic:pic>
                    </a:graphicData>
                  </a:graphic>
                </wp:anchor>
              </w:drawing>
            </w:r>
          </w:p>
        </w:tc>
      </w:tr>
      <w:tr w14:paraId="4461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AEE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C</w:t>
            </w:r>
            <w:r>
              <w:rPr>
                <w:rFonts w:hint="eastAsia" w:ascii="宋体" w:hAnsi="宋体" w:eastAsia="宋体" w:cs="宋体"/>
                <w:b w:val="0"/>
                <w:bCs w:val="0"/>
                <w:i w:val="0"/>
                <w:iCs w:val="0"/>
                <w:color w:val="auto"/>
                <w:kern w:val="0"/>
                <w:sz w:val="22"/>
                <w:szCs w:val="22"/>
                <w:highlight w:val="none"/>
                <w:u w:val="none"/>
                <w:lang w:val="en-US" w:eastAsia="zh-CN" w:bidi="ar"/>
              </w:rPr>
              <w:t>02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C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双层平板工作台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3F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1200*680*800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AA8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1.面板采用304#1.5mm厚不锈钢磨砂板,底部带加强筋。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2.底板采用1.2mm厚不锈钢磨砂板,底部带加强筋。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3.工作台的支撑脚管采用38mm*38mm*1.2mm不锈钢方管，配加固型不锈钢可调脚。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58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CA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466327">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7456" behindDoc="0" locked="0" layoutInCell="1" allowOverlap="1">
                  <wp:simplePos x="0" y="0"/>
                  <wp:positionH relativeFrom="column">
                    <wp:posOffset>-31750</wp:posOffset>
                  </wp:positionH>
                  <wp:positionV relativeFrom="paragraph">
                    <wp:posOffset>547370</wp:posOffset>
                  </wp:positionV>
                  <wp:extent cx="751205" cy="522605"/>
                  <wp:effectExtent l="0" t="0" r="10795" b="10795"/>
                  <wp:wrapSquare wrapText="bothSides"/>
                  <wp:docPr id="3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descr="IMG_267"/>
                          <pic:cNvPicPr>
                            <a:picLocks noChangeAspect="1"/>
                          </pic:cNvPicPr>
                        </pic:nvPicPr>
                        <pic:blipFill>
                          <a:blip r:embed="rId14"/>
                          <a:stretch>
                            <a:fillRect/>
                          </a:stretch>
                        </pic:blipFill>
                        <pic:spPr>
                          <a:xfrm>
                            <a:off x="0" y="0"/>
                            <a:ext cx="751205" cy="522605"/>
                          </a:xfrm>
                          <a:prstGeom prst="rect">
                            <a:avLst/>
                          </a:prstGeom>
                          <a:noFill/>
                          <a:ln w="9525">
                            <a:noFill/>
                          </a:ln>
                        </pic:spPr>
                      </pic:pic>
                    </a:graphicData>
                  </a:graphic>
                </wp:anchor>
              </w:drawing>
            </w:r>
          </w:p>
        </w:tc>
      </w:tr>
      <w:tr w14:paraId="1E47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036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C</w:t>
            </w:r>
            <w:r>
              <w:rPr>
                <w:rFonts w:hint="eastAsia" w:ascii="宋体" w:hAnsi="宋体" w:eastAsia="宋体" w:cs="宋体"/>
                <w:b w:val="0"/>
                <w:bCs w:val="0"/>
                <w:i w:val="0"/>
                <w:iCs w:val="0"/>
                <w:color w:val="auto"/>
                <w:kern w:val="0"/>
                <w:sz w:val="22"/>
                <w:szCs w:val="22"/>
                <w:highlight w:val="none"/>
                <w:u w:val="none"/>
                <w:lang w:val="en-US" w:eastAsia="zh-CN" w:bidi="ar"/>
              </w:rPr>
              <w:t>03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8D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双孔收餐工作柜（带靠背）</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D4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1500*600*800+150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19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1.收餐柜的面板采用304#1.5mm厚优质不锈钢磨砂板,底部带加强筋。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2.收餐柜的支撑脚管采用38mm*1.2mm厚不锈钢管。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3.收餐柜的支撑脚底部装，配加固型不锈钢可调脚。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56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CE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79A556">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8480" behindDoc="0" locked="0" layoutInCell="1" allowOverlap="1">
                  <wp:simplePos x="0" y="0"/>
                  <wp:positionH relativeFrom="column">
                    <wp:posOffset>-24130</wp:posOffset>
                  </wp:positionH>
                  <wp:positionV relativeFrom="paragraph">
                    <wp:posOffset>428625</wp:posOffset>
                  </wp:positionV>
                  <wp:extent cx="773430" cy="538480"/>
                  <wp:effectExtent l="0" t="0" r="7620" b="13970"/>
                  <wp:wrapSquare wrapText="bothSides"/>
                  <wp:docPr id="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IMG_268"/>
                          <pic:cNvPicPr>
                            <a:picLocks noChangeAspect="1"/>
                          </pic:cNvPicPr>
                        </pic:nvPicPr>
                        <pic:blipFill>
                          <a:blip r:embed="rId23"/>
                          <a:stretch>
                            <a:fillRect/>
                          </a:stretch>
                        </pic:blipFill>
                        <pic:spPr>
                          <a:xfrm>
                            <a:off x="0" y="0"/>
                            <a:ext cx="773430" cy="538480"/>
                          </a:xfrm>
                          <a:prstGeom prst="rect">
                            <a:avLst/>
                          </a:prstGeom>
                          <a:noFill/>
                          <a:ln w="9525">
                            <a:noFill/>
                          </a:ln>
                        </pic:spPr>
                      </pic:pic>
                    </a:graphicData>
                  </a:graphic>
                </wp:anchor>
              </w:drawing>
            </w:r>
          </w:p>
        </w:tc>
      </w:tr>
      <w:tr w14:paraId="7361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89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C</w:t>
            </w:r>
            <w:r>
              <w:rPr>
                <w:rFonts w:hint="eastAsia" w:ascii="宋体" w:hAnsi="宋体" w:eastAsia="宋体" w:cs="宋体"/>
                <w:b w:val="0"/>
                <w:bCs w:val="0"/>
                <w:i w:val="0"/>
                <w:iCs w:val="0"/>
                <w:color w:val="auto"/>
                <w:kern w:val="0"/>
                <w:sz w:val="22"/>
                <w:szCs w:val="22"/>
                <w:highlight w:val="none"/>
                <w:u w:val="none"/>
                <w:lang w:val="en-US" w:eastAsia="zh-CN" w:bidi="ar"/>
              </w:rPr>
              <w:t>04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F4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双层平板工作台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01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1200*600*500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4F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1.面板采用304#1.5mm厚不锈钢磨砂板,底部带加强筋。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2.底板采用1.2mm厚不锈钢磨砂板,底部带加强筋。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3.工作台的支撑脚管采用38mm*38mm*1.2mm不锈钢方管，配加固型不锈钢可调脚。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A7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D8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8601D9">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9504" behindDoc="0" locked="0" layoutInCell="1" allowOverlap="1">
                  <wp:simplePos x="0" y="0"/>
                  <wp:positionH relativeFrom="column">
                    <wp:posOffset>31750</wp:posOffset>
                  </wp:positionH>
                  <wp:positionV relativeFrom="paragraph">
                    <wp:posOffset>579120</wp:posOffset>
                  </wp:positionV>
                  <wp:extent cx="704215" cy="490220"/>
                  <wp:effectExtent l="0" t="0" r="635" b="5080"/>
                  <wp:wrapSquare wrapText="bothSides"/>
                  <wp:docPr id="1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69"/>
                          <pic:cNvPicPr>
                            <a:picLocks noChangeAspect="1"/>
                          </pic:cNvPicPr>
                        </pic:nvPicPr>
                        <pic:blipFill>
                          <a:blip r:embed="rId14"/>
                          <a:stretch>
                            <a:fillRect/>
                          </a:stretch>
                        </pic:blipFill>
                        <pic:spPr>
                          <a:xfrm>
                            <a:off x="0" y="0"/>
                            <a:ext cx="704215" cy="490220"/>
                          </a:xfrm>
                          <a:prstGeom prst="rect">
                            <a:avLst/>
                          </a:prstGeom>
                          <a:noFill/>
                          <a:ln w="9525">
                            <a:noFill/>
                          </a:ln>
                        </pic:spPr>
                      </pic:pic>
                    </a:graphicData>
                  </a:graphic>
                </wp:anchor>
              </w:drawing>
            </w:r>
          </w:p>
        </w:tc>
      </w:tr>
      <w:tr w14:paraId="07F8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1C34">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D</w:t>
            </w:r>
            <w:r>
              <w:rPr>
                <w:rFonts w:hint="eastAsia" w:ascii="宋体" w:hAnsi="宋体" w:eastAsia="宋体" w:cs="宋体"/>
                <w:b/>
                <w:bCs/>
                <w:i w:val="0"/>
                <w:iCs w:val="0"/>
                <w:color w:val="auto"/>
                <w:kern w:val="0"/>
                <w:sz w:val="22"/>
                <w:szCs w:val="22"/>
                <w:highlight w:val="none"/>
                <w:u w:val="none"/>
                <w:lang w:val="en-US" w:eastAsia="zh-CN" w:bidi="ar"/>
              </w:rPr>
              <w:t>排烟系统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F444">
            <w:pPr>
              <w:jc w:val="center"/>
              <w:rPr>
                <w:rFonts w:hint="eastAsia" w:ascii="宋体" w:hAnsi="宋体" w:eastAsia="宋体" w:cs="宋体"/>
                <w:i w:val="0"/>
                <w:iCs w:val="0"/>
                <w:color w:val="auto"/>
                <w:sz w:val="22"/>
                <w:szCs w:val="22"/>
                <w:highlight w:val="none"/>
                <w:u w:val="none"/>
              </w:rPr>
            </w:pP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8C2C">
            <w:pPr>
              <w:jc w:val="left"/>
              <w:rPr>
                <w:rFonts w:hint="eastAsia" w:ascii="宋体" w:hAnsi="宋体" w:eastAsia="宋体" w:cs="宋体"/>
                <w:i w:val="0"/>
                <w:iCs w:val="0"/>
                <w:color w:val="auto"/>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395D">
            <w:pPr>
              <w:jc w:val="center"/>
              <w:rPr>
                <w:rFonts w:hint="eastAsia" w:ascii="宋体" w:hAnsi="宋体" w:eastAsia="宋体" w:cs="宋体"/>
                <w:i w:val="0"/>
                <w:iCs w:val="0"/>
                <w:color w:val="auto"/>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E5F0">
            <w:pPr>
              <w:jc w:val="center"/>
              <w:rPr>
                <w:rFonts w:hint="eastAsia" w:ascii="宋体" w:hAnsi="宋体" w:eastAsia="宋体" w:cs="宋体"/>
                <w:i w:val="0"/>
                <w:iCs w:val="0"/>
                <w:color w:val="auto"/>
                <w:sz w:val="22"/>
                <w:szCs w:val="22"/>
                <w:highlight w:val="none"/>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325CA2">
            <w:pPr>
              <w:jc w:val="center"/>
              <w:rPr>
                <w:rFonts w:hint="eastAsia" w:ascii="宋体" w:hAnsi="宋体" w:eastAsia="宋体" w:cs="宋体"/>
                <w:i w:val="0"/>
                <w:iCs w:val="0"/>
                <w:color w:val="auto"/>
                <w:sz w:val="22"/>
                <w:szCs w:val="22"/>
                <w:highlight w:val="none"/>
                <w:u w:val="none"/>
              </w:rPr>
            </w:pPr>
          </w:p>
        </w:tc>
      </w:tr>
      <w:tr w14:paraId="6C2E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DD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D0</w:t>
            </w:r>
            <w:r>
              <w:rPr>
                <w:rFonts w:hint="eastAsia" w:ascii="宋体" w:hAnsi="宋体" w:eastAsia="宋体" w:cs="宋体"/>
                <w:i w:val="0"/>
                <w:iCs w:val="0"/>
                <w:color w:val="auto"/>
                <w:kern w:val="0"/>
                <w:sz w:val="22"/>
                <w:szCs w:val="22"/>
                <w:highlight w:val="none"/>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22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DA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2E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现场定制，符合国家标准。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F3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D2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A5F48B">
            <w:pPr>
              <w:jc w:val="center"/>
              <w:rPr>
                <w:rFonts w:hint="eastAsia" w:ascii="宋体" w:hAnsi="宋体" w:eastAsia="宋体" w:cs="宋体"/>
                <w:i w:val="0"/>
                <w:iCs w:val="0"/>
                <w:color w:val="auto"/>
                <w:sz w:val="22"/>
                <w:szCs w:val="22"/>
                <w:highlight w:val="none"/>
                <w:u w:val="none"/>
              </w:rPr>
            </w:pPr>
          </w:p>
        </w:tc>
      </w:tr>
      <w:tr w14:paraId="7D24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45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D</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99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利旧设备搬运、安装及调试</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1D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现场</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12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利旧设备搬运、安装及调试。</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0E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A2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243F">
            <w:pPr>
              <w:jc w:val="center"/>
              <w:rPr>
                <w:rFonts w:hint="eastAsia" w:ascii="宋体" w:hAnsi="宋体" w:eastAsia="宋体" w:cs="宋体"/>
                <w:i w:val="0"/>
                <w:iCs w:val="0"/>
                <w:color w:val="auto"/>
                <w:sz w:val="22"/>
                <w:szCs w:val="22"/>
                <w:highlight w:val="none"/>
                <w:u w:val="none"/>
              </w:rPr>
            </w:pPr>
          </w:p>
        </w:tc>
      </w:tr>
      <w:tr w14:paraId="389C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BE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D</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73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静电式饮食业油烟净化器（除油）</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A9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风量≥18000m</w:t>
            </w:r>
            <w:r>
              <w:rPr>
                <w:rStyle w:val="56"/>
                <w:rFonts w:hint="eastAsia" w:ascii="宋体" w:hAnsi="宋体" w:eastAsia="宋体" w:cs="宋体"/>
                <w:color w:val="auto"/>
                <w:highlight w:val="none"/>
                <w:lang w:val="en-US" w:eastAsia="zh-CN" w:bidi="ar"/>
              </w:rPr>
              <w:t>³</w:t>
            </w:r>
            <w:r>
              <w:rPr>
                <w:rFonts w:hint="eastAsia" w:ascii="宋体" w:hAnsi="宋体" w:eastAsia="宋体" w:cs="宋体"/>
                <w:i w:val="0"/>
                <w:iCs w:val="0"/>
                <w:color w:val="auto"/>
                <w:kern w:val="0"/>
                <w:sz w:val="22"/>
                <w:szCs w:val="22"/>
                <w:highlight w:val="none"/>
                <w:u w:val="none"/>
                <w:lang w:val="en-US" w:eastAsia="zh-CN" w:bidi="ar"/>
              </w:rPr>
              <w:t>/h</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CE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1.外壳采用1.2mm厚优质磨砂不锈钢制作而成。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2.内部机芯电场主体为不锈钢阴极与不锈钢阳极，翅片式模块结构，同时满足可单独拆卸方便清洗维护。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电源为智能高频高压电源，主要部件包括高压变压器及控制电路，具有过压过流保护、负载短路保护、负载闪络保护、打火保护、负载开路保护、放电极油垢清洗提示等重要保护功能，使设备保持长期高效、稳定的运行，以及保护净化系统安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满足《川渝地区2024-2025年秋冬季大气污染联防联控工作方案》及市下达的《2025年各区治气攻坚重点工作任务减排清单》相关要求，学校等公共机构食堂开展深度治理(油烟最高允许排放浓度不高于0.3毫克每立方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D8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08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723900" cy="628650"/>
                  <wp:effectExtent l="0" t="0" r="0" b="0"/>
                  <wp:docPr id="1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70"/>
                          <pic:cNvPicPr>
                            <a:picLocks noChangeAspect="1"/>
                          </pic:cNvPicPr>
                        </pic:nvPicPr>
                        <pic:blipFill>
                          <a:blip r:embed="rId24"/>
                          <a:stretch>
                            <a:fillRect/>
                          </a:stretch>
                        </pic:blipFill>
                        <pic:spPr>
                          <a:xfrm>
                            <a:off x="0" y="0"/>
                            <a:ext cx="723900" cy="628650"/>
                          </a:xfrm>
                          <a:prstGeom prst="rect">
                            <a:avLst/>
                          </a:prstGeom>
                          <a:noFill/>
                          <a:ln w="9525">
                            <a:noFill/>
                          </a:ln>
                        </pic:spPr>
                      </pic:pic>
                    </a:graphicData>
                  </a:graphic>
                </wp:inline>
              </w:drawing>
            </w:r>
          </w:p>
        </w:tc>
      </w:tr>
      <w:tr w14:paraId="4A6F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AF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D</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44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静电式饮食业油烟净化器（除烟）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49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风量≥18000m</w:t>
            </w:r>
            <w:r>
              <w:rPr>
                <w:rStyle w:val="56"/>
                <w:rFonts w:hint="eastAsia" w:ascii="宋体" w:hAnsi="宋体" w:eastAsia="宋体" w:cs="宋体"/>
                <w:color w:val="auto"/>
                <w:highlight w:val="none"/>
                <w:lang w:val="en-US" w:eastAsia="zh-CN" w:bidi="ar"/>
              </w:rPr>
              <w:t>³</w:t>
            </w:r>
            <w:r>
              <w:rPr>
                <w:rFonts w:hint="eastAsia" w:ascii="宋体" w:hAnsi="宋体" w:eastAsia="宋体" w:cs="宋体"/>
                <w:i w:val="0"/>
                <w:iCs w:val="0"/>
                <w:color w:val="auto"/>
                <w:kern w:val="0"/>
                <w:sz w:val="22"/>
                <w:szCs w:val="22"/>
                <w:highlight w:val="none"/>
                <w:u w:val="none"/>
                <w:lang w:val="en-US" w:eastAsia="zh-CN" w:bidi="ar"/>
              </w:rPr>
              <w:t>/h</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03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1.外壳采用1.2mm厚优质磨砂不锈钢制作而成。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2.内部机芯电场主体为不锈钢阴极与不锈钢阳极，翅片式模块结构，同时满足可单独拆卸方便清洗维护。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满足《川渝地区2024-2025年秋冬季大气污染联防联控工作方案》及市下达的《2025年各区治气攻坚重点工作任务减排清单》相关要求，学校等公共机构食堂开展深度治理(非甲烷总烃最高允许排放浓度10.0毫克/立方米相关标准要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CB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9D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0D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790575" cy="676275"/>
                  <wp:effectExtent l="0" t="0" r="9525" b="9525"/>
                  <wp:docPr id="9"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IMG_271"/>
                          <pic:cNvPicPr>
                            <a:picLocks noChangeAspect="1"/>
                          </pic:cNvPicPr>
                        </pic:nvPicPr>
                        <pic:blipFill>
                          <a:blip r:embed="rId25"/>
                          <a:stretch>
                            <a:fillRect/>
                          </a:stretch>
                        </pic:blipFill>
                        <pic:spPr>
                          <a:xfrm>
                            <a:off x="0" y="0"/>
                            <a:ext cx="790575" cy="676275"/>
                          </a:xfrm>
                          <a:prstGeom prst="rect">
                            <a:avLst/>
                          </a:prstGeom>
                          <a:noFill/>
                          <a:ln w="9525">
                            <a:noFill/>
                          </a:ln>
                        </pic:spPr>
                      </pic:pic>
                    </a:graphicData>
                  </a:graphic>
                </wp:inline>
              </w:drawing>
            </w:r>
          </w:p>
        </w:tc>
      </w:tr>
      <w:tr w14:paraId="4620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11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D</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A3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静电式饮食业油烟净化器（除味）</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01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风量≥18000m</w:t>
            </w:r>
            <w:r>
              <w:rPr>
                <w:rStyle w:val="56"/>
                <w:rFonts w:hint="eastAsia" w:ascii="宋体" w:hAnsi="宋体" w:eastAsia="宋体" w:cs="宋体"/>
                <w:color w:val="auto"/>
                <w:highlight w:val="none"/>
                <w:lang w:val="en-US" w:eastAsia="zh-CN" w:bidi="ar"/>
              </w:rPr>
              <w:t>³</w:t>
            </w:r>
            <w:r>
              <w:rPr>
                <w:rFonts w:hint="eastAsia" w:ascii="宋体" w:hAnsi="宋体" w:eastAsia="宋体" w:cs="宋体"/>
                <w:i w:val="0"/>
                <w:iCs w:val="0"/>
                <w:color w:val="auto"/>
                <w:kern w:val="0"/>
                <w:sz w:val="22"/>
                <w:szCs w:val="22"/>
                <w:highlight w:val="none"/>
                <w:u w:val="none"/>
                <w:lang w:val="en-US" w:eastAsia="zh-CN" w:bidi="ar"/>
              </w:rPr>
              <w:t>/h</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A42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外壳采用1.2mm厚优质磨砂不锈钢制作而成，利用高能UV光束裂解恶臭气体中细菌的分子键，破坏细菌的核酸（DNA），再通过臭氧进行氧化反应，彻底达到脱臭及杀灭细菌的目的。</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1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E2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81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790575" cy="457200"/>
                  <wp:effectExtent l="0" t="0" r="9525" b="0"/>
                  <wp:docPr id="12"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IMG_272"/>
                          <pic:cNvPicPr>
                            <a:picLocks noChangeAspect="1"/>
                          </pic:cNvPicPr>
                        </pic:nvPicPr>
                        <pic:blipFill>
                          <a:blip r:embed="rId26"/>
                          <a:stretch>
                            <a:fillRect/>
                          </a:stretch>
                        </pic:blipFill>
                        <pic:spPr>
                          <a:xfrm>
                            <a:off x="0" y="0"/>
                            <a:ext cx="790575" cy="457200"/>
                          </a:xfrm>
                          <a:prstGeom prst="rect">
                            <a:avLst/>
                          </a:prstGeom>
                          <a:noFill/>
                          <a:ln w="9525">
                            <a:noFill/>
                          </a:ln>
                        </pic:spPr>
                      </pic:pic>
                    </a:graphicData>
                  </a:graphic>
                </wp:inline>
              </w:drawing>
            </w:r>
          </w:p>
        </w:tc>
      </w:tr>
      <w:tr w14:paraId="0CEF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0F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D</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79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不锈钢风柜</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71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2.2kW/380V</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80E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1.柜体采用1.2mm厚磨砂不锈钢。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2.柜体设有大尺寸检修门，便于对内部件的维护及检修工作，检修门采用手柄螺丝紧固，拆装十分方便。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60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B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43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590550" cy="514350"/>
                  <wp:effectExtent l="0" t="0" r="0" b="0"/>
                  <wp:docPr id="15"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73"/>
                          <pic:cNvPicPr>
                            <a:picLocks noChangeAspect="1"/>
                          </pic:cNvPicPr>
                        </pic:nvPicPr>
                        <pic:blipFill>
                          <a:blip r:embed="rId27"/>
                          <a:stretch>
                            <a:fillRect/>
                          </a:stretch>
                        </pic:blipFill>
                        <pic:spPr>
                          <a:xfrm>
                            <a:off x="0" y="0"/>
                            <a:ext cx="590550" cy="514350"/>
                          </a:xfrm>
                          <a:prstGeom prst="rect">
                            <a:avLst/>
                          </a:prstGeom>
                          <a:noFill/>
                          <a:ln w="9525">
                            <a:noFill/>
                          </a:ln>
                        </pic:spPr>
                      </pic:pic>
                    </a:graphicData>
                  </a:graphic>
                </wp:inline>
              </w:drawing>
            </w:r>
          </w:p>
        </w:tc>
      </w:tr>
      <w:tr w14:paraId="3F31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8B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D0</w:t>
            </w:r>
            <w:r>
              <w:rPr>
                <w:rFonts w:hint="eastAsia" w:ascii="宋体" w:hAnsi="宋体" w:eastAsia="宋体" w:cs="宋体"/>
                <w:i w:val="0"/>
                <w:iCs w:val="0"/>
                <w:color w:val="auto"/>
                <w:kern w:val="0"/>
                <w:sz w:val="22"/>
                <w:szCs w:val="22"/>
                <w:highlight w:val="none"/>
                <w:u w:val="none"/>
                <w:lang w:val="en-US" w:eastAsia="zh-CN" w:bidi="ar"/>
              </w:rPr>
              <w:t>7</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11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过载保护器（控制箱）</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3F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300*200*400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7C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含空开、含电机过载保护，缺相保护、含指示按钮、含控制箱。  </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70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B9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C7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400050" cy="504825"/>
                  <wp:effectExtent l="0" t="0" r="0" b="9525"/>
                  <wp:docPr id="1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4"/>
                          <pic:cNvPicPr>
                            <a:picLocks noChangeAspect="1"/>
                          </pic:cNvPicPr>
                        </pic:nvPicPr>
                        <pic:blipFill>
                          <a:blip r:embed="rId28"/>
                          <a:stretch>
                            <a:fillRect/>
                          </a:stretch>
                        </pic:blipFill>
                        <pic:spPr>
                          <a:xfrm>
                            <a:off x="0" y="0"/>
                            <a:ext cx="400050" cy="504825"/>
                          </a:xfrm>
                          <a:prstGeom prst="rect">
                            <a:avLst/>
                          </a:prstGeom>
                          <a:noFill/>
                          <a:ln w="9525">
                            <a:noFill/>
                          </a:ln>
                        </pic:spPr>
                      </pic:pic>
                    </a:graphicData>
                  </a:graphic>
                </wp:inline>
              </w:drawing>
            </w:r>
          </w:p>
        </w:tc>
      </w:tr>
      <w:tr w14:paraId="75FC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EB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D0</w:t>
            </w:r>
            <w:r>
              <w:rPr>
                <w:rFonts w:hint="eastAsia" w:ascii="宋体" w:hAnsi="宋体" w:eastAsia="宋体" w:cs="宋体"/>
                <w:i w:val="0"/>
                <w:iCs w:val="0"/>
                <w:color w:val="auto"/>
                <w:kern w:val="0"/>
                <w:sz w:val="22"/>
                <w:szCs w:val="22"/>
                <w:highlight w:val="none"/>
                <w:u w:val="none"/>
                <w:lang w:val="en-US" w:eastAsia="zh-CN" w:bidi="ar"/>
              </w:rPr>
              <w:t>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D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消声器</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78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DC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1.外壳采用不锈钢材质，通过吸声材料(如玻璃棉、岩棉）吸收中高频噪声。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2.压力损失≤200Pa，气流速度5-20m/s</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E8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D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1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542925" cy="514350"/>
                  <wp:effectExtent l="0" t="0" r="9525" b="0"/>
                  <wp:docPr id="1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IMG_275"/>
                          <pic:cNvPicPr>
                            <a:picLocks noChangeAspect="1"/>
                          </pic:cNvPicPr>
                        </pic:nvPicPr>
                        <pic:blipFill>
                          <a:blip r:embed="rId29"/>
                          <a:stretch>
                            <a:fillRect/>
                          </a:stretch>
                        </pic:blipFill>
                        <pic:spPr>
                          <a:xfrm>
                            <a:off x="0" y="0"/>
                            <a:ext cx="542925" cy="514350"/>
                          </a:xfrm>
                          <a:prstGeom prst="rect">
                            <a:avLst/>
                          </a:prstGeom>
                          <a:noFill/>
                          <a:ln w="9525">
                            <a:noFill/>
                          </a:ln>
                        </pic:spPr>
                      </pic:pic>
                    </a:graphicData>
                  </a:graphic>
                </wp:inline>
              </w:drawing>
            </w:r>
          </w:p>
        </w:tc>
      </w:tr>
      <w:tr w14:paraId="3C3F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54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D0</w:t>
            </w:r>
            <w:r>
              <w:rPr>
                <w:rFonts w:hint="eastAsia" w:ascii="宋体" w:hAnsi="宋体" w:eastAsia="宋体" w:cs="宋体"/>
                <w:i w:val="0"/>
                <w:iCs w:val="0"/>
                <w:color w:val="auto"/>
                <w:kern w:val="0"/>
                <w:sz w:val="22"/>
                <w:szCs w:val="22"/>
                <w:highlight w:val="none"/>
                <w:u w:val="none"/>
                <w:lang w:val="en-US" w:eastAsia="zh-CN" w:bidi="ar"/>
              </w:rPr>
              <w:t>9</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22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油烟管道</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3F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与风量匹配</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D0A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材料采用1.0mm镀锌板连法兰，丝干吊装直径10mm，要求橫平竖直，所有结构件应均匀刷涂防锈漆。安装过程中内部及接头打胶必须保证不漏油。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C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A6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AE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495300" cy="514350"/>
                  <wp:effectExtent l="0" t="0" r="0" b="0"/>
                  <wp:docPr id="19"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IMG_276"/>
                          <pic:cNvPicPr>
                            <a:picLocks noChangeAspect="1"/>
                          </pic:cNvPicPr>
                        </pic:nvPicPr>
                        <pic:blipFill>
                          <a:blip r:embed="rId30"/>
                          <a:stretch>
                            <a:fillRect/>
                          </a:stretch>
                        </pic:blipFill>
                        <pic:spPr>
                          <a:xfrm>
                            <a:off x="0" y="0"/>
                            <a:ext cx="495300" cy="514350"/>
                          </a:xfrm>
                          <a:prstGeom prst="rect">
                            <a:avLst/>
                          </a:prstGeom>
                          <a:noFill/>
                          <a:ln w="9525">
                            <a:noFill/>
                          </a:ln>
                        </pic:spPr>
                      </pic:pic>
                    </a:graphicData>
                  </a:graphic>
                </wp:inline>
              </w:drawing>
            </w:r>
          </w:p>
        </w:tc>
      </w:tr>
      <w:tr w14:paraId="59FC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6D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D</w:t>
            </w:r>
            <w:r>
              <w:rPr>
                <w:rFonts w:hint="eastAsia" w:ascii="宋体" w:hAnsi="宋体" w:eastAsia="宋体" w:cs="宋体"/>
                <w:i w:val="0"/>
                <w:iCs w:val="0"/>
                <w:color w:val="auto"/>
                <w:kern w:val="0"/>
                <w:sz w:val="22"/>
                <w:szCs w:val="22"/>
                <w:highlight w:val="none"/>
                <w:u w:val="none"/>
                <w:lang w:val="en-US" w:eastAsia="zh-CN"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0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防火阀</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5A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与管道配套</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E6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遇火险自动关闭，熔断温度280</w:t>
            </w:r>
            <w:r>
              <w:rPr>
                <w:rStyle w:val="56"/>
                <w:rFonts w:hint="eastAsia" w:ascii="宋体" w:hAnsi="宋体" w:eastAsia="宋体" w:cs="宋体"/>
                <w:color w:val="auto"/>
                <w:highlight w:val="none"/>
                <w:lang w:val="en-US" w:eastAsia="zh-CN" w:bidi="ar"/>
              </w:rPr>
              <w:t>º</w:t>
            </w:r>
            <w:r>
              <w:rPr>
                <w:rFonts w:hint="eastAsia" w:ascii="宋体" w:hAnsi="宋体" w:eastAsia="宋体" w:cs="宋体"/>
                <w:i w:val="0"/>
                <w:iCs w:val="0"/>
                <w:color w:val="auto"/>
                <w:kern w:val="0"/>
                <w:sz w:val="22"/>
                <w:szCs w:val="22"/>
                <w:highlight w:val="none"/>
                <w:u w:val="none"/>
                <w:lang w:val="en-US" w:eastAsia="zh-CN" w:bidi="ar"/>
              </w:rPr>
              <w:t>，钢板材料喷漆。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F3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C1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39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409575" cy="447675"/>
                  <wp:effectExtent l="0" t="0" r="9525" b="9525"/>
                  <wp:docPr id="1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IMG_277"/>
                          <pic:cNvPicPr>
                            <a:picLocks noChangeAspect="1"/>
                          </pic:cNvPicPr>
                        </pic:nvPicPr>
                        <pic:blipFill>
                          <a:blip r:embed="rId31"/>
                          <a:stretch>
                            <a:fillRect/>
                          </a:stretch>
                        </pic:blipFill>
                        <pic:spPr>
                          <a:xfrm>
                            <a:off x="0" y="0"/>
                            <a:ext cx="409575" cy="447675"/>
                          </a:xfrm>
                          <a:prstGeom prst="rect">
                            <a:avLst/>
                          </a:prstGeom>
                          <a:noFill/>
                          <a:ln w="9525">
                            <a:noFill/>
                          </a:ln>
                        </pic:spPr>
                      </pic:pic>
                    </a:graphicData>
                  </a:graphic>
                </wp:inline>
              </w:drawing>
            </w:r>
          </w:p>
        </w:tc>
      </w:tr>
      <w:tr w14:paraId="57F9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61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D</w:t>
            </w:r>
            <w:r>
              <w:rPr>
                <w:rFonts w:hint="eastAsia" w:ascii="宋体" w:hAnsi="宋体" w:eastAsia="宋体" w:cs="宋体"/>
                <w:i w:val="0"/>
                <w:iCs w:val="0"/>
                <w:color w:val="auto"/>
                <w:kern w:val="0"/>
                <w:sz w:val="22"/>
                <w:szCs w:val="22"/>
                <w:highlight w:val="none"/>
                <w:u w:val="none"/>
                <w:lang w:val="en-US" w:eastAsia="zh-CN" w:bidi="ar"/>
              </w:rPr>
              <w:t>11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97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止回阀</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13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与管道配套</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DAC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1.功能：油烟经过公用管道时，防止油烟倒灌。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2.外壳采用1.5mm厚镀锌板制作。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3.叶片导向为180</w:t>
            </w:r>
            <w:r>
              <w:rPr>
                <w:rStyle w:val="56"/>
                <w:rFonts w:hint="eastAsia" w:ascii="宋体" w:hAnsi="宋体" w:eastAsia="宋体" w:cs="宋体"/>
                <w:color w:val="auto"/>
                <w:highlight w:val="none"/>
                <w:lang w:val="en-US" w:eastAsia="zh-CN" w:bidi="ar"/>
              </w:rPr>
              <w:t>º</w:t>
            </w:r>
            <w:r>
              <w:rPr>
                <w:rFonts w:hint="eastAsia" w:ascii="宋体" w:hAnsi="宋体" w:eastAsia="宋体" w:cs="宋体"/>
                <w:i w:val="0"/>
                <w:iCs w:val="0"/>
                <w:color w:val="auto"/>
                <w:kern w:val="0"/>
                <w:sz w:val="22"/>
                <w:szCs w:val="22"/>
                <w:highlight w:val="none"/>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09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7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F1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619125" cy="514350"/>
                  <wp:effectExtent l="0" t="0" r="9525" b="0"/>
                  <wp:docPr id="10"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3" descr="IMG_278"/>
                          <pic:cNvPicPr>
                            <a:picLocks noChangeAspect="1"/>
                          </pic:cNvPicPr>
                        </pic:nvPicPr>
                        <pic:blipFill>
                          <a:blip r:embed="rId32"/>
                          <a:stretch>
                            <a:fillRect/>
                          </a:stretch>
                        </pic:blipFill>
                        <pic:spPr>
                          <a:xfrm>
                            <a:off x="0" y="0"/>
                            <a:ext cx="619125" cy="514350"/>
                          </a:xfrm>
                          <a:prstGeom prst="rect">
                            <a:avLst/>
                          </a:prstGeom>
                          <a:noFill/>
                          <a:ln w="9525">
                            <a:noFill/>
                          </a:ln>
                        </pic:spPr>
                      </pic:pic>
                    </a:graphicData>
                  </a:graphic>
                </wp:inline>
              </w:drawing>
            </w:r>
          </w:p>
        </w:tc>
      </w:tr>
      <w:tr w14:paraId="35FB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8B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D</w:t>
            </w:r>
            <w:r>
              <w:rPr>
                <w:rFonts w:hint="eastAsia" w:ascii="宋体" w:hAnsi="宋体" w:eastAsia="宋体" w:cs="宋体"/>
                <w:i w:val="0"/>
                <w:iCs w:val="0"/>
                <w:color w:val="auto"/>
                <w:kern w:val="0"/>
                <w:sz w:val="22"/>
                <w:szCs w:val="22"/>
                <w:highlight w:val="none"/>
                <w:u w:val="none"/>
                <w:lang w:val="en-US" w:eastAsia="zh-CN" w:bidi="ar"/>
              </w:rPr>
              <w:t>12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B4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弯头</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DC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与风机配套</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E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采用1.0mm厚镀锌板制作。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8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C8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8C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523875" cy="342900"/>
                  <wp:effectExtent l="0" t="0" r="9525" b="0"/>
                  <wp:docPr id="8"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IMG_279"/>
                          <pic:cNvPicPr>
                            <a:picLocks noChangeAspect="1"/>
                          </pic:cNvPicPr>
                        </pic:nvPicPr>
                        <pic:blipFill>
                          <a:blip r:embed="rId33"/>
                          <a:stretch>
                            <a:fillRect/>
                          </a:stretch>
                        </pic:blipFill>
                        <pic:spPr>
                          <a:xfrm>
                            <a:off x="0" y="0"/>
                            <a:ext cx="523875" cy="342900"/>
                          </a:xfrm>
                          <a:prstGeom prst="rect">
                            <a:avLst/>
                          </a:prstGeom>
                          <a:noFill/>
                          <a:ln w="9525">
                            <a:noFill/>
                          </a:ln>
                        </pic:spPr>
                      </pic:pic>
                    </a:graphicData>
                  </a:graphic>
                </wp:inline>
              </w:drawing>
            </w:r>
          </w:p>
        </w:tc>
      </w:tr>
      <w:tr w14:paraId="1537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14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D</w:t>
            </w:r>
            <w:r>
              <w:rPr>
                <w:rFonts w:hint="eastAsia" w:ascii="宋体" w:hAnsi="宋体" w:eastAsia="宋体" w:cs="宋体"/>
                <w:i w:val="0"/>
                <w:iCs w:val="0"/>
                <w:color w:val="auto"/>
                <w:kern w:val="0"/>
                <w:sz w:val="22"/>
                <w:szCs w:val="22"/>
                <w:highlight w:val="none"/>
                <w:u w:val="none"/>
                <w:lang w:val="en-US" w:eastAsia="zh-CN" w:bidi="ar"/>
              </w:rPr>
              <w:t>13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BF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送餐车</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87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1200*700*800</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E5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1.车面板采用304#1.5mm不锈钢板。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2.推手采用Ф38mm*1.2mm不锈钢管。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3.底部装有2个万向承重轮和2个定向承重轮。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2"/>
                <w:szCs w:val="22"/>
                <w:highlight w:val="none"/>
                <w:u w:val="none"/>
                <w:lang w:val="en-US" w:eastAsia="zh-CN" w:bidi="ar"/>
              </w:rPr>
              <w:t>4.产品符合GB 4806.1-2016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GB 4806.9-2023标准。</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63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5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72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695325" cy="590550"/>
                  <wp:effectExtent l="0" t="0" r="9525" b="0"/>
                  <wp:docPr id="11"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5" descr="IMG_280"/>
                          <pic:cNvPicPr>
                            <a:picLocks noChangeAspect="1"/>
                          </pic:cNvPicPr>
                        </pic:nvPicPr>
                        <pic:blipFill>
                          <a:blip r:embed="rId34"/>
                          <a:stretch>
                            <a:fillRect/>
                          </a:stretch>
                        </pic:blipFill>
                        <pic:spPr>
                          <a:xfrm>
                            <a:off x="0" y="0"/>
                            <a:ext cx="695325" cy="590550"/>
                          </a:xfrm>
                          <a:prstGeom prst="rect">
                            <a:avLst/>
                          </a:prstGeom>
                          <a:noFill/>
                          <a:ln w="9525">
                            <a:noFill/>
                          </a:ln>
                        </pic:spPr>
                      </pic:pic>
                    </a:graphicData>
                  </a:graphic>
                </wp:inline>
              </w:drawing>
            </w:r>
          </w:p>
        </w:tc>
      </w:tr>
    </w:tbl>
    <w:p w14:paraId="0640CE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color w:val="auto"/>
          <w:sz w:val="24"/>
          <w:szCs w:val="24"/>
          <w:lang w:val="en-US" w:eastAsia="zh-CN"/>
        </w:rPr>
      </w:pPr>
      <w:r>
        <w:rPr>
          <w:rFonts w:hint="eastAsia"/>
          <w:b/>
          <w:bCs/>
          <w:color w:val="auto"/>
          <w:sz w:val="24"/>
          <w:szCs w:val="24"/>
          <w:lang w:val="en-US" w:eastAsia="zh-CN"/>
        </w:rPr>
        <w:t>备注：供应商须承诺对竞釆文件中以 “▲” 标注的技术需求，在合同签订前向采购人提供产品检验（测）报告或证书等原件用于查验核实。若无法提供、存在弄虚作假行为，或所提供资料与响应文件中技术参数要求的证明材料不一致、不符合的，将被认定为 “提供虚假材料谋取成交（中标）”。采购人有权拒绝签署合同，并提交监督单位按相关规定处理。</w:t>
      </w:r>
    </w:p>
    <w:bookmarkEnd w:id="43"/>
    <w:bookmarkEnd w:id="44"/>
    <w:p w14:paraId="3C8D7668">
      <w:pPr>
        <w:pStyle w:val="4"/>
        <w:pageBreakBefore/>
        <w:snapToGrid w:val="0"/>
        <w:spacing w:before="0" w:after="0" w:line="360" w:lineRule="auto"/>
        <w:jc w:val="center"/>
        <w:outlineLvl w:val="0"/>
        <w:rPr>
          <w:rFonts w:hint="eastAsia" w:ascii="宋体" w:hAnsi="宋体" w:eastAsia="宋体" w:cs="宋体"/>
          <w:b w:val="0"/>
          <w:color w:val="auto"/>
          <w:sz w:val="36"/>
          <w:szCs w:val="30"/>
          <w:highlight w:val="none"/>
        </w:rPr>
      </w:pPr>
      <w:bookmarkStart w:id="45" w:name="_Toc6202"/>
      <w:bookmarkStart w:id="46" w:name="_Toc2446"/>
      <w:r>
        <w:rPr>
          <w:rFonts w:hint="eastAsia" w:ascii="宋体" w:hAnsi="宋体" w:eastAsia="宋体" w:cs="宋体"/>
          <w:b w:val="0"/>
          <w:color w:val="auto"/>
          <w:sz w:val="36"/>
          <w:szCs w:val="30"/>
          <w:highlight w:val="none"/>
        </w:rPr>
        <w:t>第三篇  项目商务需求</w:t>
      </w:r>
      <w:bookmarkEnd w:id="45"/>
      <w:bookmarkEnd w:id="46"/>
    </w:p>
    <w:p w14:paraId="3466AEAA">
      <w:pPr>
        <w:pStyle w:val="4"/>
        <w:adjustRightInd w:val="0"/>
        <w:snapToGrid w:val="0"/>
        <w:spacing w:before="0" w:after="0" w:line="400" w:lineRule="exact"/>
        <w:ind w:firstLine="482" w:firstLineChars="200"/>
        <w:outlineLvl w:val="0"/>
        <w:rPr>
          <w:rFonts w:hint="eastAsia" w:ascii="宋体" w:hAnsi="宋体" w:eastAsia="宋体" w:cs="宋体"/>
          <w:color w:val="auto"/>
          <w:sz w:val="24"/>
          <w:szCs w:val="24"/>
          <w:highlight w:val="none"/>
          <w:lang w:eastAsia="zh-CN"/>
        </w:rPr>
      </w:pPr>
      <w:bookmarkStart w:id="47" w:name="_Toc858"/>
      <w:bookmarkStart w:id="48" w:name="_Toc25746"/>
      <w:bookmarkStart w:id="49" w:name="_Toc125"/>
      <w:bookmarkStart w:id="50" w:name="_Toc1598"/>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交货时间</w:t>
      </w:r>
      <w:r>
        <w:rPr>
          <w:rFonts w:hint="eastAsia" w:ascii="宋体" w:hAnsi="宋体" w:eastAsia="宋体" w:cs="宋体"/>
          <w:color w:val="auto"/>
          <w:sz w:val="24"/>
          <w:szCs w:val="24"/>
          <w:highlight w:val="none"/>
        </w:rPr>
        <w:t>、地点及</w:t>
      </w:r>
      <w:bookmarkEnd w:id="47"/>
      <w:bookmarkEnd w:id="48"/>
      <w:bookmarkEnd w:id="49"/>
      <w:r>
        <w:rPr>
          <w:rFonts w:hint="eastAsia" w:ascii="宋体" w:hAnsi="宋体" w:eastAsia="宋体" w:cs="宋体"/>
          <w:color w:val="auto"/>
          <w:sz w:val="24"/>
          <w:szCs w:val="24"/>
          <w:highlight w:val="none"/>
          <w:lang w:eastAsia="zh-CN"/>
        </w:rPr>
        <w:t>供货方式</w:t>
      </w:r>
      <w:bookmarkEnd w:id="50"/>
    </w:p>
    <w:p w14:paraId="7CE39809">
      <w:pPr>
        <w:pStyle w:val="14"/>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交货时间</w:t>
      </w:r>
      <w:r>
        <w:rPr>
          <w:rFonts w:hint="eastAsia" w:ascii="宋体" w:hAnsi="宋体" w:cs="宋体"/>
          <w:color w:val="auto"/>
          <w:sz w:val="24"/>
          <w:szCs w:val="24"/>
          <w:highlight w:val="none"/>
        </w:rPr>
        <w:t>：合同签订</w:t>
      </w:r>
      <w:r>
        <w:rPr>
          <w:rFonts w:hint="eastAsia" w:ascii="宋体" w:hAnsi="宋体" w:cs="宋体"/>
          <w:color w:val="auto"/>
          <w:sz w:val="24"/>
          <w:szCs w:val="24"/>
          <w:highlight w:val="none"/>
          <w:lang w:val="en-US" w:eastAsia="zh-CN"/>
        </w:rPr>
        <w:t>之日起15</w:t>
      </w:r>
      <w:r>
        <w:rPr>
          <w:rFonts w:hint="eastAsia" w:ascii="宋体" w:hAnsi="宋体" w:cs="宋体"/>
          <w:color w:val="auto"/>
          <w:sz w:val="24"/>
          <w:szCs w:val="24"/>
          <w:highlight w:val="none"/>
        </w:rPr>
        <w:t>个</w:t>
      </w:r>
      <w:r>
        <w:rPr>
          <w:rFonts w:hint="eastAsia" w:ascii="宋体" w:hAnsi="宋体" w:cs="宋体"/>
          <w:color w:val="auto"/>
          <w:sz w:val="24"/>
          <w:szCs w:val="24"/>
          <w:highlight w:val="none"/>
          <w:lang w:val="en-US" w:eastAsia="zh-CN"/>
        </w:rPr>
        <w:t>日历天</w:t>
      </w:r>
      <w:r>
        <w:rPr>
          <w:rFonts w:hint="eastAsia" w:ascii="宋体" w:hAnsi="宋体" w:cs="宋体"/>
          <w:color w:val="auto"/>
          <w:sz w:val="24"/>
          <w:szCs w:val="24"/>
          <w:highlight w:val="none"/>
        </w:rPr>
        <w:t>完成交货</w:t>
      </w:r>
      <w:r>
        <w:rPr>
          <w:rFonts w:hint="eastAsia" w:ascii="宋体" w:hAnsi="宋体" w:cs="宋体"/>
          <w:color w:val="auto"/>
          <w:sz w:val="24"/>
          <w:szCs w:val="24"/>
          <w:highlight w:val="none"/>
          <w:lang w:eastAsia="zh-CN"/>
        </w:rPr>
        <w:t>。</w:t>
      </w:r>
    </w:p>
    <w:p w14:paraId="0585D6F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交货</w:t>
      </w: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重庆市渝北区民政局</w:t>
      </w:r>
      <w:r>
        <w:rPr>
          <w:rFonts w:hint="eastAsia" w:ascii="宋体" w:hAnsi="宋体" w:cs="宋体"/>
          <w:color w:val="auto"/>
          <w:sz w:val="24"/>
          <w:szCs w:val="24"/>
          <w:highlight w:val="none"/>
        </w:rPr>
        <w:t>（采购人指定地点）。</w:t>
      </w:r>
    </w:p>
    <w:p w14:paraId="6AC82FBB">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（三）验收要求：</w:t>
      </w:r>
    </w:p>
    <w:p w14:paraId="1DF9F130">
      <w:pPr>
        <w:spacing w:line="400" w:lineRule="exact"/>
        <w:ind w:firstLine="480" w:firstLineChars="200"/>
        <w:rPr>
          <w:rFonts w:hint="eastAsia" w:ascii="宋体" w:hAnsi="宋体" w:eastAsia="宋体" w:cs="宋体"/>
          <w:color w:val="auto"/>
          <w:sz w:val="24"/>
          <w:szCs w:val="24"/>
          <w:highlight w:val="none"/>
          <w:lang w:val="en-US" w:eastAsia="zh-CN"/>
        </w:rPr>
      </w:pPr>
      <w:bookmarkStart w:id="51" w:name="_Toc10859"/>
      <w:bookmarkStart w:id="52" w:name="_Toc20575"/>
      <w:r>
        <w:rPr>
          <w:rFonts w:hint="eastAsia" w:ascii="宋体" w:hAnsi="宋体" w:eastAsia="宋体" w:cs="宋体"/>
          <w:color w:val="auto"/>
          <w:sz w:val="24"/>
          <w:szCs w:val="24"/>
          <w:highlight w:val="none"/>
          <w:lang w:val="en-US" w:eastAsia="zh-CN"/>
        </w:rPr>
        <w:t>1.货物到达现场后，中标人应在使用单位人员在场情况下当面开箱，共同清点、检查外观，作出开箱记录，双方签字确认。</w:t>
      </w:r>
    </w:p>
    <w:p w14:paraId="2F201A4A">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2.中标人应保证货物到达采购人所在地完好无损，如有缺漏、损坏，由投标人负责调换、补齐或赔偿。</w:t>
      </w:r>
    </w:p>
    <w:p w14:paraId="262ACE0D">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3.中标人应提供完备的技术资料、装箱单和合格证等，并派遣专业技术人员进行现场安装调试。验收合格条件如下：</w:t>
      </w:r>
    </w:p>
    <w:p w14:paraId="23DFA43E">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3.1设备技术参数与采购合同一致，性能指标达到规定的标准。</w:t>
      </w:r>
    </w:p>
    <w:p w14:paraId="786D73CD">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3.2货物技术资料、装箱单、合格证等资料齐全。</w:t>
      </w:r>
    </w:p>
    <w:p w14:paraId="038BC876">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3.3在系统试运行期间所出现的问题得到解决，并运行正常。</w:t>
      </w:r>
    </w:p>
    <w:p w14:paraId="217749DD">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3.4在规定时间内完成交货并验收，并经采购人确认。</w:t>
      </w:r>
    </w:p>
    <w:p w14:paraId="03E7EFF2">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4.产品在安装调试并试运行符合要求后，才作为最终验收。</w:t>
      </w:r>
    </w:p>
    <w:p w14:paraId="5EC6F7D8">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5.中标人提供的货物未达到竞采文件规定要求，且对采购人造成损失的，由中标人承担一切责任，并赔偿所造成的损失。</w:t>
      </w:r>
    </w:p>
    <w:p w14:paraId="161165CD">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6.大型或者复杂的政府采购项目，采购人应当邀请国家认可的质量检测机构参加验收工作。</w:t>
      </w:r>
    </w:p>
    <w:p w14:paraId="493D9618">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7.采购人需要制造商对中标人交付的产品（包括质量、技术参数等）进行确认的，制造商应予以配合，并出具书面意见。</w:t>
      </w:r>
    </w:p>
    <w:p w14:paraId="664618E4">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8.产品包装材料归采购人所有。</w:t>
      </w:r>
    </w:p>
    <w:p w14:paraId="45635D91">
      <w:pPr>
        <w:adjustRightInd w:val="0"/>
        <w:snapToGrid w:val="0"/>
        <w:spacing w:line="400" w:lineRule="exact"/>
        <w:ind w:firstLine="482" w:firstLineChars="200"/>
        <w:outlineLvl w:val="0"/>
        <w:rPr>
          <w:rFonts w:hint="eastAsia" w:ascii="宋体" w:hAnsi="宋体"/>
          <w:b/>
          <w:bCs/>
          <w:color w:val="auto"/>
          <w:sz w:val="24"/>
          <w:highlight w:val="none"/>
        </w:rPr>
      </w:pPr>
      <w:r>
        <w:rPr>
          <w:rFonts w:hint="eastAsia" w:ascii="宋体" w:hAnsi="宋体"/>
          <w:b/>
          <w:bCs/>
          <w:color w:val="auto"/>
          <w:sz w:val="24"/>
          <w:highlight w:val="none"/>
        </w:rPr>
        <w:t>二、质量保证及售后服务</w:t>
      </w:r>
      <w:bookmarkEnd w:id="51"/>
      <w:bookmarkEnd w:id="52"/>
    </w:p>
    <w:p w14:paraId="44EB6485">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（一）产品质量保证期：自验收合格之日起，提供</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年的免费质保期。</w:t>
      </w:r>
    </w:p>
    <w:p w14:paraId="45D0898F">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（二）售后服务内容</w:t>
      </w:r>
    </w:p>
    <w:p w14:paraId="76C98D89">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供应商在质量保证期内应当为采购人提供以下技术支持服务：</w:t>
      </w:r>
    </w:p>
    <w:p w14:paraId="092BB2CE">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1.质量保证期内服务要求</w:t>
      </w:r>
    </w:p>
    <w:p w14:paraId="18511C5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1.1电话咨询</w:t>
      </w:r>
    </w:p>
    <w:p w14:paraId="61AA7445">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成交供应商应当为用户提供技术援助电话，解答用户在使用中遇到的问题，及时为用户提出解决问题的建议。</w:t>
      </w:r>
    </w:p>
    <w:p w14:paraId="6427C34D">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1.2现场响应</w:t>
      </w:r>
    </w:p>
    <w:p w14:paraId="59DA0477">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用户遇到使用及技术问题，电话咨询不能解决的，成交供应商应在</w:t>
      </w:r>
      <w:r>
        <w:rPr>
          <w:rFonts w:ascii="宋体" w:hAnsi="宋体"/>
          <w:color w:val="auto"/>
          <w:sz w:val="24"/>
          <w:szCs w:val="24"/>
          <w:highlight w:val="none"/>
        </w:rPr>
        <w:t>2</w:t>
      </w:r>
      <w:r>
        <w:rPr>
          <w:rFonts w:hint="eastAsia" w:ascii="宋体" w:hAnsi="宋体"/>
          <w:color w:val="auto"/>
          <w:sz w:val="24"/>
          <w:szCs w:val="24"/>
          <w:highlight w:val="none"/>
        </w:rPr>
        <w:t>小时内采取相应响应措施，4小时内必须有专业技术人员到场处理解决问题；无法在</w:t>
      </w:r>
      <w:r>
        <w:rPr>
          <w:rFonts w:ascii="宋体" w:hAnsi="宋体"/>
          <w:color w:val="auto"/>
          <w:sz w:val="24"/>
          <w:szCs w:val="24"/>
          <w:highlight w:val="none"/>
        </w:rPr>
        <w:t>12</w:t>
      </w:r>
      <w:r>
        <w:rPr>
          <w:rFonts w:hint="eastAsia" w:ascii="宋体" w:hAnsi="宋体"/>
          <w:color w:val="auto"/>
          <w:sz w:val="24"/>
          <w:szCs w:val="24"/>
          <w:highlight w:val="none"/>
        </w:rPr>
        <w:t>小时内解决的，应在24小时内提供备用产品，使用户能够正常使用。</w:t>
      </w:r>
    </w:p>
    <w:p w14:paraId="7ECA880B">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1.3技术升级</w:t>
      </w:r>
    </w:p>
    <w:p w14:paraId="1233B04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在质保期内，如果成交供应商的产品技术升级，成交供应商应及时通知采购人，如采购人有相应要求，成交供应商应对采购人进行升级服务。</w:t>
      </w:r>
    </w:p>
    <w:p w14:paraId="7D9F7124">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2.质保期外服务要求</w:t>
      </w:r>
    </w:p>
    <w:p w14:paraId="464AED06">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2.1质量保证期过后，成交供应商应同样提供免费电话咨询服务，并应承诺提供产品上门维护服务。</w:t>
      </w:r>
    </w:p>
    <w:p w14:paraId="59F0F3C4">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2.2质量保证期过后，采购人需要继续由原成交供应商提供售后服务的，成交供应商应以优惠价格提供售后服务。</w:t>
      </w:r>
    </w:p>
    <w:p w14:paraId="2B6B814B">
      <w:pPr>
        <w:spacing w:line="400" w:lineRule="exact"/>
        <w:ind w:left="560" w:leftChars="200"/>
        <w:rPr>
          <w:rFonts w:ascii="宋体" w:hAnsi="宋体"/>
          <w:color w:val="auto"/>
          <w:sz w:val="24"/>
          <w:szCs w:val="24"/>
          <w:highlight w:val="none"/>
        </w:rPr>
      </w:pPr>
      <w:r>
        <w:rPr>
          <w:rFonts w:ascii="宋体" w:hAnsi="宋体"/>
          <w:color w:val="auto"/>
          <w:sz w:val="24"/>
          <w:szCs w:val="24"/>
          <w:highlight w:val="none"/>
        </w:rPr>
        <w:t>（三）备品备件及易损件</w:t>
      </w:r>
      <w:r>
        <w:rPr>
          <w:rFonts w:ascii="宋体" w:hAnsi="宋体"/>
          <w:color w:val="auto"/>
          <w:sz w:val="24"/>
          <w:szCs w:val="24"/>
          <w:highlight w:val="none"/>
        </w:rPr>
        <w:br w:type="textWrapping"/>
      </w:r>
      <w:r>
        <w:rPr>
          <w:rFonts w:ascii="宋体" w:hAnsi="宋体"/>
          <w:color w:val="auto"/>
          <w:sz w:val="24"/>
          <w:szCs w:val="24"/>
          <w:highlight w:val="none"/>
        </w:rPr>
        <w:t>供应商售后服务中，维修使用的备品备件及易损件应为原厂配件，未经采购人同意不</w:t>
      </w:r>
    </w:p>
    <w:p w14:paraId="4F954D81">
      <w:pPr>
        <w:spacing w:line="400" w:lineRule="exact"/>
        <w:rPr>
          <w:rFonts w:hint="eastAsia" w:ascii="宋体" w:hAnsi="宋体" w:cs="宋体"/>
          <w:color w:val="auto"/>
          <w:sz w:val="24"/>
          <w:szCs w:val="24"/>
          <w:highlight w:val="none"/>
        </w:rPr>
      </w:pPr>
      <w:r>
        <w:rPr>
          <w:rFonts w:ascii="宋体" w:hAnsi="宋体"/>
          <w:color w:val="auto"/>
          <w:sz w:val="24"/>
          <w:szCs w:val="24"/>
          <w:highlight w:val="none"/>
        </w:rPr>
        <w:t>得使用非原厂配件。</w:t>
      </w:r>
    </w:p>
    <w:p w14:paraId="5D3E8B25">
      <w:pPr>
        <w:pStyle w:val="4"/>
        <w:adjustRightInd w:val="0"/>
        <w:snapToGrid w:val="0"/>
        <w:spacing w:before="0" w:after="0" w:line="400" w:lineRule="exact"/>
        <w:ind w:firstLine="482" w:firstLineChars="200"/>
        <w:outlineLvl w:val="0"/>
        <w:rPr>
          <w:rFonts w:ascii="宋体" w:hAnsi="宋体" w:eastAsia="宋体" w:cs="宋体"/>
          <w:color w:val="auto"/>
          <w:sz w:val="24"/>
          <w:szCs w:val="24"/>
          <w:highlight w:val="none"/>
        </w:rPr>
      </w:pPr>
      <w:bookmarkStart w:id="53" w:name="_Toc3090"/>
      <w:bookmarkStart w:id="54" w:name="_Toc28053"/>
      <w:bookmarkStart w:id="55" w:name="_Toc3548"/>
      <w:bookmarkStart w:id="56" w:name="_Toc76462329"/>
      <w:bookmarkStart w:id="57" w:name="_Toc10329"/>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bookmarkEnd w:id="53"/>
      <w:bookmarkStart w:id="58" w:name="_Toc5751"/>
      <w:r>
        <w:rPr>
          <w:rFonts w:hint="eastAsia" w:ascii="宋体" w:hAnsi="宋体" w:eastAsia="宋体" w:cs="宋体"/>
          <w:color w:val="auto"/>
          <w:sz w:val="24"/>
          <w:szCs w:val="24"/>
          <w:highlight w:val="none"/>
        </w:rPr>
        <w:t>报价要求</w:t>
      </w:r>
      <w:bookmarkEnd w:id="54"/>
      <w:bookmarkEnd w:id="55"/>
      <w:bookmarkEnd w:id="56"/>
      <w:bookmarkEnd w:id="57"/>
      <w:bookmarkEnd w:id="58"/>
    </w:p>
    <w:p w14:paraId="53D991F5">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lang w:eastAsia="zh-CN"/>
        </w:rPr>
        <w:t>本次</w:t>
      </w:r>
      <w:r>
        <w:rPr>
          <w:rFonts w:hint="eastAsia" w:ascii="宋体" w:hAnsi="宋体" w:cs="宋体"/>
          <w:color w:val="auto"/>
          <w:sz w:val="24"/>
          <w:szCs w:val="24"/>
          <w:highlight w:val="none"/>
        </w:rPr>
        <w:t>报价包括完成本项目所需的货物费、运输费（含装卸费）、保险费、安装调试费（含辅材）、税费、培训费用等完成本项目的所有费</w:t>
      </w:r>
      <w:bookmarkStart w:id="276" w:name="_GoBack"/>
      <w:bookmarkEnd w:id="276"/>
      <w:r>
        <w:rPr>
          <w:rFonts w:hint="eastAsia" w:ascii="宋体" w:hAnsi="宋体" w:cs="宋体"/>
          <w:color w:val="auto"/>
          <w:sz w:val="24"/>
          <w:szCs w:val="24"/>
          <w:highlight w:val="none"/>
        </w:rPr>
        <w:t>用。因成交供应商自身原因造成漏报、少报皆由其自行承担责任，采购人不再补偿。</w:t>
      </w:r>
    </w:p>
    <w:p w14:paraId="4E1CA5FB">
      <w:pPr>
        <w:pStyle w:val="4"/>
        <w:adjustRightInd w:val="0"/>
        <w:snapToGrid w:val="0"/>
        <w:spacing w:before="0" w:after="0" w:line="400" w:lineRule="exact"/>
        <w:ind w:firstLine="482" w:firstLineChars="200"/>
        <w:outlineLvl w:val="0"/>
        <w:rPr>
          <w:rFonts w:ascii="宋体" w:hAnsi="宋体" w:eastAsia="宋体" w:cs="宋体"/>
          <w:color w:val="auto"/>
          <w:sz w:val="24"/>
          <w:szCs w:val="24"/>
          <w:highlight w:val="none"/>
        </w:rPr>
      </w:pPr>
      <w:bookmarkStart w:id="59" w:name="_Toc22660"/>
      <w:bookmarkStart w:id="60" w:name="_Toc26438"/>
      <w:bookmarkStart w:id="61" w:name="_Toc76462330"/>
      <w:bookmarkStart w:id="62" w:name="_Toc344475122"/>
      <w:bookmarkStart w:id="63" w:name="_Toc18697"/>
      <w:bookmarkStart w:id="64" w:name="_Toc32763"/>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、付款方式</w:t>
      </w:r>
      <w:bookmarkEnd w:id="59"/>
      <w:bookmarkEnd w:id="60"/>
      <w:bookmarkEnd w:id="61"/>
      <w:bookmarkEnd w:id="62"/>
      <w:bookmarkEnd w:id="63"/>
      <w:bookmarkEnd w:id="64"/>
    </w:p>
    <w:p w14:paraId="020F737D">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安装调试完成并经</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验收合格后，向</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开具合同全额发票。</w:t>
      </w:r>
    </w:p>
    <w:p w14:paraId="2431542E">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收到发票后20日内向</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支付合同结算总金额的100%。</w:t>
      </w:r>
    </w:p>
    <w:p w14:paraId="25B1A68F">
      <w:pPr>
        <w:pStyle w:val="4"/>
        <w:adjustRightInd w:val="0"/>
        <w:snapToGrid w:val="0"/>
        <w:spacing w:before="0" w:after="0" w:line="400" w:lineRule="exact"/>
        <w:ind w:firstLine="482" w:firstLineChars="200"/>
        <w:outlineLvl w:val="0"/>
        <w:rPr>
          <w:rFonts w:hint="eastAsia" w:ascii="宋体" w:hAnsi="宋体" w:eastAsia="宋体" w:cs="宋体"/>
          <w:color w:val="auto"/>
          <w:sz w:val="24"/>
          <w:szCs w:val="24"/>
          <w:highlight w:val="none"/>
        </w:rPr>
      </w:pPr>
      <w:bookmarkStart w:id="65" w:name="_Toc25707"/>
      <w:bookmarkStart w:id="66" w:name="_Toc21722"/>
      <w:bookmarkStart w:id="67" w:name="_Toc20010"/>
      <w:r>
        <w:rPr>
          <w:rFonts w:hint="eastAsia" w:ascii="宋体" w:hAnsi="宋体" w:eastAsia="宋体" w:cs="宋体"/>
          <w:b/>
          <w:bCs w:val="0"/>
          <w:color w:val="auto"/>
          <w:kern w:val="2"/>
          <w:sz w:val="24"/>
          <w:szCs w:val="24"/>
          <w:highlight w:val="none"/>
          <w:lang w:val="en-US" w:eastAsia="zh-CN" w:bidi="ar-SA"/>
        </w:rPr>
        <w:t>五、</w:t>
      </w:r>
      <w:bookmarkEnd w:id="65"/>
      <w:bookmarkStart w:id="68" w:name="_Toc344475124"/>
      <w:bookmarkStart w:id="69" w:name="_Toc28796"/>
      <w:bookmarkStart w:id="70" w:name="_Toc76462331"/>
      <w:bookmarkStart w:id="71" w:name="_Toc23480"/>
      <w:r>
        <w:rPr>
          <w:rFonts w:hint="eastAsia" w:ascii="宋体" w:hAnsi="宋体" w:eastAsia="宋体" w:cs="宋体"/>
          <w:color w:val="auto"/>
          <w:sz w:val="24"/>
          <w:szCs w:val="24"/>
          <w:highlight w:val="none"/>
        </w:rPr>
        <w:t>知识产权</w:t>
      </w:r>
      <w:bookmarkEnd w:id="66"/>
      <w:bookmarkEnd w:id="67"/>
    </w:p>
    <w:p w14:paraId="5E634410">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（一）采购人在中华人民共和国境内使用成交服务商提供的服务时免受第三方提出的侵犯其专利权或其它知识产权的起诉。如果第三方提出侵权指控，成交服务商应承担由此而引起的一切法律责任和费用。</w:t>
      </w:r>
    </w:p>
    <w:p w14:paraId="6C87EFC2">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（二）成果及知识产权归采购人所有。</w:t>
      </w:r>
    </w:p>
    <w:p w14:paraId="22548DDB">
      <w:pPr>
        <w:pStyle w:val="4"/>
        <w:adjustRightInd w:val="0"/>
        <w:snapToGrid w:val="0"/>
        <w:spacing w:before="0" w:after="0" w:line="400" w:lineRule="exact"/>
        <w:ind w:firstLine="482" w:firstLineChars="200"/>
        <w:outlineLvl w:val="0"/>
        <w:rPr>
          <w:rFonts w:ascii="宋体" w:hAnsi="宋体" w:eastAsia="宋体" w:cs="宋体"/>
          <w:color w:val="auto"/>
          <w:sz w:val="24"/>
          <w:szCs w:val="24"/>
          <w:highlight w:val="none"/>
        </w:rPr>
      </w:pPr>
      <w:bookmarkStart w:id="72" w:name="_Toc3960"/>
      <w:bookmarkStart w:id="73" w:name="_Toc13558"/>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bookmarkEnd w:id="68"/>
      <w:bookmarkStart w:id="74" w:name="_Toc344475125"/>
      <w:r>
        <w:rPr>
          <w:rFonts w:hint="eastAsia" w:ascii="宋体" w:hAnsi="宋体" w:eastAsia="宋体" w:cs="宋体"/>
          <w:color w:val="auto"/>
          <w:sz w:val="24"/>
          <w:szCs w:val="24"/>
          <w:highlight w:val="none"/>
        </w:rPr>
        <w:t>其他</w:t>
      </w:r>
      <w:bookmarkEnd w:id="69"/>
      <w:bookmarkEnd w:id="70"/>
      <w:bookmarkEnd w:id="71"/>
      <w:bookmarkEnd w:id="72"/>
      <w:bookmarkEnd w:id="73"/>
    </w:p>
    <w:bookmarkEnd w:id="74"/>
    <w:p w14:paraId="46FF1679">
      <w:pPr>
        <w:pStyle w:val="14"/>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（一）供应商必须在响应文件中对以上条款和服务承诺明确列出，承诺内容必须达到本篇及竞采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其他条款的要求。</w:t>
      </w:r>
    </w:p>
    <w:p w14:paraId="7E08DADA">
      <w:pPr>
        <w:pStyle w:val="14"/>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（二）其他未尽事宜由供需双方在采购合同中详细约定。</w:t>
      </w:r>
    </w:p>
    <w:p w14:paraId="38D3FE8D">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color w:val="auto"/>
          <w:sz w:val="24"/>
          <w:szCs w:val="24"/>
          <w:highlight w:val="none"/>
        </w:rPr>
      </w:pPr>
    </w:p>
    <w:p w14:paraId="1F869BEB">
      <w:pPr>
        <w:pStyle w:val="14"/>
        <w:spacing w:line="400" w:lineRule="exact"/>
        <w:ind w:firstLine="480" w:firstLineChars="200"/>
        <w:rPr>
          <w:rFonts w:hint="eastAsia" w:ascii="宋体" w:hAnsi="宋体" w:eastAsia="宋体" w:cs="宋体"/>
          <w:bCs/>
          <w:color w:val="auto"/>
          <w:sz w:val="24"/>
          <w:szCs w:val="24"/>
          <w:highlight w:val="none"/>
        </w:rPr>
      </w:pPr>
    </w:p>
    <w:p w14:paraId="3AFB677B">
      <w:pPr>
        <w:jc w:val="center"/>
        <w:rPr>
          <w:rFonts w:hint="eastAsia" w:ascii="宋体" w:hAnsi="宋体" w:eastAsia="宋体" w:cs="宋体"/>
          <w:b/>
          <w:color w:val="auto"/>
          <w:sz w:val="24"/>
          <w:szCs w:val="24"/>
          <w:highlight w:val="none"/>
        </w:rPr>
      </w:pPr>
      <w:bookmarkStart w:id="75" w:name="_Toc487204778"/>
      <w:bookmarkStart w:id="76" w:name="_Toc3115"/>
      <w:bookmarkStart w:id="77" w:name="_Toc6453"/>
    </w:p>
    <w:p w14:paraId="4E14DC5B">
      <w:pPr>
        <w:jc w:val="both"/>
        <w:outlineLvl w:val="0"/>
        <w:rPr>
          <w:rFonts w:hint="eastAsia" w:ascii="宋体" w:hAnsi="宋体" w:eastAsia="宋体" w:cs="宋体"/>
          <w:color w:val="auto"/>
          <w:sz w:val="24"/>
          <w:szCs w:val="24"/>
          <w:highlight w:val="none"/>
        </w:rPr>
      </w:pPr>
    </w:p>
    <w:p w14:paraId="769BC871">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75"/>
    <w:bookmarkEnd w:id="76"/>
    <w:bookmarkEnd w:id="77"/>
    <w:p w14:paraId="0AD4A9B4">
      <w:pPr>
        <w:pStyle w:val="4"/>
        <w:pageBreakBefore/>
        <w:snapToGrid w:val="0"/>
        <w:spacing w:before="0" w:after="0" w:line="360" w:lineRule="auto"/>
        <w:jc w:val="center"/>
        <w:rPr>
          <w:rFonts w:hint="eastAsia" w:ascii="宋体" w:hAnsi="宋体" w:eastAsia="宋体"/>
          <w:b w:val="0"/>
          <w:color w:val="auto"/>
          <w:sz w:val="36"/>
          <w:szCs w:val="30"/>
          <w:highlight w:val="none"/>
        </w:rPr>
      </w:pPr>
      <w:bookmarkStart w:id="78" w:name="_Toc12201"/>
      <w:bookmarkStart w:id="79" w:name="_Toc426965633"/>
      <w:bookmarkStart w:id="80" w:name="_Toc342913393"/>
      <w:bookmarkStart w:id="81" w:name="_Toc102227319"/>
      <w:bookmarkStart w:id="82" w:name="_Toc179714298"/>
      <w:bookmarkStart w:id="83" w:name="_Toc487204782"/>
      <w:bookmarkStart w:id="84" w:name="_Toc31795"/>
      <w:bookmarkStart w:id="85" w:name="_Toc31741"/>
      <w:r>
        <w:rPr>
          <w:rFonts w:hint="eastAsia" w:ascii="宋体" w:hAnsi="宋体" w:eastAsia="宋体"/>
          <w:b/>
          <w:bCs/>
          <w:color w:val="auto"/>
          <w:sz w:val="36"/>
          <w:szCs w:val="30"/>
          <w:highlight w:val="none"/>
        </w:rPr>
        <w:t>第四篇  开标程序及方法、评审标准、无效响应和</w:t>
      </w:r>
      <w:r>
        <w:rPr>
          <w:rFonts w:hint="eastAsia" w:ascii="宋体" w:hAnsi="宋体" w:eastAsia="宋体"/>
          <w:b/>
          <w:bCs/>
          <w:color w:val="auto"/>
          <w:sz w:val="36"/>
          <w:szCs w:val="36"/>
          <w:highlight w:val="none"/>
        </w:rPr>
        <w:t>采购终止</w:t>
      </w:r>
      <w:bookmarkEnd w:id="78"/>
    </w:p>
    <w:p w14:paraId="4B19F30F">
      <w:pPr>
        <w:pStyle w:val="5"/>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86" w:name="_Toc24853"/>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w:t>
      </w:r>
      <w:bookmarkEnd w:id="79"/>
      <w:bookmarkEnd w:id="80"/>
      <w:bookmarkEnd w:id="81"/>
      <w:bookmarkEnd w:id="82"/>
      <w:bookmarkEnd w:id="83"/>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程序及成交标准</w:t>
      </w:r>
      <w:bookmarkEnd w:id="84"/>
      <w:bookmarkEnd w:id="85"/>
      <w:bookmarkEnd w:id="86"/>
    </w:p>
    <w:p w14:paraId="6D49D0C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规定的时间和地点进行。</w:t>
      </w:r>
    </w:p>
    <w:p w14:paraId="781D100C">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（二）资格性符合性检查</w:t>
      </w:r>
    </w:p>
    <w:p w14:paraId="5AC3644D">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资格。资格性检查资料表如下：</w:t>
      </w:r>
    </w:p>
    <w:tbl>
      <w:tblPr>
        <w:tblStyle w:val="25"/>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E4BBC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8C3BB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F19605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3309A1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37903E1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2E94BAC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3BC12A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FF4348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4254EC6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45469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76B16F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27564DA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73C94F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C41DFE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300E67F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2F8048D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29D686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8B9A3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0BFD38C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23F51A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75F21B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6E546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DA0C3C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44E5DBD2">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5E5237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bl>
    <w:p w14:paraId="2F31D7B1">
      <w:pPr>
        <w:pStyle w:val="14"/>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6F72F22">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的规定，从响应文件的有效性、完整性和对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的响应程度进行审查，以确定是否对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的实质性要求作出响应。符合性检查资料表如下：</w:t>
      </w:r>
    </w:p>
    <w:tbl>
      <w:tblPr>
        <w:tblStyle w:val="2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53"/>
        <w:gridCol w:w="2422"/>
        <w:gridCol w:w="4931"/>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4D25AA7">
            <w:pPr>
              <w:pStyle w:val="14"/>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75" w:type="dxa"/>
            <w:gridSpan w:val="2"/>
            <w:tcBorders>
              <w:top w:val="single" w:color="auto" w:sz="4" w:space="0"/>
              <w:left w:val="single" w:color="auto" w:sz="4" w:space="0"/>
              <w:bottom w:val="single" w:color="auto" w:sz="4" w:space="0"/>
              <w:right w:val="single" w:color="auto" w:sz="4" w:space="0"/>
            </w:tcBorders>
            <w:vAlign w:val="center"/>
          </w:tcPr>
          <w:p w14:paraId="6716A7CA">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938" w:type="dxa"/>
            <w:gridSpan w:val="2"/>
            <w:tcBorders>
              <w:top w:val="single" w:color="auto" w:sz="4" w:space="0"/>
              <w:left w:val="single" w:color="auto" w:sz="4" w:space="0"/>
              <w:bottom w:val="single" w:color="auto" w:sz="4" w:space="0"/>
              <w:right w:val="single" w:color="auto" w:sz="4" w:space="0"/>
            </w:tcBorders>
            <w:vAlign w:val="center"/>
          </w:tcPr>
          <w:p w14:paraId="50D90A70">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4"/>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422" w:type="dxa"/>
            <w:tcBorders>
              <w:top w:val="single" w:color="auto" w:sz="4" w:space="0"/>
              <w:left w:val="single" w:color="auto" w:sz="4" w:space="0"/>
              <w:bottom w:val="single" w:color="auto" w:sz="4" w:space="0"/>
              <w:right w:val="single" w:color="auto" w:sz="4" w:space="0"/>
            </w:tcBorders>
            <w:vAlign w:val="center"/>
          </w:tcPr>
          <w:p w14:paraId="2DDA3947">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931" w:type="dxa"/>
            <w:tcBorders>
              <w:top w:val="single" w:color="auto" w:sz="4" w:space="0"/>
              <w:left w:val="single" w:color="auto" w:sz="4" w:space="0"/>
              <w:bottom w:val="single" w:color="auto" w:sz="4" w:space="0"/>
              <w:right w:val="single" w:color="auto" w:sz="4" w:space="0"/>
            </w:tcBorders>
            <w:vAlign w:val="center"/>
          </w:tcPr>
          <w:p w14:paraId="34FE5431">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796839A6">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4931" w:type="dxa"/>
            <w:tcBorders>
              <w:top w:val="single" w:color="auto" w:sz="4" w:space="0"/>
              <w:left w:val="single" w:color="auto" w:sz="4" w:space="0"/>
              <w:bottom w:val="single" w:color="auto" w:sz="4" w:space="0"/>
              <w:right w:val="single" w:color="auto" w:sz="4" w:space="0"/>
            </w:tcBorders>
            <w:vAlign w:val="center"/>
          </w:tcPr>
          <w:p w14:paraId="173E5295">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9C3A86">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4931" w:type="dxa"/>
            <w:tcBorders>
              <w:top w:val="single" w:color="auto" w:sz="4" w:space="0"/>
              <w:left w:val="single" w:color="auto" w:sz="4" w:space="0"/>
              <w:bottom w:val="single" w:color="auto" w:sz="4" w:space="0"/>
              <w:right w:val="single" w:color="auto" w:sz="4" w:space="0"/>
            </w:tcBorders>
            <w:vAlign w:val="center"/>
          </w:tcPr>
          <w:p w14:paraId="40CDEA7B">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C27979">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4931" w:type="dxa"/>
            <w:tcBorders>
              <w:top w:val="single" w:color="auto" w:sz="4" w:space="0"/>
              <w:left w:val="single" w:color="auto" w:sz="4" w:space="0"/>
              <w:bottom w:val="single" w:color="auto" w:sz="4" w:space="0"/>
              <w:right w:val="single" w:color="auto" w:sz="4" w:space="0"/>
            </w:tcBorders>
            <w:vAlign w:val="center"/>
          </w:tcPr>
          <w:p w14:paraId="27E471BD">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EFCFB33">
            <w:pPr>
              <w:pStyle w:val="14"/>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53" w:type="dxa"/>
            <w:tcBorders>
              <w:top w:val="single" w:color="auto" w:sz="4" w:space="0"/>
              <w:left w:val="single" w:color="auto" w:sz="4" w:space="0"/>
              <w:bottom w:val="single" w:color="auto" w:sz="4" w:space="0"/>
              <w:right w:val="single" w:color="auto" w:sz="4" w:space="0"/>
            </w:tcBorders>
            <w:vAlign w:val="center"/>
          </w:tcPr>
          <w:p w14:paraId="45EFD30D">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422" w:type="dxa"/>
            <w:tcBorders>
              <w:top w:val="single" w:color="auto" w:sz="4" w:space="0"/>
              <w:left w:val="single" w:color="auto" w:sz="4" w:space="0"/>
              <w:bottom w:val="single" w:color="auto" w:sz="4" w:space="0"/>
              <w:right w:val="single" w:color="auto" w:sz="4" w:space="0"/>
            </w:tcBorders>
            <w:vAlign w:val="center"/>
          </w:tcPr>
          <w:p w14:paraId="183F2B0B">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4931" w:type="dxa"/>
            <w:tcBorders>
              <w:top w:val="single" w:color="auto" w:sz="4" w:space="0"/>
              <w:left w:val="single" w:color="auto" w:sz="4" w:space="0"/>
              <w:bottom w:val="single" w:color="auto" w:sz="4" w:space="0"/>
              <w:right w:val="single" w:color="auto" w:sz="4" w:space="0"/>
            </w:tcBorders>
            <w:vAlign w:val="center"/>
          </w:tcPr>
          <w:p w14:paraId="71DD994D">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w:t>
            </w:r>
            <w:r>
              <w:rPr>
                <w:rFonts w:hint="eastAsia" w:ascii="宋体" w:hAnsi="宋体" w:cs="宋体"/>
                <w:color w:val="auto"/>
                <w:sz w:val="24"/>
                <w:szCs w:val="24"/>
                <w:highlight w:val="none"/>
                <w:lang w:val="zh-CN"/>
              </w:rPr>
              <w:t>数量</w:t>
            </w:r>
            <w:r>
              <w:rPr>
                <w:rFonts w:hint="eastAsia" w:ascii="宋体" w:hAnsi="宋体" w:eastAsia="宋体" w:cs="宋体"/>
                <w:color w:val="auto"/>
                <w:sz w:val="24"/>
                <w:szCs w:val="24"/>
                <w:highlight w:val="none"/>
                <w:lang w:val="zh-CN"/>
              </w:rPr>
              <w:t>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4"/>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的响应程度审查</w:t>
            </w:r>
          </w:p>
        </w:tc>
        <w:tc>
          <w:tcPr>
            <w:tcW w:w="2422" w:type="dxa"/>
            <w:tcBorders>
              <w:top w:val="single" w:color="auto" w:sz="4" w:space="0"/>
              <w:left w:val="single" w:color="auto" w:sz="4" w:space="0"/>
              <w:bottom w:val="single" w:color="auto" w:sz="4" w:space="0"/>
              <w:right w:val="single" w:color="auto" w:sz="4" w:space="0"/>
            </w:tcBorders>
            <w:vAlign w:val="center"/>
          </w:tcPr>
          <w:p w14:paraId="3B61434F">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4931" w:type="dxa"/>
            <w:tcBorders>
              <w:top w:val="single" w:color="auto" w:sz="4" w:space="0"/>
              <w:left w:val="single" w:color="auto" w:sz="4" w:space="0"/>
              <w:bottom w:val="single" w:color="auto" w:sz="4" w:space="0"/>
              <w:right w:val="single" w:color="auto" w:sz="4" w:space="0"/>
            </w:tcBorders>
            <w:vAlign w:val="center"/>
          </w:tcPr>
          <w:p w14:paraId="519B7AA5">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第二篇、第三篇规定的内容作出响应。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4"/>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2422" w:type="dxa"/>
            <w:tcBorders>
              <w:top w:val="single" w:color="auto" w:sz="4" w:space="0"/>
              <w:left w:val="single" w:color="auto" w:sz="4" w:space="0"/>
              <w:bottom w:val="single" w:color="auto" w:sz="4" w:space="0"/>
              <w:right w:val="single" w:color="auto" w:sz="4" w:space="0"/>
            </w:tcBorders>
            <w:vAlign w:val="center"/>
          </w:tcPr>
          <w:p w14:paraId="18DA1843">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w:t>
            </w:r>
          </w:p>
        </w:tc>
        <w:tc>
          <w:tcPr>
            <w:tcW w:w="4931" w:type="dxa"/>
            <w:tcBorders>
              <w:top w:val="single" w:color="auto" w:sz="4" w:space="0"/>
              <w:left w:val="single" w:color="auto" w:sz="4" w:space="0"/>
              <w:bottom w:val="single" w:color="auto" w:sz="4" w:space="0"/>
              <w:right w:val="single" w:color="auto" w:sz="4" w:space="0"/>
            </w:tcBorders>
            <w:vAlign w:val="center"/>
          </w:tcPr>
          <w:p w14:paraId="29CEF8E9">
            <w:pPr>
              <w:pStyle w:val="14"/>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规定。</w:t>
            </w:r>
          </w:p>
        </w:tc>
      </w:tr>
    </w:tbl>
    <w:p w14:paraId="1E0FCB7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AC8F4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四</w:t>
      </w:r>
      <w:r>
        <w:rPr>
          <w:rFonts w:hint="eastAsia" w:ascii="宋体" w:hAnsi="宋体" w:cs="宋体"/>
          <w:color w:val="auto"/>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7555A4A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五</w:t>
      </w:r>
      <w:r>
        <w:rPr>
          <w:rFonts w:hint="eastAsia" w:ascii="宋体" w:hAnsi="宋体" w:cs="宋体"/>
          <w:color w:val="auto"/>
          <w:kern w:val="0"/>
          <w:sz w:val="24"/>
          <w:szCs w:val="24"/>
          <w:highlight w:val="none"/>
        </w:rPr>
        <w:t>）评审小组采用综合评分法对供应商的响应文件进行综合评分。综合评分法，是指响应文件</w:t>
      </w:r>
      <w:r>
        <w:rPr>
          <w:rFonts w:ascii="宋体" w:hAnsi="宋体" w:cs="宋体"/>
          <w:color w:val="auto"/>
          <w:kern w:val="0"/>
          <w:sz w:val="24"/>
          <w:szCs w:val="24"/>
          <w:highlight w:val="none"/>
        </w:rPr>
        <w:t>满足</w:t>
      </w:r>
      <w:r>
        <w:rPr>
          <w:rFonts w:hint="eastAsia" w:ascii="宋体" w:hAnsi="宋体" w:cs="宋体"/>
          <w:color w:val="auto"/>
          <w:kern w:val="0"/>
          <w:sz w:val="24"/>
          <w:szCs w:val="24"/>
          <w:highlight w:val="none"/>
        </w:rPr>
        <w:t>网上</w:t>
      </w:r>
      <w:r>
        <w:rPr>
          <w:rFonts w:hint="eastAsia" w:ascii="宋体" w:hAnsi="宋体" w:cs="宋体"/>
          <w:color w:val="auto"/>
          <w:kern w:val="0"/>
          <w:sz w:val="24"/>
          <w:szCs w:val="24"/>
          <w:highlight w:val="none"/>
          <w:lang w:eastAsia="zh-CN"/>
        </w:rPr>
        <w:t>询比文件</w:t>
      </w:r>
      <w:r>
        <w:rPr>
          <w:rFonts w:ascii="宋体" w:hAnsi="宋体" w:cs="宋体"/>
          <w:color w:val="auto"/>
          <w:kern w:val="0"/>
          <w:sz w:val="24"/>
          <w:szCs w:val="24"/>
          <w:highlight w:val="none"/>
        </w:rPr>
        <w:t>全部实质性要求且按照评审因素的量化指标评审得分最高的供应商为</w:t>
      </w:r>
      <w:r>
        <w:rPr>
          <w:rFonts w:hint="eastAsia" w:ascii="宋体" w:hAnsi="宋体" w:cs="宋体"/>
          <w:color w:val="auto"/>
          <w:kern w:val="0"/>
          <w:sz w:val="24"/>
          <w:szCs w:val="24"/>
          <w:highlight w:val="none"/>
        </w:rPr>
        <w:t>成交</w:t>
      </w:r>
      <w:r>
        <w:rPr>
          <w:rFonts w:ascii="宋体" w:hAnsi="宋体" w:cs="宋体"/>
          <w:color w:val="auto"/>
          <w:kern w:val="0"/>
          <w:sz w:val="24"/>
          <w:szCs w:val="24"/>
          <w:highlight w:val="none"/>
        </w:rPr>
        <w:t>候选</w:t>
      </w:r>
      <w:r>
        <w:rPr>
          <w:rFonts w:hint="eastAsia" w:ascii="宋体" w:hAnsi="宋体" w:cs="宋体"/>
          <w:color w:val="auto"/>
          <w:kern w:val="0"/>
          <w:sz w:val="24"/>
          <w:szCs w:val="24"/>
          <w:highlight w:val="none"/>
        </w:rPr>
        <w:t>供应商</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评审</w:t>
      </w:r>
      <w:r>
        <w:rPr>
          <w:rFonts w:ascii="宋体" w:hAnsi="宋体" w:cs="宋体"/>
          <w:color w:val="auto"/>
          <w:kern w:val="0"/>
          <w:sz w:val="24"/>
          <w:szCs w:val="24"/>
          <w:highlight w:val="none"/>
        </w:rPr>
        <w:t>方法</w:t>
      </w:r>
      <w:r>
        <w:rPr>
          <w:rFonts w:hint="eastAsia" w:ascii="宋体" w:hAnsi="宋体" w:cs="宋体"/>
          <w:color w:val="auto"/>
          <w:kern w:val="0"/>
          <w:sz w:val="24"/>
          <w:szCs w:val="24"/>
          <w:highlight w:val="none"/>
        </w:rPr>
        <w:t>。供应商总得分为价格、</w:t>
      </w:r>
      <w:r>
        <w:rPr>
          <w:rFonts w:hint="eastAsia" w:ascii="宋体" w:hAnsi="宋体" w:cs="宋体"/>
          <w:color w:val="auto"/>
          <w:kern w:val="0"/>
          <w:sz w:val="24"/>
          <w:szCs w:val="24"/>
          <w:highlight w:val="none"/>
          <w:lang w:eastAsia="zh-CN"/>
        </w:rPr>
        <w:t>技术</w:t>
      </w:r>
      <w:r>
        <w:rPr>
          <w:rFonts w:hint="eastAsia" w:ascii="宋体" w:hAnsi="宋体" w:cs="宋体"/>
          <w:color w:val="auto"/>
          <w:kern w:val="0"/>
          <w:sz w:val="24"/>
          <w:szCs w:val="24"/>
          <w:highlight w:val="none"/>
        </w:rPr>
        <w:t>、商务等评定因素分别按照相应权重值计算分项得分后相加，</w:t>
      </w:r>
      <w:r>
        <w:rPr>
          <w:rFonts w:hint="eastAsia" w:ascii="宋体" w:hAnsi="宋体" w:cs="宋体"/>
          <w:color w:val="auto"/>
          <w:sz w:val="24"/>
          <w:szCs w:val="24"/>
          <w:highlight w:val="none"/>
        </w:rPr>
        <w:t>满分为10</w:t>
      </w:r>
      <w:r>
        <w:rPr>
          <w:rFonts w:hint="eastAsia" w:ascii="宋体" w:hAnsi="宋体" w:cs="宋体"/>
          <w:color w:val="auto"/>
          <w:sz w:val="24"/>
          <w:szCs w:val="24"/>
          <w:highlight w:val="none"/>
          <w:lang w:val="en-US" w:eastAsia="zh-CN"/>
        </w:rPr>
        <w:t>0分</w:t>
      </w:r>
      <w:r>
        <w:rPr>
          <w:rFonts w:hint="eastAsia" w:ascii="宋体" w:hAnsi="宋体" w:cs="宋体"/>
          <w:color w:val="auto"/>
          <w:sz w:val="24"/>
          <w:szCs w:val="24"/>
          <w:highlight w:val="none"/>
        </w:rPr>
        <w:t>。</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）评审小组各成员独立对每个有效响应（通过资格审查、符合性审查的供应商）的文件进行评价、打分，</w:t>
      </w:r>
      <w:r>
        <w:rPr>
          <w:rFonts w:hint="eastAsia" w:ascii="宋体" w:hAnsi="宋体" w:cs="宋体"/>
          <w:color w:val="auto"/>
          <w:sz w:val="24"/>
          <w:szCs w:val="24"/>
          <w:highlight w:val="none"/>
        </w:rPr>
        <w:t>然后由评审小组对各成员打分情况进行核查及复核，个别成员对同一供应商同一评分项的打分偏离较大的，应对供应商的</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进行再次核对，确属打分有误的，应及时进行修正。复核后，评审小组汇总每个供应商每项评分因素的得分</w:t>
      </w:r>
      <w:r>
        <w:rPr>
          <w:rFonts w:hint="eastAsia" w:ascii="宋体" w:hAnsi="宋体" w:cs="宋体"/>
          <w:color w:val="auto"/>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报价由低到高的顺序排列推荐。评审得分且</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报价相同的，按照</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指标优劣顺序排列推荐。若供应商的</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部分为0分，将失去成为成交候选供应商的资格。</w:t>
      </w:r>
      <w:bookmarkStart w:id="87" w:name="_Toc104806988"/>
      <w:bookmarkStart w:id="88" w:name="_Toc15278"/>
      <w:bookmarkStart w:id="89" w:name="_Toc1719"/>
    </w:p>
    <w:p w14:paraId="765FC324">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szCs w:val="24"/>
          <w:highlight w:val="none"/>
          <w:lang w:eastAsia="zh-CN"/>
        </w:rPr>
      </w:pPr>
      <w:bookmarkStart w:id="90" w:name="_Toc24791"/>
      <w:r>
        <w:rPr>
          <w:rFonts w:hint="eastAsia" w:ascii="宋体" w:hAnsi="宋体" w:eastAsia="宋体" w:cs="宋体"/>
          <w:b/>
          <w:bCs/>
          <w:color w:val="auto"/>
          <w:sz w:val="24"/>
          <w:szCs w:val="24"/>
          <w:highlight w:val="none"/>
          <w:lang w:eastAsia="zh-CN"/>
        </w:rPr>
        <w:t>二、评审标准</w:t>
      </w:r>
      <w:bookmarkEnd w:id="87"/>
      <w:bookmarkEnd w:id="90"/>
    </w:p>
    <w:tbl>
      <w:tblPr>
        <w:tblStyle w:val="25"/>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03"/>
        <w:gridCol w:w="562"/>
        <w:gridCol w:w="5983"/>
        <w:gridCol w:w="2302"/>
      </w:tblGrid>
      <w:tr w14:paraId="2E35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80" w:type="dxa"/>
            <w:noWrap w:val="0"/>
            <w:vAlign w:val="center"/>
          </w:tcPr>
          <w:p w14:paraId="3CAA3FE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bCs w:val="0"/>
                <w:color w:val="auto"/>
                <w:sz w:val="24"/>
                <w:szCs w:val="24"/>
                <w:highlight w:val="none"/>
              </w:rPr>
            </w:pPr>
            <w:bookmarkStart w:id="91" w:name="_Toc8881"/>
            <w:r>
              <w:rPr>
                <w:rFonts w:hint="eastAsia" w:ascii="宋体" w:hAnsi="宋体" w:eastAsia="宋体" w:cs="宋体"/>
                <w:b/>
                <w:bCs w:val="0"/>
                <w:color w:val="auto"/>
                <w:sz w:val="24"/>
                <w:szCs w:val="24"/>
                <w:highlight w:val="none"/>
              </w:rPr>
              <w:t>序号</w:t>
            </w:r>
          </w:p>
        </w:tc>
        <w:tc>
          <w:tcPr>
            <w:tcW w:w="903" w:type="dxa"/>
            <w:noWrap w:val="0"/>
            <w:vAlign w:val="center"/>
          </w:tcPr>
          <w:p w14:paraId="4FDA4D7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评分因素及权值</w:t>
            </w:r>
          </w:p>
        </w:tc>
        <w:tc>
          <w:tcPr>
            <w:tcW w:w="562" w:type="dxa"/>
            <w:noWrap w:val="0"/>
            <w:vAlign w:val="center"/>
          </w:tcPr>
          <w:p w14:paraId="4307330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分值</w:t>
            </w:r>
          </w:p>
        </w:tc>
        <w:tc>
          <w:tcPr>
            <w:tcW w:w="5983" w:type="dxa"/>
            <w:noWrap w:val="0"/>
            <w:vAlign w:val="center"/>
          </w:tcPr>
          <w:p w14:paraId="1D4D058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评分标准</w:t>
            </w:r>
          </w:p>
        </w:tc>
        <w:tc>
          <w:tcPr>
            <w:tcW w:w="2302" w:type="dxa"/>
            <w:noWrap w:val="0"/>
            <w:vAlign w:val="center"/>
          </w:tcPr>
          <w:p w14:paraId="275DF4AF">
            <w:pPr>
              <w:pStyle w:val="54"/>
              <w:keepNext w:val="0"/>
              <w:keepLines w:val="0"/>
              <w:pageBreakBefore w:val="0"/>
              <w:widowControl w:val="0"/>
              <w:kinsoku/>
              <w:wordWrap/>
              <w:overflowPunct/>
              <w:topLinePunct w:val="0"/>
              <w:autoSpaceDE/>
              <w:autoSpaceDN/>
              <w:bidi w:val="0"/>
              <w:adjustRightInd/>
              <w:snapToGrid/>
              <w:spacing w:before="0" w:after="0" w:line="340" w:lineRule="exact"/>
              <w:ind w:left="0" w:leftChars="0" w:right="0" w:right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说明</w:t>
            </w:r>
          </w:p>
        </w:tc>
      </w:tr>
      <w:tr w14:paraId="13E4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80" w:type="dxa"/>
            <w:noWrap w:val="0"/>
            <w:vAlign w:val="center"/>
          </w:tcPr>
          <w:p w14:paraId="7022E48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903" w:type="dxa"/>
            <w:noWrap w:val="0"/>
            <w:vAlign w:val="center"/>
          </w:tcPr>
          <w:p w14:paraId="5696EEB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投标</w:t>
            </w:r>
          </w:p>
          <w:p w14:paraId="3B0B564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w:t>
            </w:r>
          </w:p>
          <w:p w14:paraId="6219F5F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50</w:t>
            </w:r>
            <w:r>
              <w:rPr>
                <w:rFonts w:hint="eastAsia" w:ascii="宋体" w:hAnsi="宋体" w:eastAsia="宋体" w:cs="宋体"/>
                <w:b w:val="0"/>
                <w:bCs/>
                <w:color w:val="auto"/>
                <w:sz w:val="24"/>
                <w:szCs w:val="24"/>
                <w:highlight w:val="none"/>
              </w:rPr>
              <w:t>%）</w:t>
            </w:r>
          </w:p>
        </w:tc>
        <w:tc>
          <w:tcPr>
            <w:tcW w:w="562" w:type="dxa"/>
            <w:noWrap w:val="0"/>
            <w:vAlign w:val="center"/>
          </w:tcPr>
          <w:p w14:paraId="0EED09F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50</w:t>
            </w:r>
            <w:r>
              <w:rPr>
                <w:rFonts w:hint="eastAsia" w:ascii="宋体" w:hAnsi="宋体" w:cs="宋体"/>
                <w:b w:val="0"/>
                <w:bCs/>
                <w:color w:val="auto"/>
                <w:sz w:val="24"/>
                <w:szCs w:val="24"/>
                <w:highlight w:val="none"/>
                <w:lang w:val="en-US" w:eastAsia="zh-CN"/>
              </w:rPr>
              <w:t>分</w:t>
            </w:r>
          </w:p>
        </w:tc>
        <w:tc>
          <w:tcPr>
            <w:tcW w:w="5983" w:type="dxa"/>
            <w:noWrap w:val="0"/>
            <w:vAlign w:val="center"/>
          </w:tcPr>
          <w:p w14:paraId="3B9717E2">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满足资格性、符合性要求的所有供应商的最低价为评标基准价，按照下列公式计算每个供应商的投标报价得分。</w:t>
            </w:r>
          </w:p>
          <w:p w14:paraId="2952B3F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tc>
        <w:tc>
          <w:tcPr>
            <w:tcW w:w="2302" w:type="dxa"/>
            <w:noWrap w:val="0"/>
            <w:vAlign w:val="center"/>
          </w:tcPr>
          <w:p w14:paraId="46556B2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rPr>
                <w:rFonts w:hint="eastAsia" w:ascii="宋体" w:hAnsi="宋体" w:eastAsia="宋体" w:cs="宋体"/>
                <w:b w:val="0"/>
                <w:bCs/>
                <w:color w:val="auto"/>
                <w:sz w:val="24"/>
                <w:szCs w:val="24"/>
                <w:highlight w:val="none"/>
              </w:rPr>
            </w:pPr>
          </w:p>
        </w:tc>
      </w:tr>
      <w:tr w14:paraId="49F4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80" w:type="dxa"/>
            <w:vMerge w:val="restart"/>
            <w:noWrap w:val="0"/>
            <w:vAlign w:val="center"/>
          </w:tcPr>
          <w:p w14:paraId="3629252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903" w:type="dxa"/>
            <w:vMerge w:val="restart"/>
            <w:noWrap w:val="0"/>
            <w:vAlign w:val="center"/>
          </w:tcPr>
          <w:p w14:paraId="7B0558D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服务</w:t>
            </w:r>
          </w:p>
          <w:p w14:paraId="0FE320C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部分</w:t>
            </w:r>
          </w:p>
          <w:p w14:paraId="7FF8D0C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45</w:t>
            </w:r>
            <w:r>
              <w:rPr>
                <w:rFonts w:hint="eastAsia" w:ascii="宋体" w:hAnsi="宋体" w:eastAsia="宋体" w:cs="宋体"/>
                <w:b w:val="0"/>
                <w:bCs/>
                <w:color w:val="auto"/>
                <w:sz w:val="24"/>
                <w:szCs w:val="24"/>
                <w:highlight w:val="none"/>
              </w:rPr>
              <w:t>%）</w:t>
            </w:r>
          </w:p>
        </w:tc>
        <w:tc>
          <w:tcPr>
            <w:tcW w:w="562" w:type="dxa"/>
            <w:vMerge w:val="restart"/>
            <w:noWrap w:val="0"/>
            <w:vAlign w:val="center"/>
          </w:tcPr>
          <w:p w14:paraId="42C1F31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45</w:t>
            </w:r>
            <w:r>
              <w:rPr>
                <w:rFonts w:hint="eastAsia" w:ascii="宋体" w:hAnsi="宋体" w:cs="宋体"/>
                <w:b w:val="0"/>
                <w:bCs/>
                <w:color w:val="auto"/>
                <w:sz w:val="24"/>
                <w:szCs w:val="24"/>
                <w:highlight w:val="none"/>
                <w:lang w:val="en-US" w:eastAsia="zh-CN"/>
              </w:rPr>
              <w:t>分</w:t>
            </w:r>
          </w:p>
        </w:tc>
        <w:tc>
          <w:tcPr>
            <w:tcW w:w="5983" w:type="dxa"/>
            <w:tcBorders>
              <w:bottom w:val="single" w:color="auto" w:sz="4" w:space="0"/>
            </w:tcBorders>
            <w:noWrap w:val="0"/>
            <w:vAlign w:val="center"/>
          </w:tcPr>
          <w:p w14:paraId="1D9469C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起评分：有效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的起评分为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4BA089C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扣分条款：</w:t>
            </w:r>
          </w:p>
          <w:p w14:paraId="483D3B4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投标产品技术参数不满足</w:t>
            </w:r>
            <w:r>
              <w:rPr>
                <w:rFonts w:hint="eastAsia" w:ascii="宋体" w:hAnsi="宋体" w:eastAsia="宋体" w:cs="宋体"/>
                <w:color w:val="auto"/>
                <w:sz w:val="24"/>
                <w:szCs w:val="24"/>
                <w:highlight w:val="none"/>
                <w:lang w:eastAsia="zh-CN"/>
              </w:rPr>
              <w:t>竞采文件重要</w:t>
            </w:r>
            <w:r>
              <w:rPr>
                <w:rFonts w:hint="eastAsia" w:ascii="宋体" w:hAnsi="宋体" w:eastAsia="宋体" w:cs="宋体"/>
                <w:color w:val="auto"/>
                <w:sz w:val="24"/>
                <w:szCs w:val="24"/>
                <w:highlight w:val="none"/>
              </w:rPr>
              <w:t>技术需求的【本</w:t>
            </w:r>
            <w:r>
              <w:rPr>
                <w:rFonts w:hint="eastAsia" w:ascii="宋体" w:hAnsi="宋体" w:eastAsia="宋体" w:cs="宋体"/>
                <w:color w:val="auto"/>
                <w:sz w:val="24"/>
                <w:szCs w:val="24"/>
                <w:highlight w:val="none"/>
                <w:lang w:eastAsia="zh-CN"/>
              </w:rPr>
              <w:t>竞采文件</w:t>
            </w:r>
            <w:r>
              <w:rPr>
                <w:rFonts w:hint="eastAsia" w:ascii="宋体" w:hAnsi="宋体" w:eastAsia="宋体" w:cs="宋体"/>
                <w:color w:val="auto"/>
                <w:sz w:val="24"/>
                <w:szCs w:val="24"/>
                <w:highlight w:val="none"/>
              </w:rPr>
              <w:t>第二篇中“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”号标注部分】，每负偏离1条从起评分中扣除</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2302" w:type="dxa"/>
            <w:noWrap w:val="0"/>
            <w:vAlign w:val="center"/>
          </w:tcPr>
          <w:p w14:paraId="5E18771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rPr>
                <w:rFonts w:hint="eastAsia" w:ascii="宋体" w:hAnsi="宋体" w:eastAsia="宋体" w:cs="宋体"/>
                <w:color w:val="auto"/>
                <w:sz w:val="24"/>
                <w:szCs w:val="24"/>
                <w:highlight w:val="none"/>
              </w:rPr>
            </w:pPr>
          </w:p>
        </w:tc>
      </w:tr>
      <w:tr w14:paraId="684F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0" w:type="dxa"/>
            <w:vMerge w:val="continue"/>
            <w:noWrap w:val="0"/>
            <w:vAlign w:val="center"/>
          </w:tcPr>
          <w:p w14:paraId="4D154A2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val="0"/>
                <w:bCs/>
                <w:color w:val="auto"/>
                <w:sz w:val="24"/>
                <w:szCs w:val="24"/>
                <w:highlight w:val="none"/>
              </w:rPr>
            </w:pPr>
          </w:p>
        </w:tc>
        <w:tc>
          <w:tcPr>
            <w:tcW w:w="903" w:type="dxa"/>
            <w:vMerge w:val="continue"/>
            <w:noWrap w:val="0"/>
            <w:vAlign w:val="center"/>
          </w:tcPr>
          <w:p w14:paraId="121CDDC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rPr>
            </w:pPr>
          </w:p>
        </w:tc>
        <w:tc>
          <w:tcPr>
            <w:tcW w:w="562" w:type="dxa"/>
            <w:vMerge w:val="continue"/>
            <w:noWrap w:val="0"/>
            <w:vAlign w:val="center"/>
          </w:tcPr>
          <w:p w14:paraId="1B556C6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val="0"/>
                <w:bCs/>
                <w:color w:val="auto"/>
                <w:sz w:val="24"/>
                <w:szCs w:val="24"/>
                <w:highlight w:val="none"/>
                <w:lang w:val="en-US" w:eastAsia="zh-CN"/>
              </w:rPr>
            </w:pPr>
          </w:p>
        </w:tc>
        <w:tc>
          <w:tcPr>
            <w:tcW w:w="5983" w:type="dxa"/>
            <w:tcBorders>
              <w:bottom w:val="single" w:color="auto" w:sz="4" w:space="0"/>
            </w:tcBorders>
            <w:noWrap w:val="0"/>
            <w:vAlign w:val="center"/>
          </w:tcPr>
          <w:p w14:paraId="731427A9">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bCs/>
                <w:color w:val="auto"/>
                <w:sz w:val="24"/>
                <w:szCs w:val="24"/>
              </w:rPr>
            </w:pPr>
            <w:r>
              <w:rPr>
                <w:rFonts w:hint="eastAsia" w:ascii="宋体" w:hAnsi="宋体" w:eastAsia="宋体" w:cs="宋体"/>
                <w:b/>
                <w:bCs/>
                <w:color w:val="auto"/>
                <w:kern w:val="0"/>
                <w:sz w:val="24"/>
                <w:szCs w:val="24"/>
                <w:highlight w:val="none"/>
                <w:lang w:eastAsia="zh-CN"/>
              </w:rPr>
              <w:t>项目</w:t>
            </w:r>
            <w:r>
              <w:rPr>
                <w:rFonts w:hint="eastAsia" w:ascii="宋体" w:hAnsi="宋体" w:eastAsia="宋体" w:cs="宋体"/>
                <w:b/>
                <w:bCs/>
                <w:color w:val="auto"/>
                <w:kern w:val="0"/>
                <w:sz w:val="24"/>
                <w:szCs w:val="24"/>
                <w:highlight w:val="none"/>
                <w:lang w:val="en-US" w:eastAsia="zh-CN"/>
              </w:rPr>
              <w:t>施工</w:t>
            </w:r>
            <w:r>
              <w:rPr>
                <w:rFonts w:hint="eastAsia" w:ascii="宋体" w:hAnsi="宋体" w:eastAsia="宋体" w:cs="宋体"/>
                <w:b/>
                <w:bCs/>
                <w:color w:val="auto"/>
                <w:kern w:val="0"/>
                <w:sz w:val="24"/>
                <w:szCs w:val="24"/>
                <w:highlight w:val="none"/>
                <w:lang w:eastAsia="zh-CN"/>
              </w:rPr>
              <w:t>方案（</w:t>
            </w:r>
            <w:r>
              <w:rPr>
                <w:rFonts w:hint="eastAsia" w:ascii="宋体" w:hAnsi="宋体" w:eastAsia="宋体" w:cs="宋体"/>
                <w:b/>
                <w:bCs/>
                <w:color w:val="auto"/>
                <w:kern w:val="0"/>
                <w:sz w:val="24"/>
                <w:szCs w:val="24"/>
                <w:highlight w:val="none"/>
                <w:lang w:val="en-US" w:eastAsia="zh-CN"/>
              </w:rPr>
              <w:t>15分</w:t>
            </w:r>
            <w:r>
              <w:rPr>
                <w:rFonts w:hint="eastAsia" w:ascii="宋体" w:hAnsi="宋体" w:eastAsia="宋体" w:cs="宋体"/>
                <w:b/>
                <w:bCs/>
                <w:color w:val="auto"/>
                <w:kern w:val="0"/>
                <w:sz w:val="24"/>
                <w:szCs w:val="24"/>
                <w:highlight w:val="none"/>
                <w:lang w:eastAsia="zh-CN"/>
              </w:rPr>
              <w:t>）</w:t>
            </w:r>
          </w:p>
          <w:p w14:paraId="18A84237">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针对本项目实际情况，制定</w:t>
            </w:r>
            <w:r>
              <w:rPr>
                <w:rFonts w:hint="eastAsia" w:ascii="宋体" w:hAnsi="宋体" w:eastAsia="宋体" w:cs="宋体"/>
                <w:color w:val="auto"/>
                <w:kern w:val="0"/>
                <w:sz w:val="24"/>
                <w:szCs w:val="24"/>
                <w:highlight w:val="none"/>
                <w:lang w:eastAsia="zh-CN"/>
              </w:rPr>
              <w:t>项目</w:t>
            </w:r>
            <w:r>
              <w:rPr>
                <w:rFonts w:hint="eastAsia" w:ascii="宋体" w:hAnsi="宋体" w:eastAsia="宋体" w:cs="宋体"/>
                <w:color w:val="auto"/>
                <w:kern w:val="0"/>
                <w:sz w:val="24"/>
                <w:szCs w:val="24"/>
                <w:highlight w:val="none"/>
                <w:lang w:val="en-US" w:eastAsia="zh-CN"/>
              </w:rPr>
              <w:t>施工</w:t>
            </w:r>
            <w:r>
              <w:rPr>
                <w:rFonts w:hint="eastAsia" w:ascii="宋体" w:hAnsi="宋体" w:eastAsia="宋体" w:cs="宋体"/>
                <w:color w:val="auto"/>
                <w:kern w:val="0"/>
                <w:sz w:val="24"/>
                <w:szCs w:val="24"/>
                <w:highlight w:val="none"/>
                <w:lang w:eastAsia="zh-CN"/>
              </w:rPr>
              <w:t>方案</w:t>
            </w:r>
            <w:r>
              <w:rPr>
                <w:rFonts w:hint="eastAsia" w:ascii="宋体" w:hAnsi="宋体" w:eastAsia="宋体" w:cs="宋体"/>
                <w:color w:val="auto"/>
                <w:sz w:val="24"/>
                <w:szCs w:val="24"/>
                <w:highlight w:val="none"/>
              </w:rPr>
              <w:t>。从方案合理性、针对性、可靠性等方面进行评审。</w:t>
            </w:r>
          </w:p>
          <w:p w14:paraId="21F7D097">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4175DD79">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36A4E9F3">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BA3AA8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1AEBD0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方案内容存在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处及以上瑕疵的或未提供得0分。</w:t>
            </w:r>
          </w:p>
        </w:tc>
        <w:tc>
          <w:tcPr>
            <w:tcW w:w="2302" w:type="dxa"/>
            <w:vMerge w:val="restart"/>
            <w:noWrap w:val="0"/>
            <w:vAlign w:val="center"/>
          </w:tcPr>
          <w:p w14:paraId="06209C0E">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小组根据供应商提供的方案进行综合评分。提供方案，格式自拟。</w:t>
            </w:r>
          </w:p>
          <w:p w14:paraId="786ED873">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注：本项内容中所称的“瑕疵”指方案内容缺项、内容表述不完整或缺少关键分析点，方案内容表述前后矛盾、无连贯性，内容存在逻辑漏洞、常识错误、服务措施保障安排并不适用本项目特性或非专门针对本项目制定、方案中提出的措施举措不利于本项目目标的实现、现有技术条件下不可能出现的情形等任意一种情形。</w:t>
            </w:r>
          </w:p>
        </w:tc>
      </w:tr>
      <w:tr w14:paraId="4E19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0" w:type="dxa"/>
            <w:vMerge w:val="continue"/>
            <w:noWrap w:val="0"/>
            <w:vAlign w:val="center"/>
          </w:tcPr>
          <w:p w14:paraId="1888145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val="0"/>
                <w:bCs/>
                <w:color w:val="auto"/>
                <w:sz w:val="24"/>
                <w:szCs w:val="24"/>
                <w:highlight w:val="none"/>
              </w:rPr>
            </w:pPr>
          </w:p>
        </w:tc>
        <w:tc>
          <w:tcPr>
            <w:tcW w:w="903" w:type="dxa"/>
            <w:vMerge w:val="continue"/>
            <w:noWrap w:val="0"/>
            <w:vAlign w:val="center"/>
          </w:tcPr>
          <w:p w14:paraId="0D83D11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rPr>
            </w:pPr>
          </w:p>
        </w:tc>
        <w:tc>
          <w:tcPr>
            <w:tcW w:w="562" w:type="dxa"/>
            <w:vMerge w:val="continue"/>
            <w:noWrap w:val="0"/>
            <w:vAlign w:val="center"/>
          </w:tcPr>
          <w:p w14:paraId="56E367E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jc w:val="center"/>
              <w:textAlignment w:val="auto"/>
              <w:rPr>
                <w:rFonts w:hint="eastAsia" w:ascii="宋体" w:hAnsi="宋体" w:eastAsia="宋体" w:cs="宋体"/>
                <w:b w:val="0"/>
                <w:bCs/>
                <w:color w:val="auto"/>
                <w:sz w:val="24"/>
                <w:szCs w:val="24"/>
                <w:highlight w:val="none"/>
              </w:rPr>
            </w:pPr>
          </w:p>
        </w:tc>
        <w:tc>
          <w:tcPr>
            <w:tcW w:w="5983" w:type="dxa"/>
            <w:tcBorders>
              <w:bottom w:val="single" w:color="auto" w:sz="4" w:space="0"/>
            </w:tcBorders>
            <w:noWrap w:val="0"/>
            <w:vAlign w:val="center"/>
          </w:tcPr>
          <w:p w14:paraId="6EB5CF30">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质量保障方案</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10分</w:t>
            </w:r>
            <w:r>
              <w:rPr>
                <w:rFonts w:hint="eastAsia" w:ascii="宋体" w:hAnsi="宋体" w:eastAsia="宋体" w:cs="宋体"/>
                <w:b/>
                <w:bCs/>
                <w:color w:val="auto"/>
                <w:kern w:val="0"/>
                <w:sz w:val="24"/>
                <w:szCs w:val="24"/>
                <w:highlight w:val="none"/>
                <w:lang w:eastAsia="zh-CN"/>
              </w:rPr>
              <w:t>）</w:t>
            </w:r>
          </w:p>
          <w:p w14:paraId="2B94533C">
            <w:pPr>
              <w:keepNext w:val="0"/>
              <w:keepLines w:val="0"/>
              <w:pageBreakBefore w:val="0"/>
              <w:widowControl w:val="0"/>
              <w:kinsoku/>
              <w:wordWrap/>
              <w:overflowPunct/>
              <w:topLinePunct w:val="0"/>
              <w:autoSpaceDE/>
              <w:autoSpaceDN/>
              <w:bidi w:val="0"/>
              <w:adjustRightInd/>
              <w:spacing w:line="3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针对本项目实际情况，制定质量保障方案。从方案合理性、针对性、可靠性等方面进行评审。</w:t>
            </w:r>
          </w:p>
          <w:p w14:paraId="09FD69C3">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73C67087">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C1FEF02">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6CD73F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383C1F6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rPr>
              <w:t>方案内容存在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处及以上瑕疵的或未提供得0分。</w:t>
            </w:r>
          </w:p>
        </w:tc>
        <w:tc>
          <w:tcPr>
            <w:tcW w:w="2302" w:type="dxa"/>
            <w:vMerge w:val="continue"/>
            <w:noWrap w:val="0"/>
            <w:vAlign w:val="center"/>
          </w:tcPr>
          <w:p w14:paraId="210A25BB">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bCs/>
                <w:color w:val="auto"/>
                <w:sz w:val="24"/>
                <w:szCs w:val="24"/>
                <w:highlight w:val="none"/>
              </w:rPr>
            </w:pPr>
          </w:p>
        </w:tc>
      </w:tr>
      <w:tr w14:paraId="032A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0" w:type="dxa"/>
            <w:vMerge w:val="continue"/>
            <w:noWrap w:val="0"/>
            <w:vAlign w:val="center"/>
          </w:tcPr>
          <w:p w14:paraId="6FF6901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903" w:type="dxa"/>
            <w:vMerge w:val="continue"/>
            <w:noWrap w:val="0"/>
            <w:vAlign w:val="center"/>
          </w:tcPr>
          <w:p w14:paraId="01E3D01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562" w:type="dxa"/>
            <w:vMerge w:val="continue"/>
            <w:noWrap w:val="0"/>
            <w:vAlign w:val="center"/>
          </w:tcPr>
          <w:p w14:paraId="221B235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5983" w:type="dxa"/>
            <w:tcBorders>
              <w:bottom w:val="single" w:color="auto" w:sz="4" w:space="0"/>
            </w:tcBorders>
            <w:noWrap w:val="0"/>
            <w:vAlign w:val="center"/>
          </w:tcPr>
          <w:p w14:paraId="6399CAE6">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售后服务方案（</w:t>
            </w:r>
            <w:r>
              <w:rPr>
                <w:rFonts w:hint="eastAsia" w:ascii="宋体" w:hAnsi="宋体" w:eastAsia="宋体" w:cs="宋体"/>
                <w:b/>
                <w:bCs/>
                <w:color w:val="auto"/>
                <w:kern w:val="0"/>
                <w:sz w:val="24"/>
                <w:szCs w:val="24"/>
                <w:highlight w:val="none"/>
                <w:lang w:val="en-US" w:eastAsia="zh-CN"/>
              </w:rPr>
              <w:t>10分</w:t>
            </w:r>
            <w:r>
              <w:rPr>
                <w:rFonts w:hint="eastAsia" w:ascii="宋体" w:hAnsi="宋体" w:eastAsia="宋体" w:cs="宋体"/>
                <w:b/>
                <w:bCs/>
                <w:color w:val="auto"/>
                <w:kern w:val="0"/>
                <w:sz w:val="24"/>
                <w:szCs w:val="24"/>
                <w:highlight w:val="none"/>
                <w:lang w:eastAsia="zh-CN"/>
              </w:rPr>
              <w:t>）</w:t>
            </w:r>
          </w:p>
          <w:p w14:paraId="68A498EF">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针对本项目实际情况，制定</w:t>
            </w:r>
            <w:r>
              <w:rPr>
                <w:rFonts w:hint="eastAsia" w:ascii="宋体" w:hAnsi="宋体" w:eastAsia="宋体" w:cs="宋体"/>
                <w:color w:val="auto"/>
                <w:kern w:val="0"/>
                <w:sz w:val="24"/>
                <w:szCs w:val="24"/>
                <w:highlight w:val="none"/>
                <w:lang w:eastAsia="zh-CN"/>
              </w:rPr>
              <w:t>售后服务方案</w:t>
            </w:r>
            <w:r>
              <w:rPr>
                <w:rFonts w:hint="eastAsia" w:ascii="宋体" w:hAnsi="宋体" w:eastAsia="宋体" w:cs="宋体"/>
                <w:color w:val="auto"/>
                <w:sz w:val="24"/>
                <w:szCs w:val="24"/>
                <w:highlight w:val="none"/>
              </w:rPr>
              <w:t>。从方案合理性、针对性、可靠性等方面进行评审。</w:t>
            </w:r>
          </w:p>
          <w:p w14:paraId="6DBAF67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方案内容不存在瑕疵得10分；</w:t>
            </w:r>
          </w:p>
          <w:p w14:paraId="413DB17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方案内容存在1处瑕疵得7分；</w:t>
            </w:r>
          </w:p>
          <w:p w14:paraId="27C5590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方案内容存在2处瑕疵</w:t>
            </w:r>
            <w:r>
              <w:rPr>
                <w:rFonts w:hint="eastAsia" w:ascii="宋体" w:hAnsi="宋体" w:eastAsia="宋体" w:cs="宋体"/>
                <w:color w:val="auto"/>
                <w:sz w:val="24"/>
                <w:szCs w:val="24"/>
                <w:highlight w:val="none"/>
              </w:rPr>
              <w:t>得</w:t>
            </w:r>
            <w:r>
              <w:rPr>
                <w:rFonts w:hint="eastAsia" w:ascii="宋体" w:hAnsi="宋体" w:eastAsia="宋体" w:cs="宋体"/>
                <w:color w:val="auto"/>
                <w:kern w:val="0"/>
                <w:sz w:val="24"/>
                <w:szCs w:val="24"/>
                <w:highlight w:val="none"/>
                <w:lang w:val="en-US" w:eastAsia="zh-CN"/>
              </w:rPr>
              <w:t>4分；</w:t>
            </w:r>
          </w:p>
          <w:p w14:paraId="2D2D853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方案内容存在3处瑕疵</w:t>
            </w:r>
            <w:r>
              <w:rPr>
                <w:rFonts w:hint="eastAsia" w:ascii="宋体" w:hAnsi="宋体" w:eastAsia="宋体" w:cs="宋体"/>
                <w:color w:val="auto"/>
                <w:sz w:val="24"/>
                <w:szCs w:val="24"/>
                <w:highlight w:val="none"/>
              </w:rPr>
              <w:t>得</w:t>
            </w:r>
            <w:r>
              <w:rPr>
                <w:rFonts w:hint="eastAsia" w:ascii="宋体" w:hAnsi="宋体" w:eastAsia="宋体" w:cs="宋体"/>
                <w:color w:val="auto"/>
                <w:kern w:val="0"/>
                <w:sz w:val="24"/>
                <w:szCs w:val="24"/>
                <w:highlight w:val="none"/>
                <w:lang w:val="en-US" w:eastAsia="zh-CN"/>
              </w:rPr>
              <w:t>1分；</w:t>
            </w:r>
          </w:p>
          <w:p w14:paraId="3F81C50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方案内容存在4处及以上瑕疵的或未提供得0分。</w:t>
            </w:r>
          </w:p>
        </w:tc>
        <w:tc>
          <w:tcPr>
            <w:tcW w:w="2302" w:type="dxa"/>
            <w:vMerge w:val="continue"/>
            <w:noWrap w:val="0"/>
            <w:vAlign w:val="center"/>
          </w:tcPr>
          <w:p w14:paraId="734EDD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auto"/>
                <w:kern w:val="0"/>
                <w:sz w:val="24"/>
                <w:szCs w:val="24"/>
                <w:highlight w:val="none"/>
                <w:lang w:val="en-US" w:eastAsia="zh-CN"/>
              </w:rPr>
            </w:pPr>
          </w:p>
        </w:tc>
      </w:tr>
      <w:tr w14:paraId="5674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0" w:type="dxa"/>
            <w:vMerge w:val="restart"/>
            <w:tcBorders>
              <w:left w:val="single" w:color="auto" w:sz="4" w:space="0"/>
              <w:right w:val="single" w:color="auto" w:sz="4" w:space="0"/>
            </w:tcBorders>
            <w:noWrap w:val="0"/>
            <w:vAlign w:val="center"/>
          </w:tcPr>
          <w:p w14:paraId="112858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w:t>
            </w:r>
          </w:p>
        </w:tc>
        <w:tc>
          <w:tcPr>
            <w:tcW w:w="903" w:type="dxa"/>
            <w:vMerge w:val="restart"/>
            <w:tcBorders>
              <w:left w:val="single" w:color="auto" w:sz="4" w:space="0"/>
              <w:right w:val="single" w:color="auto" w:sz="4" w:space="0"/>
            </w:tcBorders>
            <w:noWrap w:val="0"/>
            <w:vAlign w:val="center"/>
          </w:tcPr>
          <w:p w14:paraId="03009D0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w:t>
            </w:r>
          </w:p>
          <w:p w14:paraId="61B054F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部分</w:t>
            </w:r>
          </w:p>
          <w:p w14:paraId="7860408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w:t>
            </w:r>
          </w:p>
        </w:tc>
        <w:tc>
          <w:tcPr>
            <w:tcW w:w="562" w:type="dxa"/>
            <w:tcBorders>
              <w:left w:val="single" w:color="auto" w:sz="4" w:space="0"/>
              <w:right w:val="single" w:color="auto" w:sz="4" w:space="0"/>
            </w:tcBorders>
            <w:noWrap w:val="0"/>
            <w:vAlign w:val="center"/>
          </w:tcPr>
          <w:p w14:paraId="5C39063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分</w:t>
            </w:r>
          </w:p>
        </w:tc>
        <w:tc>
          <w:tcPr>
            <w:tcW w:w="5983" w:type="dxa"/>
            <w:tcBorders>
              <w:top w:val="single" w:color="auto" w:sz="4" w:space="0"/>
              <w:left w:val="single" w:color="auto" w:sz="4" w:space="0"/>
              <w:right w:val="single" w:color="auto" w:sz="4" w:space="0"/>
            </w:tcBorders>
            <w:noWrap w:val="0"/>
            <w:vAlign w:val="center"/>
          </w:tcPr>
          <w:p w14:paraId="462D39D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拟派项目售后安装人员具有特种作业管理部门颁发有效的电工作业证、焊接与热切割作业证、高处作业证的，每提供一个类别得1分，共3分。</w:t>
            </w:r>
          </w:p>
        </w:tc>
        <w:tc>
          <w:tcPr>
            <w:tcW w:w="2302" w:type="dxa"/>
            <w:tcBorders>
              <w:top w:val="single" w:color="auto" w:sz="4" w:space="0"/>
              <w:left w:val="single" w:color="auto" w:sz="4" w:space="0"/>
              <w:right w:val="single" w:color="auto" w:sz="4" w:space="0"/>
            </w:tcBorders>
            <w:noWrap w:val="0"/>
            <w:vAlign w:val="center"/>
          </w:tcPr>
          <w:p w14:paraId="1519FC9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人员证书、劳动合同和社保证明复印件加盖</w:t>
            </w:r>
            <w:r>
              <w:rPr>
                <w:rFonts w:hint="eastAsia" w:ascii="宋体" w:hAnsi="宋体" w:eastAsia="宋体" w:cs="宋体"/>
                <w:b w:val="0"/>
                <w:bCs/>
                <w:color w:val="auto"/>
                <w:sz w:val="24"/>
                <w:szCs w:val="24"/>
                <w:highlight w:val="none"/>
                <w:lang w:val="en-US" w:eastAsia="zh-CN"/>
              </w:rPr>
              <w:t>供应商公章。</w:t>
            </w:r>
          </w:p>
        </w:tc>
      </w:tr>
      <w:tr w14:paraId="296A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0" w:type="dxa"/>
            <w:vMerge w:val="continue"/>
            <w:tcBorders>
              <w:left w:val="single" w:color="auto" w:sz="4" w:space="0"/>
              <w:right w:val="single" w:color="auto" w:sz="4" w:space="0"/>
            </w:tcBorders>
            <w:noWrap w:val="0"/>
            <w:vAlign w:val="center"/>
          </w:tcPr>
          <w:p w14:paraId="36F14A4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firstLineChars="0"/>
              <w:jc w:val="center"/>
              <w:textAlignment w:val="auto"/>
              <w:rPr>
                <w:rFonts w:hint="eastAsia" w:ascii="宋体" w:hAnsi="宋体" w:eastAsia="宋体" w:cs="宋体"/>
                <w:color w:val="auto"/>
                <w:sz w:val="24"/>
                <w:szCs w:val="24"/>
                <w:highlight w:val="none"/>
              </w:rPr>
            </w:pPr>
          </w:p>
        </w:tc>
        <w:tc>
          <w:tcPr>
            <w:tcW w:w="903" w:type="dxa"/>
            <w:vMerge w:val="continue"/>
            <w:tcBorders>
              <w:left w:val="single" w:color="auto" w:sz="4" w:space="0"/>
              <w:right w:val="single" w:color="auto" w:sz="4" w:space="0"/>
            </w:tcBorders>
            <w:noWrap w:val="0"/>
            <w:vAlign w:val="center"/>
          </w:tcPr>
          <w:p w14:paraId="72EFB7B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firstLineChars="0"/>
              <w:jc w:val="center"/>
              <w:textAlignment w:val="auto"/>
              <w:rPr>
                <w:rFonts w:hint="eastAsia" w:ascii="宋体" w:hAnsi="宋体" w:eastAsia="宋体" w:cs="宋体"/>
                <w:color w:val="auto"/>
                <w:sz w:val="24"/>
                <w:szCs w:val="24"/>
                <w:highlight w:val="none"/>
              </w:rPr>
            </w:pPr>
          </w:p>
        </w:tc>
        <w:tc>
          <w:tcPr>
            <w:tcW w:w="562" w:type="dxa"/>
            <w:tcBorders>
              <w:left w:val="single" w:color="auto" w:sz="4" w:space="0"/>
              <w:right w:val="single" w:color="auto" w:sz="4" w:space="0"/>
            </w:tcBorders>
            <w:noWrap w:val="0"/>
            <w:vAlign w:val="center"/>
          </w:tcPr>
          <w:p w14:paraId="31807F1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分</w:t>
            </w:r>
          </w:p>
        </w:tc>
        <w:tc>
          <w:tcPr>
            <w:tcW w:w="5983" w:type="dxa"/>
            <w:tcBorders>
              <w:left w:val="single" w:color="auto" w:sz="4" w:space="0"/>
              <w:bottom w:val="single" w:color="auto" w:sz="4" w:space="0"/>
              <w:right w:val="single" w:color="auto" w:sz="4" w:space="0"/>
            </w:tcBorders>
            <w:noWrap w:val="0"/>
            <w:vAlign w:val="center"/>
          </w:tcPr>
          <w:p w14:paraId="6EF42EE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firstLine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2022年1月1日至开标截止时间前，供应商具有类似业绩的，提供一个得1分，</w:t>
            </w:r>
            <w:r>
              <w:rPr>
                <w:rFonts w:hint="eastAsia" w:ascii="宋体" w:hAnsi="宋体" w:eastAsia="宋体" w:cs="宋体"/>
                <w:color w:val="auto"/>
                <w:sz w:val="24"/>
                <w:szCs w:val="24"/>
                <w:highlight w:val="none"/>
                <w:lang w:val="en-US" w:eastAsia="zh-CN"/>
              </w:rPr>
              <w:t>共</w:t>
            </w:r>
            <w:r>
              <w:rPr>
                <w:rFonts w:hint="eastAsia" w:ascii="宋体" w:hAnsi="宋体" w:eastAsia="宋体" w:cs="宋体"/>
                <w:b w:val="0"/>
                <w:bCs/>
                <w:color w:val="auto"/>
                <w:sz w:val="24"/>
                <w:szCs w:val="24"/>
                <w:highlight w:val="none"/>
                <w:lang w:val="en-US" w:eastAsia="zh-CN"/>
              </w:rPr>
              <w:t>2分。</w:t>
            </w:r>
          </w:p>
        </w:tc>
        <w:tc>
          <w:tcPr>
            <w:tcW w:w="2302" w:type="dxa"/>
            <w:tcBorders>
              <w:left w:val="single" w:color="auto" w:sz="4" w:space="0"/>
              <w:bottom w:val="single" w:color="auto" w:sz="4" w:space="0"/>
              <w:right w:val="single" w:color="auto" w:sz="4" w:space="0"/>
            </w:tcBorders>
            <w:noWrap w:val="0"/>
            <w:vAlign w:val="center"/>
          </w:tcPr>
          <w:p w14:paraId="02150B9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8" w:firstLine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提供合同复印件加盖供应商公章。</w:t>
            </w:r>
          </w:p>
        </w:tc>
      </w:tr>
    </w:tbl>
    <w:p w14:paraId="66B8F1C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三、无效</w:t>
      </w:r>
      <w:bookmarkEnd w:id="91"/>
      <w:r>
        <w:rPr>
          <w:rFonts w:hint="eastAsia" w:ascii="宋体" w:hAnsi="宋体" w:eastAsia="宋体" w:cs="宋体"/>
          <w:color w:val="auto"/>
          <w:sz w:val="24"/>
          <w:highlight w:val="none"/>
          <w:lang w:val="en-US" w:eastAsia="zh-CN"/>
        </w:rPr>
        <w:t>响应</w:t>
      </w:r>
    </w:p>
    <w:p w14:paraId="52812E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供应商发生以下条款情况之一者，视为无效</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eastAsia="zh-CN"/>
        </w:rPr>
        <w:t>：</w:t>
      </w:r>
    </w:p>
    <w:p w14:paraId="6C89010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362DD5F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5E62F96C">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（三）供应商所提交的响应文件未按“第七篇响应文件格式要求”要求签署或盖章的；</w:t>
      </w:r>
    </w:p>
    <w:p w14:paraId="1FED2993">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（四）供应商的报价超过采购预算或最高限价的；</w:t>
      </w:r>
    </w:p>
    <w:p w14:paraId="3EF0CDB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（五）供应商不接受</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小组修正后的价格的；</w:t>
      </w:r>
    </w:p>
    <w:p w14:paraId="3BBCED9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（六）单位负责人为同一人或者存在直接控股、管理关系的不同供应商，参加同一合同项（包）报价的；</w:t>
      </w:r>
    </w:p>
    <w:p w14:paraId="4A3DC0E4">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（七）为采购项目提供</w:t>
      </w:r>
      <w:r>
        <w:rPr>
          <w:rFonts w:hint="eastAsia" w:ascii="宋体" w:hAnsi="宋体" w:eastAsia="宋体" w:cs="宋体"/>
          <w:color w:val="auto"/>
          <w:sz w:val="24"/>
          <w:szCs w:val="24"/>
          <w:highlight w:val="none"/>
        </w:rPr>
        <w:t>整体设计、规范编制或者项目管理、监理、检测等服务的供应商再参加该采购项目的其他采购活动的；</w:t>
      </w:r>
    </w:p>
    <w:p w14:paraId="37D0E914">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706A678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92"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规定的其他无效</w:t>
      </w:r>
      <w:bookmarkEnd w:id="92"/>
      <w:r>
        <w:rPr>
          <w:rFonts w:hint="eastAsia" w:ascii="宋体" w:hAnsi="宋体" w:eastAsia="宋体" w:cs="宋体"/>
          <w:color w:val="auto"/>
          <w:sz w:val="24"/>
          <w:szCs w:val="24"/>
          <w:highlight w:val="none"/>
          <w:lang w:val="en-US" w:eastAsia="zh-CN"/>
        </w:rPr>
        <w:t>情形。</w:t>
      </w:r>
    </w:p>
    <w:p w14:paraId="260D1DEB">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93" w:name="_Toc22716"/>
      <w:bookmarkStart w:id="94" w:name="_Toc65660353"/>
      <w:bookmarkStart w:id="95" w:name="_Toc29298"/>
      <w:bookmarkStart w:id="96" w:name="_Toc106034793"/>
      <w:bookmarkStart w:id="97" w:name="_Toc28422"/>
      <w:bookmarkStart w:id="98" w:name="_Toc2351"/>
      <w:r>
        <w:rPr>
          <w:rFonts w:hint="eastAsia" w:ascii="宋体" w:hAnsi="宋体" w:eastAsia="宋体" w:cs="宋体"/>
          <w:color w:val="auto"/>
          <w:sz w:val="24"/>
          <w:highlight w:val="none"/>
        </w:rPr>
        <w:t>四、采购终止</w:t>
      </w:r>
      <w:bookmarkEnd w:id="93"/>
      <w:bookmarkEnd w:id="94"/>
      <w:bookmarkEnd w:id="95"/>
      <w:bookmarkEnd w:id="96"/>
      <w:bookmarkEnd w:id="97"/>
      <w:bookmarkEnd w:id="98"/>
    </w:p>
    <w:p w14:paraId="5A7DC1E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家的。</w:t>
      </w:r>
    </w:p>
    <w:p w14:paraId="5000AF1D">
      <w:pPr>
        <w:jc w:val="center"/>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36"/>
          <w:szCs w:val="30"/>
          <w:highlight w:val="none"/>
        </w:rPr>
        <w:t>第</w:t>
      </w:r>
      <w:r>
        <w:rPr>
          <w:rFonts w:hint="eastAsia" w:ascii="宋体" w:hAnsi="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p>
    <w:p w14:paraId="3F1394D2">
      <w:pPr>
        <w:pStyle w:val="5"/>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99" w:name="_Toc15030"/>
      <w:bookmarkStart w:id="100" w:name="_Toc487204779"/>
      <w:bookmarkStart w:id="101" w:name="_Toc29704"/>
      <w:bookmarkStart w:id="102" w:name="_Toc426965630"/>
      <w:bookmarkStart w:id="103" w:name="_Toc20643"/>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w:t>
      </w:r>
      <w:bookmarkEnd w:id="99"/>
      <w:bookmarkEnd w:id="100"/>
      <w:bookmarkEnd w:id="101"/>
      <w:bookmarkEnd w:id="102"/>
      <w:bookmarkEnd w:id="103"/>
    </w:p>
    <w:p w14:paraId="00207C73">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结果如何，采购人在任何情况下无义务也无责任承担这些费用。</w:t>
      </w:r>
    </w:p>
    <w:p w14:paraId="2B230237">
      <w:pPr>
        <w:pStyle w:val="5"/>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04" w:name="_Toc426965631"/>
      <w:bookmarkStart w:id="105" w:name="_Toc342913391"/>
      <w:bookmarkStart w:id="106" w:name="_Toc487204780"/>
      <w:bookmarkStart w:id="107" w:name="_Toc7850"/>
      <w:bookmarkStart w:id="108" w:name="_Toc8727"/>
      <w:bookmarkStart w:id="109" w:name="_Toc2403"/>
      <w:r>
        <w:rPr>
          <w:rFonts w:hint="eastAsia" w:ascii="宋体" w:hAnsi="宋体" w:eastAsia="宋体" w:cs="宋体"/>
          <w:bCs w:val="0"/>
          <w:color w:val="auto"/>
          <w:sz w:val="24"/>
          <w:szCs w:val="24"/>
          <w:highlight w:val="none"/>
        </w:rPr>
        <w:t>二、</w:t>
      </w:r>
      <w:bookmarkEnd w:id="104"/>
      <w:bookmarkEnd w:id="105"/>
      <w:bookmarkEnd w:id="106"/>
      <w:bookmarkEnd w:id="107"/>
      <w:bookmarkEnd w:id="108"/>
      <w:bookmarkEnd w:id="109"/>
      <w:r>
        <w:rPr>
          <w:rFonts w:hint="eastAsia" w:ascii="宋体" w:hAnsi="宋体" w:cs="宋体"/>
          <w:bCs w:val="0"/>
          <w:color w:val="auto"/>
          <w:sz w:val="24"/>
          <w:szCs w:val="24"/>
          <w:highlight w:val="none"/>
          <w:lang w:eastAsia="zh-CN"/>
        </w:rPr>
        <w:t>询比文件</w:t>
      </w:r>
      <w:r>
        <w:rPr>
          <w:rFonts w:hint="eastAsia" w:ascii="宋体" w:hAnsi="宋体" w:eastAsia="宋体" w:cs="宋体"/>
          <w:color w:val="auto"/>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。一经进入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所有条款内容并同意放弃对这方面有不明白及误解的权利。</w:t>
      </w:r>
      <w:bookmarkStart w:id="110" w:name="_Toc318159349"/>
      <w:bookmarkStart w:id="111" w:name="_Toc318159780"/>
      <w:bookmarkStart w:id="112" w:name="_Toc318159160"/>
      <w:bookmarkStart w:id="113" w:name="_Toc318166429"/>
    </w:p>
    <w:bookmarkEnd w:id="110"/>
    <w:bookmarkEnd w:id="111"/>
    <w:bookmarkEnd w:id="112"/>
    <w:bookmarkEnd w:id="113"/>
    <w:p w14:paraId="2466699F">
      <w:pPr>
        <w:pStyle w:val="5"/>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4" w:name="_Toc19564"/>
      <w:bookmarkStart w:id="115" w:name="_Toc426965632"/>
      <w:bookmarkStart w:id="116" w:name="_Toc26774"/>
      <w:bookmarkStart w:id="117" w:name="_Toc102227318"/>
      <w:bookmarkStart w:id="118" w:name="_Toc342913392"/>
      <w:bookmarkStart w:id="119" w:name="_Toc19364"/>
      <w:bookmarkStart w:id="120" w:name="_Toc179714297"/>
      <w:bookmarkStart w:id="121" w:name="_Toc487204781"/>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要求</w:t>
      </w:r>
      <w:bookmarkEnd w:id="114"/>
      <w:bookmarkEnd w:id="115"/>
      <w:bookmarkEnd w:id="116"/>
      <w:bookmarkEnd w:id="117"/>
      <w:bookmarkEnd w:id="118"/>
      <w:bookmarkEnd w:id="119"/>
      <w:bookmarkEnd w:id="120"/>
      <w:bookmarkEnd w:id="121"/>
    </w:p>
    <w:p w14:paraId="65DB641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6A96E4C">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的要求编制响应文件，并对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1B9C1927">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0DEE10D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有效期：响应文件及有关承诺文件有效期为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开始时间起90天。</w:t>
      </w:r>
    </w:p>
    <w:p w14:paraId="6617A35F">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68AD4D69">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537473BA">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（三）提交响应文件的份数和签署和递交</w:t>
      </w:r>
    </w:p>
    <w:p w14:paraId="4AE0EE4F">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1.线下响应文件</w:t>
      </w:r>
      <w:r>
        <w:rPr>
          <w:rFonts w:hint="eastAsia" w:ascii="宋体" w:hAnsi="宋体" w:eastAsia="宋体" w:cs="宋体"/>
          <w:b/>
          <w:bCs/>
          <w:color w:val="auto"/>
          <w:sz w:val="24"/>
          <w:szCs w:val="24"/>
          <w:highlight w:val="none"/>
          <w:lang w:eastAsia="zh-CN"/>
        </w:rPr>
        <w:t>一式二份</w:t>
      </w:r>
      <w:r>
        <w:rPr>
          <w:rFonts w:hint="eastAsia" w:ascii="宋体" w:hAnsi="宋体" w:eastAsia="宋体" w:cs="宋体"/>
          <w:b/>
          <w:bCs/>
          <w:color w:val="auto"/>
          <w:sz w:val="24"/>
          <w:szCs w:val="24"/>
          <w:highlight w:val="none"/>
        </w:rPr>
        <w:t>，其中正本一份，</w:t>
      </w:r>
      <w:r>
        <w:rPr>
          <w:rFonts w:hint="eastAsia" w:ascii="宋体" w:hAnsi="宋体" w:eastAsia="宋体" w:cs="宋体"/>
          <w:b/>
          <w:bCs/>
          <w:color w:val="auto"/>
          <w:sz w:val="24"/>
          <w:szCs w:val="24"/>
          <w:highlight w:val="none"/>
          <w:lang w:eastAsia="zh-CN"/>
        </w:rPr>
        <w:t>副本一份</w:t>
      </w:r>
      <w:r>
        <w:rPr>
          <w:rFonts w:hint="eastAsia" w:ascii="宋体" w:hAnsi="宋体" w:eastAsia="宋体" w:cs="宋体"/>
          <w:b/>
          <w:bCs/>
          <w:color w:val="auto"/>
          <w:sz w:val="24"/>
          <w:szCs w:val="24"/>
          <w:highlight w:val="none"/>
        </w:rPr>
        <w:t>，响应文件副本可为正本的完整复印件。</w:t>
      </w:r>
    </w:p>
    <w:p w14:paraId="151D4F82">
      <w:pPr>
        <w:snapToGrid w:val="0"/>
        <w:spacing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线上响应文件上传盖章后的电子文档（PDF）格式一份，在规定时间内上传至</w:t>
      </w:r>
      <w:r>
        <w:rPr>
          <w:rFonts w:hint="eastAsia" w:ascii="宋体" w:hAnsi="宋体" w:cs="宋体"/>
          <w:color w:val="auto"/>
          <w:spacing w:val="-20"/>
          <w:sz w:val="24"/>
          <w:szCs w:val="24"/>
          <w:highlight w:val="none"/>
          <w:lang w:eastAsia="zh-CN"/>
        </w:rPr>
        <w:t>行采家</w:t>
      </w:r>
      <w:r>
        <w:rPr>
          <w:rFonts w:hint="eastAsia" w:ascii="宋体" w:hAnsi="宋体" w:cs="宋体"/>
          <w:color w:val="auto"/>
          <w:spacing w:val="-20"/>
          <w:sz w:val="24"/>
          <w:szCs w:val="24"/>
          <w:highlight w:val="none"/>
          <w:lang w:val="en-US" w:eastAsia="zh-CN"/>
        </w:rPr>
        <w:t>·电子竞采</w:t>
      </w:r>
      <w:r>
        <w:rPr>
          <w:rFonts w:hint="eastAsia" w:ascii="宋体" w:hAnsi="宋体" w:cs="宋体"/>
          <w:color w:val="auto"/>
          <w:spacing w:val="-20"/>
          <w:sz w:val="24"/>
          <w:szCs w:val="24"/>
          <w:highlight w:val="none"/>
          <w:lang w:eastAsia="zh-CN"/>
        </w:rPr>
        <w:t>（https://www.gec123.com/xe/）</w:t>
      </w:r>
      <w:r>
        <w:rPr>
          <w:rFonts w:hint="eastAsia" w:ascii="宋体" w:hAnsi="宋体" w:cs="宋体"/>
          <w:b/>
          <w:bCs/>
          <w:color w:val="auto"/>
          <w:sz w:val="24"/>
          <w:szCs w:val="24"/>
        </w:rPr>
        <w:t>。</w:t>
      </w:r>
    </w:p>
    <w:p w14:paraId="7BA6750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响应文件按</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文件“第七篇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响应文件编制要求”要求签署或盖章。</w:t>
      </w:r>
    </w:p>
    <w:p w14:paraId="129BC249">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88"/>
    <w:bookmarkEnd w:id="89"/>
    <w:p w14:paraId="368B3BE3">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22" w:name="_Toc10172"/>
      <w:bookmarkStart w:id="123" w:name="_Toc106034798"/>
      <w:bookmarkStart w:id="124" w:name="_Toc20783"/>
      <w:r>
        <w:rPr>
          <w:rFonts w:hint="eastAsia" w:ascii="宋体" w:hAnsi="宋体" w:eastAsia="宋体" w:cs="宋体"/>
          <w:color w:val="auto"/>
          <w:sz w:val="24"/>
          <w:szCs w:val="24"/>
          <w:highlight w:val="none"/>
        </w:rPr>
        <w:t>四、成交供应商的确定和变更</w:t>
      </w:r>
      <w:bookmarkEnd w:id="122"/>
      <w:bookmarkEnd w:id="123"/>
      <w:bookmarkEnd w:id="124"/>
    </w:p>
    <w:p w14:paraId="40D086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2.成交供应商无充分理由放弃成交的，采购人将向同级财政部门报告，财政部门将根据相关法律法规的规定进行处理。</w:t>
      </w:r>
    </w:p>
    <w:p w14:paraId="6EE2297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25" w:name="_Toc106034799"/>
      <w:bookmarkStart w:id="126" w:name="_Toc10504"/>
      <w:bookmarkStart w:id="127" w:name="_Toc17760"/>
      <w:r>
        <w:rPr>
          <w:rFonts w:hint="eastAsia" w:ascii="宋体" w:hAnsi="宋体" w:eastAsia="宋体" w:cs="宋体"/>
          <w:color w:val="auto"/>
          <w:sz w:val="24"/>
          <w:szCs w:val="24"/>
          <w:highlight w:val="none"/>
        </w:rPr>
        <w:t>五、成交通知</w:t>
      </w:r>
      <w:bookmarkEnd w:id="125"/>
      <w:bookmarkEnd w:id="126"/>
      <w:bookmarkEnd w:id="127"/>
    </w:p>
    <w:p w14:paraId="5C80C47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sz w:val="24"/>
          <w:szCs w:val="24"/>
          <w:highlight w:val="none"/>
          <w:lang w:eastAsia="zh-CN"/>
        </w:rPr>
        <w:t>行采家（https://www.gec123.com/）</w:t>
      </w:r>
      <w:r>
        <w:rPr>
          <w:rFonts w:hint="eastAsia" w:ascii="宋体" w:hAnsi="宋体" w:cs="宋体"/>
          <w:color w:val="auto"/>
          <w:sz w:val="24"/>
          <w:szCs w:val="24"/>
          <w:highlight w:val="none"/>
        </w:rPr>
        <w:t>上发布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EC160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28" w:name="_Toc106034801"/>
      <w:bookmarkStart w:id="129" w:name="_Toc23778"/>
      <w:bookmarkStart w:id="130" w:name="_Toc14096"/>
      <w:r>
        <w:rPr>
          <w:rFonts w:hint="eastAsia" w:ascii="宋体" w:hAnsi="宋体" w:eastAsia="宋体" w:cs="宋体"/>
          <w:color w:val="auto"/>
          <w:sz w:val="24"/>
          <w:szCs w:val="24"/>
          <w:highlight w:val="none"/>
        </w:rPr>
        <w:t>六、签订合同</w:t>
      </w:r>
      <w:bookmarkEnd w:id="128"/>
      <w:bookmarkEnd w:id="129"/>
      <w:bookmarkEnd w:id="130"/>
    </w:p>
    <w:p w14:paraId="2BEAA6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中予以约定。成交供应商履约完毕后，采购人根据采购文件规定无息退还其履约保证金。</w:t>
      </w:r>
    </w:p>
    <w:p w14:paraId="695C64D9">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31" w:name="_Toc77"/>
      <w:bookmarkStart w:id="132" w:name="_Toc21922"/>
      <w:bookmarkStart w:id="133" w:name="_Toc106034802"/>
      <w:r>
        <w:rPr>
          <w:rFonts w:hint="eastAsia" w:ascii="宋体" w:hAnsi="宋体" w:eastAsia="宋体" w:cs="宋体"/>
          <w:color w:val="auto"/>
          <w:sz w:val="24"/>
          <w:szCs w:val="24"/>
          <w:highlight w:val="none"/>
        </w:rPr>
        <w:t>七、项目验收</w:t>
      </w:r>
      <w:bookmarkEnd w:id="131"/>
      <w:bookmarkEnd w:id="132"/>
      <w:bookmarkEnd w:id="133"/>
    </w:p>
    <w:p w14:paraId="542856F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14:paraId="4E149B1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34" w:name="_Toc2438"/>
      <w:bookmarkStart w:id="135" w:name="_Toc17336"/>
      <w:bookmarkStart w:id="136" w:name="_Toc106034803"/>
      <w:r>
        <w:rPr>
          <w:rFonts w:hint="eastAsia" w:ascii="宋体" w:hAnsi="宋体" w:eastAsia="宋体" w:cs="宋体"/>
          <w:color w:val="auto"/>
          <w:sz w:val="24"/>
          <w:szCs w:val="24"/>
          <w:highlight w:val="none"/>
        </w:rPr>
        <w:t>八、采购代理服务费</w:t>
      </w:r>
      <w:bookmarkEnd w:id="134"/>
      <w:bookmarkEnd w:id="135"/>
      <w:bookmarkEnd w:id="136"/>
    </w:p>
    <w:p w14:paraId="1A1F32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37" w:name="_Toc23463"/>
      <w:bookmarkStart w:id="138" w:name="_Toc106034805"/>
      <w:bookmarkStart w:id="139" w:name="_Toc106034655"/>
      <w:bookmarkStart w:id="140" w:name="_Toc76462345"/>
      <w:bookmarkStart w:id="141" w:name="_Toc65660363"/>
      <w:bookmarkStart w:id="142" w:name="_Toc31595"/>
      <w:bookmarkStart w:id="143" w:name="_Toc9730"/>
      <w:bookmarkStart w:id="144" w:name="_Toc4867"/>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4500.00元（大写：肆仟伍佰）。</w:t>
      </w:r>
    </w:p>
    <w:p w14:paraId="6029CFC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37"/>
    <w:bookmarkEnd w:id="138"/>
    <w:bookmarkEnd w:id="139"/>
    <w:bookmarkEnd w:id="140"/>
    <w:bookmarkEnd w:id="141"/>
    <w:bookmarkEnd w:id="142"/>
    <w:bookmarkEnd w:id="143"/>
    <w:bookmarkEnd w:id="144"/>
    <w:p w14:paraId="3AF37186">
      <w:pPr>
        <w:spacing w:line="400" w:lineRule="exact"/>
        <w:ind w:firstLine="480" w:firstLineChars="200"/>
        <w:rPr>
          <w:rFonts w:hint="eastAsia" w:ascii="宋体" w:hAnsi="宋体" w:cs="宋体"/>
          <w:color w:val="auto"/>
          <w:sz w:val="24"/>
          <w:highlight w:val="none"/>
        </w:rPr>
      </w:pPr>
      <w:bookmarkStart w:id="145" w:name="_Toc14780"/>
      <w:bookmarkStart w:id="146" w:name="_Toc8532"/>
      <w:bookmarkStart w:id="147" w:name="_Toc76462347"/>
      <w:r>
        <w:rPr>
          <w:rFonts w:hint="eastAsia" w:ascii="宋体" w:hAnsi="宋体" w:cs="宋体"/>
          <w:color w:val="auto"/>
          <w:sz w:val="24"/>
          <w:highlight w:val="none"/>
        </w:rPr>
        <w:t>户  名：重庆鸿兴招标代理有限公司</w:t>
      </w:r>
    </w:p>
    <w:p w14:paraId="012F8F7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开户行：工行重庆大足支行</w:t>
      </w:r>
    </w:p>
    <w:p w14:paraId="63F21010">
      <w:pPr>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账  号：3100096019200111969</w:t>
      </w:r>
    </w:p>
    <w:p w14:paraId="1B1C985F">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45"/>
      <w:bookmarkEnd w:id="146"/>
      <w:bookmarkEnd w:id="147"/>
    </w:p>
    <w:p w14:paraId="3A781D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olor w:val="auto"/>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40"/>
    <w:p w14:paraId="58A1D2DB">
      <w:pPr>
        <w:pStyle w:val="4"/>
        <w:spacing w:before="0" w:after="0" w:line="360" w:lineRule="auto"/>
        <w:jc w:val="center"/>
        <w:rPr>
          <w:rFonts w:hint="eastAsia" w:ascii="宋体" w:hAnsi="宋体" w:eastAsia="宋体" w:cs="宋体"/>
          <w:b w:val="0"/>
          <w:color w:val="auto"/>
          <w:sz w:val="36"/>
          <w:szCs w:val="30"/>
          <w:highlight w:val="none"/>
        </w:rPr>
      </w:pPr>
      <w:bookmarkStart w:id="148" w:name="_Toc11641055"/>
      <w:bookmarkStart w:id="149" w:name="_Toc12789059"/>
      <w:bookmarkStart w:id="150" w:name="_Toc17949"/>
      <w:r>
        <w:rPr>
          <w:rFonts w:hint="eastAsia" w:ascii="宋体" w:hAnsi="宋体" w:eastAsia="宋体" w:cs="宋体"/>
          <w:b w:val="0"/>
          <w:color w:val="auto"/>
          <w:sz w:val="36"/>
          <w:szCs w:val="30"/>
          <w:highlight w:val="none"/>
        </w:rPr>
        <w:t>第</w:t>
      </w:r>
      <w:r>
        <w:rPr>
          <w:rFonts w:hint="eastAsia" w:ascii="宋体" w:hAnsi="宋体" w:eastAsia="宋体" w:cs="宋体"/>
          <w:b w:val="0"/>
          <w:color w:val="auto"/>
          <w:sz w:val="36"/>
          <w:szCs w:val="30"/>
          <w:highlight w:val="none"/>
          <w:lang w:eastAsia="zh-CN"/>
        </w:rPr>
        <w:t>六</w:t>
      </w:r>
      <w:r>
        <w:rPr>
          <w:rFonts w:hint="eastAsia" w:ascii="宋体" w:hAnsi="宋体" w:eastAsia="宋体" w:cs="宋体"/>
          <w:b w:val="0"/>
          <w:color w:val="auto"/>
          <w:sz w:val="36"/>
          <w:szCs w:val="30"/>
          <w:highlight w:val="none"/>
        </w:rPr>
        <w:t xml:space="preserve">篇  </w:t>
      </w:r>
      <w:bookmarkEnd w:id="148"/>
      <w:bookmarkEnd w:id="149"/>
      <w:r>
        <w:rPr>
          <w:rFonts w:hint="eastAsia" w:ascii="宋体" w:hAnsi="宋体" w:eastAsia="宋体" w:cs="宋体"/>
          <w:b w:val="0"/>
          <w:color w:val="auto"/>
          <w:sz w:val="36"/>
          <w:szCs w:val="30"/>
          <w:highlight w:val="none"/>
        </w:rPr>
        <w:t>合同草案条款</w:t>
      </w:r>
      <w:bookmarkEnd w:id="150"/>
    </w:p>
    <w:p w14:paraId="66B25F17">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14:paraId="402BC177">
      <w:pPr>
        <w:spacing w:line="500" w:lineRule="exact"/>
        <w:jc w:val="center"/>
        <w:rPr>
          <w:rFonts w:hint="eastAsia" w:ascii="宋体" w:hAnsi="宋体" w:eastAsia="宋体" w:cs="宋体"/>
          <w:b/>
          <w:color w:val="auto"/>
          <w:sz w:val="44"/>
          <w:highlight w:val="none"/>
        </w:rPr>
      </w:pPr>
    </w:p>
    <w:p w14:paraId="3A97B5F0">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采购合同（样本）</w:t>
      </w:r>
    </w:p>
    <w:p w14:paraId="58373A88">
      <w:pPr>
        <w:snapToGrid w:val="0"/>
        <w:spacing w:line="400" w:lineRule="exact"/>
        <w:ind w:firstLine="480" w:firstLineChars="200"/>
        <w:rPr>
          <w:rFonts w:hint="eastAsia" w:ascii="宋体" w:hAnsi="宋体" w:eastAsia="宋体" w:cs="宋体"/>
          <w:color w:val="auto"/>
          <w:sz w:val="24"/>
          <w:szCs w:val="24"/>
          <w:highlight w:val="none"/>
        </w:rPr>
      </w:pPr>
    </w:p>
    <w:p w14:paraId="17CA6E2F">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（需方）：___________________________      计价单位：____________</w:t>
      </w:r>
    </w:p>
    <w:p w14:paraId="568E2DD4">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乙方（供方）：___________________________      计量单位：_____________</w:t>
      </w:r>
    </w:p>
    <w:p w14:paraId="77F2DAA7">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F9B1F5">
            <w:pPr>
              <w:spacing w:line="280" w:lineRule="exact"/>
              <w:ind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84" w:type="dxa"/>
            <w:vAlign w:val="center"/>
          </w:tcPr>
          <w:p w14:paraId="2CA9D743">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298" w:type="dxa"/>
            <w:gridSpan w:val="2"/>
            <w:vAlign w:val="center"/>
          </w:tcPr>
          <w:p w14:paraId="0EB46A07">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综合单价</w:t>
            </w:r>
          </w:p>
        </w:tc>
        <w:tc>
          <w:tcPr>
            <w:tcW w:w="1134" w:type="dxa"/>
            <w:vAlign w:val="center"/>
          </w:tcPr>
          <w:p w14:paraId="410D16F6">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c>
          <w:tcPr>
            <w:tcW w:w="1559" w:type="dxa"/>
            <w:vAlign w:val="center"/>
          </w:tcPr>
          <w:p w14:paraId="571A525A">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时间</w:t>
            </w:r>
          </w:p>
        </w:tc>
        <w:tc>
          <w:tcPr>
            <w:tcW w:w="1567" w:type="dxa"/>
            <w:vAlign w:val="center"/>
          </w:tcPr>
          <w:p w14:paraId="7E6D83E3">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r>
      <w:tr w14:paraId="649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4803C5">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FBC8FB0">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77446A8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58A4928F">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30939A2F">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5FAB6B81">
            <w:pPr>
              <w:spacing w:line="280" w:lineRule="exact"/>
              <w:ind w:firstLine="440" w:firstLineChars="200"/>
              <w:jc w:val="center"/>
              <w:rPr>
                <w:rFonts w:hint="eastAsia" w:ascii="宋体" w:hAnsi="宋体" w:eastAsia="宋体" w:cs="宋体"/>
                <w:color w:val="auto"/>
                <w:sz w:val="22"/>
                <w:szCs w:val="22"/>
                <w:highlight w:val="none"/>
              </w:rPr>
            </w:pPr>
          </w:p>
        </w:tc>
      </w:tr>
      <w:tr w14:paraId="44C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D5E54F">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06C3D2A">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34BBC7B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7E1E0EBE">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19B3B725">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4A8D10D3">
            <w:pPr>
              <w:spacing w:line="280" w:lineRule="exact"/>
              <w:ind w:firstLine="440" w:firstLineChars="200"/>
              <w:jc w:val="center"/>
              <w:rPr>
                <w:rFonts w:hint="eastAsia" w:ascii="宋体" w:hAnsi="宋体" w:eastAsia="宋体" w:cs="宋体"/>
                <w:color w:val="auto"/>
                <w:sz w:val="22"/>
                <w:szCs w:val="22"/>
                <w:highlight w:val="none"/>
              </w:rPr>
            </w:pPr>
          </w:p>
        </w:tc>
      </w:tr>
      <w:tr w14:paraId="2B4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2B3D2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合计人民币（小写）：</w:t>
            </w:r>
          </w:p>
        </w:tc>
      </w:tr>
      <w:tr w14:paraId="549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DBE61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合计人民币（大写）：</w:t>
            </w:r>
          </w:p>
        </w:tc>
      </w:tr>
      <w:tr w14:paraId="193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624F2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r>
              <w:rPr>
                <w:rFonts w:hint="eastAsia" w:ascii="宋体" w:hAnsi="宋体" w:cs="宋体"/>
                <w:color w:val="auto"/>
                <w:sz w:val="22"/>
                <w:szCs w:val="22"/>
                <w:highlight w:val="none"/>
                <w:lang w:eastAsia="zh-CN"/>
              </w:rPr>
              <w:t>供货</w:t>
            </w:r>
            <w:r>
              <w:rPr>
                <w:rFonts w:hint="eastAsia" w:ascii="宋体" w:hAnsi="宋体" w:eastAsia="宋体" w:cs="宋体"/>
                <w:color w:val="auto"/>
                <w:sz w:val="22"/>
                <w:szCs w:val="22"/>
                <w:highlight w:val="none"/>
              </w:rPr>
              <w:t>要求</w:t>
            </w:r>
          </w:p>
        </w:tc>
      </w:tr>
      <w:tr w14:paraId="2B25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FBE9F4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二、验收方式</w:t>
            </w:r>
          </w:p>
        </w:tc>
      </w:tr>
      <w:tr w14:paraId="3EA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0F9FD4FA">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三、付款方式：</w:t>
            </w:r>
          </w:p>
          <w:p w14:paraId="26EAAE49">
            <w:pPr>
              <w:pStyle w:val="13"/>
              <w:spacing w:line="280" w:lineRule="exact"/>
              <w:ind w:firstLine="440" w:firstLineChars="200"/>
              <w:rPr>
                <w:rFonts w:hint="eastAsia" w:ascii="宋体" w:hAnsi="宋体" w:eastAsia="宋体" w:cs="宋体"/>
                <w:color w:val="auto"/>
                <w:sz w:val="22"/>
                <w:szCs w:val="22"/>
                <w:highlight w:val="none"/>
              </w:rPr>
            </w:pPr>
          </w:p>
        </w:tc>
      </w:tr>
      <w:tr w14:paraId="667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4659DF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7CDB268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按《中华人民共和国民法典》、《政府采购法》执行，或按双方约定。</w:t>
            </w:r>
          </w:p>
        </w:tc>
      </w:tr>
      <w:tr w14:paraId="4CE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FA340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五、其他约定事项：</w:t>
            </w:r>
          </w:p>
          <w:p w14:paraId="487B5F2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1.采购文件及其补遗文件、响应文件和承诺是本合同不可分割的部分。</w:t>
            </w:r>
          </w:p>
          <w:p w14:paraId="5BC4F6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2.本合同如发生争议由双方协商解决，协商不成向需方所在人民法院提请诉讼。</w:t>
            </w:r>
          </w:p>
          <w:p w14:paraId="15F42092">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3.本合同一式__份，需方__份，供方__份，具同等法律效力。</w:t>
            </w:r>
          </w:p>
          <w:p w14:paraId="314ED97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tc>
      </w:tr>
      <w:tr w14:paraId="537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ED22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需方：</w:t>
            </w:r>
          </w:p>
          <w:p w14:paraId="597FF33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2A886B3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603D282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4984" w:type="dxa"/>
            <w:gridSpan w:val="5"/>
          </w:tcPr>
          <w:p w14:paraId="7C48AD4B">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供方：</w:t>
            </w:r>
          </w:p>
          <w:p w14:paraId="7E0EFEE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A3A7A7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19E58E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69C1C59">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56D3BAF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73A7020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p w14:paraId="0C4B7938">
            <w:pPr>
              <w:widowControl/>
              <w:spacing w:line="2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（本栏请用计算机打印以便于准确付款）</w:t>
            </w:r>
          </w:p>
        </w:tc>
      </w:tr>
      <w:tr w14:paraId="594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AB1440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88BA9B9">
            <w:pPr>
              <w:spacing w:line="280" w:lineRule="exact"/>
              <w:ind w:firstLine="440" w:firstLineChars="200"/>
              <w:rPr>
                <w:rFonts w:hint="eastAsia" w:ascii="宋体" w:hAnsi="宋体" w:eastAsia="宋体" w:cs="宋体"/>
                <w:color w:val="auto"/>
                <w:sz w:val="22"/>
                <w:szCs w:val="22"/>
                <w:highlight w:val="none"/>
              </w:rPr>
            </w:pPr>
          </w:p>
          <w:p w14:paraId="15039FA0">
            <w:pPr>
              <w:spacing w:line="280" w:lineRule="exact"/>
              <w:ind w:firstLine="440" w:firstLineChars="200"/>
              <w:rPr>
                <w:rFonts w:hint="eastAsia" w:ascii="宋体" w:hAnsi="宋体" w:eastAsia="宋体" w:cs="宋体"/>
                <w:color w:val="auto"/>
                <w:sz w:val="22"/>
                <w:szCs w:val="22"/>
                <w:highlight w:val="none"/>
              </w:rPr>
            </w:pPr>
          </w:p>
        </w:tc>
      </w:tr>
    </w:tbl>
    <w:p w14:paraId="7BDF6502">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签约时间：  年   月   日                        签约地点：</w:t>
      </w:r>
    </w:p>
    <w:p w14:paraId="225AE2DD">
      <w:pPr>
        <w:tabs>
          <w:tab w:val="left" w:pos="9000"/>
        </w:tabs>
        <w:spacing w:line="276" w:lineRule="auto"/>
        <w:jc w:val="center"/>
        <w:rPr>
          <w:rFonts w:hint="eastAsia" w:ascii="宋体" w:hAnsi="宋体" w:eastAsia="宋体" w:cs="宋体"/>
          <w:color w:val="auto"/>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D0F8EBC">
      <w:pPr>
        <w:pStyle w:val="4"/>
        <w:spacing w:before="0" w:after="0" w:line="360" w:lineRule="auto"/>
        <w:jc w:val="center"/>
        <w:rPr>
          <w:rFonts w:hint="eastAsia" w:ascii="宋体" w:hAnsi="宋体" w:eastAsia="宋体" w:cs="宋体"/>
          <w:b w:val="0"/>
          <w:color w:val="auto"/>
          <w:sz w:val="36"/>
          <w:szCs w:val="30"/>
          <w:highlight w:val="none"/>
        </w:rPr>
      </w:pPr>
      <w:bookmarkStart w:id="151" w:name="_Hlt41879464"/>
      <w:bookmarkEnd w:id="151"/>
      <w:bookmarkStart w:id="152" w:name="_Toc12789072"/>
      <w:bookmarkStart w:id="153" w:name="_Toc24744"/>
      <w:r>
        <w:rPr>
          <w:rFonts w:hint="eastAsia" w:ascii="宋体" w:hAnsi="宋体" w:eastAsia="宋体" w:cs="宋体"/>
          <w:b w:val="0"/>
          <w:color w:val="auto"/>
          <w:sz w:val="36"/>
          <w:szCs w:val="30"/>
          <w:highlight w:val="none"/>
        </w:rPr>
        <w:t>第</w:t>
      </w:r>
      <w:r>
        <w:rPr>
          <w:rFonts w:hint="eastAsia" w:ascii="宋体" w:hAnsi="宋体" w:eastAsia="宋体" w:cs="宋体"/>
          <w:b w:val="0"/>
          <w:color w:val="auto"/>
          <w:sz w:val="36"/>
          <w:szCs w:val="30"/>
          <w:highlight w:val="none"/>
          <w:lang w:eastAsia="zh-CN"/>
        </w:rPr>
        <w:t>七</w:t>
      </w:r>
      <w:r>
        <w:rPr>
          <w:rFonts w:hint="eastAsia" w:ascii="宋体" w:hAnsi="宋体" w:eastAsia="宋体" w:cs="宋体"/>
          <w:b w:val="0"/>
          <w:color w:val="auto"/>
          <w:sz w:val="36"/>
          <w:szCs w:val="30"/>
          <w:highlight w:val="none"/>
        </w:rPr>
        <w:t>篇  响应文件格式要求</w:t>
      </w:r>
      <w:bookmarkEnd w:id="152"/>
      <w:bookmarkEnd w:id="153"/>
    </w:p>
    <w:p w14:paraId="50932232">
      <w:pPr>
        <w:pStyle w:val="14"/>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05EF8D6F">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4287EAB7">
      <w:pPr>
        <w:pStyle w:val="14"/>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（二）明细报价表</w:t>
      </w:r>
    </w:p>
    <w:p w14:paraId="111DE340">
      <w:pPr>
        <w:pStyle w:val="14"/>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lang w:eastAsia="zh-CN"/>
        </w:rPr>
        <w:t>技术</w:t>
      </w:r>
      <w:r>
        <w:rPr>
          <w:rFonts w:hint="eastAsia" w:ascii="宋体" w:hAnsi="宋体" w:eastAsia="宋体" w:cs="宋体"/>
          <w:b/>
          <w:color w:val="auto"/>
          <w:sz w:val="24"/>
          <w:szCs w:val="24"/>
          <w:highlight w:val="none"/>
        </w:rPr>
        <w:t>部分</w:t>
      </w:r>
    </w:p>
    <w:p w14:paraId="7FB6203A">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响应偏离表</w:t>
      </w:r>
    </w:p>
    <w:p w14:paraId="3530E581">
      <w:pPr>
        <w:pStyle w:val="1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资料</w:t>
      </w:r>
    </w:p>
    <w:p w14:paraId="6AC55D71">
      <w:pPr>
        <w:pStyle w:val="14"/>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569A31D8">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FACC853">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p w14:paraId="36282CAC">
      <w:pPr>
        <w:pStyle w:val="14"/>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3F25ABE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7EA9C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CD6E0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FA1CA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7C8F1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（五）特定资格条件证书或证明文件（如有）</w:t>
      </w:r>
    </w:p>
    <w:p w14:paraId="21CAEBA2">
      <w:pPr>
        <w:pStyle w:val="14"/>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3763C4FF">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E7BDF95">
      <w:pPr>
        <w:pStyle w:val="14"/>
        <w:spacing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70857A50">
      <w:pPr>
        <w:pStyle w:val="5"/>
        <w:adjustRightInd w:val="0"/>
        <w:snapToGrid w:val="0"/>
        <w:spacing w:before="0" w:after="0" w:line="400" w:lineRule="exact"/>
        <w:ind w:firstLine="643" w:firstLineChars="200"/>
        <w:rPr>
          <w:rFonts w:hint="eastAsia" w:ascii="宋体" w:hAnsi="宋体" w:eastAsia="宋体" w:cs="宋体"/>
          <w:color w:val="auto"/>
          <w:highlight w:val="none"/>
        </w:rPr>
      </w:pPr>
      <w:bookmarkStart w:id="154" w:name="_Toc313008356"/>
      <w:bookmarkStart w:id="155" w:name="_Toc24835"/>
      <w:bookmarkStart w:id="156" w:name="_Toc313888360"/>
      <w:bookmarkStart w:id="157" w:name="_Toc342913419"/>
      <w:bookmarkStart w:id="158" w:name="_Toc12789073"/>
      <w:bookmarkStart w:id="159" w:name="_Toc283382454"/>
      <w:r>
        <w:rPr>
          <w:rFonts w:hint="eastAsia" w:ascii="宋体" w:hAnsi="宋体" w:eastAsia="宋体" w:cs="宋体"/>
          <w:color w:val="auto"/>
          <w:highlight w:val="none"/>
        </w:rPr>
        <w:t>一、经济部分</w:t>
      </w:r>
      <w:bookmarkEnd w:id="154"/>
      <w:bookmarkEnd w:id="155"/>
      <w:bookmarkEnd w:id="156"/>
      <w:bookmarkEnd w:id="157"/>
    </w:p>
    <w:bookmarkEnd w:id="158"/>
    <w:bookmarkEnd w:id="159"/>
    <w:p w14:paraId="609281FC">
      <w:pPr>
        <w:tabs>
          <w:tab w:val="left" w:pos="6300"/>
        </w:tabs>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采购报价函</w:t>
      </w:r>
    </w:p>
    <w:p w14:paraId="1DEA59FD">
      <w:pPr>
        <w:tabs>
          <w:tab w:val="left" w:pos="6300"/>
        </w:tabs>
        <w:snapToGrid w:val="0"/>
        <w:spacing w:line="540" w:lineRule="exact"/>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询比</w:t>
      </w:r>
      <w:r>
        <w:rPr>
          <w:rFonts w:hint="eastAsia" w:ascii="宋体" w:hAnsi="宋体" w:eastAsia="宋体" w:cs="宋体"/>
          <w:b/>
          <w:color w:val="auto"/>
          <w:sz w:val="36"/>
          <w:szCs w:val="36"/>
          <w:highlight w:val="none"/>
        </w:rPr>
        <w:t>采购报价函</w:t>
      </w:r>
    </w:p>
    <w:p w14:paraId="416A8D49">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4D9A8E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我方收到___________________________（项目名称）的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采购文件，经详细研究，决定参加该项目的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p>
    <w:p w14:paraId="6AE917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中的一切要求，提供本项目的</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总报价为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元</w:t>
      </w: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大写</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元整</w:t>
      </w:r>
      <w:r>
        <w:rPr>
          <w:rFonts w:hint="eastAsia" w:ascii="宋体" w:hAnsi="宋体" w:cs="宋体"/>
          <w:color w:val="auto"/>
          <w:sz w:val="24"/>
          <w:szCs w:val="24"/>
          <w:highlight w:val="none"/>
        </w:rPr>
        <w:t>。</w:t>
      </w:r>
    </w:p>
    <w:p w14:paraId="73B62A8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w:t>
      </w:r>
      <w:r>
        <w:rPr>
          <w:rFonts w:hint="eastAsia" w:ascii="宋体" w:hAnsi="宋体" w:cs="宋体"/>
          <w:color w:val="auto"/>
          <w:sz w:val="24"/>
          <w:szCs w:val="24"/>
          <w:highlight w:val="none"/>
          <w:u w:val="none"/>
          <w:lang w:val="en-US" w:eastAsia="zh-CN"/>
        </w:rPr>
        <w:t>正本</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，副本</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份。</w:t>
      </w:r>
    </w:p>
    <w:p w14:paraId="264FBCD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的有效期为90天。</w:t>
      </w:r>
    </w:p>
    <w:p w14:paraId="04B54A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的一切规定和要求及评审办法。</w:t>
      </w:r>
    </w:p>
    <w:p w14:paraId="547CD0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过程中，我方若有违规行为，接受按照《中华人民共和国政府采购法》和《重庆市政府采购云平台网上</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》之规定给予惩罚。</w:t>
      </w:r>
    </w:p>
    <w:p w14:paraId="64D89FA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378B69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规定的采购代理服务费和</w:t>
      </w:r>
      <w:r>
        <w:rPr>
          <w:rFonts w:hint="eastAsia" w:ascii="宋体" w:hAnsi="宋体" w:eastAsia="宋体" w:cs="宋体"/>
          <w:color w:val="auto"/>
          <w:sz w:val="24"/>
          <w:szCs w:val="24"/>
          <w:highlight w:val="none"/>
          <w:lang w:eastAsia="zh-CN"/>
        </w:rPr>
        <w:t>场地</w:t>
      </w:r>
      <w:r>
        <w:rPr>
          <w:rFonts w:hint="eastAsia" w:ascii="宋体" w:hAnsi="宋体" w:eastAsia="宋体" w:cs="宋体"/>
          <w:color w:val="auto"/>
          <w:sz w:val="24"/>
          <w:szCs w:val="24"/>
          <w:highlight w:val="none"/>
        </w:rPr>
        <w:t>服务费。</w:t>
      </w:r>
    </w:p>
    <w:p w14:paraId="3E300A4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7317A0D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A819DD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951891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1B0A15A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99D4C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5136C13B">
      <w:pPr>
        <w:snapToGrid w:val="0"/>
        <w:spacing w:line="540" w:lineRule="exact"/>
        <w:ind w:firstLine="480" w:firstLineChars="200"/>
        <w:rPr>
          <w:rFonts w:hint="eastAsia" w:ascii="宋体" w:hAnsi="宋体" w:eastAsia="宋体" w:cs="宋体"/>
          <w:color w:val="auto"/>
          <w:sz w:val="24"/>
          <w:szCs w:val="24"/>
          <w:highlight w:val="none"/>
        </w:rPr>
      </w:pPr>
    </w:p>
    <w:p w14:paraId="6C830F82">
      <w:pPr>
        <w:snapToGrid w:val="0"/>
        <w:spacing w:line="540" w:lineRule="exact"/>
        <w:ind w:firstLine="480" w:firstLineChars="200"/>
        <w:rPr>
          <w:rFonts w:hint="eastAsia" w:ascii="宋体" w:hAnsi="宋体" w:eastAsia="宋体" w:cs="宋体"/>
          <w:color w:val="auto"/>
          <w:sz w:val="24"/>
          <w:szCs w:val="24"/>
          <w:highlight w:val="none"/>
        </w:rPr>
      </w:pPr>
    </w:p>
    <w:p w14:paraId="3DB659E7">
      <w:pPr>
        <w:snapToGrid w:val="0"/>
        <w:spacing w:line="540" w:lineRule="exact"/>
        <w:ind w:firstLine="480" w:firstLineChars="20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 xml:space="preserve">      年   月   日</w:t>
      </w:r>
      <w:bookmarkStart w:id="160" w:name="_Toc9841"/>
      <w:bookmarkStart w:id="161" w:name="_Toc11495"/>
      <w:bookmarkStart w:id="162" w:name="_Toc101387457"/>
    </w:p>
    <w:p w14:paraId="60832D7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89CD2A">
      <w:pPr>
        <w:tabs>
          <w:tab w:val="left" w:pos="6300"/>
        </w:tabs>
        <w:snapToGrid w:val="0"/>
        <w:spacing w:line="54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1D21981A">
      <w:pPr>
        <w:pageBreakBefore w:val="0"/>
        <w:tabs>
          <w:tab w:val="left" w:pos="6300"/>
        </w:tabs>
        <w:kinsoku/>
        <w:wordWrap/>
        <w:overflowPunct/>
        <w:topLinePunct w:val="0"/>
        <w:bidi w:val="0"/>
        <w:snapToGrid w:val="0"/>
        <w:spacing w:line="540" w:lineRule="exact"/>
        <w:ind w:firstLine="480" w:firstLineChars="200"/>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25"/>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290"/>
        <w:gridCol w:w="1239"/>
        <w:gridCol w:w="1210"/>
        <w:gridCol w:w="900"/>
        <w:gridCol w:w="914"/>
        <w:gridCol w:w="1106"/>
        <w:gridCol w:w="1106"/>
        <w:gridCol w:w="1106"/>
      </w:tblGrid>
      <w:tr w14:paraId="3E57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23" w:type="dxa"/>
            <w:noWrap/>
            <w:vAlign w:val="center"/>
          </w:tcPr>
          <w:p w14:paraId="24AC095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163" w:name="_Toc30942"/>
            <w:bookmarkStart w:id="164" w:name="_Toc23370"/>
            <w:bookmarkStart w:id="165" w:name="_Toc28249"/>
            <w:r>
              <w:rPr>
                <w:rFonts w:hint="eastAsia" w:ascii="宋体" w:hAnsi="宋体" w:cs="宋体"/>
                <w:color w:val="auto"/>
                <w:sz w:val="21"/>
                <w:szCs w:val="21"/>
                <w:highlight w:val="none"/>
              </w:rPr>
              <w:t>序号</w:t>
            </w:r>
            <w:bookmarkEnd w:id="163"/>
            <w:bookmarkEnd w:id="164"/>
            <w:bookmarkEnd w:id="165"/>
          </w:p>
        </w:tc>
        <w:tc>
          <w:tcPr>
            <w:tcW w:w="1290" w:type="dxa"/>
            <w:noWrap/>
            <w:vAlign w:val="center"/>
          </w:tcPr>
          <w:p w14:paraId="7D4AF49B">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166" w:name="_Toc3604"/>
            <w:bookmarkStart w:id="167" w:name="_Toc14823"/>
            <w:bookmarkStart w:id="168" w:name="_Toc3892"/>
            <w:r>
              <w:rPr>
                <w:rFonts w:hint="eastAsia" w:ascii="宋体" w:hAnsi="宋体" w:cs="宋体"/>
                <w:color w:val="auto"/>
                <w:sz w:val="21"/>
                <w:szCs w:val="21"/>
                <w:highlight w:val="none"/>
              </w:rPr>
              <w:t>名称</w:t>
            </w:r>
            <w:bookmarkEnd w:id="166"/>
            <w:bookmarkEnd w:id="167"/>
            <w:bookmarkEnd w:id="168"/>
          </w:p>
        </w:tc>
        <w:tc>
          <w:tcPr>
            <w:tcW w:w="1239" w:type="dxa"/>
            <w:noWrap/>
            <w:vAlign w:val="center"/>
          </w:tcPr>
          <w:p w14:paraId="0AB7B5E2">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bookmarkStart w:id="169" w:name="_Toc6276"/>
            <w:bookmarkStart w:id="170" w:name="_Toc21805"/>
            <w:r>
              <w:rPr>
                <w:rFonts w:hint="eastAsia" w:ascii="宋体" w:hAnsi="宋体" w:cs="宋体"/>
                <w:color w:val="auto"/>
                <w:sz w:val="21"/>
                <w:szCs w:val="21"/>
                <w:highlight w:val="none"/>
                <w:lang w:val="en-US" w:eastAsia="zh-CN"/>
              </w:rPr>
              <w:t>品牌</w:t>
            </w:r>
            <w:bookmarkEnd w:id="169"/>
            <w:bookmarkEnd w:id="170"/>
          </w:p>
        </w:tc>
        <w:tc>
          <w:tcPr>
            <w:tcW w:w="1210" w:type="dxa"/>
            <w:noWrap/>
            <w:vAlign w:val="center"/>
          </w:tcPr>
          <w:p w14:paraId="3C21B1C7">
            <w:pPr>
              <w:pStyle w:val="10"/>
              <w:pageBreakBefore w:val="0"/>
              <w:kinsoku/>
              <w:wordWrap/>
              <w:overflowPunct/>
              <w:topLinePunct w:val="0"/>
              <w:bidi w:val="0"/>
              <w:spacing w:line="240" w:lineRule="atLeast"/>
              <w:ind w:left="0" w:leftChars="0" w:firstLine="0" w:firstLineChars="0"/>
              <w:jc w:val="center"/>
              <w:textAlignment w:val="auto"/>
              <w:outlineLvl w:val="9"/>
              <w:rPr>
                <w:rFonts w:hint="default" w:ascii="宋体" w:hAnsi="宋体" w:eastAsia="宋体" w:cs="宋体"/>
                <w:color w:val="auto"/>
                <w:sz w:val="21"/>
                <w:szCs w:val="21"/>
                <w:highlight w:val="none"/>
                <w:lang w:val="en-US" w:eastAsia="zh-CN"/>
              </w:rPr>
            </w:pPr>
            <w:bookmarkStart w:id="171" w:name="_Toc10708"/>
            <w:bookmarkStart w:id="172" w:name="_Toc20012"/>
            <w:r>
              <w:rPr>
                <w:rFonts w:hint="eastAsia" w:ascii="宋体" w:hAnsi="宋体" w:cs="宋体"/>
                <w:color w:val="auto"/>
                <w:sz w:val="21"/>
                <w:szCs w:val="21"/>
                <w:highlight w:val="none"/>
                <w:lang w:val="en-US" w:eastAsia="zh-CN"/>
              </w:rPr>
              <w:t>型号</w:t>
            </w:r>
            <w:bookmarkEnd w:id="171"/>
            <w:bookmarkEnd w:id="172"/>
          </w:p>
        </w:tc>
        <w:tc>
          <w:tcPr>
            <w:tcW w:w="900" w:type="dxa"/>
            <w:noWrap/>
            <w:vAlign w:val="center"/>
          </w:tcPr>
          <w:p w14:paraId="6D451F3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173" w:name="_Toc32416"/>
            <w:bookmarkStart w:id="174" w:name="_Toc21696"/>
            <w:bookmarkStart w:id="175" w:name="_Toc6045"/>
            <w:r>
              <w:rPr>
                <w:rFonts w:hint="eastAsia" w:ascii="宋体" w:hAnsi="宋体" w:cs="宋体"/>
                <w:color w:val="auto"/>
                <w:sz w:val="21"/>
                <w:szCs w:val="21"/>
                <w:highlight w:val="none"/>
              </w:rPr>
              <w:t>生产</w:t>
            </w:r>
          </w:p>
          <w:p w14:paraId="213B5BF7">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厂家</w:t>
            </w:r>
            <w:bookmarkEnd w:id="173"/>
            <w:bookmarkEnd w:id="174"/>
            <w:bookmarkEnd w:id="175"/>
          </w:p>
        </w:tc>
        <w:tc>
          <w:tcPr>
            <w:tcW w:w="914" w:type="dxa"/>
            <w:noWrap/>
            <w:vAlign w:val="center"/>
          </w:tcPr>
          <w:p w14:paraId="72BEAA09">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1106" w:type="dxa"/>
            <w:noWrap/>
            <w:vAlign w:val="center"/>
          </w:tcPr>
          <w:p w14:paraId="4D12A00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176" w:name="_Toc5905"/>
            <w:bookmarkStart w:id="177" w:name="_Toc11452"/>
            <w:bookmarkStart w:id="178" w:name="_Toc5286"/>
            <w:r>
              <w:rPr>
                <w:rFonts w:hint="eastAsia" w:ascii="宋体" w:hAnsi="宋体" w:cs="宋体"/>
                <w:color w:val="auto"/>
                <w:sz w:val="21"/>
                <w:szCs w:val="21"/>
                <w:highlight w:val="none"/>
              </w:rPr>
              <w:t>单价</w:t>
            </w:r>
            <w:bookmarkEnd w:id="176"/>
            <w:bookmarkEnd w:id="177"/>
            <w:bookmarkEnd w:id="178"/>
          </w:p>
        </w:tc>
        <w:tc>
          <w:tcPr>
            <w:tcW w:w="1106" w:type="dxa"/>
            <w:noWrap/>
            <w:vAlign w:val="center"/>
          </w:tcPr>
          <w:p w14:paraId="55615C5D">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bookmarkStart w:id="179" w:name="_Toc20199"/>
            <w:bookmarkStart w:id="180" w:name="_Toc10213"/>
            <w:bookmarkStart w:id="181" w:name="_Toc11489"/>
            <w:r>
              <w:rPr>
                <w:rFonts w:hint="eastAsia" w:ascii="宋体" w:hAnsi="宋体" w:cs="宋体"/>
                <w:color w:val="auto"/>
                <w:sz w:val="21"/>
                <w:szCs w:val="21"/>
                <w:highlight w:val="none"/>
              </w:rPr>
              <w:t>合计</w:t>
            </w:r>
            <w:bookmarkEnd w:id="179"/>
            <w:bookmarkEnd w:id="180"/>
            <w:bookmarkEnd w:id="181"/>
          </w:p>
        </w:tc>
        <w:tc>
          <w:tcPr>
            <w:tcW w:w="1106" w:type="dxa"/>
            <w:noWrap/>
            <w:vAlign w:val="center"/>
          </w:tcPr>
          <w:p w14:paraId="3060AE16">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lang w:val="en-US" w:eastAsia="zh-CN"/>
              </w:rPr>
            </w:pPr>
            <w:bookmarkStart w:id="182" w:name="_Toc7451"/>
            <w:bookmarkStart w:id="183" w:name="_Toc8259"/>
            <w:r>
              <w:rPr>
                <w:rFonts w:hint="eastAsia" w:ascii="宋体" w:hAnsi="宋体" w:cs="宋体"/>
                <w:color w:val="auto"/>
                <w:sz w:val="21"/>
                <w:szCs w:val="21"/>
                <w:highlight w:val="none"/>
                <w:lang w:val="en-US" w:eastAsia="zh-CN"/>
              </w:rPr>
              <w:t>实物图片</w:t>
            </w:r>
            <w:bookmarkEnd w:id="182"/>
            <w:bookmarkEnd w:id="183"/>
          </w:p>
        </w:tc>
      </w:tr>
      <w:tr w14:paraId="1529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681B2041">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184" w:name="_Toc11486"/>
            <w:bookmarkStart w:id="185" w:name="_Toc24581"/>
            <w:bookmarkStart w:id="186" w:name="_Toc6106"/>
            <w:bookmarkStart w:id="187" w:name="_Toc12988"/>
            <w:r>
              <w:rPr>
                <w:rFonts w:hint="eastAsia" w:ascii="宋体" w:hAnsi="宋体" w:cs="宋体"/>
                <w:color w:val="auto"/>
                <w:sz w:val="21"/>
                <w:szCs w:val="21"/>
                <w:highlight w:val="none"/>
              </w:rPr>
              <w:t>1</w:t>
            </w:r>
            <w:bookmarkEnd w:id="184"/>
            <w:bookmarkEnd w:id="185"/>
            <w:bookmarkEnd w:id="186"/>
            <w:bookmarkEnd w:id="187"/>
          </w:p>
        </w:tc>
        <w:tc>
          <w:tcPr>
            <w:tcW w:w="1290" w:type="dxa"/>
            <w:noWrap/>
            <w:vAlign w:val="center"/>
          </w:tcPr>
          <w:p w14:paraId="250E2F4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2BC9FDFA">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1129BF9B">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5FB01DB2">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0DD80A6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1E5EF0EB">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22E46CA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32450C1C">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03D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7B48C082">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188" w:name="_Toc20429"/>
            <w:bookmarkStart w:id="189" w:name="_Toc29731"/>
            <w:bookmarkStart w:id="190" w:name="_Toc1264"/>
            <w:bookmarkStart w:id="191" w:name="_Toc27096"/>
            <w:r>
              <w:rPr>
                <w:rFonts w:hint="eastAsia" w:ascii="宋体" w:hAnsi="宋体" w:cs="宋体"/>
                <w:color w:val="auto"/>
                <w:sz w:val="21"/>
                <w:szCs w:val="21"/>
                <w:highlight w:val="none"/>
              </w:rPr>
              <w:t>2</w:t>
            </w:r>
            <w:bookmarkEnd w:id="188"/>
            <w:bookmarkEnd w:id="189"/>
            <w:bookmarkEnd w:id="190"/>
            <w:bookmarkEnd w:id="191"/>
          </w:p>
        </w:tc>
        <w:tc>
          <w:tcPr>
            <w:tcW w:w="1290" w:type="dxa"/>
            <w:noWrap/>
            <w:vAlign w:val="center"/>
          </w:tcPr>
          <w:p w14:paraId="2E6A935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69E3713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4A1118A9">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7340482A">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015D73E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198BEECA">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4E522EA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348A385A">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3F4A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74B96D6D">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192" w:name="_Toc31384"/>
            <w:bookmarkStart w:id="193" w:name="_Toc11423"/>
            <w:bookmarkStart w:id="194" w:name="_Toc16824"/>
            <w:bookmarkStart w:id="195" w:name="_Toc26120"/>
            <w:r>
              <w:rPr>
                <w:rFonts w:hint="eastAsia" w:ascii="宋体" w:hAnsi="宋体" w:cs="宋体"/>
                <w:color w:val="auto"/>
                <w:sz w:val="21"/>
                <w:szCs w:val="21"/>
                <w:highlight w:val="none"/>
              </w:rPr>
              <w:t>3</w:t>
            </w:r>
            <w:bookmarkEnd w:id="192"/>
            <w:bookmarkEnd w:id="193"/>
            <w:bookmarkEnd w:id="194"/>
            <w:bookmarkEnd w:id="195"/>
          </w:p>
        </w:tc>
        <w:tc>
          <w:tcPr>
            <w:tcW w:w="1290" w:type="dxa"/>
            <w:noWrap/>
            <w:vAlign w:val="center"/>
          </w:tcPr>
          <w:p w14:paraId="75F5AACA">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256FCA26">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1A0D54F3">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2DB6ED84">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501657C1">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2C067E8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1DB878EA">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5292E91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74FE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102B3BA3">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196" w:name="_Toc26654"/>
            <w:bookmarkStart w:id="197" w:name="_Toc1461"/>
            <w:bookmarkStart w:id="198" w:name="_Toc32112"/>
            <w:bookmarkStart w:id="199" w:name="_Toc5136"/>
            <w:r>
              <w:rPr>
                <w:rFonts w:hint="eastAsia" w:ascii="宋体" w:hAnsi="宋体" w:cs="宋体"/>
                <w:color w:val="auto"/>
                <w:sz w:val="21"/>
                <w:szCs w:val="21"/>
                <w:highlight w:val="none"/>
              </w:rPr>
              <w:t>4</w:t>
            </w:r>
            <w:bookmarkEnd w:id="196"/>
            <w:bookmarkEnd w:id="197"/>
            <w:bookmarkEnd w:id="198"/>
            <w:bookmarkEnd w:id="199"/>
          </w:p>
        </w:tc>
        <w:tc>
          <w:tcPr>
            <w:tcW w:w="1290" w:type="dxa"/>
            <w:noWrap/>
            <w:vAlign w:val="center"/>
          </w:tcPr>
          <w:p w14:paraId="5045773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6BC8787B">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12CCDC3B">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32AA890B">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1FB1E11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4B938D12">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27A9B55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283CE8B6">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71FF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26129D4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200" w:name="_Toc1640"/>
            <w:bookmarkStart w:id="201" w:name="_Toc14256"/>
            <w:bookmarkStart w:id="202" w:name="_Toc4015"/>
            <w:bookmarkStart w:id="203" w:name="_Toc25646"/>
            <w:r>
              <w:rPr>
                <w:rFonts w:hint="eastAsia" w:ascii="宋体" w:hAnsi="宋体" w:cs="宋体"/>
                <w:color w:val="auto"/>
                <w:sz w:val="21"/>
                <w:szCs w:val="21"/>
                <w:highlight w:val="none"/>
              </w:rPr>
              <w:t>5</w:t>
            </w:r>
            <w:bookmarkEnd w:id="200"/>
            <w:bookmarkEnd w:id="201"/>
            <w:bookmarkEnd w:id="202"/>
            <w:bookmarkEnd w:id="203"/>
          </w:p>
        </w:tc>
        <w:tc>
          <w:tcPr>
            <w:tcW w:w="1290" w:type="dxa"/>
            <w:noWrap/>
            <w:vAlign w:val="center"/>
          </w:tcPr>
          <w:p w14:paraId="4CC0895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5DC24EC1">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6470639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1C84B5C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2FA5CA66">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78DFD40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0D4F7089">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0DE10105">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7245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4A0E920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204" w:name="_Toc7846"/>
            <w:bookmarkStart w:id="205" w:name="_Toc20428"/>
            <w:bookmarkStart w:id="206" w:name="_Toc12368"/>
            <w:bookmarkStart w:id="207" w:name="_Toc14124"/>
            <w:r>
              <w:rPr>
                <w:rFonts w:hint="eastAsia" w:ascii="宋体" w:hAnsi="宋体" w:cs="宋体"/>
                <w:color w:val="auto"/>
                <w:sz w:val="21"/>
                <w:szCs w:val="21"/>
                <w:highlight w:val="none"/>
              </w:rPr>
              <w:t>6</w:t>
            </w:r>
            <w:bookmarkEnd w:id="204"/>
            <w:bookmarkEnd w:id="205"/>
            <w:bookmarkEnd w:id="206"/>
            <w:bookmarkEnd w:id="207"/>
          </w:p>
        </w:tc>
        <w:tc>
          <w:tcPr>
            <w:tcW w:w="1290" w:type="dxa"/>
            <w:noWrap/>
            <w:vAlign w:val="center"/>
          </w:tcPr>
          <w:p w14:paraId="05F18D27">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476339A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4BBC8344">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2CBB8476">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23CE99E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5441B2B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1F71CFC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2B8D8159">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3827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17797705">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208" w:name="_Toc5432"/>
            <w:bookmarkStart w:id="209" w:name="_Toc4421"/>
            <w:bookmarkStart w:id="210" w:name="_Toc4372"/>
            <w:bookmarkStart w:id="211" w:name="_Toc27093"/>
            <w:r>
              <w:rPr>
                <w:rFonts w:hint="eastAsia" w:ascii="宋体" w:hAnsi="宋体" w:cs="宋体"/>
                <w:color w:val="auto"/>
                <w:sz w:val="21"/>
                <w:szCs w:val="21"/>
                <w:highlight w:val="none"/>
              </w:rPr>
              <w:t>7</w:t>
            </w:r>
            <w:bookmarkEnd w:id="208"/>
            <w:bookmarkEnd w:id="209"/>
            <w:bookmarkEnd w:id="210"/>
            <w:bookmarkEnd w:id="211"/>
          </w:p>
        </w:tc>
        <w:tc>
          <w:tcPr>
            <w:tcW w:w="1290" w:type="dxa"/>
            <w:noWrap/>
            <w:vAlign w:val="center"/>
          </w:tcPr>
          <w:p w14:paraId="004586E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1FA325A5">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080B9CB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2A1B6BE8">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1CE81E4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4F2A225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625EE9C2">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428850E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1416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196444AD">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212" w:name="_Toc13588"/>
            <w:bookmarkStart w:id="213" w:name="_Toc2909"/>
            <w:bookmarkStart w:id="214" w:name="_Toc2831"/>
            <w:bookmarkStart w:id="215" w:name="_Toc3153"/>
            <w:r>
              <w:rPr>
                <w:rFonts w:hint="eastAsia" w:ascii="宋体" w:hAnsi="宋体" w:cs="宋体"/>
                <w:color w:val="auto"/>
                <w:sz w:val="21"/>
                <w:szCs w:val="21"/>
                <w:highlight w:val="none"/>
              </w:rPr>
              <w:t>8</w:t>
            </w:r>
            <w:bookmarkEnd w:id="212"/>
            <w:bookmarkEnd w:id="213"/>
            <w:bookmarkEnd w:id="214"/>
            <w:bookmarkEnd w:id="215"/>
          </w:p>
        </w:tc>
        <w:tc>
          <w:tcPr>
            <w:tcW w:w="1290" w:type="dxa"/>
            <w:noWrap/>
            <w:vAlign w:val="center"/>
          </w:tcPr>
          <w:p w14:paraId="4CF2511B">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6BF2128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256B492D">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6D83F30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3BC85C26">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2D3EE8EC">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344086B9">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602BC78C">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06AE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7247F3D2">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216" w:name="_Toc22564"/>
            <w:bookmarkStart w:id="217" w:name="_Toc21862"/>
            <w:bookmarkStart w:id="218" w:name="_Toc16137"/>
            <w:bookmarkStart w:id="219" w:name="_Toc8969"/>
            <w:r>
              <w:rPr>
                <w:rFonts w:hint="eastAsia" w:ascii="宋体" w:hAnsi="宋体" w:cs="宋体"/>
                <w:color w:val="auto"/>
                <w:sz w:val="21"/>
                <w:szCs w:val="21"/>
                <w:highlight w:val="none"/>
              </w:rPr>
              <w:t>9</w:t>
            </w:r>
            <w:bookmarkEnd w:id="216"/>
            <w:bookmarkEnd w:id="217"/>
            <w:bookmarkEnd w:id="218"/>
            <w:bookmarkEnd w:id="219"/>
          </w:p>
        </w:tc>
        <w:tc>
          <w:tcPr>
            <w:tcW w:w="1290" w:type="dxa"/>
            <w:noWrap/>
            <w:vAlign w:val="center"/>
          </w:tcPr>
          <w:p w14:paraId="19823DC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265F797C">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524F8197">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4DEBBAAC">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019A446D">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607E0D8C">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499C483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5A006080">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45C6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3F31B384">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220" w:name="_Toc2577"/>
            <w:bookmarkStart w:id="221" w:name="_Toc20537"/>
            <w:bookmarkStart w:id="222" w:name="_Toc9609"/>
            <w:bookmarkStart w:id="223" w:name="_Toc27257"/>
            <w:r>
              <w:rPr>
                <w:rFonts w:hint="eastAsia" w:ascii="宋体" w:hAnsi="宋体" w:cs="宋体"/>
                <w:color w:val="auto"/>
                <w:sz w:val="21"/>
                <w:szCs w:val="21"/>
                <w:highlight w:val="none"/>
              </w:rPr>
              <w:t>10</w:t>
            </w:r>
            <w:bookmarkEnd w:id="220"/>
            <w:bookmarkEnd w:id="221"/>
            <w:bookmarkEnd w:id="222"/>
            <w:bookmarkEnd w:id="223"/>
          </w:p>
        </w:tc>
        <w:tc>
          <w:tcPr>
            <w:tcW w:w="1290" w:type="dxa"/>
            <w:noWrap/>
            <w:vAlign w:val="center"/>
          </w:tcPr>
          <w:p w14:paraId="074AEC61">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4B74D402">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5D3E5EE7">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06E529D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1E740C91">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5A82DF99">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52B80CEB">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40B4ADB9">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1DEC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923" w:type="dxa"/>
            <w:noWrap/>
            <w:vAlign w:val="center"/>
          </w:tcPr>
          <w:p w14:paraId="1A35733D">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224" w:name="_Toc678"/>
            <w:bookmarkStart w:id="225" w:name="_Toc24044"/>
            <w:bookmarkStart w:id="226" w:name="_Toc25083"/>
            <w:bookmarkStart w:id="227" w:name="_Toc1506"/>
            <w:r>
              <w:rPr>
                <w:rFonts w:hint="eastAsia" w:ascii="宋体" w:hAnsi="宋体" w:cs="宋体"/>
                <w:color w:val="auto"/>
                <w:sz w:val="21"/>
                <w:szCs w:val="21"/>
                <w:highlight w:val="none"/>
              </w:rPr>
              <w:t>11</w:t>
            </w:r>
            <w:bookmarkEnd w:id="224"/>
            <w:bookmarkEnd w:id="225"/>
            <w:bookmarkEnd w:id="226"/>
            <w:bookmarkEnd w:id="227"/>
          </w:p>
        </w:tc>
        <w:tc>
          <w:tcPr>
            <w:tcW w:w="1290" w:type="dxa"/>
            <w:noWrap/>
            <w:vAlign w:val="center"/>
          </w:tcPr>
          <w:p w14:paraId="44980427">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39" w:type="dxa"/>
            <w:noWrap/>
          </w:tcPr>
          <w:p w14:paraId="0B9A0C5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210" w:type="dxa"/>
            <w:noWrap/>
            <w:vAlign w:val="center"/>
          </w:tcPr>
          <w:p w14:paraId="69C9E8B7">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00" w:type="dxa"/>
            <w:noWrap/>
          </w:tcPr>
          <w:p w14:paraId="045AE8B4">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914" w:type="dxa"/>
            <w:noWrap/>
          </w:tcPr>
          <w:p w14:paraId="34465326">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0074427B">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69109EA1">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78CBBCD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r w14:paraId="2E6D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23" w:type="dxa"/>
            <w:noWrap/>
            <w:vAlign w:val="center"/>
          </w:tcPr>
          <w:p w14:paraId="1849AC57">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228" w:name="_Toc22786"/>
            <w:bookmarkStart w:id="229" w:name="_Toc26422"/>
            <w:bookmarkStart w:id="230" w:name="_Toc25850"/>
            <w:bookmarkStart w:id="231" w:name="_Toc22313"/>
            <w:r>
              <w:rPr>
                <w:rFonts w:hint="eastAsia" w:ascii="宋体" w:hAnsi="宋体" w:cs="宋体"/>
                <w:color w:val="auto"/>
                <w:sz w:val="21"/>
                <w:szCs w:val="21"/>
                <w:highlight w:val="none"/>
              </w:rPr>
              <w:t>12</w:t>
            </w:r>
            <w:bookmarkEnd w:id="228"/>
            <w:bookmarkEnd w:id="229"/>
            <w:bookmarkEnd w:id="230"/>
            <w:bookmarkEnd w:id="231"/>
          </w:p>
        </w:tc>
        <w:tc>
          <w:tcPr>
            <w:tcW w:w="1290" w:type="dxa"/>
            <w:noWrap/>
            <w:vAlign w:val="center"/>
          </w:tcPr>
          <w:p w14:paraId="4A086CDA">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bookmarkStart w:id="232" w:name="_Toc18251"/>
            <w:bookmarkStart w:id="233" w:name="_Toc21616"/>
            <w:bookmarkStart w:id="234" w:name="_Toc14921"/>
            <w:r>
              <w:rPr>
                <w:rFonts w:hint="eastAsia" w:ascii="宋体" w:hAnsi="宋体" w:cs="宋体"/>
                <w:color w:val="auto"/>
                <w:sz w:val="21"/>
                <w:szCs w:val="21"/>
                <w:highlight w:val="none"/>
              </w:rPr>
              <w:t>总计</w:t>
            </w:r>
            <w:bookmarkEnd w:id="232"/>
            <w:bookmarkEnd w:id="233"/>
            <w:bookmarkEnd w:id="234"/>
          </w:p>
        </w:tc>
        <w:tc>
          <w:tcPr>
            <w:tcW w:w="4263" w:type="dxa"/>
            <w:gridSpan w:val="4"/>
            <w:noWrap/>
          </w:tcPr>
          <w:p w14:paraId="741F4A2F">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6E36DF74">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06D2E9A7">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c>
          <w:tcPr>
            <w:tcW w:w="1106" w:type="dxa"/>
            <w:noWrap/>
          </w:tcPr>
          <w:p w14:paraId="5D9D4B7E">
            <w:pPr>
              <w:pStyle w:val="10"/>
              <w:pageBreakBefore w:val="0"/>
              <w:kinsoku/>
              <w:wordWrap/>
              <w:overflowPunct/>
              <w:topLinePunct w:val="0"/>
              <w:bidi w:val="0"/>
              <w:spacing w:line="240" w:lineRule="atLeast"/>
              <w:ind w:left="0" w:leftChars="0" w:firstLine="0" w:firstLineChars="0"/>
              <w:jc w:val="center"/>
              <w:textAlignment w:val="auto"/>
              <w:outlineLvl w:val="9"/>
              <w:rPr>
                <w:rFonts w:hint="eastAsia" w:ascii="宋体" w:hAnsi="宋体" w:cs="宋体"/>
                <w:color w:val="auto"/>
                <w:sz w:val="21"/>
                <w:szCs w:val="21"/>
                <w:highlight w:val="none"/>
              </w:rPr>
            </w:pPr>
          </w:p>
        </w:tc>
      </w:tr>
    </w:tbl>
    <w:p w14:paraId="484E0B25">
      <w:pPr>
        <w:pStyle w:val="5"/>
        <w:spacing w:before="0" w:after="0" w:line="540" w:lineRule="exact"/>
        <w:rPr>
          <w:rFonts w:hint="eastAsia" w:ascii="宋体" w:hAnsi="宋体" w:eastAsia="宋体" w:cs="宋体"/>
          <w:color w:val="auto"/>
          <w:highlight w:val="none"/>
        </w:rPr>
      </w:pPr>
    </w:p>
    <w:p w14:paraId="2BF88AD0">
      <w:pPr>
        <w:rPr>
          <w:rFonts w:hint="eastAsia" w:ascii="宋体" w:hAnsi="宋体" w:eastAsia="宋体" w:cs="宋体"/>
          <w:color w:val="auto"/>
          <w:highlight w:val="none"/>
        </w:rPr>
      </w:pPr>
    </w:p>
    <w:p w14:paraId="308D2C42">
      <w:pPr>
        <w:pStyle w:val="2"/>
        <w:rPr>
          <w:rFonts w:hint="eastAsia" w:ascii="宋体" w:hAnsi="宋体" w:eastAsia="宋体" w:cs="宋体"/>
          <w:color w:val="auto"/>
          <w:highlight w:val="none"/>
        </w:rPr>
      </w:pPr>
    </w:p>
    <w:p w14:paraId="29153CDB">
      <w:pPr>
        <w:pStyle w:val="2"/>
        <w:rPr>
          <w:rFonts w:hint="eastAsia" w:ascii="宋体" w:hAnsi="宋体" w:eastAsia="宋体" w:cs="宋体"/>
          <w:color w:val="auto"/>
          <w:highlight w:val="none"/>
        </w:rPr>
      </w:pPr>
    </w:p>
    <w:p w14:paraId="11CFC825">
      <w:pPr>
        <w:pageBreakBefore w:val="0"/>
        <w:kinsoku/>
        <w:wordWrap/>
        <w:overflowPunct/>
        <w:topLinePunct w:val="0"/>
        <w:bidi w:val="0"/>
        <w:spacing w:line="5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法定代表人（或法定代表人授权代表）或自然人：</w:t>
      </w:r>
    </w:p>
    <w:p w14:paraId="28CB19B5">
      <w:pPr>
        <w:pageBreakBefore w:val="0"/>
        <w:kinsoku/>
        <w:wordWrap/>
        <w:overflowPunct/>
        <w:topLinePunct w:val="0"/>
        <w:bidi w:val="0"/>
        <w:spacing w:line="50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                                      （签字或盖章）</w:t>
      </w:r>
    </w:p>
    <w:p w14:paraId="647BF5FF">
      <w:pPr>
        <w:pStyle w:val="2"/>
        <w:rPr>
          <w:rFonts w:hint="eastAsia" w:ascii="宋体" w:hAnsi="宋体" w:eastAsia="宋体" w:cs="宋体"/>
          <w:color w:val="auto"/>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6161C09D">
      <w:pPr>
        <w:pStyle w:val="5"/>
        <w:spacing w:before="0" w:after="0" w:line="540" w:lineRule="exact"/>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cs="宋体"/>
          <w:color w:val="auto"/>
          <w:highlight w:val="none"/>
          <w:lang w:eastAsia="zh-CN"/>
        </w:rPr>
        <w:t>服务</w:t>
      </w:r>
      <w:r>
        <w:rPr>
          <w:rFonts w:hint="eastAsia" w:ascii="宋体" w:hAnsi="宋体" w:eastAsia="宋体" w:cs="宋体"/>
          <w:color w:val="auto"/>
          <w:highlight w:val="none"/>
        </w:rPr>
        <w:t>部分</w:t>
      </w:r>
      <w:bookmarkEnd w:id="160"/>
      <w:bookmarkEnd w:id="161"/>
      <w:bookmarkEnd w:id="162"/>
    </w:p>
    <w:p w14:paraId="41A7CF41">
      <w:pPr>
        <w:tabs>
          <w:tab w:val="left" w:pos="6300"/>
        </w:tabs>
        <w:snapToGrid w:val="0"/>
        <w:spacing w:line="540" w:lineRule="exact"/>
        <w:jc w:val="left"/>
        <w:rPr>
          <w:rFonts w:hint="eastAsia" w:ascii="宋体" w:hAnsi="宋体" w:eastAsia="宋体" w:cs="宋体"/>
          <w:color w:val="auto"/>
          <w:sz w:val="24"/>
          <w:szCs w:val="24"/>
          <w:highlight w:val="none"/>
        </w:rPr>
      </w:pPr>
    </w:p>
    <w:p w14:paraId="418BBB45">
      <w:pPr>
        <w:tabs>
          <w:tab w:val="left" w:pos="6300"/>
        </w:tabs>
        <w:snapToGrid w:val="0"/>
        <w:spacing w:line="540" w:lineRule="exact"/>
        <w:ind w:firstLine="3313" w:firstLineChars="1100"/>
        <w:jc w:val="both"/>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服务响应偏离表</w:t>
      </w:r>
    </w:p>
    <w:p w14:paraId="3099B472">
      <w:pPr>
        <w:tabs>
          <w:tab w:val="left" w:pos="2145"/>
        </w:tabs>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76B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754482C7">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235" w:name="_Toc15500"/>
            <w:bookmarkStart w:id="236" w:name="_Toc22449"/>
            <w:bookmarkStart w:id="237" w:name="_Toc20661"/>
            <w:bookmarkStart w:id="238" w:name="_Toc17194"/>
            <w:r>
              <w:rPr>
                <w:rFonts w:hint="eastAsia" w:ascii="宋体" w:hAnsi="宋体" w:eastAsia="宋体" w:cs="宋体"/>
                <w:b/>
                <w:bCs/>
                <w:color w:val="auto"/>
                <w:sz w:val="24"/>
                <w:szCs w:val="24"/>
                <w:highlight w:val="none"/>
              </w:rPr>
              <w:t>序号</w:t>
            </w:r>
            <w:bookmarkEnd w:id="235"/>
            <w:bookmarkEnd w:id="236"/>
            <w:bookmarkEnd w:id="237"/>
            <w:bookmarkEnd w:id="238"/>
          </w:p>
        </w:tc>
        <w:tc>
          <w:tcPr>
            <w:tcW w:w="2428" w:type="dxa"/>
            <w:vAlign w:val="center"/>
          </w:tcPr>
          <w:p w14:paraId="1D0488F0">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239" w:name="_Toc23948"/>
            <w:bookmarkStart w:id="240" w:name="_Toc3612"/>
            <w:bookmarkStart w:id="241" w:name="_Toc24053"/>
            <w:bookmarkStart w:id="242" w:name="_Toc9653"/>
            <w:r>
              <w:rPr>
                <w:rFonts w:hint="eastAsia" w:ascii="宋体" w:hAnsi="宋体" w:eastAsia="宋体" w:cs="宋体"/>
                <w:b/>
                <w:bCs/>
                <w:color w:val="auto"/>
                <w:sz w:val="24"/>
                <w:szCs w:val="24"/>
                <w:highlight w:val="none"/>
              </w:rPr>
              <w:t>采购需求</w:t>
            </w:r>
            <w:bookmarkEnd w:id="239"/>
            <w:bookmarkEnd w:id="240"/>
            <w:bookmarkEnd w:id="241"/>
            <w:bookmarkEnd w:id="242"/>
          </w:p>
        </w:tc>
        <w:tc>
          <w:tcPr>
            <w:tcW w:w="2520" w:type="dxa"/>
            <w:vAlign w:val="center"/>
          </w:tcPr>
          <w:p w14:paraId="0CAB19DD">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243" w:name="_Toc10505"/>
            <w:bookmarkStart w:id="244" w:name="_Toc7843"/>
            <w:bookmarkStart w:id="245" w:name="_Toc14755"/>
            <w:bookmarkStart w:id="246" w:name="_Toc25924"/>
            <w:r>
              <w:rPr>
                <w:rFonts w:hint="eastAsia" w:ascii="宋体" w:hAnsi="宋体" w:eastAsia="宋体" w:cs="宋体"/>
                <w:b/>
                <w:bCs/>
                <w:color w:val="auto"/>
                <w:sz w:val="24"/>
                <w:szCs w:val="24"/>
                <w:highlight w:val="none"/>
              </w:rPr>
              <w:t>响应情况</w:t>
            </w:r>
            <w:bookmarkEnd w:id="243"/>
            <w:bookmarkEnd w:id="244"/>
            <w:bookmarkEnd w:id="245"/>
            <w:bookmarkEnd w:id="246"/>
          </w:p>
        </w:tc>
        <w:tc>
          <w:tcPr>
            <w:tcW w:w="2147" w:type="dxa"/>
            <w:vAlign w:val="center"/>
          </w:tcPr>
          <w:p w14:paraId="20965517">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247" w:name="_Toc17545"/>
            <w:bookmarkStart w:id="248" w:name="_Toc13589"/>
            <w:bookmarkStart w:id="249" w:name="_Toc30658"/>
            <w:bookmarkStart w:id="250" w:name="_Toc5131"/>
            <w:r>
              <w:rPr>
                <w:rFonts w:hint="eastAsia" w:ascii="宋体" w:hAnsi="宋体" w:eastAsia="宋体" w:cs="宋体"/>
                <w:b/>
                <w:bCs/>
                <w:color w:val="auto"/>
                <w:sz w:val="24"/>
                <w:szCs w:val="24"/>
                <w:highlight w:val="none"/>
              </w:rPr>
              <w:t>差异说明</w:t>
            </w:r>
            <w:bookmarkEnd w:id="247"/>
            <w:bookmarkEnd w:id="248"/>
            <w:bookmarkEnd w:id="249"/>
            <w:bookmarkEnd w:id="250"/>
          </w:p>
        </w:tc>
      </w:tr>
      <w:tr w14:paraId="0F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0B5FB3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0FC9D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BE9C8F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3D221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AF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903722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5602E6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486C0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A8CE0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3C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A37B0A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E4EE86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EC10A1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286E0C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AB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4C142A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5BCF19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CC29BD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508DC9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B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D3FD2F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E04BBE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4A9618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4C0DF9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F3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3E8D92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1DB76C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86D79D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9C14EE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89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CA30A3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9655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1DE4C2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0ECE097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A1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45B18E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68F921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1B35F1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1FC6723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B9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CB138B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6D07A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B1CAD8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E7C8E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1A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D42FC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431AE1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072FD8F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0C6B9F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7A2BB424">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6F85D19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E4CC52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C7FC6A0">
      <w:pPr>
        <w:tabs>
          <w:tab w:val="left" w:pos="6300"/>
        </w:tabs>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AB3E90">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w:t>
      </w:r>
      <w:r>
        <w:rPr>
          <w:rFonts w:hint="eastAsia" w:ascii="宋体" w:hAnsi="宋体" w:cs="宋体"/>
          <w:bCs/>
          <w:color w:val="auto"/>
          <w:sz w:val="24"/>
          <w:szCs w:val="24"/>
          <w:highlight w:val="none"/>
          <w:lang w:eastAsia="zh-CN"/>
        </w:rPr>
        <w:t>第二篇 项目技术（质量）需求</w:t>
      </w:r>
      <w:r>
        <w:rPr>
          <w:rFonts w:hint="eastAsia" w:ascii="宋体" w:hAnsi="宋体" w:eastAsia="宋体" w:cs="宋体"/>
          <w:bCs/>
          <w:color w:val="auto"/>
          <w:sz w:val="24"/>
          <w:szCs w:val="24"/>
          <w:highlight w:val="none"/>
        </w:rPr>
        <w:t>”中所列全部条款进行比较和响应；该表必须按照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w:t>
      </w:r>
    </w:p>
    <w:p w14:paraId="33A8DA8F">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2.该表可扩展，并逐页签字或盖章，可附相关技术支撑材料（格式自定）。</w:t>
      </w:r>
    </w:p>
    <w:p w14:paraId="234D50BA">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3.若“响应情况”栏仅填写“无偏离”或“有偏离”等内容而未作实质性参数描述，该供应商将失去成为成交供应商的资格。</w:t>
      </w:r>
    </w:p>
    <w:p w14:paraId="684F1116">
      <w:pPr>
        <w:pStyle w:val="23"/>
        <w:rPr>
          <w:rFonts w:hint="eastAsia" w:ascii="宋体" w:hAnsi="宋体" w:eastAsia="宋体" w:cs="宋体"/>
          <w:color w:val="auto"/>
          <w:highlight w:val="none"/>
        </w:rPr>
      </w:pPr>
    </w:p>
    <w:p w14:paraId="3A61BB89">
      <w:pPr>
        <w:rPr>
          <w:rFonts w:hint="eastAsia" w:ascii="宋体" w:hAnsi="宋体" w:eastAsia="宋体" w:cs="宋体"/>
          <w:color w:val="auto"/>
          <w:highlight w:val="none"/>
        </w:rPr>
      </w:pPr>
    </w:p>
    <w:p w14:paraId="0FD0FA32">
      <w:pPr>
        <w:pStyle w:val="23"/>
        <w:rPr>
          <w:rFonts w:hint="eastAsia" w:ascii="宋体" w:hAnsi="宋体" w:eastAsia="宋体" w:cs="宋体"/>
          <w:color w:val="auto"/>
          <w:highlight w:val="none"/>
        </w:rPr>
      </w:pPr>
    </w:p>
    <w:p w14:paraId="406D49DC">
      <w:pPr>
        <w:rPr>
          <w:rFonts w:hint="eastAsia" w:ascii="宋体" w:hAnsi="宋体" w:eastAsia="宋体" w:cs="宋体"/>
          <w:color w:val="auto"/>
          <w:highlight w:val="none"/>
        </w:rPr>
      </w:pPr>
    </w:p>
    <w:p w14:paraId="1B846CE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C60D1D">
      <w:pPr>
        <w:snapToGrid w:val="0"/>
        <w:spacing w:line="360" w:lineRule="auto"/>
        <w:jc w:val="left"/>
        <w:rPr>
          <w:rFonts w:hint="eastAsia" w:ascii="宋体" w:hAnsi="宋体" w:cs="宋体"/>
          <w:color w:val="auto"/>
          <w:sz w:val="24"/>
          <w:szCs w:val="24"/>
          <w:highlight w:val="none"/>
          <w:bdr w:val="single" w:color="auto" w:sz="4" w:space="0"/>
        </w:rPr>
      </w:pPr>
      <w:r>
        <w:rPr>
          <w:rFonts w:hint="eastAsia" w:ascii="宋体" w:hAnsi="宋体" w:cs="宋体"/>
          <w:color w:val="auto"/>
          <w:sz w:val="24"/>
          <w:szCs w:val="24"/>
          <w:highlight w:val="none"/>
        </w:rPr>
        <w:t>（二）其他</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资料（自附）</w:t>
      </w:r>
    </w:p>
    <w:p w14:paraId="395E383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（可参照</w:t>
      </w:r>
      <w:r>
        <w:rPr>
          <w:rFonts w:hint="eastAsia" w:ascii="宋体" w:hAnsi="宋体" w:cs="宋体"/>
          <w:color w:val="auto"/>
          <w:sz w:val="24"/>
          <w:szCs w:val="24"/>
          <w:highlight w:val="none"/>
          <w:lang w:eastAsia="zh-CN"/>
        </w:rPr>
        <w:t>服务需求</w:t>
      </w:r>
      <w:r>
        <w:rPr>
          <w:rFonts w:hint="eastAsia" w:ascii="宋体" w:hAnsi="宋体" w:eastAsia="宋体" w:cs="宋体"/>
          <w:color w:val="auto"/>
          <w:sz w:val="24"/>
          <w:szCs w:val="24"/>
          <w:highlight w:val="none"/>
        </w:rPr>
        <w:t>部分评分内容提供相关资料，为方便评审专家评审，可编制目录）</w:t>
      </w:r>
    </w:p>
    <w:p w14:paraId="164E4057">
      <w:pPr>
        <w:snapToGrid w:val="0"/>
        <w:spacing w:line="360" w:lineRule="auto"/>
        <w:jc w:val="center"/>
        <w:rPr>
          <w:rFonts w:hint="eastAsia" w:ascii="宋体" w:hAnsi="宋体" w:cs="宋体"/>
          <w:color w:val="auto"/>
          <w:sz w:val="21"/>
          <w:szCs w:val="21"/>
          <w:highlight w:val="none"/>
        </w:rPr>
      </w:pPr>
    </w:p>
    <w:p w14:paraId="035BB84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33CE0F">
      <w:pPr>
        <w:pStyle w:val="5"/>
        <w:spacing w:before="0" w:after="0" w:line="540" w:lineRule="exact"/>
        <w:rPr>
          <w:rFonts w:hint="eastAsia" w:ascii="宋体" w:hAnsi="宋体" w:eastAsia="宋体" w:cs="宋体"/>
          <w:color w:val="auto"/>
          <w:highlight w:val="none"/>
        </w:rPr>
      </w:pPr>
      <w:bookmarkStart w:id="251" w:name="_Toc8023"/>
      <w:r>
        <w:rPr>
          <w:rFonts w:hint="eastAsia" w:ascii="宋体" w:hAnsi="宋体" w:eastAsia="宋体" w:cs="宋体"/>
          <w:color w:val="auto"/>
          <w:highlight w:val="none"/>
        </w:rPr>
        <w:t>三、商务部分</w:t>
      </w:r>
      <w:bookmarkEnd w:id="251"/>
    </w:p>
    <w:p w14:paraId="72FF20E9">
      <w:pPr>
        <w:tabs>
          <w:tab w:val="left" w:pos="6300"/>
        </w:tabs>
        <w:snapToGrid w:val="0"/>
        <w:spacing w:line="540" w:lineRule="exact"/>
        <w:ind w:firstLine="301"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t>商务响应偏离表</w:t>
      </w:r>
    </w:p>
    <w:p w14:paraId="351409A7">
      <w:pPr>
        <w:tabs>
          <w:tab w:val="left" w:pos="2145"/>
        </w:tabs>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5"/>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C0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C66BBD8">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8" w:type="dxa"/>
            <w:vAlign w:val="center"/>
          </w:tcPr>
          <w:p w14:paraId="4B844DC9">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tc>
        <w:tc>
          <w:tcPr>
            <w:tcW w:w="2520" w:type="dxa"/>
            <w:vAlign w:val="center"/>
          </w:tcPr>
          <w:p w14:paraId="79F4CD1F">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响应情况</w:t>
            </w:r>
          </w:p>
        </w:tc>
        <w:tc>
          <w:tcPr>
            <w:tcW w:w="2222" w:type="dxa"/>
            <w:vAlign w:val="center"/>
          </w:tcPr>
          <w:p w14:paraId="4FB3065E">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差异说明</w:t>
            </w:r>
          </w:p>
        </w:tc>
      </w:tr>
      <w:tr w14:paraId="59B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EA169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34014A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2FEF7E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4C36AF4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07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B245B9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3B6B12F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69477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1246E6E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3C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22F7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2FF801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0320DE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1872AF3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06D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FF257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EBC55D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629C3E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3513249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5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8C481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662D0D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B76DE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1B6D3A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91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6B70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1650A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478CCA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A1446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67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566235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27E34A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7A5BE5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C943D7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F2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11D42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97F841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99E2CB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88F450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8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8F3A6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93B9BD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0628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7A658D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83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31FB6A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432B8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92826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8E77E4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9E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901C4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AD430C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A3003B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28C0B9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6922E8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16BB19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2C4E9C7B">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0F4F27B">
      <w:pPr>
        <w:tabs>
          <w:tab w:val="left" w:pos="6300"/>
        </w:tabs>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603CB4C">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1.本表即为对本项目“第三篇 项目商务需求”中所列全部条款进行比较和响应；该表必须按照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601D67FA">
      <w:pPr>
        <w:tabs>
          <w:tab w:val="left" w:pos="6300"/>
        </w:tabs>
        <w:snapToGrid w:val="0"/>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w:t>
      </w:r>
    </w:p>
    <w:p w14:paraId="49D71511">
      <w:pPr>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7A71E093">
      <w:pPr>
        <w:pStyle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252" w:name="_Toc80104371"/>
      <w:bookmarkStart w:id="253" w:name="_Toc101387459"/>
      <w:r>
        <w:rPr>
          <w:rFonts w:hint="eastAsia" w:ascii="宋体" w:hAnsi="宋体" w:eastAsia="宋体" w:cs="宋体"/>
          <w:color w:val="auto"/>
          <w:szCs w:val="24"/>
          <w:highlight w:val="none"/>
        </w:rPr>
        <w:t>（自附）</w:t>
      </w:r>
    </w:p>
    <w:p w14:paraId="2753C1FD">
      <w:pPr>
        <w:snapToGrid w:val="0"/>
        <w:spacing w:line="360" w:lineRule="auto"/>
        <w:ind w:firstLine="420" w:firstLineChars="200"/>
        <w:jc w:val="center"/>
        <w:rPr>
          <w:rFonts w:ascii="宋体" w:hAnsi="宋体"/>
          <w:color w:val="auto"/>
          <w:sz w:val="21"/>
          <w:szCs w:val="21"/>
          <w:highlight w:val="none"/>
        </w:rPr>
      </w:pPr>
    </w:p>
    <w:p w14:paraId="14A5B67E">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63E965E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0540A926">
      <w:pPr>
        <w:pStyle w:val="2"/>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252"/>
      <w:bookmarkEnd w:id="253"/>
    </w:p>
    <w:p w14:paraId="4DE9E434">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FB17C4F">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14:paraId="0CDB0D00">
      <w:pPr>
        <w:pStyle w:val="9"/>
        <w:jc w:val="center"/>
        <w:rPr>
          <w:rFonts w:hint="eastAsia" w:ascii="宋体" w:hAnsi="宋体" w:eastAsia="宋体" w:cs="宋体"/>
          <w:b/>
          <w:bCs/>
          <w:color w:val="auto"/>
          <w:sz w:val="32"/>
          <w:szCs w:val="32"/>
          <w:highlight w:val="none"/>
        </w:rPr>
      </w:pPr>
    </w:p>
    <w:p w14:paraId="5E5D3B0C">
      <w:pPr>
        <w:pStyle w:val="9"/>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5A185AE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C3F01F6">
      <w:pPr>
        <w:tabs>
          <w:tab w:val="left" w:pos="6300"/>
        </w:tabs>
        <w:snapToGrid w:val="0"/>
        <w:spacing w:line="500" w:lineRule="exact"/>
        <w:ind w:firstLine="570"/>
        <w:rPr>
          <w:rFonts w:hint="eastAsia" w:ascii="宋体" w:hAnsi="宋体" w:eastAsia="宋体" w:cs="宋体"/>
          <w:color w:val="auto"/>
          <w:sz w:val="24"/>
          <w:highlight w:val="none"/>
        </w:rPr>
      </w:pPr>
    </w:p>
    <w:p w14:paraId="2F9C742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854C88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CF0E555">
      <w:pPr>
        <w:tabs>
          <w:tab w:val="left" w:pos="6300"/>
        </w:tabs>
        <w:snapToGrid w:val="0"/>
        <w:spacing w:line="500" w:lineRule="exact"/>
        <w:ind w:firstLine="570"/>
        <w:rPr>
          <w:rFonts w:hint="eastAsia" w:ascii="宋体" w:hAnsi="宋体" w:eastAsia="宋体" w:cs="宋体"/>
          <w:color w:val="auto"/>
          <w:sz w:val="24"/>
          <w:highlight w:val="none"/>
        </w:rPr>
      </w:pPr>
    </w:p>
    <w:p w14:paraId="69E4D3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9444AE9">
      <w:pPr>
        <w:tabs>
          <w:tab w:val="left" w:pos="6300"/>
        </w:tabs>
        <w:snapToGrid w:val="0"/>
        <w:spacing w:line="500" w:lineRule="exact"/>
        <w:ind w:firstLine="570"/>
        <w:rPr>
          <w:rFonts w:hint="eastAsia" w:ascii="宋体" w:hAnsi="宋体" w:eastAsia="宋体" w:cs="宋体"/>
          <w:color w:val="auto"/>
          <w:sz w:val="24"/>
          <w:highlight w:val="none"/>
        </w:rPr>
      </w:pPr>
    </w:p>
    <w:p w14:paraId="0A1B4712">
      <w:pPr>
        <w:tabs>
          <w:tab w:val="left" w:pos="6300"/>
        </w:tabs>
        <w:snapToGrid w:val="0"/>
        <w:spacing w:line="500" w:lineRule="exact"/>
        <w:ind w:firstLine="570"/>
        <w:rPr>
          <w:rFonts w:hint="eastAsia" w:ascii="宋体" w:hAnsi="宋体" w:eastAsia="宋体" w:cs="宋体"/>
          <w:color w:val="auto"/>
          <w:sz w:val="24"/>
          <w:highlight w:val="none"/>
        </w:rPr>
      </w:pPr>
    </w:p>
    <w:p w14:paraId="00113E58">
      <w:pPr>
        <w:tabs>
          <w:tab w:val="left" w:pos="6300"/>
        </w:tabs>
        <w:snapToGrid w:val="0"/>
        <w:spacing w:line="500" w:lineRule="exact"/>
        <w:ind w:firstLine="570"/>
        <w:rPr>
          <w:rFonts w:hint="eastAsia" w:ascii="宋体" w:hAnsi="宋体" w:eastAsia="宋体" w:cs="宋体"/>
          <w:color w:val="auto"/>
          <w:sz w:val="24"/>
          <w:highlight w:val="none"/>
        </w:rPr>
      </w:pPr>
    </w:p>
    <w:p w14:paraId="1F4ED0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85637A2">
      <w:pPr>
        <w:tabs>
          <w:tab w:val="left" w:pos="6300"/>
        </w:tabs>
        <w:snapToGrid w:val="0"/>
        <w:spacing w:line="500" w:lineRule="exact"/>
        <w:ind w:firstLine="570"/>
        <w:rPr>
          <w:rFonts w:hint="eastAsia" w:ascii="宋体" w:hAnsi="宋体" w:eastAsia="宋体" w:cs="宋体"/>
          <w:color w:val="auto"/>
          <w:sz w:val="24"/>
          <w:highlight w:val="none"/>
        </w:rPr>
      </w:pPr>
    </w:p>
    <w:p w14:paraId="36510F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57487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D644A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0BBAC6">
      <w:pPr>
        <w:tabs>
          <w:tab w:val="left" w:pos="6300"/>
        </w:tabs>
        <w:snapToGrid w:val="0"/>
        <w:spacing w:line="500" w:lineRule="exact"/>
        <w:ind w:firstLine="570"/>
        <w:rPr>
          <w:rFonts w:hint="eastAsia" w:ascii="宋体" w:hAnsi="宋体" w:eastAsia="宋体" w:cs="宋体"/>
          <w:color w:val="auto"/>
          <w:sz w:val="24"/>
          <w:highlight w:val="none"/>
        </w:rPr>
      </w:pPr>
    </w:p>
    <w:p w14:paraId="2BD3B240">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0F63E1BB">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57FB51A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2CDC61">
      <w:pPr>
        <w:pStyle w:val="9"/>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54F9864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F13BCA8">
      <w:pPr>
        <w:tabs>
          <w:tab w:val="left" w:pos="6300"/>
        </w:tabs>
        <w:snapToGrid w:val="0"/>
        <w:spacing w:line="500" w:lineRule="exact"/>
        <w:ind w:firstLine="570"/>
        <w:rPr>
          <w:rFonts w:hint="eastAsia" w:ascii="宋体" w:hAnsi="宋体" w:eastAsia="宋体" w:cs="宋体"/>
          <w:color w:val="auto"/>
          <w:sz w:val="24"/>
          <w:highlight w:val="none"/>
        </w:rPr>
      </w:pPr>
    </w:p>
    <w:p w14:paraId="7DA46CF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E757A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192A06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228B2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B95ADFD">
      <w:pPr>
        <w:tabs>
          <w:tab w:val="left" w:pos="6300"/>
        </w:tabs>
        <w:snapToGrid w:val="0"/>
        <w:spacing w:line="500" w:lineRule="exact"/>
        <w:ind w:firstLine="570"/>
        <w:rPr>
          <w:rFonts w:hint="eastAsia" w:ascii="宋体" w:hAnsi="宋体" w:eastAsia="宋体" w:cs="宋体"/>
          <w:color w:val="auto"/>
          <w:sz w:val="24"/>
          <w:highlight w:val="none"/>
        </w:rPr>
      </w:pPr>
    </w:p>
    <w:p w14:paraId="36FF1FE7">
      <w:pPr>
        <w:tabs>
          <w:tab w:val="left" w:pos="6300"/>
        </w:tabs>
        <w:snapToGrid w:val="0"/>
        <w:spacing w:line="500" w:lineRule="exact"/>
        <w:ind w:firstLine="570"/>
        <w:rPr>
          <w:rFonts w:hint="eastAsia" w:ascii="宋体" w:hAnsi="宋体" w:eastAsia="宋体" w:cs="宋体"/>
          <w:color w:val="auto"/>
          <w:sz w:val="24"/>
          <w:highlight w:val="none"/>
        </w:rPr>
      </w:pPr>
    </w:p>
    <w:p w14:paraId="6ED6636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9D3E05B">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D487426">
      <w:pPr>
        <w:tabs>
          <w:tab w:val="left" w:pos="6300"/>
        </w:tabs>
        <w:snapToGrid w:val="0"/>
        <w:spacing w:line="500" w:lineRule="exact"/>
        <w:ind w:firstLine="570"/>
        <w:rPr>
          <w:rFonts w:hint="eastAsia" w:ascii="宋体" w:hAnsi="宋体" w:eastAsia="宋体" w:cs="宋体"/>
          <w:color w:val="auto"/>
          <w:sz w:val="24"/>
          <w:szCs w:val="28"/>
          <w:highlight w:val="none"/>
        </w:rPr>
      </w:pPr>
    </w:p>
    <w:p w14:paraId="3A5AB67F">
      <w:pPr>
        <w:tabs>
          <w:tab w:val="left" w:pos="6300"/>
        </w:tabs>
        <w:snapToGrid w:val="0"/>
        <w:spacing w:line="500" w:lineRule="exact"/>
        <w:ind w:firstLine="570"/>
        <w:rPr>
          <w:rFonts w:hint="eastAsia" w:ascii="宋体" w:hAnsi="宋体" w:eastAsia="宋体" w:cs="宋体"/>
          <w:color w:val="auto"/>
          <w:sz w:val="24"/>
          <w:highlight w:val="none"/>
        </w:rPr>
      </w:pPr>
    </w:p>
    <w:p w14:paraId="012D84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85527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52EA81">
      <w:pPr>
        <w:tabs>
          <w:tab w:val="left" w:pos="6300"/>
        </w:tabs>
        <w:snapToGrid w:val="0"/>
        <w:spacing w:line="500" w:lineRule="exact"/>
        <w:ind w:firstLine="570"/>
        <w:rPr>
          <w:rFonts w:hint="eastAsia" w:ascii="宋体" w:hAnsi="宋体" w:eastAsia="宋体" w:cs="宋体"/>
          <w:color w:val="auto"/>
          <w:sz w:val="24"/>
          <w:highlight w:val="none"/>
        </w:rPr>
      </w:pPr>
    </w:p>
    <w:p w14:paraId="31AC1638">
      <w:pPr>
        <w:tabs>
          <w:tab w:val="left" w:pos="6300"/>
        </w:tabs>
        <w:snapToGrid w:val="0"/>
        <w:spacing w:line="500" w:lineRule="exact"/>
        <w:ind w:firstLine="570"/>
        <w:rPr>
          <w:rFonts w:hint="eastAsia" w:ascii="宋体" w:hAnsi="宋体" w:eastAsia="宋体" w:cs="宋体"/>
          <w:color w:val="auto"/>
          <w:sz w:val="24"/>
          <w:highlight w:val="none"/>
        </w:rPr>
      </w:pPr>
    </w:p>
    <w:p w14:paraId="1E7177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D778F1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06D4F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0919D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7335F0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41A9B6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695B4ED5">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3C54A36D">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5743586">
      <w:pPr>
        <w:tabs>
          <w:tab w:val="left" w:pos="6300"/>
        </w:tabs>
        <w:snapToGrid w:val="0"/>
        <w:spacing w:line="500" w:lineRule="exact"/>
        <w:ind w:firstLine="720" w:firstLineChars="200"/>
        <w:jc w:val="center"/>
        <w:rPr>
          <w:rFonts w:hint="eastAsia" w:ascii="宋体" w:hAnsi="宋体" w:eastAsia="宋体" w:cs="宋体"/>
          <w:color w:val="auto"/>
          <w:sz w:val="36"/>
          <w:szCs w:val="36"/>
          <w:highlight w:val="none"/>
        </w:rPr>
      </w:pPr>
    </w:p>
    <w:p w14:paraId="3D5F2955">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41B39A0">
      <w:pPr>
        <w:tabs>
          <w:tab w:val="left" w:pos="6300"/>
        </w:tabs>
        <w:snapToGrid w:val="0"/>
        <w:spacing w:line="530" w:lineRule="exact"/>
        <w:rPr>
          <w:rFonts w:hint="eastAsia" w:ascii="宋体" w:hAnsi="宋体" w:eastAsia="宋体" w:cs="宋体"/>
          <w:color w:val="auto"/>
          <w:sz w:val="24"/>
          <w:highlight w:val="none"/>
        </w:rPr>
      </w:pPr>
    </w:p>
    <w:p w14:paraId="20EE1C5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EC1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5C5B84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5E4E48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967E3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84E40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BD8D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F9F1D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AB6E87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D34A8D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3CD734B">
      <w:pPr>
        <w:pStyle w:val="9"/>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675E8C16">
      <w:pPr>
        <w:tabs>
          <w:tab w:val="left" w:pos="6300"/>
        </w:tabs>
        <w:snapToGrid w:val="0"/>
        <w:spacing w:line="500" w:lineRule="exact"/>
        <w:rPr>
          <w:rFonts w:hint="eastAsia" w:ascii="宋体" w:hAnsi="宋体" w:eastAsia="宋体" w:cs="宋体"/>
          <w:color w:val="auto"/>
          <w:szCs w:val="28"/>
          <w:highlight w:val="none"/>
        </w:rPr>
      </w:pPr>
      <w:r>
        <w:rPr>
          <w:rFonts w:hint="eastAsia" w:ascii="宋体" w:hAnsi="宋体" w:eastAsia="宋体" w:cs="宋体"/>
          <w:color w:val="auto"/>
          <w:szCs w:val="28"/>
          <w:highlight w:val="none"/>
        </w:rPr>
        <w:t>（五）特定资格条件证明文件（如有）</w:t>
      </w:r>
    </w:p>
    <w:p w14:paraId="5B29C9EF">
      <w:pPr>
        <w:pStyle w:val="23"/>
        <w:ind w:firstLine="0"/>
        <w:rPr>
          <w:rFonts w:hint="eastAsia" w:ascii="宋体" w:hAnsi="宋体" w:eastAsia="宋体" w:cs="宋体"/>
          <w:b/>
          <w:color w:val="auto"/>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254" w:name="_Toc101387460"/>
    </w:p>
    <w:p w14:paraId="0478D8C8">
      <w:pPr>
        <w:pStyle w:val="23"/>
        <w:ind w:firstLine="0"/>
        <w:rPr>
          <w:rFonts w:hint="eastAsia" w:ascii="宋体" w:hAnsi="宋体" w:cs="宋体"/>
          <w:b/>
          <w:color w:val="auto"/>
          <w:sz w:val="32"/>
          <w:szCs w:val="32"/>
          <w:highlight w:val="none"/>
          <w:lang w:eastAsia="zh-CN"/>
        </w:rPr>
      </w:pPr>
      <w:r>
        <w:rPr>
          <w:rFonts w:hint="eastAsia" w:ascii="宋体" w:hAnsi="宋体" w:eastAsia="宋体" w:cs="宋体"/>
          <w:b/>
          <w:color w:val="auto"/>
          <w:sz w:val="32"/>
          <w:szCs w:val="32"/>
          <w:highlight w:val="none"/>
        </w:rPr>
        <w:t>五、</w:t>
      </w:r>
      <w:r>
        <w:rPr>
          <w:rFonts w:hint="eastAsia" w:ascii="宋体" w:hAnsi="宋体" w:cs="宋体"/>
          <w:b/>
          <w:color w:val="auto"/>
          <w:sz w:val="32"/>
          <w:szCs w:val="32"/>
          <w:highlight w:val="none"/>
          <w:lang w:eastAsia="zh-CN"/>
        </w:rPr>
        <w:t>其他资料</w:t>
      </w:r>
    </w:p>
    <w:bookmarkEnd w:id="254"/>
    <w:p w14:paraId="5895E3CA">
      <w:pPr>
        <w:rPr>
          <w:rFonts w:hint="eastAsia" w:ascii="宋体" w:hAnsi="宋体" w:eastAsia="宋体" w:cs="宋体"/>
          <w:color w:val="auto"/>
          <w:highlight w:val="none"/>
        </w:rPr>
      </w:pPr>
    </w:p>
    <w:p w14:paraId="2EB7D095">
      <w:pPr>
        <w:pStyle w:val="23"/>
        <w:rPr>
          <w:rFonts w:hint="eastAsia" w:ascii="宋体" w:hAnsi="宋体" w:eastAsia="宋体" w:cs="宋体"/>
          <w:color w:val="auto"/>
          <w:highlight w:val="none"/>
        </w:rPr>
      </w:pPr>
    </w:p>
    <w:p w14:paraId="5A504F18">
      <w:pPr>
        <w:rPr>
          <w:rFonts w:hint="eastAsia" w:ascii="宋体" w:hAnsi="宋体" w:eastAsia="宋体" w:cs="宋体"/>
          <w:color w:val="auto"/>
          <w:highlight w:val="none"/>
        </w:rPr>
      </w:pPr>
    </w:p>
    <w:p w14:paraId="340449FB">
      <w:pPr>
        <w:pStyle w:val="23"/>
        <w:rPr>
          <w:rFonts w:hint="eastAsia" w:ascii="宋体" w:hAnsi="宋体" w:eastAsia="宋体" w:cs="宋体"/>
          <w:color w:val="auto"/>
          <w:highlight w:val="none"/>
        </w:rPr>
      </w:pPr>
    </w:p>
    <w:p w14:paraId="0853578B">
      <w:pPr>
        <w:rPr>
          <w:rFonts w:hint="eastAsia" w:ascii="宋体" w:hAnsi="宋体" w:eastAsia="宋体" w:cs="宋体"/>
          <w:color w:val="auto"/>
          <w:highlight w:val="none"/>
        </w:rPr>
      </w:pPr>
    </w:p>
    <w:p w14:paraId="5023FEAC">
      <w:pPr>
        <w:pStyle w:val="23"/>
        <w:rPr>
          <w:rFonts w:hint="eastAsia" w:ascii="宋体" w:hAnsi="宋体" w:eastAsia="宋体" w:cs="宋体"/>
          <w:color w:val="auto"/>
          <w:highlight w:val="none"/>
        </w:rPr>
      </w:pPr>
    </w:p>
    <w:p w14:paraId="1CAF4997">
      <w:pPr>
        <w:rPr>
          <w:rFonts w:hint="eastAsia" w:ascii="宋体" w:hAnsi="宋体" w:eastAsia="宋体" w:cs="宋体"/>
          <w:color w:val="auto"/>
          <w:highlight w:val="none"/>
        </w:rPr>
      </w:pPr>
    </w:p>
    <w:p w14:paraId="5032BFDE">
      <w:pPr>
        <w:pStyle w:val="23"/>
        <w:rPr>
          <w:rFonts w:hint="eastAsia" w:ascii="宋体" w:hAnsi="宋体" w:eastAsia="宋体" w:cs="宋体"/>
          <w:color w:val="auto"/>
          <w:highlight w:val="none"/>
        </w:rPr>
      </w:pPr>
    </w:p>
    <w:p w14:paraId="3F18A214">
      <w:pPr>
        <w:rPr>
          <w:rFonts w:hint="eastAsia" w:ascii="宋体" w:hAnsi="宋体" w:eastAsia="宋体" w:cs="宋体"/>
          <w:color w:val="auto"/>
          <w:highlight w:val="none"/>
        </w:rPr>
      </w:pPr>
    </w:p>
    <w:p w14:paraId="54864E42">
      <w:pPr>
        <w:pStyle w:val="23"/>
        <w:rPr>
          <w:rFonts w:hint="eastAsia" w:ascii="宋体" w:hAnsi="宋体" w:eastAsia="宋体" w:cs="宋体"/>
          <w:color w:val="auto"/>
          <w:highlight w:val="none"/>
        </w:rPr>
      </w:pPr>
    </w:p>
    <w:p w14:paraId="645C56EE">
      <w:pPr>
        <w:rPr>
          <w:rFonts w:hint="eastAsia" w:ascii="宋体" w:hAnsi="宋体" w:eastAsia="宋体" w:cs="宋体"/>
          <w:color w:val="auto"/>
          <w:highlight w:val="none"/>
        </w:rPr>
      </w:pPr>
    </w:p>
    <w:p w14:paraId="4244B5EA">
      <w:pPr>
        <w:pStyle w:val="23"/>
        <w:rPr>
          <w:rFonts w:hint="eastAsia" w:ascii="宋体" w:hAnsi="宋体" w:eastAsia="宋体" w:cs="宋体"/>
          <w:color w:val="auto"/>
          <w:highlight w:val="none"/>
        </w:rPr>
      </w:pPr>
    </w:p>
    <w:p w14:paraId="550DE604">
      <w:pPr>
        <w:rPr>
          <w:rFonts w:hint="eastAsia" w:ascii="宋体" w:hAnsi="宋体" w:eastAsia="宋体" w:cs="宋体"/>
          <w:color w:val="auto"/>
          <w:highlight w:val="none"/>
        </w:rPr>
      </w:pPr>
    </w:p>
    <w:p w14:paraId="7083F5E6">
      <w:pPr>
        <w:pStyle w:val="23"/>
        <w:rPr>
          <w:rFonts w:hint="eastAsia" w:ascii="宋体" w:hAnsi="宋体" w:eastAsia="宋体" w:cs="宋体"/>
          <w:color w:val="auto"/>
          <w:highlight w:val="none"/>
        </w:rPr>
      </w:pPr>
    </w:p>
    <w:p w14:paraId="2E3F4D50">
      <w:pPr>
        <w:rPr>
          <w:rFonts w:hint="eastAsia" w:ascii="宋体" w:hAnsi="宋体" w:eastAsia="宋体" w:cs="宋体"/>
          <w:color w:val="auto"/>
          <w:highlight w:val="none"/>
        </w:rPr>
      </w:pPr>
    </w:p>
    <w:p w14:paraId="05E6AD54">
      <w:pPr>
        <w:pStyle w:val="23"/>
        <w:rPr>
          <w:rFonts w:hint="eastAsia" w:ascii="宋体" w:hAnsi="宋体" w:eastAsia="宋体" w:cs="宋体"/>
          <w:color w:val="auto"/>
          <w:highlight w:val="none"/>
        </w:rPr>
      </w:pPr>
    </w:p>
    <w:p w14:paraId="3DBDD5E5">
      <w:pPr>
        <w:rPr>
          <w:rFonts w:hint="eastAsia" w:ascii="宋体" w:hAnsi="宋体" w:eastAsia="宋体" w:cs="宋体"/>
          <w:color w:val="auto"/>
          <w:highlight w:val="none"/>
        </w:rPr>
      </w:pPr>
    </w:p>
    <w:p w14:paraId="77840048">
      <w:pPr>
        <w:pStyle w:val="23"/>
        <w:rPr>
          <w:rFonts w:hint="eastAsia" w:ascii="宋体" w:hAnsi="宋体" w:eastAsia="宋体" w:cs="宋体"/>
          <w:color w:val="auto"/>
          <w:highlight w:val="none"/>
        </w:rPr>
      </w:pPr>
    </w:p>
    <w:p w14:paraId="5FF8C077">
      <w:pPr>
        <w:rPr>
          <w:rFonts w:hint="eastAsia" w:ascii="宋体" w:hAnsi="宋体" w:eastAsia="宋体" w:cs="宋体"/>
          <w:color w:val="auto"/>
          <w:highlight w:val="none"/>
        </w:rPr>
      </w:pPr>
    </w:p>
    <w:p w14:paraId="4E1FF93E">
      <w:pPr>
        <w:pStyle w:val="23"/>
        <w:rPr>
          <w:rFonts w:hint="eastAsia" w:ascii="宋体" w:hAnsi="宋体" w:eastAsia="宋体" w:cs="宋体"/>
          <w:color w:val="auto"/>
          <w:highlight w:val="none"/>
        </w:rPr>
      </w:pPr>
    </w:p>
    <w:p w14:paraId="28FAD73D">
      <w:pPr>
        <w:rPr>
          <w:rFonts w:hint="eastAsia" w:ascii="宋体" w:hAnsi="宋体" w:eastAsia="宋体" w:cs="宋体"/>
          <w:color w:val="auto"/>
          <w:highlight w:val="none"/>
        </w:rPr>
      </w:pPr>
    </w:p>
    <w:p w14:paraId="4FF9AA89">
      <w:pPr>
        <w:pStyle w:val="36"/>
        <w:ind w:firstLine="480"/>
        <w:rPr>
          <w:rFonts w:hint="eastAsia" w:ascii="宋体" w:hAnsi="宋体" w:eastAsia="宋体" w:cs="宋体"/>
          <w:color w:val="auto"/>
          <w:highlight w:val="none"/>
        </w:rPr>
      </w:pPr>
      <w:bookmarkStart w:id="255" w:name="_Toc7382"/>
      <w:bookmarkStart w:id="256" w:name="_Toc25402"/>
      <w:bookmarkStart w:id="257" w:name="_Toc17153"/>
      <w:r>
        <w:rPr>
          <w:rFonts w:hint="eastAsia" w:ascii="宋体" w:hAnsi="宋体" w:eastAsia="宋体" w:cs="宋体"/>
          <w:color w:val="auto"/>
          <w:highlight w:val="none"/>
        </w:rPr>
        <w:t>（结束）</w:t>
      </w:r>
      <w:bookmarkEnd w:id="255"/>
      <w:bookmarkEnd w:id="256"/>
      <w:bookmarkEnd w:id="257"/>
      <w:bookmarkStart w:id="258" w:name="_Toc18063"/>
      <w:bookmarkStart w:id="259" w:name="_Toc10567"/>
      <w:bookmarkStart w:id="260" w:name="_Toc32111"/>
      <w:bookmarkStart w:id="261" w:name="_Toc26458"/>
      <w:bookmarkStart w:id="262" w:name="_Toc19707"/>
      <w:bookmarkStart w:id="263" w:name="_Toc20722"/>
      <w:bookmarkStart w:id="264" w:name="_Toc22835"/>
      <w:bookmarkStart w:id="265" w:name="_Toc13336"/>
      <w:bookmarkStart w:id="266" w:name="_Toc8321"/>
      <w:bookmarkStart w:id="267" w:name="_Toc21179"/>
      <w:bookmarkStart w:id="268" w:name="_Toc477027621"/>
      <w:bookmarkStart w:id="269" w:name="_Toc24258"/>
    </w:p>
    <w:p w14:paraId="3B8B7109">
      <w:pPr>
        <w:pStyle w:val="36"/>
        <w:ind w:firstLine="480"/>
        <w:rPr>
          <w:rFonts w:hint="eastAsia" w:ascii="宋体" w:hAnsi="宋体" w:eastAsia="宋体" w:cs="宋体"/>
          <w:color w:val="auto"/>
          <w:highlight w:val="none"/>
        </w:rPr>
      </w:pPr>
    </w:p>
    <w:p w14:paraId="4112C39E">
      <w:pPr>
        <w:pStyle w:val="36"/>
        <w:ind w:firstLine="480"/>
        <w:rPr>
          <w:rFonts w:hint="eastAsia" w:ascii="宋体" w:hAnsi="宋体" w:eastAsia="宋体" w:cs="宋体"/>
          <w:color w:val="auto"/>
          <w:highlight w:val="none"/>
        </w:rPr>
      </w:pPr>
    </w:p>
    <w:p w14:paraId="494E6E13">
      <w:pPr>
        <w:pStyle w:val="36"/>
        <w:ind w:firstLine="480"/>
        <w:rPr>
          <w:rFonts w:hint="eastAsia" w:ascii="宋体" w:hAnsi="宋体" w:eastAsia="宋体" w:cs="宋体"/>
          <w:color w:val="auto"/>
          <w:highlight w:val="none"/>
        </w:rPr>
      </w:pPr>
    </w:p>
    <w:p w14:paraId="2108CC84">
      <w:pPr>
        <w:pStyle w:val="36"/>
        <w:ind w:firstLine="480"/>
        <w:rPr>
          <w:rFonts w:hint="eastAsia" w:ascii="宋体" w:hAnsi="宋体" w:eastAsia="宋体" w:cs="宋体"/>
          <w:color w:val="auto"/>
          <w:highlight w:val="none"/>
        </w:rPr>
      </w:pPr>
    </w:p>
    <w:p w14:paraId="6030B419">
      <w:pPr>
        <w:pStyle w:val="36"/>
        <w:ind w:firstLine="480"/>
        <w:rPr>
          <w:rFonts w:hint="eastAsia" w:ascii="宋体" w:hAnsi="宋体" w:eastAsia="宋体" w:cs="宋体"/>
          <w:color w:val="auto"/>
          <w:highlight w:val="none"/>
        </w:rPr>
      </w:pPr>
    </w:p>
    <w:p w14:paraId="612CFAD7">
      <w:pPr>
        <w:pStyle w:val="36"/>
        <w:ind w:firstLine="480"/>
        <w:rPr>
          <w:rFonts w:hint="eastAsia" w:ascii="宋体" w:hAnsi="宋体" w:eastAsia="宋体" w:cs="宋体"/>
          <w:color w:val="auto"/>
          <w:highlight w:val="none"/>
        </w:rPr>
      </w:pPr>
    </w:p>
    <w:p w14:paraId="61E2477E">
      <w:pPr>
        <w:pStyle w:val="36"/>
        <w:ind w:firstLine="480"/>
        <w:rPr>
          <w:rFonts w:hint="eastAsia" w:ascii="宋体" w:hAnsi="宋体" w:eastAsia="宋体" w:cs="宋体"/>
          <w:color w:val="auto"/>
          <w:highlight w:val="none"/>
        </w:rPr>
      </w:pPr>
    </w:p>
    <w:p w14:paraId="0929362A">
      <w:pPr>
        <w:pStyle w:val="36"/>
        <w:ind w:firstLine="480"/>
        <w:rPr>
          <w:rFonts w:hint="eastAsia" w:ascii="宋体" w:hAnsi="宋体" w:eastAsia="宋体" w:cs="宋体"/>
          <w:color w:val="auto"/>
          <w:highlight w:val="none"/>
        </w:rPr>
      </w:pPr>
    </w:p>
    <w:p w14:paraId="71932D72">
      <w:pPr>
        <w:pStyle w:val="36"/>
        <w:ind w:firstLine="480"/>
        <w:rPr>
          <w:rFonts w:hint="eastAsia" w:ascii="宋体" w:hAnsi="宋体" w:eastAsia="宋体" w:cs="宋体"/>
          <w:color w:val="auto"/>
          <w:highlight w:val="none"/>
        </w:rPr>
      </w:pPr>
    </w:p>
    <w:p w14:paraId="3EAB617A">
      <w:pPr>
        <w:pStyle w:val="36"/>
        <w:ind w:firstLine="480"/>
        <w:rPr>
          <w:rFonts w:hint="eastAsia" w:ascii="宋体" w:hAnsi="宋体" w:eastAsia="宋体" w:cs="宋体"/>
          <w:color w:val="auto"/>
          <w:highlight w:val="none"/>
        </w:rPr>
      </w:pPr>
    </w:p>
    <w:p w14:paraId="024CE916">
      <w:pPr>
        <w:pStyle w:val="36"/>
        <w:ind w:firstLine="480"/>
        <w:rPr>
          <w:rFonts w:hint="eastAsia" w:ascii="宋体" w:hAnsi="宋体" w:eastAsia="宋体" w:cs="宋体"/>
          <w:color w:val="auto"/>
          <w:highlight w:val="none"/>
        </w:rPr>
      </w:pPr>
    </w:p>
    <w:bookmarkEnd w:id="258"/>
    <w:bookmarkEnd w:id="259"/>
    <w:bookmarkEnd w:id="260"/>
    <w:bookmarkEnd w:id="261"/>
    <w:bookmarkEnd w:id="262"/>
    <w:bookmarkEnd w:id="263"/>
    <w:bookmarkEnd w:id="264"/>
    <w:bookmarkEnd w:id="265"/>
    <w:bookmarkEnd w:id="266"/>
    <w:bookmarkEnd w:id="267"/>
    <w:bookmarkEnd w:id="268"/>
    <w:bookmarkEnd w:id="269"/>
    <w:p w14:paraId="7D2C7E11">
      <w:pPr>
        <w:pStyle w:val="36"/>
        <w:ind w:firstLine="480"/>
        <w:jc w:val="center"/>
        <w:rPr>
          <w:rFonts w:hint="eastAsia" w:ascii="宋体" w:hAnsi="宋体" w:eastAsia="宋体" w:cs="宋体"/>
          <w:color w:val="auto"/>
          <w:sz w:val="32"/>
          <w:szCs w:val="21"/>
          <w:highlight w:val="none"/>
        </w:rPr>
      </w:pPr>
      <w:r>
        <w:rPr>
          <w:rFonts w:hint="eastAsia" w:ascii="宋体" w:hAnsi="宋体" w:eastAsia="宋体" w:cs="宋体"/>
          <w:color w:val="auto"/>
          <w:sz w:val="24"/>
          <w:szCs w:val="24"/>
          <w:highlight w:val="none"/>
        </w:rPr>
        <w:br w:type="page"/>
      </w:r>
      <w:bookmarkStart w:id="270" w:name="_Toc18730"/>
      <w:bookmarkStart w:id="271" w:name="_Toc4954"/>
      <w:bookmarkStart w:id="272" w:name="_Toc4759"/>
      <w:bookmarkStart w:id="273" w:name="_Toc7891"/>
      <w:bookmarkStart w:id="274" w:name="_Toc31510"/>
      <w:bookmarkStart w:id="275" w:name="_Toc31598"/>
      <w:r>
        <w:rPr>
          <w:rFonts w:hint="eastAsia" w:ascii="宋体" w:hAnsi="宋体" w:eastAsia="宋体" w:cs="宋体"/>
          <w:color w:val="auto"/>
          <w:szCs w:val="22"/>
          <w:highlight w:val="none"/>
        </w:rPr>
        <w:t>附件二：</w:t>
      </w:r>
      <w:bookmarkEnd w:id="270"/>
      <w:bookmarkEnd w:id="271"/>
      <w:bookmarkEnd w:id="272"/>
      <w:bookmarkEnd w:id="273"/>
      <w:bookmarkEnd w:id="274"/>
      <w:bookmarkEnd w:id="275"/>
      <w:r>
        <w:rPr>
          <w:rFonts w:hint="eastAsia" w:ascii="宋体" w:hAnsi="宋体" w:eastAsia="宋体" w:cs="宋体"/>
          <w:color w:val="auto"/>
          <w:szCs w:val="22"/>
          <w:highlight w:val="none"/>
        </w:rPr>
        <w:t>采购文件发售登记表</w:t>
      </w:r>
    </w:p>
    <w:p w14:paraId="1B50B60B">
      <w:pPr>
        <w:ind w:firstLine="480"/>
        <w:jc w:val="center"/>
        <w:outlineLvl w:val="1"/>
        <w:rPr>
          <w:rFonts w:hint="eastAsia" w:ascii="宋体" w:hAnsi="宋体" w:eastAsia="宋体" w:cs="宋体"/>
          <w:b/>
          <w:color w:val="auto"/>
          <w:sz w:val="24"/>
          <w:highlight w:val="none"/>
        </w:rPr>
      </w:pPr>
    </w:p>
    <w:tbl>
      <w:tblPr>
        <w:tblStyle w:val="25"/>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2E7E28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noWrap/>
            <w:vAlign w:val="center"/>
          </w:tcPr>
          <w:p w14:paraId="66B7B1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项目号</w:t>
            </w:r>
          </w:p>
        </w:tc>
        <w:tc>
          <w:tcPr>
            <w:tcW w:w="7423" w:type="dxa"/>
            <w:gridSpan w:val="3"/>
            <w:noWrap/>
            <w:vAlign w:val="center"/>
          </w:tcPr>
          <w:p w14:paraId="0A1297CA">
            <w:pPr>
              <w:jc w:val="center"/>
              <w:rPr>
                <w:rFonts w:hint="eastAsia" w:ascii="宋体" w:hAnsi="宋体" w:eastAsia="宋体" w:cs="宋体"/>
                <w:color w:val="auto"/>
                <w:sz w:val="24"/>
                <w:szCs w:val="24"/>
                <w:highlight w:val="none"/>
              </w:rPr>
            </w:pPr>
          </w:p>
        </w:tc>
      </w:tr>
      <w:tr w14:paraId="13693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ign w:val="center"/>
          </w:tcPr>
          <w:p w14:paraId="3CF15C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23" w:type="dxa"/>
            <w:gridSpan w:val="3"/>
            <w:noWrap/>
            <w:vAlign w:val="center"/>
          </w:tcPr>
          <w:p w14:paraId="4CBB990A">
            <w:pPr>
              <w:jc w:val="center"/>
              <w:rPr>
                <w:rFonts w:hint="eastAsia" w:ascii="宋体" w:hAnsi="宋体" w:eastAsia="宋体" w:cs="宋体"/>
                <w:color w:val="auto"/>
                <w:sz w:val="24"/>
                <w:szCs w:val="24"/>
                <w:highlight w:val="none"/>
              </w:rPr>
            </w:pPr>
          </w:p>
        </w:tc>
      </w:tr>
      <w:tr w14:paraId="18E49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ign w:val="center"/>
          </w:tcPr>
          <w:p w14:paraId="19E3D5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423" w:type="dxa"/>
            <w:gridSpan w:val="3"/>
            <w:noWrap/>
            <w:vAlign w:val="center"/>
          </w:tcPr>
          <w:p w14:paraId="657562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1E423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ign w:val="center"/>
          </w:tcPr>
          <w:p w14:paraId="48C8F6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396" w:type="dxa"/>
            <w:noWrap/>
            <w:vAlign w:val="center"/>
          </w:tcPr>
          <w:p w14:paraId="5D4DAAC5">
            <w:pPr>
              <w:jc w:val="center"/>
              <w:rPr>
                <w:rFonts w:hint="eastAsia" w:ascii="宋体" w:hAnsi="宋体" w:eastAsia="宋体" w:cs="宋体"/>
                <w:color w:val="auto"/>
                <w:sz w:val="24"/>
                <w:szCs w:val="24"/>
                <w:highlight w:val="none"/>
              </w:rPr>
            </w:pPr>
          </w:p>
        </w:tc>
        <w:tc>
          <w:tcPr>
            <w:tcW w:w="1053" w:type="dxa"/>
            <w:noWrap/>
            <w:vAlign w:val="center"/>
          </w:tcPr>
          <w:p w14:paraId="1645D8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3974" w:type="dxa"/>
            <w:noWrap/>
            <w:vAlign w:val="center"/>
          </w:tcPr>
          <w:p w14:paraId="249692CE">
            <w:pPr>
              <w:jc w:val="center"/>
              <w:rPr>
                <w:rFonts w:hint="eastAsia" w:ascii="宋体" w:hAnsi="宋体" w:eastAsia="宋体" w:cs="宋体"/>
                <w:color w:val="auto"/>
                <w:sz w:val="24"/>
                <w:szCs w:val="24"/>
                <w:highlight w:val="none"/>
              </w:rPr>
            </w:pPr>
          </w:p>
        </w:tc>
      </w:tr>
      <w:tr w14:paraId="1844B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ign w:val="center"/>
          </w:tcPr>
          <w:p w14:paraId="0705B8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396" w:type="dxa"/>
            <w:noWrap/>
            <w:vAlign w:val="center"/>
          </w:tcPr>
          <w:p w14:paraId="6C7F2483">
            <w:pPr>
              <w:jc w:val="center"/>
              <w:rPr>
                <w:rFonts w:hint="eastAsia" w:ascii="宋体" w:hAnsi="宋体" w:eastAsia="宋体" w:cs="宋体"/>
                <w:color w:val="auto"/>
                <w:sz w:val="24"/>
                <w:szCs w:val="24"/>
                <w:highlight w:val="none"/>
              </w:rPr>
            </w:pPr>
          </w:p>
        </w:tc>
        <w:tc>
          <w:tcPr>
            <w:tcW w:w="1053" w:type="dxa"/>
            <w:noWrap/>
            <w:vAlign w:val="center"/>
          </w:tcPr>
          <w:p w14:paraId="391C65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974" w:type="dxa"/>
            <w:noWrap/>
            <w:vAlign w:val="center"/>
          </w:tcPr>
          <w:p w14:paraId="0BD80323">
            <w:pPr>
              <w:jc w:val="center"/>
              <w:rPr>
                <w:rFonts w:hint="eastAsia" w:ascii="宋体" w:hAnsi="宋体" w:eastAsia="宋体" w:cs="宋体"/>
                <w:color w:val="auto"/>
                <w:sz w:val="24"/>
                <w:szCs w:val="24"/>
                <w:highlight w:val="none"/>
              </w:rPr>
            </w:pPr>
          </w:p>
        </w:tc>
      </w:tr>
      <w:tr w14:paraId="12904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ign w:val="center"/>
          </w:tcPr>
          <w:p w14:paraId="758A55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7423" w:type="dxa"/>
            <w:gridSpan w:val="3"/>
            <w:noWrap/>
            <w:vAlign w:val="center"/>
          </w:tcPr>
          <w:p w14:paraId="449E81EE">
            <w:pPr>
              <w:jc w:val="center"/>
              <w:rPr>
                <w:rFonts w:hint="eastAsia" w:ascii="宋体" w:hAnsi="宋体" w:eastAsia="宋体" w:cs="宋体"/>
                <w:color w:val="auto"/>
                <w:sz w:val="24"/>
                <w:szCs w:val="24"/>
                <w:highlight w:val="none"/>
              </w:rPr>
            </w:pPr>
          </w:p>
        </w:tc>
      </w:tr>
      <w:tr w14:paraId="7F4D1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ign w:val="center"/>
          </w:tcPr>
          <w:p w14:paraId="41547C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7423" w:type="dxa"/>
            <w:gridSpan w:val="3"/>
            <w:noWrap/>
            <w:vAlign w:val="center"/>
          </w:tcPr>
          <w:p w14:paraId="6448A0E0">
            <w:pPr>
              <w:jc w:val="center"/>
              <w:rPr>
                <w:rFonts w:hint="eastAsia" w:ascii="宋体" w:hAnsi="宋体" w:eastAsia="宋体" w:cs="宋体"/>
                <w:color w:val="auto"/>
                <w:sz w:val="24"/>
                <w:szCs w:val="24"/>
                <w:highlight w:val="none"/>
              </w:rPr>
            </w:pPr>
          </w:p>
        </w:tc>
      </w:tr>
    </w:tbl>
    <w:p w14:paraId="0EBD7E3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重庆鸿兴招标代理有限公司</w:t>
      </w:r>
      <w:r>
        <w:rPr>
          <w:rFonts w:hint="eastAsia" w:ascii="宋体" w:hAnsi="宋体" w:eastAsia="宋体" w:cs="宋体"/>
          <w:color w:val="auto"/>
          <w:sz w:val="24"/>
          <w:szCs w:val="24"/>
          <w:highlight w:val="none"/>
        </w:rPr>
        <w:t xml:space="preserve">    </w:t>
      </w:r>
    </w:p>
    <w:p w14:paraId="431467CD">
      <w:pPr>
        <w:spacing w:line="360" w:lineRule="auto"/>
        <w:ind w:firstLine="480"/>
        <w:rPr>
          <w:rFonts w:hint="eastAsia" w:ascii="宋体" w:hAnsi="宋体" w:eastAsia="宋体" w:cs="宋体"/>
          <w:color w:val="auto"/>
          <w:sz w:val="24"/>
          <w:szCs w:val="24"/>
          <w:highlight w:val="none"/>
        </w:rPr>
      </w:pPr>
    </w:p>
    <w:p w14:paraId="0720743C">
      <w:pPr>
        <w:ind w:firstLine="482"/>
        <w:rPr>
          <w:rFonts w:hint="eastAsia" w:ascii="宋体" w:hAnsi="宋体" w:eastAsia="宋体" w:cs="宋体"/>
          <w:b/>
          <w:color w:val="auto"/>
          <w:sz w:val="24"/>
          <w:szCs w:val="24"/>
          <w:highlight w:val="none"/>
        </w:rPr>
      </w:pPr>
    </w:p>
    <w:p w14:paraId="12513165">
      <w:pPr>
        <w:ind w:firstLine="482"/>
        <w:rPr>
          <w:rFonts w:hint="eastAsia" w:ascii="宋体" w:hAnsi="宋体" w:eastAsia="宋体" w:cs="宋体"/>
          <w:b/>
          <w:color w:val="auto"/>
          <w:sz w:val="24"/>
          <w:szCs w:val="24"/>
          <w:highlight w:val="none"/>
        </w:rPr>
      </w:pPr>
    </w:p>
    <w:p w14:paraId="36CA3089">
      <w:pPr>
        <w:jc w:val="left"/>
        <w:outlineLvl w:val="9"/>
        <w:rPr>
          <w:color w:val="auto"/>
          <w:highlight w:val="none"/>
        </w:rPr>
      </w:pPr>
    </w:p>
    <w:p w14:paraId="5902C442">
      <w:pPr>
        <w:ind w:firstLine="482"/>
        <w:rPr>
          <w:rFonts w:hint="eastAsia" w:ascii="宋体" w:hAnsi="宋体" w:eastAsia="宋体" w:cs="宋体"/>
          <w:b/>
          <w:color w:val="auto"/>
          <w:sz w:val="24"/>
          <w:szCs w:val="24"/>
          <w:highlight w:val="none"/>
        </w:rPr>
      </w:pPr>
    </w:p>
    <w:p w14:paraId="19CA9505">
      <w:pPr>
        <w:spacing w:line="360" w:lineRule="auto"/>
        <w:ind w:firstLine="560" w:firstLineChars="200"/>
        <w:jc w:val="center"/>
        <w:rPr>
          <w:rFonts w:hint="eastAsia" w:ascii="宋体" w:hAnsi="宋体" w:eastAsia="宋体" w:cs="宋体"/>
          <w:color w:val="auto"/>
          <w:highlight w:val="none"/>
        </w:rPr>
      </w:pPr>
    </w:p>
    <w:p w14:paraId="525295E9">
      <w:pPr>
        <w:spacing w:line="360" w:lineRule="auto"/>
        <w:ind w:firstLine="4060" w:firstLineChars="1450"/>
        <w:rPr>
          <w:rFonts w:hint="eastAsia" w:ascii="宋体" w:hAnsi="宋体" w:eastAsia="宋体" w:cs="宋体"/>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31E95A8-60D2-4B31-B191-5C7C1DEAF89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29A4D79C-D8F7-4325-BC6F-CE7FEA5DA40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8C02">
    <w:pPr>
      <w:pStyle w:val="16"/>
      <w:framePr w:wrap="around" w:vAnchor="text" w:hAnchor="margin" w:xAlign="center" w:y="1"/>
      <w:jc w:val="center"/>
      <w:rPr>
        <w:rStyle w:val="28"/>
        <w:rFonts w:ascii="宋体"/>
        <w:sz w:val="21"/>
        <w:szCs w:val="21"/>
      </w:rPr>
    </w:pPr>
    <w:r>
      <w:rPr>
        <w:rFonts w:ascii="宋体"/>
        <w:sz w:val="21"/>
        <w:szCs w:val="21"/>
      </w:rPr>
      <w:fldChar w:fldCharType="begin"/>
    </w:r>
    <w:r>
      <w:rPr>
        <w:rStyle w:val="28"/>
        <w:rFonts w:ascii="宋体"/>
        <w:sz w:val="21"/>
        <w:szCs w:val="21"/>
      </w:rPr>
      <w:instrText xml:space="preserve">PAGE  </w:instrText>
    </w:r>
    <w:r>
      <w:rPr>
        <w:rFonts w:ascii="宋体"/>
        <w:sz w:val="21"/>
        <w:szCs w:val="21"/>
      </w:rPr>
      <w:fldChar w:fldCharType="separate"/>
    </w:r>
    <w:r>
      <w:rPr>
        <w:rStyle w:val="28"/>
        <w:rFonts w:ascii="宋体"/>
        <w:sz w:val="21"/>
        <w:szCs w:val="21"/>
      </w:rPr>
      <w:t>- 6 -</w:t>
    </w:r>
    <w:r>
      <w:rPr>
        <w:rFonts w:ascii="宋体"/>
        <w:sz w:val="21"/>
        <w:szCs w:val="21"/>
      </w:rPr>
      <w:fldChar w:fldCharType="end"/>
    </w:r>
  </w:p>
  <w:p w14:paraId="56D030F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6"/>
      <w:jc w:val="center"/>
      <w:rPr>
        <w:rFonts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- 15 -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C4D5">
    <w:pPr>
      <w:pStyle w:val="16"/>
      <w:framePr w:wrap="around" w:vAnchor="text" w:hAnchor="margin" w:xAlign="center" w:y="1"/>
      <w:rPr>
        <w:rStyle w:val="28"/>
      </w:rPr>
    </w:pPr>
    <w:r>
      <w:fldChar w:fldCharType="begin"/>
    </w:r>
    <w:r>
      <w:rPr>
        <w:rStyle w:val="28"/>
      </w:rPr>
      <w:instrText xml:space="preserve">PAGE  </w:instrText>
    </w:r>
    <w:r>
      <w:fldChar w:fldCharType="end"/>
    </w:r>
  </w:p>
  <w:p w14:paraId="3D422F8A">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7"/>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7"/>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7"/>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281">
    <w:pPr>
      <w:pStyle w:val="17"/>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C6A2">
    <w:pPr>
      <w:pStyle w:val="17"/>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7"/>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abstractNum w:abstractNumId="1">
    <w:nsid w:val="F91A1A93"/>
    <w:multiLevelType w:val="singleLevel"/>
    <w:tmpl w:val="F91A1A93"/>
    <w:lvl w:ilvl="0" w:tentative="0">
      <w:start w:val="4"/>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2F69F4"/>
    <w:rsid w:val="038C1E7A"/>
    <w:rsid w:val="04D550AF"/>
    <w:rsid w:val="05C173E2"/>
    <w:rsid w:val="060176B0"/>
    <w:rsid w:val="07276548"/>
    <w:rsid w:val="07445B1E"/>
    <w:rsid w:val="07D86871"/>
    <w:rsid w:val="091B3A94"/>
    <w:rsid w:val="0A73362A"/>
    <w:rsid w:val="0C886EAB"/>
    <w:rsid w:val="0CE555B0"/>
    <w:rsid w:val="0CEE08DC"/>
    <w:rsid w:val="0DED3BF7"/>
    <w:rsid w:val="0F184516"/>
    <w:rsid w:val="0F4C3E64"/>
    <w:rsid w:val="100C21FF"/>
    <w:rsid w:val="107A129B"/>
    <w:rsid w:val="115F7236"/>
    <w:rsid w:val="117B33F3"/>
    <w:rsid w:val="1265463F"/>
    <w:rsid w:val="13352210"/>
    <w:rsid w:val="1374416E"/>
    <w:rsid w:val="14263231"/>
    <w:rsid w:val="142D31B4"/>
    <w:rsid w:val="15744470"/>
    <w:rsid w:val="157A0C70"/>
    <w:rsid w:val="15EF7474"/>
    <w:rsid w:val="15FC3CF3"/>
    <w:rsid w:val="167D04A9"/>
    <w:rsid w:val="181C56F8"/>
    <w:rsid w:val="18B923A1"/>
    <w:rsid w:val="19616ABA"/>
    <w:rsid w:val="19C13E98"/>
    <w:rsid w:val="19DC4185"/>
    <w:rsid w:val="19DE5CCF"/>
    <w:rsid w:val="19E806B1"/>
    <w:rsid w:val="1AD82DAC"/>
    <w:rsid w:val="1B912121"/>
    <w:rsid w:val="1CED7922"/>
    <w:rsid w:val="1D091942"/>
    <w:rsid w:val="1EE91AD6"/>
    <w:rsid w:val="1F0F1705"/>
    <w:rsid w:val="1F5155C5"/>
    <w:rsid w:val="20BE320C"/>
    <w:rsid w:val="21336BF6"/>
    <w:rsid w:val="21857B08"/>
    <w:rsid w:val="223B259E"/>
    <w:rsid w:val="2242405A"/>
    <w:rsid w:val="22557E56"/>
    <w:rsid w:val="22AD63A6"/>
    <w:rsid w:val="23AD1279"/>
    <w:rsid w:val="25042CED"/>
    <w:rsid w:val="251935EB"/>
    <w:rsid w:val="253357AE"/>
    <w:rsid w:val="26317911"/>
    <w:rsid w:val="263C637C"/>
    <w:rsid w:val="265E4AAD"/>
    <w:rsid w:val="26962499"/>
    <w:rsid w:val="27206206"/>
    <w:rsid w:val="27CA2DD1"/>
    <w:rsid w:val="27D03788"/>
    <w:rsid w:val="2AD510B6"/>
    <w:rsid w:val="2B8A1EA0"/>
    <w:rsid w:val="2C9F197B"/>
    <w:rsid w:val="2E9C20E4"/>
    <w:rsid w:val="2EB75385"/>
    <w:rsid w:val="30647164"/>
    <w:rsid w:val="30D74EFB"/>
    <w:rsid w:val="313F54DB"/>
    <w:rsid w:val="319A6A0F"/>
    <w:rsid w:val="32313075"/>
    <w:rsid w:val="32FC184B"/>
    <w:rsid w:val="331A7FAD"/>
    <w:rsid w:val="33835B53"/>
    <w:rsid w:val="33CB280E"/>
    <w:rsid w:val="33D41194"/>
    <w:rsid w:val="34617A87"/>
    <w:rsid w:val="351B77A7"/>
    <w:rsid w:val="352E0BC1"/>
    <w:rsid w:val="35F92F02"/>
    <w:rsid w:val="36925CE8"/>
    <w:rsid w:val="373C6825"/>
    <w:rsid w:val="38B57A76"/>
    <w:rsid w:val="3A062564"/>
    <w:rsid w:val="3ACE79A6"/>
    <w:rsid w:val="3BF92CA9"/>
    <w:rsid w:val="3D8027BE"/>
    <w:rsid w:val="3E3A7756"/>
    <w:rsid w:val="3E4C3DFE"/>
    <w:rsid w:val="3F5125DF"/>
    <w:rsid w:val="40C56E73"/>
    <w:rsid w:val="417D0085"/>
    <w:rsid w:val="423C2277"/>
    <w:rsid w:val="425B1E68"/>
    <w:rsid w:val="44CB1E10"/>
    <w:rsid w:val="44F85C75"/>
    <w:rsid w:val="454D3C8A"/>
    <w:rsid w:val="456F4713"/>
    <w:rsid w:val="45E16B5E"/>
    <w:rsid w:val="45E82BBE"/>
    <w:rsid w:val="4662097D"/>
    <w:rsid w:val="46BD0AE0"/>
    <w:rsid w:val="471072A6"/>
    <w:rsid w:val="481464EA"/>
    <w:rsid w:val="483966A4"/>
    <w:rsid w:val="48670274"/>
    <w:rsid w:val="48CD5AE8"/>
    <w:rsid w:val="49867369"/>
    <w:rsid w:val="4A4F44D5"/>
    <w:rsid w:val="4AEB502A"/>
    <w:rsid w:val="4AFA3593"/>
    <w:rsid w:val="4BE11211"/>
    <w:rsid w:val="4C6F5832"/>
    <w:rsid w:val="4C976123"/>
    <w:rsid w:val="4D0562E9"/>
    <w:rsid w:val="4D094866"/>
    <w:rsid w:val="4D470587"/>
    <w:rsid w:val="4D7E1C33"/>
    <w:rsid w:val="4DA16EA9"/>
    <w:rsid w:val="4E4837C9"/>
    <w:rsid w:val="4EBE52E7"/>
    <w:rsid w:val="4EF2336C"/>
    <w:rsid w:val="4F245C34"/>
    <w:rsid w:val="4FFD6AF4"/>
    <w:rsid w:val="4FFE08A0"/>
    <w:rsid w:val="512F7091"/>
    <w:rsid w:val="52276BD6"/>
    <w:rsid w:val="532F225C"/>
    <w:rsid w:val="54414F42"/>
    <w:rsid w:val="55625BAA"/>
    <w:rsid w:val="55997370"/>
    <w:rsid w:val="56FE672C"/>
    <w:rsid w:val="579161E1"/>
    <w:rsid w:val="58492617"/>
    <w:rsid w:val="58FA6008"/>
    <w:rsid w:val="59BF2CC2"/>
    <w:rsid w:val="5A303D2A"/>
    <w:rsid w:val="5A6C083F"/>
    <w:rsid w:val="5AE23265"/>
    <w:rsid w:val="5B111B1A"/>
    <w:rsid w:val="5B4D241F"/>
    <w:rsid w:val="5BC50043"/>
    <w:rsid w:val="5D3A6F64"/>
    <w:rsid w:val="5D75349F"/>
    <w:rsid w:val="5E8B6B03"/>
    <w:rsid w:val="5EFD4D0A"/>
    <w:rsid w:val="5FF7F31C"/>
    <w:rsid w:val="60343BAD"/>
    <w:rsid w:val="605532C8"/>
    <w:rsid w:val="60FD48E7"/>
    <w:rsid w:val="614E0C9F"/>
    <w:rsid w:val="61C02C3E"/>
    <w:rsid w:val="62113D2F"/>
    <w:rsid w:val="6299063F"/>
    <w:rsid w:val="641C4FD4"/>
    <w:rsid w:val="64805613"/>
    <w:rsid w:val="66522FD5"/>
    <w:rsid w:val="681B78B6"/>
    <w:rsid w:val="686E79AA"/>
    <w:rsid w:val="68FB795E"/>
    <w:rsid w:val="6A9260A0"/>
    <w:rsid w:val="6C400F7E"/>
    <w:rsid w:val="6D2262FD"/>
    <w:rsid w:val="6D2D2720"/>
    <w:rsid w:val="6DDE1380"/>
    <w:rsid w:val="6E063995"/>
    <w:rsid w:val="702D2809"/>
    <w:rsid w:val="70EE44BD"/>
    <w:rsid w:val="71DE5A4F"/>
    <w:rsid w:val="723C03B0"/>
    <w:rsid w:val="73E96071"/>
    <w:rsid w:val="750D242D"/>
    <w:rsid w:val="75DF6A90"/>
    <w:rsid w:val="764C614C"/>
    <w:rsid w:val="76DD06A3"/>
    <w:rsid w:val="77002491"/>
    <w:rsid w:val="78CC5AF6"/>
    <w:rsid w:val="79A67B01"/>
    <w:rsid w:val="7A08012D"/>
    <w:rsid w:val="7A582EA9"/>
    <w:rsid w:val="7B9342B1"/>
    <w:rsid w:val="7EDF61D4"/>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1"/>
    <w:qFormat/>
    <w:uiPriority w:val="99"/>
    <w:pPr>
      <w:keepNext/>
      <w:keepLines/>
      <w:spacing w:before="260" w:after="260" w:line="415" w:lineRule="auto"/>
      <w:outlineLvl w:val="2"/>
    </w:pPr>
    <w:rPr>
      <w:b/>
      <w:bCs/>
      <w:sz w:val="32"/>
      <w:szCs w:val="32"/>
    </w:rPr>
  </w:style>
  <w:style w:type="paragraph" w:styleId="6">
    <w:name w:val="heading 7"/>
    <w:basedOn w:val="1"/>
    <w:next w:val="1"/>
    <w:link w:val="46"/>
    <w:unhideWhenUsed/>
    <w:qFormat/>
    <w:uiPriority w:val="0"/>
    <w:pPr>
      <w:keepNext/>
      <w:keepLines/>
      <w:spacing w:before="240" w:after="64" w:line="320" w:lineRule="auto"/>
      <w:outlineLvl w:val="6"/>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Normal Indent"/>
    <w:basedOn w:val="1"/>
    <w:qFormat/>
    <w:uiPriority w:val="99"/>
    <w:pPr>
      <w:adjustRightInd w:val="0"/>
      <w:snapToGrid w:val="0"/>
      <w:spacing w:line="360" w:lineRule="auto"/>
      <w:ind w:firstLine="420"/>
    </w:pPr>
    <w:rPr>
      <w:sz w:val="24"/>
    </w:rPr>
  </w:style>
  <w:style w:type="paragraph" w:styleId="8">
    <w:name w:val="annotation text"/>
    <w:basedOn w:val="1"/>
    <w:link w:val="42"/>
    <w:qFormat/>
    <w:uiPriority w:val="0"/>
    <w:pPr>
      <w:jc w:val="left"/>
    </w:pPr>
  </w:style>
  <w:style w:type="paragraph" w:styleId="9">
    <w:name w:val="Body Text"/>
    <w:basedOn w:val="1"/>
    <w:next w:val="10"/>
    <w:unhideWhenUsed/>
    <w:qFormat/>
    <w:uiPriority w:val="99"/>
    <w:pPr>
      <w:spacing w:after="120"/>
    </w:pPr>
  </w:style>
  <w:style w:type="paragraph" w:styleId="10">
    <w:name w:val="Body Text Indent"/>
    <w:basedOn w:val="1"/>
    <w:qFormat/>
    <w:uiPriority w:val="0"/>
    <w:pPr>
      <w:spacing w:line="700" w:lineRule="exact"/>
      <w:ind w:left="960"/>
    </w:pPr>
    <w:rPr>
      <w:sz w:val="44"/>
    </w:rPr>
  </w:style>
  <w:style w:type="paragraph" w:styleId="11">
    <w:name w:val="toc 3"/>
    <w:basedOn w:val="1"/>
    <w:next w:val="1"/>
    <w:qFormat/>
    <w:uiPriority w:val="0"/>
    <w:pPr>
      <w:ind w:left="840" w:leftChars="400"/>
    </w:pPr>
  </w:style>
  <w:style w:type="paragraph" w:styleId="12">
    <w:name w:val="Plain Text"/>
    <w:basedOn w:val="1"/>
    <w:link w:val="37"/>
    <w:qFormat/>
    <w:uiPriority w:val="0"/>
    <w:rPr>
      <w:rFonts w:ascii="宋体" w:hAnsi="Courier New"/>
    </w:rPr>
  </w:style>
  <w:style w:type="paragraph" w:styleId="13">
    <w:name w:val="Date"/>
    <w:basedOn w:val="1"/>
    <w:next w:val="1"/>
    <w:link w:val="45"/>
    <w:qFormat/>
    <w:uiPriority w:val="0"/>
  </w:style>
  <w:style w:type="paragraph" w:styleId="14">
    <w:name w:val="Body Text Indent 2"/>
    <w:basedOn w:val="1"/>
    <w:link w:val="40"/>
    <w:qFormat/>
    <w:uiPriority w:val="0"/>
    <w:pPr>
      <w:snapToGrid w:val="0"/>
      <w:spacing w:line="560" w:lineRule="atLeast"/>
      <w:ind w:firstLine="540"/>
    </w:pPr>
  </w:style>
  <w:style w:type="paragraph" w:styleId="15">
    <w:name w:val="Balloon Text"/>
    <w:basedOn w:val="1"/>
    <w:link w:val="4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spacing w:line="180" w:lineRule="auto"/>
      <w:jc w:val="center"/>
    </w:pPr>
    <w:rPr>
      <w:sz w:val="30"/>
    </w:rPr>
  </w:style>
  <w:style w:type="paragraph" w:styleId="19">
    <w:name w:val="toc 2"/>
    <w:basedOn w:val="1"/>
    <w:next w:val="1"/>
    <w:qFormat/>
    <w:uiPriority w:val="39"/>
    <w:pPr>
      <w:ind w:left="420" w:leftChars="200"/>
    </w:pPr>
  </w:style>
  <w:style w:type="paragraph" w:styleId="20">
    <w:name w:val="Normal (Web)"/>
    <w:basedOn w:val="1"/>
    <w:qFormat/>
    <w:uiPriority w:val="0"/>
    <w:rPr>
      <w:sz w:val="24"/>
    </w:rPr>
  </w:style>
  <w:style w:type="paragraph" w:styleId="21">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2">
    <w:name w:val="annotation subject"/>
    <w:basedOn w:val="8"/>
    <w:next w:val="8"/>
    <w:link w:val="43"/>
    <w:qFormat/>
    <w:uiPriority w:val="0"/>
    <w:rPr>
      <w:b/>
      <w:bCs/>
    </w:rPr>
  </w:style>
  <w:style w:type="paragraph" w:styleId="23">
    <w:name w:val="Body Text First Indent"/>
    <w:basedOn w:val="9"/>
    <w:next w:val="1"/>
    <w:qFormat/>
    <w:uiPriority w:val="0"/>
    <w:pPr>
      <w:ind w:firstLine="420"/>
    </w:pPr>
  </w:style>
  <w:style w:type="paragraph" w:styleId="24">
    <w:name w:val="Body Text First Indent 2"/>
    <w:next w:val="16"/>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basedOn w:val="27"/>
    <w:qFormat/>
    <w:uiPriority w:val="0"/>
    <w:rPr>
      <w:sz w:val="21"/>
      <w:szCs w:val="21"/>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locked/>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7"/>
    <w:link w:val="12"/>
    <w:qFormat/>
    <w:uiPriority w:val="0"/>
    <w:rPr>
      <w:rFonts w:hint="eastAsia" w:ascii="宋体" w:hAnsi="Courier New" w:eastAsia="宋体" w:cs="Courier New"/>
      <w:kern w:val="2"/>
      <w:sz w:val="21"/>
      <w:szCs w:val="21"/>
    </w:rPr>
  </w:style>
  <w:style w:type="paragraph" w:customStyle="1" w:styleId="38">
    <w:name w:val="1"/>
    <w:basedOn w:val="1"/>
    <w:next w:val="12"/>
    <w:qFormat/>
    <w:uiPriority w:val="0"/>
    <w:rPr>
      <w:rFonts w:hint="eastAsia" w:ascii="宋体" w:hAnsi="Courier New"/>
      <w:sz w:val="21"/>
    </w:rPr>
  </w:style>
  <w:style w:type="character" w:customStyle="1" w:styleId="39">
    <w:name w:val="正文文本缩进 2 Char1"/>
    <w:basedOn w:val="27"/>
    <w:qFormat/>
    <w:uiPriority w:val="0"/>
    <w:rPr>
      <w:kern w:val="2"/>
      <w:sz w:val="28"/>
    </w:rPr>
  </w:style>
  <w:style w:type="character" w:customStyle="1" w:styleId="40">
    <w:name w:val="正文文本缩进 2 Char"/>
    <w:basedOn w:val="27"/>
    <w:link w:val="14"/>
    <w:qFormat/>
    <w:uiPriority w:val="0"/>
    <w:rPr>
      <w:kern w:val="2"/>
      <w:sz w:val="28"/>
    </w:rPr>
  </w:style>
  <w:style w:type="character" w:customStyle="1" w:styleId="41">
    <w:name w:val="标题 3 Char"/>
    <w:basedOn w:val="27"/>
    <w:link w:val="5"/>
    <w:qFormat/>
    <w:uiPriority w:val="0"/>
    <w:rPr>
      <w:b/>
      <w:kern w:val="2"/>
      <w:sz w:val="32"/>
    </w:rPr>
  </w:style>
  <w:style w:type="character" w:customStyle="1" w:styleId="42">
    <w:name w:val="批注文字 Char"/>
    <w:basedOn w:val="27"/>
    <w:link w:val="8"/>
    <w:qFormat/>
    <w:uiPriority w:val="0"/>
    <w:rPr>
      <w:rFonts w:ascii="Times New Roman" w:hAnsi="Times New Roman" w:cs="Times New Roman"/>
      <w:kern w:val="2"/>
      <w:sz w:val="28"/>
    </w:rPr>
  </w:style>
  <w:style w:type="character" w:customStyle="1" w:styleId="43">
    <w:name w:val="批注主题 Char"/>
    <w:basedOn w:val="42"/>
    <w:link w:val="22"/>
    <w:qFormat/>
    <w:uiPriority w:val="0"/>
    <w:rPr>
      <w:rFonts w:ascii="Times New Roman" w:hAnsi="Times New Roman" w:cs="Times New Roman"/>
      <w:b/>
      <w:bCs/>
      <w:kern w:val="2"/>
      <w:sz w:val="28"/>
    </w:rPr>
  </w:style>
  <w:style w:type="character" w:customStyle="1" w:styleId="44">
    <w:name w:val="批注框文本 Char"/>
    <w:basedOn w:val="27"/>
    <w:link w:val="15"/>
    <w:qFormat/>
    <w:uiPriority w:val="0"/>
    <w:rPr>
      <w:rFonts w:ascii="Times New Roman" w:hAnsi="Times New Roman" w:cs="Times New Roman"/>
      <w:kern w:val="2"/>
      <w:sz w:val="18"/>
      <w:szCs w:val="18"/>
    </w:rPr>
  </w:style>
  <w:style w:type="character" w:customStyle="1" w:styleId="45">
    <w:name w:val="日期 Char"/>
    <w:link w:val="13"/>
    <w:qFormat/>
    <w:uiPriority w:val="0"/>
    <w:rPr>
      <w:rFonts w:ascii="Times New Roman" w:hAnsi="Times New Roman" w:cs="Times New Roman"/>
      <w:kern w:val="2"/>
      <w:sz w:val="28"/>
    </w:rPr>
  </w:style>
  <w:style w:type="character" w:customStyle="1" w:styleId="46">
    <w:name w:val="标题 7 Char"/>
    <w:basedOn w:val="27"/>
    <w:link w:val="6"/>
    <w:semiHidden/>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7"/>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7"/>
    <w:link w:val="4"/>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55">
    <w:name w:val="NormalCharacter"/>
    <w:qFormat/>
    <w:uiPriority w:val="0"/>
  </w:style>
  <w:style w:type="character" w:customStyle="1" w:styleId="56">
    <w:name w:val="font101"/>
    <w:basedOn w:val="2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34</Pages>
  <Words>7472</Words>
  <Characters>7801</Characters>
  <Lines>99</Lines>
  <Paragraphs>28</Paragraphs>
  <TotalTime>15</TotalTime>
  <ScaleCrop>false</ScaleCrop>
  <LinksUpToDate>false</LinksUpToDate>
  <CharactersWithSpaces>7858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Aimee</cp:lastModifiedBy>
  <cp:lastPrinted>2024-05-27T08:16:00Z</cp:lastPrinted>
  <dcterms:modified xsi:type="dcterms:W3CDTF">2025-06-16T13:47:06Z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DC4D6DFA5E6D44579966C6FAB1EB9347_13</vt:lpwstr>
  </property>
  <property fmtid="{D5CDD505-2E9C-101B-9397-08002B2CF9AE}" pid="4" name="KSOTemplateDocerSaveRecord">
    <vt:lpwstr>eyJoZGlkIjoiYjc4MjdhODdiY2MxMmRiOGRmNWQxMjBlNWE3ZWZlZWUiLCJ1c2VySWQiOiIxMTUzNjU5NTE1In0=</vt:lpwstr>
  </property>
</Properties>
</file>