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3B36E">
      <w:pPr>
        <w:rPr>
          <w:rFonts w:hint="eastAsia" w:ascii="方正黑体_GBK" w:hAnsi="方正黑体_GBK" w:eastAsia="方正黑体_GBK" w:cs="方正黑体_GBK"/>
          <w:color w:val="auto"/>
          <w:sz w:val="32"/>
          <w:szCs w:val="32"/>
          <w:lang w:val="en-US" w:eastAsia="zh-CN"/>
        </w:rPr>
      </w:pPr>
    </w:p>
    <w:p w14:paraId="72AF0C8A">
      <w:pPr>
        <w:rPr>
          <w:rFonts w:hint="eastAsia" w:ascii="方正黑体_GBK" w:hAnsi="方正黑体_GBK" w:eastAsia="方正黑体_GBK" w:cs="方正黑体_GBK"/>
          <w:color w:val="auto"/>
          <w:sz w:val="32"/>
          <w:szCs w:val="32"/>
          <w:lang w:val="en-US" w:eastAsia="zh-CN"/>
        </w:rPr>
      </w:pPr>
    </w:p>
    <w:p w14:paraId="2143278F">
      <w:pPr>
        <w:widowControl w:val="0"/>
        <w:spacing w:after="120"/>
        <w:jc w:val="both"/>
        <w:rPr>
          <w:rFonts w:hint="eastAsia" w:ascii="方正黑体_GBK" w:hAnsi="方正黑体_GBK" w:eastAsia="方正黑体_GBK" w:cs="方正黑体_GBK"/>
          <w:color w:val="auto"/>
          <w:kern w:val="2"/>
          <w:sz w:val="32"/>
          <w:szCs w:val="32"/>
          <w:lang w:val="en-US" w:eastAsia="zh-CN" w:bidi="ar-SA"/>
        </w:rPr>
      </w:pPr>
    </w:p>
    <w:p w14:paraId="16A81078">
      <w:pPr>
        <w:rPr>
          <w:rFonts w:hint="eastAsia" w:ascii="Times New Roman" w:hAnsi="Times New Roman" w:eastAsia="宋体" w:cs="Times New Roman"/>
          <w:color w:val="auto"/>
          <w:sz w:val="21"/>
          <w:szCs w:val="20"/>
          <w:lang w:val="en-US" w:eastAsia="zh-CN"/>
        </w:rPr>
      </w:pPr>
    </w:p>
    <w:p w14:paraId="22F8EEE7">
      <w:pPr>
        <w:spacing w:line="660" w:lineRule="exact"/>
        <w:jc w:val="center"/>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rPr>
        <w:t>重庆市融资再担保有限责任公司</w:t>
      </w:r>
    </w:p>
    <w:p w14:paraId="1BE5F5FE">
      <w:pPr>
        <w:spacing w:line="660" w:lineRule="exact"/>
        <w:jc w:val="center"/>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2025年</w:t>
      </w:r>
      <w:r>
        <w:rPr>
          <w:rFonts w:hint="eastAsia" w:ascii="Times New Roman" w:hAnsi="Times New Roman" w:eastAsia="方正小标宋_GBK" w:cs="Times New Roman"/>
          <w:b/>
          <w:color w:val="auto"/>
          <w:sz w:val="44"/>
          <w:szCs w:val="44"/>
          <w:lang w:val="en-US" w:eastAsia="zh-CN"/>
        </w:rPr>
        <w:t>-</w:t>
      </w:r>
      <w:r>
        <w:rPr>
          <w:rFonts w:hint="default" w:ascii="Times New Roman" w:hAnsi="Times New Roman" w:eastAsia="方正小标宋_GBK" w:cs="Times New Roman"/>
          <w:b/>
          <w:color w:val="auto"/>
          <w:sz w:val="44"/>
          <w:szCs w:val="44"/>
        </w:rPr>
        <w:t>2026年微信公众号代运营及宣传</w:t>
      </w:r>
    </w:p>
    <w:p w14:paraId="44C934C2">
      <w:pPr>
        <w:spacing w:line="660" w:lineRule="exact"/>
        <w:jc w:val="center"/>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服务采购项目</w:t>
      </w:r>
    </w:p>
    <w:p w14:paraId="2900EB87">
      <w:pPr>
        <w:spacing w:line="600" w:lineRule="exact"/>
        <w:jc w:val="center"/>
        <w:rPr>
          <w:rFonts w:ascii="仿宋_GB2312" w:hAnsi="仿宋_GB2312" w:eastAsia="仿宋_GB2312" w:cs="仿宋_GB2312"/>
          <w:b/>
          <w:color w:val="auto"/>
          <w:sz w:val="40"/>
          <w:szCs w:val="40"/>
        </w:rPr>
      </w:pPr>
    </w:p>
    <w:p w14:paraId="369616DE">
      <w:pPr>
        <w:spacing w:line="600" w:lineRule="exact"/>
        <w:jc w:val="center"/>
        <w:rPr>
          <w:rFonts w:ascii="仿宋_GB2312" w:hAnsi="仿宋_GB2312" w:eastAsia="仿宋_GB2312" w:cs="仿宋_GB2312"/>
          <w:b/>
          <w:color w:val="auto"/>
          <w:sz w:val="40"/>
          <w:szCs w:val="40"/>
        </w:rPr>
      </w:pPr>
    </w:p>
    <w:p w14:paraId="5AD08B8D">
      <w:pPr>
        <w:spacing w:line="600" w:lineRule="exact"/>
        <w:rPr>
          <w:rFonts w:ascii="仿宋_GB2312" w:hAnsi="仿宋_GB2312" w:eastAsia="仿宋_GB2312" w:cs="仿宋_GB2312"/>
          <w:b/>
          <w:color w:val="auto"/>
          <w:sz w:val="40"/>
          <w:szCs w:val="40"/>
        </w:rPr>
      </w:pPr>
    </w:p>
    <w:p w14:paraId="2926F270">
      <w:pPr>
        <w:spacing w:line="600" w:lineRule="exact"/>
        <w:jc w:val="center"/>
        <w:rPr>
          <w:rFonts w:ascii="仿宋_GB2312" w:hAnsi="仿宋_GB2312" w:eastAsia="仿宋_GB2312" w:cs="仿宋_GB2312"/>
          <w:b/>
          <w:color w:val="auto"/>
          <w:sz w:val="48"/>
          <w:szCs w:val="48"/>
        </w:rPr>
      </w:pPr>
    </w:p>
    <w:p w14:paraId="0D8E76B7">
      <w:pPr>
        <w:spacing w:line="600" w:lineRule="exact"/>
        <w:jc w:val="center"/>
        <w:rPr>
          <w:rFonts w:ascii="仿宋_GB2312" w:hAnsi="仿宋_GB2312" w:eastAsia="仿宋_GB2312" w:cs="仿宋_GB2312"/>
          <w:b/>
          <w:color w:val="auto"/>
          <w:sz w:val="48"/>
          <w:szCs w:val="48"/>
        </w:rPr>
      </w:pPr>
    </w:p>
    <w:p w14:paraId="188D2B56">
      <w:pPr>
        <w:spacing w:line="1200" w:lineRule="exact"/>
        <w:jc w:val="center"/>
        <w:rPr>
          <w:rFonts w:hint="eastAsia" w:ascii="方正仿宋_GBK" w:hAnsi="方正仿宋_GBK" w:eastAsia="方正仿宋_GBK" w:cs="方正仿宋_GBK"/>
          <w:b/>
          <w:color w:val="auto"/>
          <w:sz w:val="48"/>
          <w:szCs w:val="48"/>
        </w:rPr>
      </w:pPr>
      <w:r>
        <w:rPr>
          <w:rFonts w:hint="eastAsia" w:ascii="方正仿宋_GBK" w:hAnsi="方正仿宋_GBK" w:eastAsia="方正仿宋_GBK" w:cs="方正仿宋_GBK"/>
          <w:b/>
          <w:color w:val="auto"/>
          <w:sz w:val="48"/>
          <w:szCs w:val="48"/>
        </w:rPr>
        <w:t>竞争性比选文件</w:t>
      </w:r>
    </w:p>
    <w:p w14:paraId="10ACE6F8">
      <w:pPr>
        <w:spacing w:line="600" w:lineRule="exact"/>
        <w:jc w:val="center"/>
        <w:rPr>
          <w:rFonts w:hint="eastAsia" w:ascii="方正仿宋_GBK" w:hAnsi="方正仿宋_GBK" w:eastAsia="方正仿宋_GBK" w:cs="方正仿宋_GBK"/>
          <w:b/>
          <w:color w:val="auto"/>
          <w:sz w:val="40"/>
          <w:szCs w:val="40"/>
        </w:rPr>
      </w:pPr>
    </w:p>
    <w:p w14:paraId="45CBA61E">
      <w:pPr>
        <w:spacing w:line="600" w:lineRule="exact"/>
        <w:rPr>
          <w:rFonts w:hint="eastAsia" w:ascii="方正仿宋_GBK" w:hAnsi="方正仿宋_GBK" w:eastAsia="方正仿宋_GBK" w:cs="方正仿宋_GBK"/>
          <w:color w:val="auto"/>
          <w:sz w:val="20"/>
          <w:szCs w:val="18"/>
        </w:rPr>
      </w:pPr>
    </w:p>
    <w:p w14:paraId="701561A3">
      <w:pPr>
        <w:spacing w:line="600" w:lineRule="exact"/>
        <w:rPr>
          <w:rFonts w:hint="eastAsia" w:ascii="方正仿宋_GBK" w:hAnsi="方正仿宋_GBK" w:eastAsia="方正仿宋_GBK" w:cs="方正仿宋_GBK"/>
          <w:color w:val="auto"/>
          <w:sz w:val="20"/>
          <w:szCs w:val="18"/>
        </w:rPr>
      </w:pPr>
    </w:p>
    <w:p w14:paraId="5C70F8E7">
      <w:pPr>
        <w:spacing w:line="600" w:lineRule="exact"/>
        <w:rPr>
          <w:rFonts w:hint="eastAsia" w:ascii="方正仿宋_GBK" w:hAnsi="方正仿宋_GBK" w:eastAsia="方正仿宋_GBK" w:cs="方正仿宋_GBK"/>
          <w:color w:val="auto"/>
          <w:sz w:val="20"/>
          <w:szCs w:val="18"/>
        </w:rPr>
      </w:pPr>
    </w:p>
    <w:p w14:paraId="54760B4D">
      <w:pPr>
        <w:spacing w:line="600" w:lineRule="exact"/>
        <w:rPr>
          <w:rFonts w:hint="eastAsia" w:ascii="方正仿宋_GBK" w:hAnsi="方正仿宋_GBK" w:eastAsia="方正仿宋_GBK" w:cs="方正仿宋_GBK"/>
          <w:color w:val="auto"/>
          <w:sz w:val="20"/>
          <w:szCs w:val="18"/>
        </w:rPr>
      </w:pPr>
    </w:p>
    <w:p w14:paraId="109D71DC">
      <w:pPr>
        <w:spacing w:line="600" w:lineRule="exact"/>
        <w:ind w:firstLine="560" w:firstLineChars="200"/>
        <w:jc w:val="left"/>
        <w:rPr>
          <w:rFonts w:hint="eastAsia" w:ascii="方正仿宋_GBK" w:hAnsi="方正仿宋_GBK" w:eastAsia="方正仿宋_GBK" w:cs="方正仿宋_GBK"/>
          <w:color w:val="auto"/>
          <w:sz w:val="28"/>
          <w:szCs w:val="28"/>
        </w:rPr>
      </w:pPr>
    </w:p>
    <w:p w14:paraId="5E314A72">
      <w:pPr>
        <w:spacing w:line="600" w:lineRule="exact"/>
        <w:jc w:val="center"/>
        <w:rPr>
          <w:rFonts w:hint="default" w:ascii="Times New Roman" w:hAnsi="Times New Roman" w:eastAsia="方正仿宋_GBK" w:cs="Times New Roman"/>
          <w:color w:val="auto"/>
          <w:sz w:val="24"/>
          <w:szCs w:val="18"/>
        </w:rPr>
      </w:pPr>
      <w:r>
        <w:rPr>
          <w:rFonts w:hint="default" w:ascii="Times New Roman" w:hAnsi="Times New Roman" w:eastAsia="方正仿宋_GBK" w:cs="Times New Roman"/>
          <w:color w:val="auto"/>
          <w:sz w:val="28"/>
          <w:szCs w:val="28"/>
        </w:rPr>
        <w:t>比选人：重庆市融资再担保有限责任公司</w:t>
      </w:r>
    </w:p>
    <w:p w14:paraId="51AAA006">
      <w:pPr>
        <w:spacing w:line="600" w:lineRule="exact"/>
        <w:jc w:val="center"/>
        <w:rPr>
          <w:rFonts w:hint="default" w:ascii="Times New Roman" w:hAnsi="Times New Roman" w:eastAsia="方正仿宋_GBK" w:cs="Times New Roman"/>
          <w:color w:val="auto"/>
          <w:sz w:val="28"/>
          <w:szCs w:val="18"/>
        </w:rPr>
        <w:sectPr>
          <w:footerReference r:id="rId4" w:type="first"/>
          <w:footerReference r:id="rId3" w:type="default"/>
          <w:pgSz w:w="11907" w:h="16840"/>
          <w:pgMar w:top="1440" w:right="1800" w:bottom="1440" w:left="1800" w:header="851" w:footer="992" w:gutter="0"/>
          <w:pgNumType w:fmt="numberInDash" w:start="1"/>
          <w:cols w:space="720" w:num="1"/>
          <w:titlePg/>
          <w:docGrid w:linePitch="380" w:charSpace="-5735"/>
        </w:sectPr>
      </w:pPr>
      <w:r>
        <w:rPr>
          <w:rFonts w:hint="default" w:ascii="Times New Roman" w:hAnsi="Times New Roman" w:eastAsia="方正仿宋_GBK" w:cs="Times New Roman"/>
          <w:color w:val="auto"/>
          <w:sz w:val="28"/>
          <w:szCs w:val="18"/>
        </w:rPr>
        <w:t>202</w:t>
      </w:r>
      <w:r>
        <w:rPr>
          <w:rFonts w:hint="default" w:ascii="Times New Roman" w:hAnsi="Times New Roman" w:eastAsia="方正仿宋_GBK" w:cs="Times New Roman"/>
          <w:color w:val="auto"/>
          <w:sz w:val="28"/>
          <w:szCs w:val="18"/>
          <w:lang w:val="en-US"/>
        </w:rPr>
        <w:t>5</w:t>
      </w:r>
      <w:r>
        <w:rPr>
          <w:rFonts w:hint="default" w:ascii="Times New Roman" w:hAnsi="Times New Roman" w:eastAsia="方正仿宋_GBK" w:cs="Times New Roman"/>
          <w:color w:val="auto"/>
          <w:sz w:val="28"/>
          <w:szCs w:val="18"/>
        </w:rPr>
        <w:t>年</w:t>
      </w:r>
      <w:r>
        <w:rPr>
          <w:rFonts w:hint="eastAsia" w:ascii="Times New Roman" w:hAnsi="Times New Roman" w:eastAsia="方正仿宋_GBK" w:cs="Times New Roman"/>
          <w:color w:val="auto"/>
          <w:sz w:val="28"/>
          <w:szCs w:val="18"/>
          <w:lang w:val="en-US" w:eastAsia="zh-CN"/>
        </w:rPr>
        <w:t>6</w:t>
      </w:r>
      <w:r>
        <w:rPr>
          <w:rFonts w:hint="default" w:ascii="Times New Roman" w:hAnsi="Times New Roman" w:eastAsia="方正仿宋_GBK" w:cs="Times New Roman"/>
          <w:color w:val="auto"/>
          <w:sz w:val="28"/>
          <w:szCs w:val="18"/>
        </w:rPr>
        <w:t>月</w:t>
      </w:r>
    </w:p>
    <w:p w14:paraId="61E18DF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b/>
          <w:bCs/>
          <w:sz w:val="36"/>
          <w:szCs w:val="36"/>
        </w:rPr>
      </w:pPr>
      <w:bookmarkStart w:id="0" w:name="_Toc27542"/>
      <w:bookmarkStart w:id="1" w:name="_Toc13303"/>
      <w:bookmarkStart w:id="2" w:name="_Toc16145"/>
      <w:bookmarkStart w:id="3" w:name="_Toc21736"/>
      <w:bookmarkStart w:id="4" w:name="_Toc27804"/>
      <w:bookmarkStart w:id="5" w:name="_Toc21702"/>
      <w:bookmarkStart w:id="6" w:name="_Toc313893526"/>
      <w:bookmarkStart w:id="7" w:name="_Toc487204771"/>
      <w:bookmarkStart w:id="8" w:name="_Toc317775175"/>
      <w:r>
        <w:rPr>
          <w:rFonts w:hint="eastAsia" w:ascii="仿宋" w:hAnsi="仿宋" w:eastAsia="仿宋" w:cs="仿宋"/>
          <w:b/>
          <w:bCs/>
          <w:sz w:val="36"/>
          <w:szCs w:val="36"/>
        </w:rPr>
        <w:t>第一篇   比选公告</w:t>
      </w:r>
      <w:bookmarkEnd w:id="0"/>
      <w:bookmarkEnd w:id="1"/>
      <w:bookmarkEnd w:id="2"/>
      <w:bookmarkEnd w:id="3"/>
      <w:bookmarkEnd w:id="4"/>
      <w:bookmarkEnd w:id="5"/>
    </w:p>
    <w:bookmarkEnd w:id="6"/>
    <w:bookmarkEnd w:id="7"/>
    <w:bookmarkEnd w:id="8"/>
    <w:p w14:paraId="2384277C">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方正仿宋_GBK" w:hAnsi="方正仿宋_GBK" w:eastAsia="方正仿宋_GBK" w:cs="方正仿宋_GBK"/>
          <w:sz w:val="28"/>
          <w:szCs w:val="28"/>
        </w:rPr>
      </w:pPr>
      <w:bookmarkStart w:id="9" w:name="_Toc9850"/>
      <w:bookmarkStart w:id="10" w:name="_Toc23451"/>
      <w:r>
        <w:rPr>
          <w:rFonts w:hint="eastAsia" w:ascii="方正仿宋_GBK" w:hAnsi="方正仿宋_GBK" w:eastAsia="方正仿宋_GBK" w:cs="方正仿宋_GBK"/>
          <w:sz w:val="28"/>
          <w:szCs w:val="28"/>
        </w:rPr>
        <w:t>重庆市融资再担保有限责任公司现对2025年</w:t>
      </w:r>
      <w:r>
        <w:rPr>
          <w:rFonts w:hint="eastAsia" w:ascii="方正仿宋_GBK" w:hAnsi="方正仿宋_GBK" w:eastAsia="方正仿宋_GBK" w:cs="方正仿宋_GBK"/>
          <w:sz w:val="28"/>
          <w:szCs w:val="28"/>
          <w:lang w:val="en-US" w:eastAsia="zh-CN"/>
        </w:rPr>
        <w:t>7月-</w:t>
      </w:r>
      <w:r>
        <w:rPr>
          <w:rFonts w:hint="eastAsia" w:ascii="方正仿宋_GBK" w:hAnsi="方正仿宋_GBK" w:eastAsia="方正仿宋_GBK" w:cs="方正仿宋_GBK"/>
          <w:sz w:val="28"/>
          <w:szCs w:val="28"/>
        </w:rPr>
        <w:t>2026年</w:t>
      </w:r>
      <w:r>
        <w:rPr>
          <w:rFonts w:hint="eastAsia" w:ascii="方正仿宋_GBK" w:hAnsi="方正仿宋_GBK" w:eastAsia="方正仿宋_GBK" w:cs="方正仿宋_GBK"/>
          <w:sz w:val="28"/>
          <w:szCs w:val="28"/>
          <w:lang w:val="en-US" w:eastAsia="zh-CN"/>
        </w:rPr>
        <w:t>7月</w:t>
      </w:r>
      <w:r>
        <w:rPr>
          <w:rFonts w:hint="eastAsia" w:ascii="方正仿宋_GBK" w:hAnsi="方正仿宋_GBK" w:eastAsia="方正仿宋_GBK" w:cs="方正仿宋_GBK"/>
          <w:sz w:val="28"/>
          <w:szCs w:val="28"/>
        </w:rPr>
        <w:t>微信公众号代运营及宣传服务采购项目的采购进行竞争性比选，欢迎有资格的参选人前来参加比选。</w:t>
      </w:r>
    </w:p>
    <w:p w14:paraId="17250FC5">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一、项目概况及比选内容</w:t>
      </w:r>
    </w:p>
    <w:tbl>
      <w:tblPr>
        <w:tblStyle w:val="9"/>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0"/>
        <w:gridCol w:w="1300"/>
        <w:gridCol w:w="1476"/>
        <w:gridCol w:w="1433"/>
        <w:gridCol w:w="2251"/>
      </w:tblGrid>
      <w:tr w14:paraId="7CA0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3170" w:type="dxa"/>
            <w:tcBorders>
              <w:top w:val="single" w:color="auto" w:sz="4" w:space="0"/>
              <w:left w:val="single" w:color="auto" w:sz="4" w:space="0"/>
              <w:bottom w:val="single" w:color="auto" w:sz="4" w:space="0"/>
              <w:right w:val="single" w:color="auto" w:sz="4" w:space="0"/>
            </w:tcBorders>
            <w:noWrap w:val="0"/>
            <w:vAlign w:val="center"/>
          </w:tcPr>
          <w:p w14:paraId="7AB25E84">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方正仿宋_GBK" w:hAnsi="方正仿宋_GBK" w:eastAsia="方正仿宋_GBK" w:cs="方正仿宋_GBK"/>
                <w:b/>
                <w:bCs/>
                <w:kern w:val="0"/>
                <w:sz w:val="24"/>
                <w:szCs w:val="24"/>
              </w:rPr>
            </w:pPr>
            <w:bookmarkStart w:id="11" w:name="_Toc5746"/>
            <w:bookmarkStart w:id="12" w:name="_Toc30642"/>
            <w:bookmarkStart w:id="13" w:name="_Toc487204772"/>
            <w:bookmarkStart w:id="14" w:name="_Toc373860293"/>
            <w:bookmarkStart w:id="15" w:name="_Toc317775178"/>
            <w:r>
              <w:rPr>
                <w:rFonts w:hint="eastAsia" w:ascii="方正仿宋_GBK" w:hAnsi="方正仿宋_GBK" w:eastAsia="方正仿宋_GBK" w:cs="方正仿宋_GBK"/>
                <w:b/>
                <w:bCs/>
                <w:kern w:val="0"/>
                <w:sz w:val="24"/>
                <w:szCs w:val="24"/>
              </w:rPr>
              <w:t>项目名称</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6E53C37">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最高限价</w:t>
            </w:r>
          </w:p>
          <w:p w14:paraId="3B0DC260">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（万元）</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696455AF">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比选保证金</w:t>
            </w:r>
          </w:p>
          <w:p w14:paraId="135C633D">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（万元）</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76495F47">
            <w:pPr>
              <w:keepNext w:val="0"/>
              <w:keepLines w:val="0"/>
              <w:pageBreakBefore w:val="0"/>
              <w:kinsoku/>
              <w:wordWrap/>
              <w:overflowPunct/>
              <w:topLinePunct w:val="0"/>
              <w:autoSpaceDE/>
              <w:autoSpaceDN/>
              <w:bidi w:val="0"/>
              <w:adjustRightInd/>
              <w:spacing w:line="320" w:lineRule="exact"/>
              <w:jc w:val="center"/>
              <w:textAlignment w:val="auto"/>
              <w:rPr>
                <w:rFonts w:hint="eastAsia"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中选人数量（名）</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5B5504A3">
            <w:pPr>
              <w:keepNext w:val="0"/>
              <w:keepLines w:val="0"/>
              <w:pageBreakBefore w:val="0"/>
              <w:kinsoku/>
              <w:wordWrap/>
              <w:overflowPunct/>
              <w:topLinePunct w:val="0"/>
              <w:autoSpaceDE/>
              <w:autoSpaceDN/>
              <w:bidi w:val="0"/>
              <w:adjustRightInd/>
              <w:spacing w:line="320" w:lineRule="exact"/>
              <w:jc w:val="center"/>
              <w:textAlignment w:val="auto"/>
              <w:rPr>
                <w:rFonts w:hint="eastAsia"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备注</w:t>
            </w:r>
          </w:p>
        </w:tc>
      </w:tr>
      <w:tr w14:paraId="53B4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3170" w:type="dxa"/>
            <w:tcBorders>
              <w:top w:val="single" w:color="auto" w:sz="4" w:space="0"/>
              <w:left w:val="single" w:color="auto" w:sz="4" w:space="0"/>
              <w:bottom w:val="single" w:color="auto" w:sz="4" w:space="0"/>
              <w:right w:val="single" w:color="auto" w:sz="4" w:space="0"/>
            </w:tcBorders>
            <w:noWrap w:val="0"/>
            <w:vAlign w:val="center"/>
          </w:tcPr>
          <w:p w14:paraId="229CE4B5">
            <w:pPr>
              <w:keepNext w:val="0"/>
              <w:keepLines w:val="0"/>
              <w:pageBreakBefore w:val="0"/>
              <w:kinsoku/>
              <w:wordWrap/>
              <w:overflowPunct/>
              <w:topLinePunct w:val="0"/>
              <w:autoSpaceDE/>
              <w:autoSpaceDN/>
              <w:bidi w:val="0"/>
              <w:adjustRightInd/>
              <w:snapToGrid w:val="0"/>
              <w:spacing w:line="320" w:lineRule="exact"/>
              <w:jc w:val="left"/>
              <w:textAlignment w:val="auto"/>
              <w:rPr>
                <w:rFonts w:hint="eastAsia" w:ascii="方正仿宋_GBK" w:hAnsi="方正仿宋_GBK" w:eastAsia="方正仿宋_GBK" w:cs="方正仿宋_GBK"/>
                <w:color w:val="auto"/>
                <w:sz w:val="24"/>
                <w:szCs w:val="24"/>
              </w:rPr>
            </w:pPr>
            <w:bookmarkStart w:id="16" w:name="_Hlk344477914"/>
            <w:r>
              <w:rPr>
                <w:rFonts w:hint="eastAsia" w:ascii="方正仿宋_GBK" w:hAnsi="方正仿宋_GBK" w:eastAsia="方正仿宋_GBK" w:cs="方正仿宋_GBK"/>
                <w:color w:val="auto"/>
                <w:sz w:val="24"/>
                <w:szCs w:val="24"/>
              </w:rPr>
              <w:t>2025年</w:t>
            </w:r>
            <w:r>
              <w:rPr>
                <w:rFonts w:hint="eastAsia" w:ascii="方正仿宋_GBK" w:hAnsi="方正仿宋_GBK" w:eastAsia="方正仿宋_GBK" w:cs="方正仿宋_GBK"/>
                <w:color w:val="auto"/>
                <w:sz w:val="24"/>
                <w:szCs w:val="24"/>
                <w:lang w:val="en-US" w:eastAsia="zh-CN"/>
              </w:rPr>
              <w:t>7月-</w:t>
            </w:r>
            <w:r>
              <w:rPr>
                <w:rFonts w:hint="eastAsia" w:ascii="方正仿宋_GBK" w:hAnsi="方正仿宋_GBK" w:eastAsia="方正仿宋_GBK" w:cs="方正仿宋_GBK"/>
                <w:color w:val="auto"/>
                <w:sz w:val="24"/>
                <w:szCs w:val="24"/>
              </w:rPr>
              <w:t>2026年</w:t>
            </w:r>
            <w:r>
              <w:rPr>
                <w:rFonts w:hint="eastAsia" w:ascii="方正仿宋_GBK" w:hAnsi="方正仿宋_GBK" w:eastAsia="方正仿宋_GBK" w:cs="方正仿宋_GBK"/>
                <w:color w:val="auto"/>
                <w:sz w:val="24"/>
                <w:szCs w:val="24"/>
                <w:lang w:val="en-US" w:eastAsia="zh-CN"/>
              </w:rPr>
              <w:t>7月“重庆再担保”</w:t>
            </w:r>
            <w:r>
              <w:rPr>
                <w:rFonts w:hint="eastAsia" w:ascii="方正仿宋_GBK" w:hAnsi="方正仿宋_GBK" w:eastAsia="方正仿宋_GBK" w:cs="方正仿宋_GBK"/>
                <w:color w:val="auto"/>
                <w:sz w:val="24"/>
                <w:szCs w:val="24"/>
              </w:rPr>
              <w:t>微信公众号代运营及宣传服务采购项目</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64EE1C3">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25</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6995570B">
            <w:pPr>
              <w:keepNext w:val="0"/>
              <w:keepLines w:val="0"/>
              <w:pageBreakBefore w:val="0"/>
              <w:kinsoku/>
              <w:wordWrap/>
              <w:overflowPunct/>
              <w:topLinePunct w:val="0"/>
              <w:autoSpaceDE/>
              <w:autoSpaceDN/>
              <w:bidi w:val="0"/>
              <w:adjustRightInd/>
              <w:snapToGrid w:val="0"/>
              <w:spacing w:line="320" w:lineRule="exact"/>
              <w:ind w:left="75"/>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641AD81B">
            <w:pPr>
              <w:keepNext w:val="0"/>
              <w:keepLines w:val="0"/>
              <w:pageBreakBefore w:val="0"/>
              <w:kinsoku/>
              <w:wordWrap/>
              <w:overflowPunct/>
              <w:topLinePunct w:val="0"/>
              <w:autoSpaceDE/>
              <w:autoSpaceDN/>
              <w:bidi w:val="0"/>
              <w:adjustRightInd/>
              <w:snapToGrid w:val="0"/>
              <w:spacing w:line="320" w:lineRule="exact"/>
              <w:ind w:left="75"/>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67026DEA">
            <w:pPr>
              <w:keepNext w:val="0"/>
              <w:keepLines w:val="0"/>
              <w:pageBreakBefore w:val="0"/>
              <w:kinsoku/>
              <w:wordWrap/>
              <w:overflowPunct/>
              <w:topLinePunct w:val="0"/>
              <w:autoSpaceDE/>
              <w:autoSpaceDN/>
              <w:bidi w:val="0"/>
              <w:adjustRightInd/>
              <w:spacing w:line="32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t>本项目不接受联合体参加比选</w:t>
            </w:r>
          </w:p>
        </w:tc>
      </w:tr>
      <w:bookmarkEnd w:id="11"/>
      <w:bookmarkEnd w:id="12"/>
      <w:bookmarkEnd w:id="13"/>
      <w:bookmarkEnd w:id="16"/>
    </w:tbl>
    <w:p w14:paraId="1E4E11A6">
      <w:pPr>
        <w:keepNext w:val="0"/>
        <w:keepLines w:val="0"/>
        <w:pageBreakBefore w:val="0"/>
        <w:widowControl w:val="0"/>
        <w:kinsoku/>
        <w:wordWrap/>
        <w:overflowPunct/>
        <w:topLinePunct w:val="0"/>
        <w:autoSpaceDE/>
        <w:autoSpaceDN/>
        <w:bidi w:val="0"/>
        <w:adjustRightInd/>
        <w:spacing w:before="120" w:beforeLines="50" w:line="460" w:lineRule="exact"/>
        <w:ind w:firstLine="562" w:firstLineChars="200"/>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二、资金来源</w:t>
      </w:r>
    </w:p>
    <w:p w14:paraId="52CF58BB">
      <w:pPr>
        <w:keepNext w:val="0"/>
        <w:keepLines w:val="0"/>
        <w:pageBreakBefore w:val="0"/>
        <w:widowControl w:val="0"/>
        <w:kinsoku/>
        <w:wordWrap/>
        <w:overflowPunct/>
        <w:topLinePunct w:val="0"/>
        <w:autoSpaceDE/>
        <w:autoSpaceDN/>
        <w:bidi w:val="0"/>
        <w:adjustRightInd/>
        <w:spacing w:line="460" w:lineRule="exact"/>
        <w:ind w:firstLine="560" w:firstLineChars="200"/>
        <w:jc w:val="both"/>
        <w:textAlignment w:val="auto"/>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企业自筹。采购</w:t>
      </w:r>
      <w:r>
        <w:rPr>
          <w:rFonts w:hint="eastAsia" w:ascii="方正仿宋_GBK" w:hAnsi="方正仿宋_GBK" w:eastAsia="方正仿宋_GBK" w:cs="方正仿宋_GBK"/>
          <w:color w:val="auto"/>
          <w:kern w:val="0"/>
          <w:sz w:val="28"/>
          <w:szCs w:val="28"/>
          <w:lang w:val="en-US" w:eastAsia="zh-CN" w:bidi="ar-SA"/>
        </w:rPr>
        <w:t>预算25万元。</w:t>
      </w:r>
    </w:p>
    <w:p w14:paraId="3B0854F1">
      <w:pPr>
        <w:keepNext w:val="0"/>
        <w:keepLines w:val="0"/>
        <w:pageBreakBefore w:val="0"/>
        <w:widowControl w:val="0"/>
        <w:kinsoku/>
        <w:wordWrap/>
        <w:overflowPunct/>
        <w:topLinePunct w:val="0"/>
        <w:autoSpaceDE/>
        <w:autoSpaceDN/>
        <w:bidi w:val="0"/>
        <w:adjustRightInd/>
        <w:spacing w:line="460" w:lineRule="exact"/>
        <w:ind w:firstLine="562" w:firstLineChars="200"/>
        <w:jc w:val="both"/>
        <w:textAlignment w:val="auto"/>
        <w:outlineLvl w:val="1"/>
        <w:rPr>
          <w:rFonts w:hint="eastAsia" w:ascii="方正仿宋_GBK" w:hAnsi="方正仿宋_GBK" w:eastAsia="方正仿宋_GBK" w:cs="方正仿宋_GBK"/>
          <w:b/>
          <w:kern w:val="2"/>
          <w:sz w:val="28"/>
          <w:szCs w:val="28"/>
          <w:lang w:val="en-US" w:eastAsia="zh-CN" w:bidi="ar-SA"/>
        </w:rPr>
      </w:pPr>
      <w:r>
        <w:rPr>
          <w:rFonts w:hint="eastAsia" w:ascii="方正仿宋_GBK" w:hAnsi="方正仿宋_GBK" w:eastAsia="方正仿宋_GBK" w:cs="方正仿宋_GBK"/>
          <w:b/>
          <w:kern w:val="2"/>
          <w:sz w:val="28"/>
          <w:szCs w:val="28"/>
          <w:lang w:val="en-US" w:eastAsia="zh-CN" w:bidi="ar-SA"/>
        </w:rPr>
        <w:t>三、资格要求</w:t>
      </w:r>
    </w:p>
    <w:p w14:paraId="4C36F593">
      <w:pPr>
        <w:keepNext w:val="0"/>
        <w:keepLines w:val="0"/>
        <w:pageBreakBefore w:val="0"/>
        <w:widowControl w:val="0"/>
        <w:kinsoku/>
        <w:wordWrap/>
        <w:overflowPunct/>
        <w:topLinePunct w:val="0"/>
        <w:autoSpaceDE/>
        <w:autoSpaceDN/>
        <w:bidi w:val="0"/>
        <w:adjustRightInd/>
        <w:spacing w:line="460" w:lineRule="exact"/>
        <w:ind w:firstLine="560" w:firstLineChars="200"/>
        <w:jc w:val="both"/>
        <w:textAlignment w:val="auto"/>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合格的参选人应符合下列条件：</w:t>
      </w:r>
    </w:p>
    <w:p w14:paraId="5B0F6082">
      <w:pPr>
        <w:keepNext w:val="0"/>
        <w:keepLines w:val="0"/>
        <w:pageBreakBefore w:val="0"/>
        <w:widowControl w:val="0"/>
        <w:kinsoku/>
        <w:wordWrap/>
        <w:overflowPunct/>
        <w:topLinePunct w:val="0"/>
        <w:autoSpaceDE/>
        <w:autoSpaceDN/>
        <w:bidi w:val="0"/>
        <w:adjustRightInd/>
        <w:spacing w:line="460" w:lineRule="exact"/>
        <w:ind w:firstLine="562" w:firstLineChars="200"/>
        <w:jc w:val="both"/>
        <w:textAlignment w:val="auto"/>
        <w:rPr>
          <w:rFonts w:hint="eastAsia" w:ascii="方正仿宋_GBK" w:hAnsi="方正仿宋_GBK" w:eastAsia="方正仿宋_GBK" w:cs="方正仿宋_GBK"/>
          <w:b/>
          <w:bCs/>
          <w:kern w:val="0"/>
          <w:sz w:val="28"/>
          <w:szCs w:val="28"/>
          <w:lang w:val="en-US" w:eastAsia="zh-CN" w:bidi="ar-SA"/>
        </w:rPr>
      </w:pPr>
      <w:r>
        <w:rPr>
          <w:rFonts w:hint="eastAsia" w:ascii="方正仿宋_GBK" w:hAnsi="方正仿宋_GBK" w:eastAsia="方正仿宋_GBK" w:cs="方正仿宋_GBK"/>
          <w:b/>
          <w:bCs/>
          <w:kern w:val="0"/>
          <w:sz w:val="28"/>
          <w:szCs w:val="28"/>
          <w:lang w:val="en-US" w:eastAsia="zh-CN" w:bidi="ar-SA"/>
        </w:rPr>
        <w:t>（一）基本资格条件</w:t>
      </w:r>
    </w:p>
    <w:bookmarkEnd w:id="14"/>
    <w:bookmarkEnd w:id="15"/>
    <w:p w14:paraId="54789430">
      <w:pPr>
        <w:keepNext w:val="0"/>
        <w:keepLines w:val="0"/>
        <w:pageBreakBefore w:val="0"/>
        <w:widowControl w:val="0"/>
        <w:kinsoku/>
        <w:wordWrap/>
        <w:overflowPunct/>
        <w:topLinePunct w:val="0"/>
        <w:autoSpaceDE/>
        <w:autoSpaceDN/>
        <w:bidi w:val="0"/>
        <w:adjustRightInd/>
        <w:spacing w:line="460" w:lineRule="exact"/>
        <w:ind w:firstLine="560" w:firstLineChars="200"/>
        <w:jc w:val="both"/>
        <w:textAlignment w:val="auto"/>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1.具有独立承担民事责任的能力，具备有效的营业执照;</w:t>
      </w:r>
    </w:p>
    <w:p w14:paraId="6AA6285E">
      <w:pPr>
        <w:keepNext w:val="0"/>
        <w:keepLines w:val="0"/>
        <w:pageBreakBefore w:val="0"/>
        <w:widowControl w:val="0"/>
        <w:kinsoku/>
        <w:wordWrap/>
        <w:overflowPunct/>
        <w:topLinePunct w:val="0"/>
        <w:autoSpaceDE/>
        <w:autoSpaceDN/>
        <w:bidi w:val="0"/>
        <w:adjustRightInd/>
        <w:spacing w:line="460" w:lineRule="exact"/>
        <w:ind w:firstLine="560" w:firstLineChars="200"/>
        <w:jc w:val="both"/>
        <w:textAlignment w:val="auto"/>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2.具有良好的商业信誉和健全的财务会计制度；</w:t>
      </w:r>
    </w:p>
    <w:p w14:paraId="47385D36">
      <w:pPr>
        <w:keepNext w:val="0"/>
        <w:keepLines w:val="0"/>
        <w:pageBreakBefore w:val="0"/>
        <w:widowControl w:val="0"/>
        <w:kinsoku/>
        <w:wordWrap/>
        <w:overflowPunct/>
        <w:topLinePunct w:val="0"/>
        <w:autoSpaceDE/>
        <w:autoSpaceDN/>
        <w:bidi w:val="0"/>
        <w:adjustRightInd/>
        <w:spacing w:line="460" w:lineRule="exact"/>
        <w:ind w:firstLine="560" w:firstLineChars="200"/>
        <w:jc w:val="both"/>
        <w:textAlignment w:val="auto"/>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3.有依法缴纳税收和社会保障资金的良好记录；</w:t>
      </w:r>
    </w:p>
    <w:p w14:paraId="68B0B1DE">
      <w:pPr>
        <w:keepNext w:val="0"/>
        <w:keepLines w:val="0"/>
        <w:pageBreakBefore w:val="0"/>
        <w:widowControl w:val="0"/>
        <w:kinsoku/>
        <w:wordWrap/>
        <w:overflowPunct/>
        <w:topLinePunct w:val="0"/>
        <w:autoSpaceDE/>
        <w:autoSpaceDN/>
        <w:bidi w:val="0"/>
        <w:adjustRightInd/>
        <w:spacing w:line="460" w:lineRule="exact"/>
        <w:ind w:firstLine="560" w:firstLineChars="200"/>
        <w:jc w:val="both"/>
        <w:textAlignment w:val="auto"/>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4.参加本次比选活动前三年内，在经营活动中没有重大违法记录;</w:t>
      </w:r>
    </w:p>
    <w:p w14:paraId="4719317F">
      <w:pPr>
        <w:keepNext w:val="0"/>
        <w:keepLines w:val="0"/>
        <w:pageBreakBefore w:val="0"/>
        <w:widowControl w:val="0"/>
        <w:kinsoku/>
        <w:wordWrap/>
        <w:overflowPunct/>
        <w:topLinePunct w:val="0"/>
        <w:autoSpaceDE/>
        <w:autoSpaceDN/>
        <w:bidi w:val="0"/>
        <w:adjustRightInd/>
        <w:spacing w:line="460" w:lineRule="exact"/>
        <w:ind w:firstLine="560" w:firstLineChars="200"/>
        <w:jc w:val="both"/>
        <w:textAlignment w:val="auto"/>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5.投标人至投标截止之日前3年内，未在“中国执行信息公网”(http://zxgk.court.gov.cn/shixin)被列入失信被执行人、信用中国网站（https://www.creditchina.gov.cn）列入重大税收违法案件当事人名单。</w:t>
      </w:r>
    </w:p>
    <w:p w14:paraId="36438C14">
      <w:pPr>
        <w:keepNext w:val="0"/>
        <w:keepLines w:val="0"/>
        <w:pageBreakBefore w:val="0"/>
        <w:widowControl w:val="0"/>
        <w:kinsoku/>
        <w:wordWrap/>
        <w:overflowPunct/>
        <w:topLinePunct w:val="0"/>
        <w:autoSpaceDE/>
        <w:autoSpaceDN/>
        <w:bidi w:val="0"/>
        <w:adjustRightInd/>
        <w:spacing w:line="460" w:lineRule="exact"/>
        <w:ind w:firstLine="562" w:firstLineChars="200"/>
        <w:jc w:val="both"/>
        <w:textAlignment w:val="auto"/>
        <w:rPr>
          <w:rFonts w:hint="eastAsia" w:ascii="方正仿宋_GBK" w:hAnsi="方正仿宋_GBK" w:eastAsia="方正仿宋_GBK" w:cs="方正仿宋_GBK"/>
          <w:b/>
          <w:kern w:val="0"/>
          <w:sz w:val="28"/>
          <w:szCs w:val="28"/>
          <w:lang w:val="en-US" w:eastAsia="zh-CN" w:bidi="ar-SA"/>
        </w:rPr>
      </w:pPr>
      <w:r>
        <w:rPr>
          <w:rFonts w:hint="eastAsia" w:ascii="方正仿宋_GBK" w:hAnsi="方正仿宋_GBK" w:eastAsia="方正仿宋_GBK" w:cs="方正仿宋_GBK"/>
          <w:b/>
          <w:kern w:val="0"/>
          <w:sz w:val="28"/>
          <w:szCs w:val="28"/>
          <w:lang w:val="en-US" w:eastAsia="zh-CN" w:bidi="ar-SA"/>
        </w:rPr>
        <w:t>四、比选有关说明</w:t>
      </w:r>
    </w:p>
    <w:p w14:paraId="43A1FFA0">
      <w:pPr>
        <w:keepNext w:val="0"/>
        <w:keepLines w:val="0"/>
        <w:pageBreakBefore w:val="0"/>
        <w:widowControl w:val="0"/>
        <w:kinsoku/>
        <w:wordWrap/>
        <w:overflowPunct/>
        <w:topLinePunct w:val="0"/>
        <w:autoSpaceDE/>
        <w:autoSpaceDN/>
        <w:bidi w:val="0"/>
        <w:adjustRightInd/>
        <w:spacing w:line="460" w:lineRule="exact"/>
        <w:ind w:firstLine="560" w:firstLineChars="200"/>
        <w:jc w:val="both"/>
        <w:textAlignment w:val="auto"/>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（一）凡有意参加比选的参选人，请于公告发布之日（2025年6月30日）起至提交参选文件截止时间之前，在重庆市行采家自</w:t>
      </w:r>
      <w:r>
        <w:rPr>
          <w:rFonts w:hint="eastAsia" w:ascii="方正仿宋_GBK" w:hAnsi="方正仿宋_GBK" w:eastAsia="方正仿宋_GBK" w:cs="方正仿宋_GBK"/>
          <w:b w:val="0"/>
          <w:bCs w:val="0"/>
          <w:kern w:val="0"/>
          <w:sz w:val="28"/>
          <w:szCs w:val="28"/>
          <w:lang w:val="en-US" w:eastAsia="zh-CN" w:bidi="ar-SA"/>
        </w:rPr>
        <w:t>主采购服务平台（www.gec123.com）</w:t>
      </w:r>
      <w:r>
        <w:rPr>
          <w:rFonts w:hint="eastAsia" w:ascii="方正仿宋_GBK" w:hAnsi="方正仿宋_GBK" w:eastAsia="方正仿宋_GBK" w:cs="方正仿宋_GBK"/>
          <w:kern w:val="0"/>
          <w:sz w:val="28"/>
          <w:szCs w:val="28"/>
          <w:lang w:val="en-US" w:eastAsia="zh-CN" w:bidi="ar-SA"/>
        </w:rPr>
        <w:t>上查看本项目比选公告、比选文件及相关资料，无论参选人查看与否，均视为已知晓所有比选实质性要求内容。</w:t>
      </w:r>
    </w:p>
    <w:p w14:paraId="241B0EE0">
      <w:pPr>
        <w:keepNext w:val="0"/>
        <w:keepLines w:val="0"/>
        <w:pageBreakBefore w:val="0"/>
        <w:widowControl w:val="0"/>
        <w:kinsoku/>
        <w:wordWrap/>
        <w:overflowPunct/>
        <w:topLinePunct w:val="0"/>
        <w:autoSpaceDE/>
        <w:autoSpaceDN/>
        <w:bidi w:val="0"/>
        <w:adjustRightInd/>
        <w:spacing w:line="460" w:lineRule="exact"/>
        <w:ind w:firstLine="560" w:firstLineChars="200"/>
        <w:jc w:val="both"/>
        <w:textAlignment w:val="auto"/>
        <w:outlineLvl w:val="1"/>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（二）比选公告期限：自比选公告发布之日起三个工作日。</w:t>
      </w:r>
    </w:p>
    <w:p w14:paraId="3A98FC6E">
      <w:pPr>
        <w:keepNext w:val="0"/>
        <w:keepLines w:val="0"/>
        <w:pageBreakBefore w:val="0"/>
        <w:widowControl w:val="0"/>
        <w:kinsoku/>
        <w:wordWrap/>
        <w:overflowPunct/>
        <w:topLinePunct w:val="0"/>
        <w:autoSpaceDE/>
        <w:autoSpaceDN/>
        <w:bidi w:val="0"/>
        <w:adjustRightInd/>
        <w:spacing w:line="460" w:lineRule="exact"/>
        <w:ind w:firstLine="560" w:firstLineChars="200"/>
        <w:jc w:val="both"/>
        <w:textAlignment w:val="auto"/>
        <w:outlineLvl w:val="1"/>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（三）参选文件递交方式：重庆市行采家自主采购服务平台（www.gec123.com）线上提交。</w:t>
      </w:r>
    </w:p>
    <w:p w14:paraId="789E35A5">
      <w:pPr>
        <w:keepNext w:val="0"/>
        <w:keepLines w:val="0"/>
        <w:pageBreakBefore w:val="0"/>
        <w:widowControl w:val="0"/>
        <w:kinsoku/>
        <w:wordWrap/>
        <w:overflowPunct/>
        <w:topLinePunct w:val="0"/>
        <w:autoSpaceDE/>
        <w:autoSpaceDN/>
        <w:bidi w:val="0"/>
        <w:adjustRightInd/>
        <w:spacing w:line="460" w:lineRule="exact"/>
        <w:ind w:firstLine="560" w:firstLineChars="200"/>
        <w:jc w:val="both"/>
        <w:textAlignment w:val="auto"/>
        <w:outlineLvl w:val="1"/>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（四）提交参选文件开始时间：2025年6月30日</w:t>
      </w:r>
    </w:p>
    <w:p w14:paraId="1E0102A7">
      <w:pPr>
        <w:keepNext w:val="0"/>
        <w:keepLines w:val="0"/>
        <w:pageBreakBefore w:val="0"/>
        <w:widowControl w:val="0"/>
        <w:kinsoku/>
        <w:wordWrap/>
        <w:overflowPunct/>
        <w:topLinePunct w:val="0"/>
        <w:autoSpaceDE/>
        <w:autoSpaceDN/>
        <w:bidi w:val="0"/>
        <w:adjustRightInd/>
        <w:spacing w:line="460" w:lineRule="exact"/>
        <w:ind w:firstLine="560" w:firstLineChars="200"/>
        <w:jc w:val="both"/>
        <w:textAlignment w:val="auto"/>
        <w:outlineLvl w:val="1"/>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（五）提交参选文件截止时间：2025年7月2日</w:t>
      </w:r>
    </w:p>
    <w:p w14:paraId="477FFC5F">
      <w:pPr>
        <w:keepNext w:val="0"/>
        <w:keepLines w:val="0"/>
        <w:pageBreakBefore w:val="0"/>
        <w:widowControl w:val="0"/>
        <w:kinsoku/>
        <w:wordWrap/>
        <w:overflowPunct/>
        <w:topLinePunct w:val="0"/>
        <w:autoSpaceDE/>
        <w:autoSpaceDN/>
        <w:bidi w:val="0"/>
        <w:adjustRightInd/>
        <w:spacing w:line="460" w:lineRule="exact"/>
        <w:ind w:firstLine="560" w:firstLineChars="200"/>
        <w:jc w:val="both"/>
        <w:textAlignment w:val="auto"/>
        <w:outlineLvl w:val="1"/>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（六）比选开始时间：2025年7月4日</w:t>
      </w:r>
    </w:p>
    <w:p w14:paraId="48E82AEE">
      <w:pPr>
        <w:keepNext w:val="0"/>
        <w:keepLines w:val="0"/>
        <w:pageBreakBefore w:val="0"/>
        <w:widowControl w:val="0"/>
        <w:kinsoku/>
        <w:wordWrap/>
        <w:overflowPunct/>
        <w:topLinePunct w:val="0"/>
        <w:autoSpaceDE/>
        <w:autoSpaceDN/>
        <w:bidi w:val="0"/>
        <w:adjustRightInd/>
        <w:spacing w:line="460" w:lineRule="exact"/>
        <w:ind w:firstLine="562" w:firstLineChars="200"/>
        <w:jc w:val="both"/>
        <w:textAlignment w:val="auto"/>
        <w:outlineLvl w:val="1"/>
        <w:rPr>
          <w:rFonts w:hint="eastAsia" w:ascii="方正仿宋_GBK" w:hAnsi="方正仿宋_GBK" w:eastAsia="方正仿宋_GBK" w:cs="方正仿宋_GBK"/>
          <w:b/>
          <w:kern w:val="0"/>
          <w:sz w:val="28"/>
          <w:szCs w:val="28"/>
          <w:lang w:val="en-US" w:eastAsia="zh-CN" w:bidi="ar-SA"/>
        </w:rPr>
      </w:pPr>
      <w:r>
        <w:rPr>
          <w:rFonts w:hint="eastAsia" w:ascii="方正仿宋_GBK" w:hAnsi="方正仿宋_GBK" w:eastAsia="方正仿宋_GBK" w:cs="方正仿宋_GBK"/>
          <w:b/>
          <w:kern w:val="0"/>
          <w:sz w:val="28"/>
          <w:szCs w:val="28"/>
          <w:lang w:val="en-US" w:eastAsia="zh-CN" w:bidi="ar-SA"/>
        </w:rPr>
        <w:t>五、履约保证金</w:t>
      </w:r>
    </w:p>
    <w:p w14:paraId="54C4F2E3">
      <w:pPr>
        <w:keepNext w:val="0"/>
        <w:keepLines w:val="0"/>
        <w:pageBreakBefore w:val="0"/>
        <w:widowControl w:val="0"/>
        <w:kinsoku/>
        <w:wordWrap/>
        <w:overflowPunct/>
        <w:topLinePunct w:val="0"/>
        <w:autoSpaceDE/>
        <w:autoSpaceDN/>
        <w:bidi w:val="0"/>
        <w:adjustRightInd/>
        <w:spacing w:line="460" w:lineRule="exact"/>
        <w:ind w:firstLine="560" w:firstLineChars="200"/>
        <w:jc w:val="both"/>
        <w:textAlignment w:val="auto"/>
        <w:outlineLvl w:val="1"/>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中选人是否交纳履约保证金：否。</w:t>
      </w:r>
    </w:p>
    <w:p w14:paraId="1A0F2720">
      <w:pPr>
        <w:keepNext w:val="0"/>
        <w:keepLines w:val="0"/>
        <w:pageBreakBefore w:val="0"/>
        <w:widowControl w:val="0"/>
        <w:kinsoku/>
        <w:wordWrap/>
        <w:overflowPunct/>
        <w:topLinePunct w:val="0"/>
        <w:autoSpaceDE/>
        <w:autoSpaceDN/>
        <w:bidi w:val="0"/>
        <w:adjustRightInd/>
        <w:spacing w:line="460" w:lineRule="exact"/>
        <w:ind w:firstLine="562" w:firstLineChars="200"/>
        <w:jc w:val="both"/>
        <w:textAlignment w:val="auto"/>
        <w:outlineLvl w:val="1"/>
        <w:rPr>
          <w:rFonts w:hint="eastAsia" w:ascii="方正仿宋_GBK" w:hAnsi="方正仿宋_GBK" w:eastAsia="方正仿宋_GBK" w:cs="方正仿宋_GBK"/>
          <w:b/>
          <w:kern w:val="0"/>
          <w:sz w:val="28"/>
          <w:szCs w:val="28"/>
          <w:lang w:val="en-US" w:eastAsia="zh-CN" w:bidi="ar-SA"/>
        </w:rPr>
      </w:pPr>
      <w:r>
        <w:rPr>
          <w:rFonts w:hint="eastAsia" w:ascii="方正仿宋_GBK" w:hAnsi="方正仿宋_GBK" w:eastAsia="方正仿宋_GBK" w:cs="方正仿宋_GBK"/>
          <w:b/>
          <w:kern w:val="0"/>
          <w:sz w:val="28"/>
          <w:szCs w:val="28"/>
          <w:lang w:val="en-US" w:eastAsia="zh-CN" w:bidi="ar-SA"/>
        </w:rPr>
        <w:t>六、其它有关规定</w:t>
      </w:r>
      <w:bookmarkStart w:id="502" w:name="_GoBack"/>
      <w:bookmarkEnd w:id="502"/>
    </w:p>
    <w:p w14:paraId="31E41CA1">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（一）本项目的补遗文件（如果有）一律</w:t>
      </w:r>
      <w:r>
        <w:rPr>
          <w:rFonts w:hint="eastAsia" w:ascii="方正仿宋_GBK" w:hAnsi="方正仿宋_GBK" w:eastAsia="方正仿宋_GBK" w:cs="方正仿宋_GBK"/>
          <w:kern w:val="0"/>
          <w:sz w:val="28"/>
          <w:szCs w:val="28"/>
        </w:rPr>
        <w:t>在</w:t>
      </w:r>
      <w:r>
        <w:rPr>
          <w:rFonts w:hint="eastAsia" w:ascii="方正仿宋_GBK" w:hAnsi="方正仿宋_GBK" w:eastAsia="方正仿宋_GBK" w:cs="方正仿宋_GBK"/>
          <w:b w:val="0"/>
          <w:bCs w:val="0"/>
          <w:sz w:val="28"/>
          <w:szCs w:val="28"/>
        </w:rPr>
        <w:t>重庆市行采家自主采购服务平</w:t>
      </w:r>
      <w:r>
        <w:rPr>
          <w:rFonts w:hint="eastAsia" w:ascii="方正仿宋_GBK" w:hAnsi="方正仿宋_GBK" w:eastAsia="方正仿宋_GBK" w:cs="方正仿宋_GBK"/>
          <w:b w:val="0"/>
          <w:bCs w:val="0"/>
          <w:sz w:val="28"/>
          <w:szCs w:val="28"/>
          <w:lang w:val="en-US" w:eastAsia="zh-CN"/>
        </w:rPr>
        <w:t>台</w:t>
      </w:r>
      <w:r>
        <w:rPr>
          <w:rFonts w:hint="eastAsia" w:ascii="方正仿宋_GBK" w:hAnsi="方正仿宋_GBK" w:eastAsia="方正仿宋_GBK" w:cs="方正仿宋_GBK"/>
          <w:b w:val="0"/>
          <w:bCs w:val="0"/>
          <w:sz w:val="28"/>
          <w:szCs w:val="28"/>
        </w:rPr>
        <w:t>（www.gec123.com）</w:t>
      </w:r>
      <w:r>
        <w:rPr>
          <w:rFonts w:hint="eastAsia" w:ascii="方正仿宋_GBK" w:hAnsi="方正仿宋_GBK" w:eastAsia="方正仿宋_GBK" w:cs="方正仿宋_GBK"/>
          <w:sz w:val="28"/>
          <w:szCs w:val="28"/>
        </w:rPr>
        <w:t>上发布，请各参选人注意下载；无论参选人下载与否，均视同参选人已知晓本项目补遗文件（如果有）的内容。</w:t>
      </w:r>
    </w:p>
    <w:p w14:paraId="1EE4C945">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（二）单位负责人为同一人或者存在直接控股、管理关系的不同参选人，不得参加同一合同项（分包）下的比选活动。</w:t>
      </w:r>
    </w:p>
    <w:p w14:paraId="7A7B6C61">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（三）超过参选文件截止时间递交的参选文件，恕不接收。</w:t>
      </w:r>
    </w:p>
    <w:p w14:paraId="1B1B5E41">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（四）比选费用：无论比选结果如何，参选人参与本项目比选的所有费用均应由参选人自行承担。</w:t>
      </w:r>
    </w:p>
    <w:p w14:paraId="57F837A4">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（五）参选人自行现场踏勘，自行承担所有费用。</w:t>
      </w:r>
    </w:p>
    <w:p w14:paraId="3BEA39B4">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（六）本项目不接受联合体参与比选。</w:t>
      </w:r>
    </w:p>
    <w:p w14:paraId="162D97B3">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本项目按中选价总价包干，参选人的报价应包括完成本项目的的所有费用。因参选人自身原因造成漏报、少报皆由其自行承担责任，比选人不再补偿。参选人只能提供一个有效报价，不得提交选择性报价，否则其参选文件将被拒绝。</w:t>
      </w:r>
    </w:p>
    <w:p w14:paraId="4D2C5796">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七、联系方式</w:t>
      </w:r>
    </w:p>
    <w:p w14:paraId="5676CE72">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比选人：重庆市融资再担保有限责任公司</w:t>
      </w:r>
    </w:p>
    <w:p w14:paraId="0319FFE1">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w:t>
      </w:r>
      <w:r>
        <w:rPr>
          <w:rFonts w:hint="eastAsia" w:ascii="方正仿宋_GBK" w:hAnsi="方正仿宋_GBK" w:eastAsia="方正仿宋_GBK" w:cs="方正仿宋_GBK"/>
          <w:sz w:val="28"/>
          <w:szCs w:val="28"/>
          <w:lang w:val="en-US" w:eastAsia="zh-CN"/>
        </w:rPr>
        <w:t>重庆市渝北区黄山大道中段渝兴广场B1栋3楼</w:t>
      </w:r>
    </w:p>
    <w:p w14:paraId="0DE2B590">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outlineLvl w:val="2"/>
        <w:rPr>
          <w:rFonts w:hint="eastAsia" w:ascii="方正仿宋_GBK" w:hAnsi="方正仿宋_GBK" w:eastAsia="方正仿宋_GBK" w:cs="方正仿宋_GBK"/>
          <w:sz w:val="28"/>
          <w:szCs w:val="28"/>
          <w:lang w:eastAsia="zh-CN"/>
        </w:rPr>
        <w:sectPr>
          <w:headerReference r:id="rId5" w:type="default"/>
          <w:footerReference r:id="rId6" w:type="default"/>
          <w:pgSz w:w="11907" w:h="16840"/>
          <w:pgMar w:top="1797" w:right="1191" w:bottom="1797" w:left="1304" w:header="851" w:footer="992" w:gutter="0"/>
          <w:pgNumType w:fmt="numberInDash"/>
          <w:cols w:space="720" w:num="1"/>
        </w:sect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谢</w:t>
      </w:r>
      <w:r>
        <w:rPr>
          <w:rFonts w:hint="eastAsia" w:ascii="方正仿宋_GBK" w:hAnsi="方正仿宋_GBK" w:eastAsia="方正仿宋_GBK" w:cs="方正仿宋_GBK"/>
          <w:sz w:val="28"/>
          <w:szCs w:val="28"/>
        </w:rPr>
        <w:t>老师</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电  话：</w:t>
      </w:r>
      <w:r>
        <w:rPr>
          <w:rFonts w:hint="eastAsia" w:ascii="方正仿宋_GBK" w:hAnsi="方正仿宋_GBK" w:eastAsia="方正仿宋_GBK" w:cs="方正仿宋_GBK"/>
          <w:sz w:val="28"/>
          <w:szCs w:val="28"/>
          <w:lang w:val="en-US" w:eastAsia="zh-CN"/>
        </w:rPr>
        <w:t>023-63422285</w:t>
      </w:r>
    </w:p>
    <w:p w14:paraId="36B0930B">
      <w:pPr>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eastAsia" w:ascii="仿宋" w:hAnsi="仿宋" w:eastAsia="仿宋" w:cs="仿宋"/>
          <w:b/>
          <w:bCs/>
          <w:sz w:val="36"/>
          <w:szCs w:val="36"/>
        </w:rPr>
      </w:pPr>
      <w:bookmarkStart w:id="17" w:name="_Toc5492"/>
      <w:bookmarkStart w:id="18" w:name="_Toc650"/>
      <w:bookmarkStart w:id="19" w:name="_Toc11891"/>
      <w:bookmarkStart w:id="20" w:name="_Toc18633"/>
      <w:r>
        <w:rPr>
          <w:rFonts w:hint="eastAsia" w:ascii="仿宋" w:hAnsi="仿宋" w:eastAsia="仿宋" w:cs="仿宋"/>
          <w:b/>
          <w:bCs/>
          <w:sz w:val="36"/>
          <w:szCs w:val="36"/>
        </w:rPr>
        <w:t>第二篇  项目</w:t>
      </w:r>
      <w:bookmarkEnd w:id="9"/>
      <w:bookmarkEnd w:id="10"/>
      <w:r>
        <w:rPr>
          <w:rFonts w:hint="eastAsia" w:ascii="仿宋" w:hAnsi="仿宋" w:eastAsia="仿宋" w:cs="仿宋"/>
          <w:b/>
          <w:bCs/>
          <w:sz w:val="36"/>
          <w:szCs w:val="36"/>
        </w:rPr>
        <w:t>服务需求</w:t>
      </w:r>
      <w:bookmarkEnd w:id="17"/>
      <w:bookmarkEnd w:id="18"/>
      <w:bookmarkEnd w:id="19"/>
      <w:bookmarkEnd w:id="20"/>
    </w:p>
    <w:p w14:paraId="117404ED">
      <w:pPr>
        <w:pStyle w:val="4"/>
        <w:keepNext w:val="0"/>
        <w:keepLines w:val="0"/>
        <w:pageBreakBefore w:val="0"/>
        <w:widowControl w:val="0"/>
        <w:numPr>
          <w:ilvl w:val="0"/>
          <w:numId w:val="0"/>
        </w:numPr>
        <w:kinsoku/>
        <w:wordWrap/>
        <w:overflowPunct/>
        <w:topLinePunct w:val="0"/>
        <w:autoSpaceDE/>
        <w:autoSpaceDN/>
        <w:bidi w:val="0"/>
        <w:adjustRightInd/>
        <w:snapToGrid/>
        <w:spacing w:before="120" w:beforeLines="50" w:line="420" w:lineRule="exact"/>
        <w:ind w:left="561" w:leftChars="0"/>
        <w:textAlignment w:val="auto"/>
        <w:outlineLvl w:val="0"/>
        <w:rPr>
          <w:rFonts w:hint="eastAsia" w:ascii="方正仿宋_GBK" w:hAnsi="方正仿宋_GBK" w:eastAsia="方正仿宋_GBK" w:cs="方正仿宋_GBK"/>
          <w:b/>
        </w:rPr>
      </w:pPr>
      <w:bookmarkStart w:id="21" w:name="_Toc2064"/>
      <w:bookmarkStart w:id="22" w:name="_Toc26595"/>
      <w:bookmarkStart w:id="23" w:name="_Toc30692"/>
      <w:bookmarkStart w:id="24" w:name="_Toc436687104"/>
      <w:bookmarkStart w:id="25" w:name="_Toc409082984"/>
      <w:bookmarkStart w:id="26" w:name="_Toc267320050"/>
      <w:bookmarkStart w:id="27" w:name="_Toc419463399"/>
      <w:r>
        <w:rPr>
          <w:rFonts w:hint="eastAsia" w:ascii="方正仿宋_GBK" w:hAnsi="方正仿宋_GBK" w:eastAsia="方正仿宋_GBK" w:cs="方正仿宋_GBK"/>
          <w:b/>
          <w:lang w:val="en-US" w:eastAsia="zh-CN"/>
        </w:rPr>
        <w:t>一、</w:t>
      </w:r>
      <w:r>
        <w:rPr>
          <w:rFonts w:hint="eastAsia" w:ascii="方正仿宋_GBK" w:hAnsi="方正仿宋_GBK" w:eastAsia="方正仿宋_GBK" w:cs="方正仿宋_GBK"/>
          <w:b/>
        </w:rPr>
        <w:t>项目</w:t>
      </w:r>
      <w:bookmarkEnd w:id="21"/>
      <w:bookmarkEnd w:id="22"/>
      <w:bookmarkStart w:id="28" w:name="_Toc1525"/>
      <w:bookmarkStart w:id="29" w:name="_Toc23315"/>
      <w:bookmarkStart w:id="30" w:name="_Toc5525"/>
      <w:bookmarkStart w:id="31" w:name="_Toc20034"/>
      <w:r>
        <w:rPr>
          <w:rFonts w:hint="eastAsia" w:ascii="方正仿宋_GBK" w:hAnsi="方正仿宋_GBK" w:eastAsia="方正仿宋_GBK" w:cs="方正仿宋_GBK"/>
          <w:b/>
        </w:rPr>
        <w:t>概况</w:t>
      </w:r>
    </w:p>
    <w:p w14:paraId="1711452F">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为支撑公司品牌建设，促进公司市场拓展，加强行业内的联系，链接业内资源，计划采购公司微信公众号代运营和相关宣传服务，为公司提供品牌和业务支撑。</w:t>
      </w:r>
    </w:p>
    <w:bookmarkEnd w:id="28"/>
    <w:bookmarkEnd w:id="29"/>
    <w:p w14:paraId="00A6B37D">
      <w:pPr>
        <w:pStyle w:val="4"/>
        <w:keepNext w:val="0"/>
        <w:keepLines w:val="0"/>
        <w:pageBreakBefore w:val="0"/>
        <w:widowControl w:val="0"/>
        <w:numPr>
          <w:ilvl w:val="0"/>
          <w:numId w:val="0"/>
        </w:numPr>
        <w:kinsoku/>
        <w:wordWrap/>
        <w:overflowPunct/>
        <w:topLinePunct w:val="0"/>
        <w:autoSpaceDE/>
        <w:autoSpaceDN/>
        <w:bidi w:val="0"/>
        <w:adjustRightInd/>
        <w:snapToGrid/>
        <w:spacing w:before="120" w:beforeLines="50" w:line="420" w:lineRule="exact"/>
        <w:ind w:left="561" w:leftChars="0"/>
        <w:textAlignment w:val="auto"/>
        <w:outlineLvl w:val="0"/>
        <w:rPr>
          <w:rFonts w:hint="eastAsia" w:ascii="方正仿宋_GBK" w:hAnsi="方正仿宋_GBK" w:eastAsia="方正仿宋_GBK" w:cs="方正仿宋_GBK"/>
          <w:b/>
          <w:lang w:val="en-US" w:eastAsia="zh-CN"/>
        </w:rPr>
      </w:pPr>
      <w:bookmarkStart w:id="32" w:name="_Toc7793"/>
      <w:r>
        <w:rPr>
          <w:rFonts w:hint="eastAsia" w:ascii="方正仿宋_GBK" w:hAnsi="方正仿宋_GBK" w:eastAsia="方正仿宋_GBK" w:cs="方正仿宋_GBK"/>
          <w:b/>
          <w:lang w:val="en-US" w:eastAsia="zh-CN"/>
        </w:rPr>
        <w:t>二、服务内容</w:t>
      </w:r>
      <w:bookmarkEnd w:id="32"/>
    </w:p>
    <w:p w14:paraId="39426CA9">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1.微信内容运营管理。负责“重庆再担保”微信公众平台信息编辑、制作及推送；每周不低于一次内容更新；重要节点或遇到重点稿件随时加更；设计节假日电子海报并发布；对“重庆再担保”微信公众号做好规划宣传推广，确保“重庆再担保”微信公众号各项数据平均增长100%。</w:t>
      </w:r>
    </w:p>
    <w:p w14:paraId="2154040C">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2.视频号动画制作。协助公司注册“重庆再担保”视频号和抖音号，聚焦“渝政融担”品牌，全年制作不少于20条MG动画视频。要求紧紧围绕乡村振兴、稳岗就业、科创、非融保函等主题，聚焦小微、“三农”、战略新兴产业等目标受众进行策划，每条1分钟；负责脚本撰写、MG动画制作及AI配音服务。</w:t>
      </w:r>
    </w:p>
    <w:p w14:paraId="3B3513BF">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3.稿件撰写及发布。针对重庆政府性融资担保体系机构，围绕政策解读、金融服务、市场风向、产品创新、市场对接等内容，定制宣传稿件，并有针对性地提出推广建议，进行打包宣传。全年在央级媒体上刊发稿件不少于2篇，市级媒体上刊发不少于4篇。</w:t>
      </w:r>
    </w:p>
    <w:p w14:paraId="0958D699">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4.电子手册制作。服务周期内，根据公司需求，提供2册电子手册制作和更新。</w:t>
      </w:r>
    </w:p>
    <w:p w14:paraId="64C6000E">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 xml:space="preserve">5.宣传活动策划。结合公司政策性功能定位和业务发展需要，提供宣传活动策划不少于3次。 </w:t>
      </w:r>
    </w:p>
    <w:p w14:paraId="38D5389C">
      <w:pPr>
        <w:pStyle w:val="4"/>
        <w:keepNext w:val="0"/>
        <w:keepLines w:val="0"/>
        <w:pageBreakBefore w:val="0"/>
        <w:widowControl w:val="0"/>
        <w:numPr>
          <w:ilvl w:val="0"/>
          <w:numId w:val="0"/>
        </w:numPr>
        <w:kinsoku/>
        <w:wordWrap/>
        <w:overflowPunct/>
        <w:topLinePunct w:val="0"/>
        <w:autoSpaceDE/>
        <w:autoSpaceDN/>
        <w:bidi w:val="0"/>
        <w:adjustRightInd/>
        <w:snapToGrid/>
        <w:spacing w:before="120" w:beforeLines="50" w:line="420" w:lineRule="exact"/>
        <w:ind w:left="561" w:leftChars="0"/>
        <w:textAlignment w:val="auto"/>
        <w:outlineLvl w:val="0"/>
        <w:rPr>
          <w:rFonts w:hint="eastAsia" w:ascii="方正仿宋_GBK" w:hAnsi="方正仿宋_GBK" w:eastAsia="方正仿宋_GBK" w:cs="方正仿宋_GBK"/>
          <w:b/>
          <w:lang w:val="en-US" w:eastAsia="zh-CN"/>
        </w:rPr>
      </w:pPr>
      <w:bookmarkStart w:id="33" w:name="_Toc20109"/>
      <w:bookmarkStart w:id="34" w:name="_Toc5239"/>
      <w:r>
        <w:rPr>
          <w:rFonts w:hint="eastAsia" w:ascii="方正仿宋_GBK" w:hAnsi="方正仿宋_GBK" w:eastAsia="方正仿宋_GBK" w:cs="方正仿宋_GBK"/>
          <w:b/>
          <w:lang w:val="en-US" w:eastAsia="zh-CN"/>
        </w:rPr>
        <w:t>三、服务要求</w:t>
      </w:r>
      <w:bookmarkEnd w:id="33"/>
      <w:bookmarkEnd w:id="34"/>
    </w:p>
    <w:p w14:paraId="782C8301">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1.注重传播。对重点工作及会议、节气时令等传播节点做好提前的策划及实施方案。根据实际推送内容需求，使用图解、微海报、短视频等新型传播形式呈现，用大众喜欢的，能接受的表达形式加工传播内容。</w:t>
      </w:r>
    </w:p>
    <w:p w14:paraId="74C88026">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bCs/>
          <w:sz w:val="36"/>
          <w:szCs w:val="36"/>
        </w:rPr>
      </w:pPr>
      <w:bookmarkStart w:id="35" w:name="_Toc10006"/>
      <w:bookmarkStart w:id="36" w:name="_Toc31085"/>
      <w:bookmarkStart w:id="37" w:name="_Toc17784"/>
      <w:bookmarkStart w:id="38" w:name="_Toc17075"/>
      <w:r>
        <w:rPr>
          <w:rFonts w:hint="eastAsia" w:ascii="方正仿宋_GBK" w:hAnsi="方正仿宋_GBK" w:eastAsia="方正仿宋_GBK" w:cs="方正仿宋_GBK"/>
          <w:color w:val="auto"/>
          <w:lang w:val="en-US" w:eastAsia="zh-CN"/>
        </w:rPr>
        <w:t>2.人员配备。为保证公众号运营的顺利推进，需配备1名统筹协调人员，1名文字编辑。</w:t>
      </w:r>
    </w:p>
    <w:p w14:paraId="3E32F6DA">
      <w:pPr>
        <w:pageBreakBefore w:val="0"/>
        <w:widowControl w:val="0"/>
        <w:kinsoku/>
        <w:wordWrap/>
        <w:overflowPunct/>
        <w:topLinePunct w:val="0"/>
        <w:autoSpaceDE/>
        <w:autoSpaceDN/>
        <w:bidi w:val="0"/>
        <w:adjustRightInd/>
        <w:snapToGrid/>
        <w:spacing w:line="396" w:lineRule="exact"/>
        <w:jc w:val="center"/>
        <w:textAlignment w:val="auto"/>
        <w:outlineLvl w:val="2"/>
        <w:rPr>
          <w:rFonts w:hint="eastAsia" w:ascii="仿宋" w:hAnsi="仿宋" w:eastAsia="仿宋" w:cs="仿宋"/>
          <w:b/>
          <w:bCs/>
          <w:sz w:val="36"/>
          <w:szCs w:val="36"/>
        </w:rPr>
      </w:pPr>
      <w:r>
        <w:rPr>
          <w:rFonts w:hint="eastAsia" w:ascii="仿宋" w:hAnsi="仿宋" w:eastAsia="仿宋" w:cs="仿宋"/>
          <w:b/>
          <w:bCs/>
          <w:sz w:val="36"/>
          <w:szCs w:val="36"/>
        </w:rPr>
        <w:t>第三篇  项目商务需求</w:t>
      </w:r>
      <w:bookmarkEnd w:id="23"/>
      <w:bookmarkEnd w:id="30"/>
      <w:bookmarkEnd w:id="31"/>
      <w:bookmarkEnd w:id="35"/>
      <w:bookmarkEnd w:id="36"/>
      <w:bookmarkEnd w:id="37"/>
      <w:bookmarkEnd w:id="38"/>
    </w:p>
    <w:p w14:paraId="65B29AA4">
      <w:pPr>
        <w:pageBreakBefore w:val="0"/>
        <w:widowControl w:val="0"/>
        <w:kinsoku/>
        <w:wordWrap/>
        <w:overflowPunct/>
        <w:topLinePunct w:val="0"/>
        <w:autoSpaceDE/>
        <w:autoSpaceDN/>
        <w:bidi w:val="0"/>
        <w:adjustRightInd/>
        <w:snapToGrid/>
        <w:spacing w:line="396"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“※”标注的商务需求为符合性审查中的实质性要求，响应文件若不满足按无效响应处理。</w:t>
      </w:r>
    </w:p>
    <w:p w14:paraId="44849824">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96" w:lineRule="exact"/>
        <w:ind w:firstLine="562" w:firstLineChars="200"/>
        <w:jc w:val="both"/>
        <w:textAlignment w:val="auto"/>
        <w:outlineLvl w:val="1"/>
        <w:rPr>
          <w:rFonts w:hint="eastAsia" w:ascii="方正仿宋_GBK" w:hAnsi="方正仿宋_GBK" w:eastAsia="方正仿宋_GBK" w:cs="方正仿宋_GBK"/>
          <w:b/>
          <w:bCs/>
          <w:kern w:val="2"/>
          <w:sz w:val="28"/>
          <w:szCs w:val="28"/>
          <w:lang w:val="en-US" w:eastAsia="zh-CN" w:bidi="ar-SA"/>
        </w:rPr>
      </w:pPr>
      <w:bookmarkStart w:id="39" w:name="_Toc23395"/>
      <w:bookmarkStart w:id="40" w:name="_Toc12198"/>
      <w:bookmarkStart w:id="41" w:name="_Toc4430"/>
      <w:bookmarkStart w:id="42" w:name="_Toc11263"/>
      <w:bookmarkStart w:id="43" w:name="_Toc27223"/>
      <w:bookmarkStart w:id="44" w:name="_Toc24023"/>
      <w:bookmarkStart w:id="45" w:name="_Toc22403"/>
      <w:r>
        <w:rPr>
          <w:rFonts w:hint="eastAsia" w:ascii="方正仿宋_GBK" w:hAnsi="方正仿宋_GBK" w:eastAsia="方正仿宋_GBK" w:cs="方正仿宋_GBK"/>
          <w:b/>
          <w:bCs/>
          <w:kern w:val="2"/>
          <w:sz w:val="28"/>
          <w:szCs w:val="28"/>
          <w:lang w:val="en-US" w:eastAsia="zh-CN" w:bidi="ar-SA"/>
        </w:rPr>
        <w:t>※一、服务周期、地点</w:t>
      </w:r>
      <w:bookmarkEnd w:id="24"/>
      <w:bookmarkEnd w:id="39"/>
      <w:r>
        <w:rPr>
          <w:rFonts w:hint="eastAsia" w:ascii="方正仿宋_GBK" w:hAnsi="方正仿宋_GBK" w:eastAsia="方正仿宋_GBK" w:cs="方正仿宋_GBK"/>
          <w:b/>
          <w:bCs/>
          <w:kern w:val="2"/>
          <w:sz w:val="28"/>
          <w:szCs w:val="28"/>
          <w:lang w:val="en-US" w:eastAsia="zh-CN" w:bidi="ar-SA"/>
        </w:rPr>
        <w:t>及验收方式</w:t>
      </w:r>
      <w:bookmarkEnd w:id="40"/>
      <w:bookmarkEnd w:id="41"/>
      <w:bookmarkEnd w:id="42"/>
      <w:bookmarkEnd w:id="43"/>
      <w:bookmarkEnd w:id="44"/>
      <w:bookmarkEnd w:id="45"/>
    </w:p>
    <w:p w14:paraId="4F6394AD">
      <w:pPr>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396" w:lineRule="exact"/>
        <w:ind w:firstLine="560" w:firstLineChars="200"/>
        <w:jc w:val="both"/>
        <w:textAlignment w:val="auto"/>
        <w:outlineLvl w:val="1"/>
        <w:rPr>
          <w:rFonts w:hint="eastAsia" w:ascii="方正仿宋_GBK" w:hAnsi="方正仿宋_GBK" w:eastAsia="方正仿宋_GBK" w:cs="方正仿宋_GBK"/>
          <w:b w:val="0"/>
          <w:kern w:val="2"/>
          <w:sz w:val="28"/>
          <w:szCs w:val="28"/>
          <w:lang w:val="en-US" w:eastAsia="zh-CN" w:bidi="ar-SA"/>
        </w:rPr>
      </w:pPr>
      <w:bookmarkStart w:id="46" w:name="_Toc7212"/>
      <w:bookmarkStart w:id="47" w:name="_Toc18802"/>
      <w:bookmarkStart w:id="48" w:name="_Toc23509"/>
      <w:bookmarkStart w:id="49" w:name="_Toc2877"/>
      <w:bookmarkStart w:id="50" w:name="_Toc805"/>
      <w:bookmarkStart w:id="51" w:name="_Toc29253"/>
      <w:bookmarkStart w:id="52" w:name="_Toc436687105"/>
      <w:bookmarkStart w:id="53" w:name="_Toc344475121"/>
      <w:r>
        <w:rPr>
          <w:rFonts w:hint="eastAsia" w:ascii="方正仿宋_GBK" w:hAnsi="方正仿宋_GBK" w:eastAsia="方正仿宋_GBK" w:cs="方正仿宋_GBK"/>
          <w:b w:val="0"/>
          <w:kern w:val="2"/>
          <w:sz w:val="28"/>
          <w:szCs w:val="28"/>
          <w:lang w:val="en-US" w:eastAsia="zh-CN" w:bidi="ar-SA"/>
        </w:rPr>
        <w:t>服务周期</w:t>
      </w:r>
      <w:bookmarkEnd w:id="46"/>
      <w:bookmarkEnd w:id="47"/>
      <w:bookmarkEnd w:id="48"/>
      <w:bookmarkEnd w:id="49"/>
      <w:bookmarkEnd w:id="50"/>
      <w:bookmarkEnd w:id="51"/>
    </w:p>
    <w:p w14:paraId="249A0CFC">
      <w:pPr>
        <w:pageBreakBefore w:val="0"/>
        <w:widowControl w:val="0"/>
        <w:kinsoku/>
        <w:wordWrap/>
        <w:overflowPunct/>
        <w:topLinePunct w:val="0"/>
        <w:autoSpaceDE/>
        <w:autoSpaceDN/>
        <w:bidi w:val="0"/>
        <w:adjustRightInd/>
        <w:snapToGrid/>
        <w:spacing w:line="396" w:lineRule="exact"/>
        <w:ind w:firstLine="560" w:firstLineChars="200"/>
        <w:textAlignment w:val="auto"/>
        <w:rPr>
          <w:rFonts w:hint="default" w:ascii="方正仿宋_GBK" w:hAnsi="方正仿宋_GBK" w:eastAsia="方正仿宋_GBK" w:cs="方正仿宋_GBK"/>
        </w:rPr>
      </w:pPr>
      <w:r>
        <w:rPr>
          <w:rFonts w:hint="default" w:ascii="方正仿宋_GBK" w:hAnsi="方正仿宋_GBK" w:eastAsia="方正仿宋_GBK" w:cs="方正仿宋_GBK"/>
        </w:rPr>
        <w:t>自采购中标之日起，</w:t>
      </w:r>
      <w:r>
        <w:rPr>
          <w:rFonts w:hint="eastAsia" w:ascii="方正仿宋_GBK" w:hAnsi="方正仿宋_GBK" w:eastAsia="方正仿宋_GBK" w:cs="方正仿宋_GBK"/>
          <w:lang w:val="en-US" w:eastAsia="zh-CN"/>
        </w:rPr>
        <w:t>原则上中选服务机构服务期为2年，</w:t>
      </w:r>
      <w:r>
        <w:rPr>
          <w:rFonts w:hint="default" w:ascii="方正仿宋_GBK" w:hAnsi="方正仿宋_GBK" w:eastAsia="方正仿宋_GBK" w:cs="方正仿宋_GBK"/>
        </w:rPr>
        <w:t>合同一年一签</w:t>
      </w:r>
      <w:r>
        <w:rPr>
          <w:rFonts w:hint="eastAsia" w:ascii="方正仿宋_GBK" w:hAnsi="方正仿宋_GBK" w:eastAsia="方正仿宋_GBK" w:cs="方正仿宋_GBK"/>
          <w:lang w:val="en-US" w:eastAsia="zh-CN"/>
        </w:rPr>
        <w:t>。公司每年对服务机构的服务质量进行评价，若考核不合格，则终止与服务机构的合作。</w:t>
      </w:r>
    </w:p>
    <w:p w14:paraId="06742481">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96" w:lineRule="exact"/>
        <w:ind w:firstLine="560" w:firstLineChars="200"/>
        <w:jc w:val="both"/>
        <w:textAlignment w:val="auto"/>
        <w:outlineLvl w:val="1"/>
        <w:rPr>
          <w:rFonts w:hint="eastAsia" w:ascii="方正仿宋_GBK" w:hAnsi="方正仿宋_GBK" w:eastAsia="方正仿宋_GBK" w:cs="方正仿宋_GBK"/>
          <w:b w:val="0"/>
          <w:kern w:val="2"/>
          <w:sz w:val="28"/>
          <w:szCs w:val="28"/>
          <w:lang w:val="en-US" w:eastAsia="zh-CN" w:bidi="ar-SA"/>
        </w:rPr>
      </w:pPr>
      <w:bookmarkStart w:id="54" w:name="_Toc15534"/>
      <w:bookmarkStart w:id="55" w:name="_Toc8182"/>
      <w:bookmarkStart w:id="56" w:name="_Toc9514"/>
      <w:r>
        <w:rPr>
          <w:rFonts w:hint="eastAsia" w:ascii="方正仿宋_GBK" w:hAnsi="方正仿宋_GBK" w:eastAsia="方正仿宋_GBK" w:cs="方正仿宋_GBK"/>
          <w:b w:val="0"/>
          <w:kern w:val="2"/>
          <w:sz w:val="28"/>
          <w:szCs w:val="28"/>
          <w:lang w:val="en-US" w:eastAsia="zh-CN" w:bidi="ar-SA"/>
        </w:rPr>
        <w:t>（二）实施地点</w:t>
      </w:r>
      <w:bookmarkEnd w:id="54"/>
      <w:bookmarkEnd w:id="55"/>
      <w:bookmarkEnd w:id="56"/>
    </w:p>
    <w:p w14:paraId="4F821713">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96" w:lineRule="exact"/>
        <w:ind w:firstLine="560" w:firstLineChars="200"/>
        <w:jc w:val="both"/>
        <w:textAlignment w:val="auto"/>
        <w:outlineLvl w:val="1"/>
        <w:rPr>
          <w:rFonts w:hint="eastAsia" w:ascii="方正仿宋_GBK" w:hAnsi="方正仿宋_GBK" w:eastAsia="方正仿宋_GBK" w:cs="方正仿宋_GBK"/>
          <w:b w:val="0"/>
          <w:kern w:val="2"/>
          <w:sz w:val="28"/>
          <w:szCs w:val="28"/>
          <w:lang w:val="en-US" w:eastAsia="zh-CN" w:bidi="ar-SA"/>
        </w:rPr>
      </w:pPr>
      <w:bookmarkStart w:id="57" w:name="_Toc30546"/>
      <w:bookmarkStart w:id="58" w:name="_Toc800"/>
      <w:bookmarkStart w:id="59" w:name="_Toc6411"/>
      <w:bookmarkStart w:id="60" w:name="_Toc26622"/>
      <w:bookmarkStart w:id="61" w:name="_Toc14872"/>
      <w:bookmarkStart w:id="62" w:name="_Toc25258"/>
      <w:bookmarkStart w:id="63" w:name="_Toc13870"/>
      <w:bookmarkStart w:id="64" w:name="_Toc12130"/>
      <w:bookmarkStart w:id="65" w:name="_Toc18373"/>
      <w:r>
        <w:rPr>
          <w:rFonts w:hint="eastAsia" w:ascii="方正仿宋_GBK" w:hAnsi="方正仿宋_GBK" w:eastAsia="方正仿宋_GBK" w:cs="方正仿宋_GBK"/>
          <w:b w:val="0"/>
          <w:kern w:val="2"/>
          <w:sz w:val="28"/>
          <w:szCs w:val="28"/>
          <w:lang w:val="en-US" w:eastAsia="zh-CN" w:bidi="ar-SA"/>
        </w:rPr>
        <w:t>实施地点：</w:t>
      </w:r>
      <w:bookmarkEnd w:id="57"/>
      <w:bookmarkEnd w:id="58"/>
      <w:bookmarkEnd w:id="59"/>
      <w:bookmarkEnd w:id="60"/>
      <w:bookmarkEnd w:id="61"/>
      <w:bookmarkEnd w:id="62"/>
      <w:bookmarkEnd w:id="63"/>
      <w:bookmarkEnd w:id="64"/>
      <w:bookmarkEnd w:id="65"/>
      <w:r>
        <w:rPr>
          <w:rFonts w:hint="eastAsia" w:ascii="方正仿宋_GBK" w:hAnsi="方正仿宋_GBK" w:eastAsia="方正仿宋_GBK" w:cs="方正仿宋_GBK"/>
          <w:b w:val="0"/>
          <w:kern w:val="2"/>
          <w:sz w:val="28"/>
          <w:szCs w:val="28"/>
          <w:lang w:val="en-US" w:eastAsia="zh-CN" w:bidi="ar-SA"/>
        </w:rPr>
        <w:t>服务实际发生地点或比选人指定地点。</w:t>
      </w:r>
    </w:p>
    <w:p w14:paraId="5BF90653">
      <w:pPr>
        <w:pageBreakBefore w:val="0"/>
        <w:widowControl w:val="0"/>
        <w:kinsoku/>
        <w:wordWrap/>
        <w:overflowPunct/>
        <w:topLinePunct w:val="0"/>
        <w:autoSpaceDE/>
        <w:autoSpaceDN/>
        <w:bidi w:val="0"/>
        <w:adjustRightInd/>
        <w:snapToGrid/>
        <w:spacing w:line="396" w:lineRule="exact"/>
        <w:ind w:firstLine="641"/>
        <w:textAlignment w:val="auto"/>
        <w:rPr>
          <w:rFonts w:hint="eastAsia" w:ascii="方正仿宋_GBK" w:hAnsi="方正仿宋_GBK" w:eastAsia="方正仿宋_GBK" w:cs="方正仿宋_GBK"/>
        </w:rPr>
      </w:pPr>
      <w:bookmarkStart w:id="66" w:name="_Toc6004"/>
      <w:r>
        <w:rPr>
          <w:rFonts w:hint="eastAsia" w:ascii="方正仿宋_GBK" w:hAnsi="方正仿宋_GBK" w:eastAsia="方正仿宋_GBK" w:cs="方正仿宋_GBK"/>
        </w:rPr>
        <w:t>（三）验收方式：</w:t>
      </w:r>
      <w:bookmarkEnd w:id="66"/>
      <w:bookmarkStart w:id="67" w:name="_Toc25217"/>
      <w:bookmarkStart w:id="68" w:name="_Toc19580"/>
      <w:r>
        <w:rPr>
          <w:rFonts w:hint="eastAsia" w:ascii="方正仿宋_GBK" w:hAnsi="方正仿宋_GBK" w:eastAsia="方正仿宋_GBK" w:cs="方正仿宋_GBK"/>
        </w:rPr>
        <w:t>以竞争性比选文件、合同和比选人需求为验收标准，如验收达不到比选文件规定和比选人要求的，中选人应立即进行整改。整改后仍不合格的，则视为验收不合格，比选人有权立即终止合同</w:t>
      </w:r>
      <w:bookmarkEnd w:id="67"/>
      <w:r>
        <w:rPr>
          <w:rFonts w:hint="eastAsia" w:ascii="方正仿宋_GBK" w:hAnsi="方正仿宋_GBK" w:eastAsia="方正仿宋_GBK" w:cs="方正仿宋_GBK"/>
        </w:rPr>
        <w:t>。</w:t>
      </w:r>
      <w:bookmarkStart w:id="69" w:name="_Toc27189"/>
      <w:bookmarkStart w:id="70" w:name="_Toc29301"/>
    </w:p>
    <w:p w14:paraId="37E1EA24">
      <w:pPr>
        <w:pageBreakBefore w:val="0"/>
        <w:widowControl w:val="0"/>
        <w:kinsoku/>
        <w:wordWrap/>
        <w:overflowPunct/>
        <w:topLinePunct w:val="0"/>
        <w:autoSpaceDE/>
        <w:autoSpaceDN/>
        <w:bidi w:val="0"/>
        <w:adjustRightInd/>
        <w:snapToGrid/>
        <w:spacing w:line="396" w:lineRule="exact"/>
        <w:ind w:firstLine="641"/>
        <w:textAlignment w:val="auto"/>
        <w:rPr>
          <w:rFonts w:hint="eastAsia" w:ascii="方正仿宋_GBK" w:hAnsi="方正仿宋_GBK" w:eastAsia="方正仿宋_GBK" w:cs="方正仿宋_GBK"/>
          <w:bCs/>
        </w:rPr>
      </w:pPr>
      <w:r>
        <w:rPr>
          <w:rFonts w:hint="eastAsia" w:ascii="方正仿宋_GBK" w:hAnsi="方正仿宋_GBK" w:eastAsia="方正仿宋_GBK" w:cs="方正仿宋_GBK"/>
          <w:bCs/>
        </w:rPr>
        <w:t>（四）参选人提供的服务未达到比选文件规定要求，且对比选人造成损失的，由参选人承担一切责任，并赔偿所造成的损失。</w:t>
      </w:r>
      <w:bookmarkEnd w:id="68"/>
      <w:bookmarkEnd w:id="69"/>
      <w:bookmarkEnd w:id="70"/>
    </w:p>
    <w:bookmarkEnd w:id="52"/>
    <w:bookmarkEnd w:id="53"/>
    <w:p w14:paraId="103C15EA">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96" w:lineRule="exact"/>
        <w:ind w:firstLine="562" w:firstLineChars="200"/>
        <w:jc w:val="both"/>
        <w:textAlignment w:val="auto"/>
        <w:outlineLvl w:val="1"/>
        <w:rPr>
          <w:rFonts w:hint="eastAsia" w:ascii="方正仿宋_GBK" w:hAnsi="方正仿宋_GBK" w:eastAsia="方正仿宋_GBK" w:cs="方正仿宋_GBK"/>
          <w:b/>
          <w:kern w:val="2"/>
          <w:sz w:val="28"/>
          <w:szCs w:val="28"/>
          <w:lang w:val="en-US" w:eastAsia="zh-CN" w:bidi="ar-SA"/>
        </w:rPr>
      </w:pPr>
      <w:bookmarkStart w:id="71" w:name="_Toc17943"/>
      <w:bookmarkStart w:id="72" w:name="_Toc10331"/>
      <w:bookmarkStart w:id="73" w:name="_Toc14891"/>
      <w:bookmarkStart w:id="74" w:name="_Toc2074"/>
      <w:bookmarkStart w:id="75" w:name="_Toc12538"/>
      <w:bookmarkStart w:id="76" w:name="_Toc30351"/>
      <w:bookmarkStart w:id="77" w:name="_Toc3028"/>
      <w:bookmarkStart w:id="78" w:name="_Toc5538"/>
      <w:bookmarkStart w:id="79" w:name="_Toc344475122"/>
      <w:bookmarkStart w:id="80" w:name="_Toc436687106"/>
      <w:r>
        <w:rPr>
          <w:rFonts w:hint="eastAsia" w:ascii="方正仿宋_GBK" w:hAnsi="方正仿宋_GBK" w:eastAsia="方正仿宋_GBK" w:cs="方正仿宋_GBK"/>
          <w:b/>
          <w:bCs/>
          <w:kern w:val="2"/>
          <w:sz w:val="28"/>
          <w:szCs w:val="28"/>
          <w:lang w:val="en-US" w:eastAsia="zh-CN" w:bidi="ar-SA"/>
        </w:rPr>
        <w:t>※二、</w:t>
      </w:r>
      <w:bookmarkEnd w:id="71"/>
      <w:bookmarkEnd w:id="72"/>
      <w:r>
        <w:rPr>
          <w:rFonts w:hint="eastAsia" w:ascii="方正仿宋_GBK" w:hAnsi="方正仿宋_GBK" w:eastAsia="方正仿宋_GBK" w:cs="方正仿宋_GBK"/>
          <w:b/>
          <w:bCs/>
          <w:kern w:val="2"/>
          <w:sz w:val="28"/>
          <w:szCs w:val="28"/>
          <w:lang w:val="en-US" w:eastAsia="zh-CN" w:bidi="ar-SA"/>
        </w:rPr>
        <w:t>结算方式</w:t>
      </w:r>
      <w:bookmarkEnd w:id="73"/>
      <w:bookmarkEnd w:id="74"/>
      <w:bookmarkEnd w:id="75"/>
      <w:bookmarkEnd w:id="76"/>
      <w:bookmarkEnd w:id="77"/>
      <w:bookmarkEnd w:id="78"/>
    </w:p>
    <w:p w14:paraId="15D4396B">
      <w:pPr>
        <w:pageBreakBefore w:val="0"/>
        <w:widowControl w:val="0"/>
        <w:kinsoku/>
        <w:wordWrap/>
        <w:overflowPunct/>
        <w:topLinePunct w:val="0"/>
        <w:autoSpaceDE/>
        <w:autoSpaceDN/>
        <w:bidi w:val="0"/>
        <w:adjustRightInd/>
        <w:snapToGrid/>
        <w:spacing w:line="396" w:lineRule="exact"/>
        <w:ind w:firstLine="560" w:firstLineChars="200"/>
        <w:textAlignment w:val="auto"/>
        <w:outlineLvl w:val="0"/>
        <w:rPr>
          <w:rFonts w:hint="eastAsia" w:ascii="方正仿宋_GBK" w:hAnsi="方正仿宋_GBK" w:eastAsia="方正仿宋_GBK" w:cs="方正仿宋_GBK"/>
          <w:bCs/>
        </w:rPr>
      </w:pPr>
      <w:r>
        <w:rPr>
          <w:rFonts w:hint="eastAsia" w:ascii="方正仿宋_GBK" w:hAnsi="方正仿宋_GBK" w:eastAsia="方正仿宋_GBK" w:cs="方正仿宋_GBK"/>
          <w:bCs/>
        </w:rPr>
        <w:t>结算方式以采购人与中标人最终签订的合同为准，但本次采购结算总价不得高于合同总价</w:t>
      </w:r>
      <w:bookmarkStart w:id="81" w:name="_Toc12499"/>
      <w:bookmarkStart w:id="82" w:name="_Toc14068"/>
      <w:bookmarkStart w:id="83" w:name="_Toc27918"/>
      <w:bookmarkStart w:id="84" w:name="_Toc14037"/>
      <w:bookmarkStart w:id="85" w:name="_Toc19748"/>
      <w:bookmarkStart w:id="86" w:name="_Toc29423"/>
      <w:r>
        <w:rPr>
          <w:rFonts w:hint="eastAsia" w:ascii="方正仿宋_GBK" w:hAnsi="方正仿宋_GBK" w:eastAsia="方正仿宋_GBK" w:cs="方正仿宋_GBK"/>
          <w:bCs/>
        </w:rPr>
        <w:t>。</w:t>
      </w:r>
    </w:p>
    <w:p w14:paraId="40CFE23B">
      <w:pPr>
        <w:pageBreakBefore w:val="0"/>
        <w:widowControl w:val="0"/>
        <w:kinsoku/>
        <w:wordWrap/>
        <w:overflowPunct/>
        <w:topLinePunct w:val="0"/>
        <w:autoSpaceDE/>
        <w:autoSpaceDN/>
        <w:bidi w:val="0"/>
        <w:adjustRightInd/>
        <w:snapToGrid/>
        <w:spacing w:line="396" w:lineRule="exact"/>
        <w:ind w:firstLine="560" w:firstLineChars="200"/>
        <w:textAlignment w:val="auto"/>
        <w:outlineLvl w:val="0"/>
        <w:rPr>
          <w:rFonts w:hint="eastAsia" w:ascii="方正仿宋_GBK" w:hAnsi="方正仿宋_GBK" w:eastAsia="方正仿宋_GBK" w:cs="方正仿宋_GBK"/>
          <w:bCs/>
          <w:lang w:val="en-US" w:eastAsia="zh-CN"/>
        </w:rPr>
      </w:pPr>
      <w:r>
        <w:rPr>
          <w:rFonts w:hint="eastAsia" w:ascii="方正仿宋_GBK" w:hAnsi="方正仿宋_GBK" w:eastAsia="方正仿宋_GBK" w:cs="方正仿宋_GBK"/>
          <w:bCs/>
          <w:lang w:val="en-US" w:eastAsia="zh-CN"/>
        </w:rPr>
        <w:t>（1）成交供应商在合同正式签订后10个工作日内向采购人提供增值税专用发票，采购人支付协议总金额的80%款项。</w:t>
      </w:r>
    </w:p>
    <w:p w14:paraId="117E80C5">
      <w:pPr>
        <w:pageBreakBefore w:val="0"/>
        <w:widowControl w:val="0"/>
        <w:kinsoku/>
        <w:wordWrap/>
        <w:overflowPunct/>
        <w:topLinePunct w:val="0"/>
        <w:autoSpaceDE/>
        <w:autoSpaceDN/>
        <w:bidi w:val="0"/>
        <w:adjustRightInd/>
        <w:snapToGrid/>
        <w:spacing w:line="396" w:lineRule="exact"/>
        <w:ind w:firstLine="560" w:firstLineChars="200"/>
        <w:textAlignment w:val="auto"/>
        <w:outlineLvl w:val="0"/>
        <w:rPr>
          <w:rFonts w:hint="eastAsia" w:ascii="方正仿宋_GBK" w:hAnsi="方正仿宋_GBK" w:eastAsia="方正仿宋_GBK" w:cs="方正仿宋_GBK"/>
          <w:bCs/>
        </w:rPr>
      </w:pPr>
      <w:r>
        <w:rPr>
          <w:rFonts w:hint="eastAsia" w:ascii="方正仿宋_GBK" w:hAnsi="方正仿宋_GBK" w:eastAsia="方正仿宋_GBK" w:cs="方正仿宋_GBK"/>
          <w:bCs/>
          <w:lang w:val="en-US" w:eastAsia="zh-CN"/>
        </w:rPr>
        <w:t>（2）所有项目及服务完成后10个工作日内，成交供应商已完成的工作均符合采购合同及本文件约定，并经采购人认可的，采购人支付协议总金额的20%尾款。</w:t>
      </w:r>
    </w:p>
    <w:p w14:paraId="3DBE85CE">
      <w:pPr>
        <w:pageBreakBefore w:val="0"/>
        <w:widowControl w:val="0"/>
        <w:kinsoku/>
        <w:wordWrap/>
        <w:overflowPunct/>
        <w:topLinePunct w:val="0"/>
        <w:autoSpaceDE/>
        <w:autoSpaceDN/>
        <w:bidi w:val="0"/>
        <w:adjustRightInd/>
        <w:snapToGrid/>
        <w:spacing w:line="396" w:lineRule="exact"/>
        <w:ind w:firstLine="562" w:firstLineChars="200"/>
        <w:textAlignment w:val="auto"/>
        <w:outlineLvl w:val="0"/>
        <w:rPr>
          <w:rFonts w:hint="eastAsia" w:ascii="方正仿宋_GBK" w:hAnsi="方正仿宋_GBK" w:eastAsia="方正仿宋_GBK" w:cs="方正仿宋_GBK"/>
          <w:b/>
          <w:bCs/>
        </w:rPr>
      </w:pPr>
      <w:r>
        <w:rPr>
          <w:rFonts w:hint="eastAsia" w:ascii="方正仿宋_GBK" w:hAnsi="方正仿宋_GBK" w:eastAsia="方正仿宋_GBK" w:cs="方正仿宋_GBK"/>
          <w:b/>
          <w:bCs/>
        </w:rPr>
        <w:t>※三、报价要求</w:t>
      </w:r>
      <w:bookmarkEnd w:id="81"/>
      <w:bookmarkEnd w:id="82"/>
      <w:bookmarkEnd w:id="83"/>
      <w:bookmarkEnd w:id="84"/>
      <w:bookmarkEnd w:id="85"/>
      <w:bookmarkEnd w:id="86"/>
    </w:p>
    <w:p w14:paraId="3297FC4D">
      <w:pPr>
        <w:keepNext w:val="0"/>
        <w:keepLines w:val="0"/>
        <w:pageBreakBefore w:val="0"/>
        <w:widowControl w:val="0"/>
        <w:kinsoku/>
        <w:wordWrap/>
        <w:overflowPunct/>
        <w:topLinePunct w:val="0"/>
        <w:autoSpaceDE/>
        <w:autoSpaceDN/>
        <w:bidi w:val="0"/>
        <w:adjustRightInd/>
        <w:snapToGrid/>
        <w:spacing w:line="396" w:lineRule="exact"/>
        <w:ind w:firstLine="560" w:firstLineChars="200"/>
        <w:textAlignment w:val="auto"/>
        <w:rPr>
          <w:rFonts w:hint="eastAsia" w:ascii="方正仿宋_GBK" w:hAnsi="方正仿宋_GBK" w:eastAsia="方正仿宋_GBK" w:cs="方正仿宋_GBK"/>
          <w:color w:val="auto"/>
          <w:lang w:val="en-US" w:eastAsia="zh-CN"/>
        </w:rPr>
      </w:pPr>
      <w:bookmarkStart w:id="87" w:name="_Toc515975687"/>
      <w:r>
        <w:rPr>
          <w:rFonts w:hint="eastAsia" w:ascii="方正仿宋_GBK" w:hAnsi="方正仿宋_GBK" w:eastAsia="方正仿宋_GBK" w:cs="方正仿宋_GBK"/>
          <w:color w:val="auto"/>
          <w:lang w:val="en-US" w:eastAsia="zh-CN"/>
        </w:rPr>
        <w:t>参选报价须为含税包干价，包括完成本项目的一切费用，并不得超出本项目最高限价。因参选人自身原因造成漏报、少报皆由其自行承担责任，比选人不再补偿</w:t>
      </w:r>
      <w:bookmarkEnd w:id="87"/>
      <w:r>
        <w:rPr>
          <w:rFonts w:hint="eastAsia" w:ascii="方正仿宋_GBK" w:hAnsi="方正仿宋_GBK" w:eastAsia="方正仿宋_GBK" w:cs="方正仿宋_GBK"/>
          <w:color w:val="auto"/>
          <w:lang w:val="en-US" w:eastAsia="zh-CN"/>
        </w:rPr>
        <w:t>。</w:t>
      </w:r>
    </w:p>
    <w:p w14:paraId="7AF1677A">
      <w:pPr>
        <w:keepNext w:val="0"/>
        <w:keepLines w:val="0"/>
        <w:pageBreakBefore w:val="0"/>
        <w:widowControl w:val="0"/>
        <w:kinsoku/>
        <w:wordWrap/>
        <w:overflowPunct/>
        <w:topLinePunct w:val="0"/>
        <w:autoSpaceDE/>
        <w:autoSpaceDN/>
        <w:bidi w:val="0"/>
        <w:adjustRightInd/>
        <w:snapToGrid/>
        <w:spacing w:line="396" w:lineRule="exact"/>
        <w:ind w:firstLine="560" w:firstLineChars="200"/>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本项目设置总价最高限价为250000.00元，参选总价报价不能超本项目设置的总价最高限价，否则将被否决。</w:t>
      </w:r>
    </w:p>
    <w:bookmarkEnd w:id="79"/>
    <w:bookmarkEnd w:id="80"/>
    <w:p w14:paraId="3C086DED">
      <w:pPr>
        <w:pageBreakBefore w:val="0"/>
        <w:widowControl w:val="0"/>
        <w:kinsoku/>
        <w:wordWrap/>
        <w:overflowPunct/>
        <w:topLinePunct w:val="0"/>
        <w:autoSpaceDE/>
        <w:autoSpaceDN/>
        <w:bidi w:val="0"/>
        <w:adjustRightInd/>
        <w:snapToGrid/>
        <w:spacing w:line="396" w:lineRule="exact"/>
        <w:ind w:firstLine="562" w:firstLineChars="200"/>
        <w:textAlignment w:val="auto"/>
        <w:outlineLvl w:val="0"/>
        <w:rPr>
          <w:rFonts w:hint="eastAsia" w:ascii="方正仿宋_GBK" w:hAnsi="方正仿宋_GBK" w:eastAsia="方正仿宋_GBK" w:cs="方正仿宋_GBK"/>
          <w:b/>
          <w:bCs/>
          <w:lang w:val="en-US" w:eastAsia="zh-CN"/>
        </w:rPr>
      </w:pPr>
      <w:bookmarkStart w:id="88" w:name="_Toc14269"/>
      <w:bookmarkStart w:id="89" w:name="_Toc29557"/>
      <w:bookmarkStart w:id="90" w:name="_Toc22323"/>
      <w:bookmarkStart w:id="91" w:name="_Toc436687107"/>
      <w:bookmarkStart w:id="92" w:name="_Toc14342"/>
      <w:bookmarkStart w:id="93" w:name="_Toc19865"/>
      <w:bookmarkStart w:id="94" w:name="_Toc9591"/>
      <w:bookmarkStart w:id="95" w:name="_Toc30307"/>
      <w:bookmarkStart w:id="96" w:name="_Toc19958"/>
      <w:r>
        <w:rPr>
          <w:rFonts w:hint="eastAsia" w:ascii="方正仿宋_GBK" w:hAnsi="方正仿宋_GBK" w:eastAsia="方正仿宋_GBK" w:cs="方正仿宋_GBK"/>
          <w:b/>
          <w:bCs/>
          <w:lang w:val="en-US" w:eastAsia="zh-CN"/>
        </w:rPr>
        <w:t>※四、</w:t>
      </w:r>
      <w:bookmarkStart w:id="97" w:name="_Toc344475125"/>
      <w:r>
        <w:rPr>
          <w:rFonts w:hint="eastAsia" w:ascii="方正仿宋_GBK" w:hAnsi="方正仿宋_GBK" w:eastAsia="方正仿宋_GBK" w:cs="方正仿宋_GBK"/>
          <w:b/>
          <w:bCs/>
          <w:lang w:val="en-US" w:eastAsia="zh-CN"/>
        </w:rPr>
        <w:t>其他</w:t>
      </w:r>
      <w:bookmarkEnd w:id="88"/>
      <w:bookmarkEnd w:id="89"/>
      <w:bookmarkEnd w:id="90"/>
      <w:bookmarkEnd w:id="91"/>
      <w:bookmarkEnd w:id="92"/>
      <w:bookmarkEnd w:id="93"/>
      <w:bookmarkEnd w:id="94"/>
      <w:bookmarkEnd w:id="95"/>
      <w:bookmarkEnd w:id="96"/>
    </w:p>
    <w:bookmarkEnd w:id="97"/>
    <w:p w14:paraId="05EC0276">
      <w:pPr>
        <w:keepNext w:val="0"/>
        <w:keepLines w:val="0"/>
        <w:pageBreakBefore w:val="0"/>
        <w:widowControl w:val="0"/>
        <w:kinsoku/>
        <w:wordWrap/>
        <w:overflowPunct/>
        <w:topLinePunct w:val="0"/>
        <w:autoSpaceDE/>
        <w:autoSpaceDN/>
        <w:bidi w:val="0"/>
        <w:adjustRightInd/>
        <w:snapToGrid/>
        <w:spacing w:line="396" w:lineRule="exact"/>
        <w:ind w:firstLine="560" w:firstLineChars="200"/>
        <w:textAlignment w:val="auto"/>
        <w:rPr>
          <w:rFonts w:hint="eastAsia" w:ascii="方正仿宋_GBK" w:hAnsi="方正仿宋_GBK" w:eastAsia="方正仿宋_GBK" w:cs="方正仿宋_GBK"/>
          <w:color w:val="auto"/>
          <w:lang w:val="en-US" w:eastAsia="zh-CN"/>
        </w:rPr>
      </w:pPr>
      <w:bookmarkStart w:id="98" w:name="_Toc13118"/>
      <w:bookmarkStart w:id="99" w:name="_Toc29200"/>
      <w:bookmarkStart w:id="100" w:name="_Toc29765"/>
      <w:r>
        <w:rPr>
          <w:rFonts w:hint="eastAsia" w:ascii="方正仿宋_GBK" w:hAnsi="方正仿宋_GBK" w:eastAsia="方正仿宋_GBK" w:cs="方正仿宋_GBK"/>
          <w:color w:val="auto"/>
          <w:lang w:val="en-US" w:eastAsia="zh-CN"/>
        </w:rPr>
        <w:t>（一）参选人必须在参选文件中对以上条款和服务承诺明确列出，承诺内容必须达到本篇及竞争性比选其他条款的要求。</w:t>
      </w:r>
      <w:bookmarkEnd w:id="98"/>
      <w:bookmarkEnd w:id="99"/>
      <w:bookmarkEnd w:id="100"/>
    </w:p>
    <w:p w14:paraId="20DA0F34">
      <w:pPr>
        <w:keepNext w:val="0"/>
        <w:keepLines w:val="0"/>
        <w:pageBreakBefore w:val="0"/>
        <w:widowControl w:val="0"/>
        <w:kinsoku/>
        <w:wordWrap/>
        <w:overflowPunct/>
        <w:topLinePunct w:val="0"/>
        <w:autoSpaceDE/>
        <w:autoSpaceDN/>
        <w:bidi w:val="0"/>
        <w:adjustRightInd/>
        <w:snapToGrid/>
        <w:spacing w:line="396" w:lineRule="exact"/>
        <w:ind w:firstLine="560" w:firstLineChars="200"/>
        <w:textAlignment w:val="auto"/>
        <w:rPr>
          <w:rFonts w:hint="eastAsia" w:ascii="方正仿宋_GBK" w:hAnsi="方正仿宋_GBK" w:eastAsia="方正仿宋_GBK" w:cs="方正仿宋_GBK"/>
          <w:color w:val="auto"/>
          <w:lang w:val="en-US" w:eastAsia="zh-CN"/>
        </w:rPr>
      </w:pPr>
      <w:bookmarkStart w:id="101" w:name="_Toc25498"/>
      <w:bookmarkStart w:id="102" w:name="_Toc5497"/>
      <w:bookmarkStart w:id="103" w:name="_Toc4847"/>
      <w:r>
        <w:rPr>
          <w:rFonts w:hint="eastAsia" w:ascii="方正仿宋_GBK" w:hAnsi="方正仿宋_GBK" w:eastAsia="方正仿宋_GBK" w:cs="方正仿宋_GBK"/>
          <w:color w:val="auto"/>
          <w:lang w:val="en-US" w:eastAsia="zh-CN"/>
        </w:rPr>
        <w:t>（二）其他未尽事宜由供需双方在合同中详细约定，在未改变竞争性比选文件实质性条款的情况下，以比选人主张为主。</w:t>
      </w:r>
      <w:bookmarkEnd w:id="25"/>
      <w:bookmarkEnd w:id="26"/>
      <w:bookmarkEnd w:id="27"/>
      <w:bookmarkEnd w:id="101"/>
      <w:bookmarkEnd w:id="102"/>
      <w:bookmarkEnd w:id="103"/>
      <w:bookmarkStart w:id="104" w:name="_Toc31799"/>
    </w:p>
    <w:bookmarkEnd w:id="104"/>
    <w:p w14:paraId="40ED957D">
      <w:pPr>
        <w:spacing w:line="600" w:lineRule="exact"/>
        <w:jc w:val="center"/>
        <w:outlineLvl w:val="0"/>
        <w:rPr>
          <w:rFonts w:hint="eastAsia" w:ascii="仿宋" w:hAnsi="仿宋" w:eastAsia="仿宋" w:cs="仿宋"/>
          <w:b/>
          <w:bCs/>
          <w:sz w:val="36"/>
          <w:szCs w:val="36"/>
        </w:rPr>
      </w:pPr>
      <w:bookmarkStart w:id="105" w:name="_Toc1530"/>
      <w:bookmarkStart w:id="106" w:name="_Toc19450"/>
      <w:bookmarkStart w:id="107" w:name="_Toc4024"/>
      <w:bookmarkStart w:id="108" w:name="_Toc29332"/>
      <w:bookmarkStart w:id="109" w:name="_Toc11843"/>
      <w:bookmarkStart w:id="110" w:name="_Toc2812"/>
      <w:r>
        <w:rPr>
          <w:rFonts w:hint="eastAsia" w:ascii="仿宋" w:hAnsi="仿宋" w:eastAsia="仿宋" w:cs="仿宋"/>
          <w:b/>
          <w:bCs/>
          <w:sz w:val="36"/>
          <w:szCs w:val="36"/>
        </w:rPr>
        <w:t>第四篇 比选程序及方法、评审标准</w:t>
      </w:r>
      <w:bookmarkEnd w:id="105"/>
      <w:bookmarkEnd w:id="106"/>
      <w:bookmarkEnd w:id="107"/>
      <w:bookmarkEnd w:id="108"/>
      <w:bookmarkEnd w:id="109"/>
      <w:bookmarkEnd w:id="110"/>
    </w:p>
    <w:p w14:paraId="40D7C793">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480" w:lineRule="exact"/>
        <w:ind w:firstLine="562" w:firstLineChars="200"/>
        <w:jc w:val="both"/>
        <w:textAlignment w:val="auto"/>
        <w:outlineLvl w:val="1"/>
        <w:rPr>
          <w:rFonts w:hint="eastAsia" w:ascii="方正仿宋_GBK" w:hAnsi="方正仿宋_GBK" w:eastAsia="方正仿宋_GBK" w:cs="方正仿宋_GBK"/>
          <w:b/>
          <w:kern w:val="2"/>
          <w:sz w:val="28"/>
          <w:szCs w:val="28"/>
          <w:lang w:val="en-US" w:eastAsia="zh-CN" w:bidi="ar-SA"/>
        </w:rPr>
      </w:pPr>
      <w:bookmarkStart w:id="111" w:name="_Toc23164"/>
      <w:bookmarkStart w:id="112" w:name="_Toc17017"/>
      <w:bookmarkStart w:id="113" w:name="_Toc6029"/>
      <w:bookmarkStart w:id="114" w:name="_Toc16304"/>
      <w:bookmarkStart w:id="115" w:name="_Toc15418"/>
      <w:bookmarkStart w:id="116" w:name="_Toc11541"/>
      <w:bookmarkStart w:id="117" w:name="_Toc31368"/>
      <w:r>
        <w:rPr>
          <w:rFonts w:hint="eastAsia" w:ascii="方正仿宋_GBK" w:hAnsi="方正仿宋_GBK" w:eastAsia="方正仿宋_GBK" w:cs="方正仿宋_GBK"/>
          <w:b/>
          <w:kern w:val="2"/>
          <w:sz w:val="28"/>
          <w:szCs w:val="28"/>
          <w:lang w:val="en-US" w:eastAsia="zh-CN" w:bidi="ar-SA"/>
        </w:rPr>
        <w:t>一、比选程序及方法</w:t>
      </w:r>
      <w:bookmarkEnd w:id="111"/>
      <w:bookmarkEnd w:id="112"/>
      <w:bookmarkEnd w:id="113"/>
      <w:bookmarkEnd w:id="114"/>
      <w:bookmarkEnd w:id="115"/>
      <w:bookmarkEnd w:id="116"/>
      <w:bookmarkEnd w:id="117"/>
    </w:p>
    <w:p w14:paraId="1ED4F0A4">
      <w:pPr>
        <w:pageBreakBefore w:val="0"/>
        <w:widowControl w:val="0"/>
        <w:kinsoku/>
        <w:wordWrap/>
        <w:overflowPunct/>
        <w:topLinePunct w:val="0"/>
        <w:autoSpaceDE/>
        <w:autoSpaceDN/>
        <w:bidi w:val="0"/>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（一）比选按竞争性比选文件规定的时间进行，参选人</w:t>
      </w:r>
      <w:r>
        <w:rPr>
          <w:rFonts w:hint="eastAsia" w:ascii="方正仿宋_GBK" w:hAnsi="方正仿宋_GBK" w:eastAsia="方正仿宋_GBK" w:cs="方正仿宋_GBK"/>
          <w:lang w:val="en-US" w:eastAsia="zh-CN"/>
        </w:rPr>
        <w:t>线上递交参选文件</w:t>
      </w:r>
      <w:r>
        <w:rPr>
          <w:rFonts w:hint="eastAsia" w:ascii="方正仿宋_GBK" w:hAnsi="方正仿宋_GBK" w:eastAsia="方正仿宋_GBK" w:cs="方正仿宋_GBK"/>
        </w:rPr>
        <w:t>。由比选人依法组建本项目的竞争性评选委员会（以下简称评选委员会）参与评选。</w:t>
      </w:r>
    </w:p>
    <w:p w14:paraId="21FFF841">
      <w:pPr>
        <w:pageBreakBefore w:val="0"/>
        <w:widowControl w:val="0"/>
        <w:kinsoku/>
        <w:wordWrap/>
        <w:overflowPunct/>
        <w:topLinePunct w:val="0"/>
        <w:autoSpaceDE/>
        <w:autoSpaceDN/>
        <w:bidi w:val="0"/>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（二）评选委员会对各参选人的资格条件、参选文件的有效性、完整性和响应程度进行审查。各参选人只有在完全符合要求的前提下，才能</w:t>
      </w:r>
      <w:r>
        <w:rPr>
          <w:rFonts w:hint="eastAsia" w:ascii="方正仿宋_GBK" w:hAnsi="方正仿宋_GBK" w:eastAsia="方正仿宋_GBK" w:cs="方正仿宋_GBK"/>
          <w:lang w:val="en-US" w:eastAsia="zh-CN"/>
        </w:rPr>
        <w:t>参与</w:t>
      </w:r>
      <w:r>
        <w:rPr>
          <w:rFonts w:hint="eastAsia" w:ascii="方正仿宋_GBK" w:hAnsi="方正仿宋_GBK" w:eastAsia="方正仿宋_GBK" w:cs="方正仿宋_GBK"/>
        </w:rPr>
        <w:t>报价、技术、商务部分评审。</w:t>
      </w:r>
    </w:p>
    <w:p w14:paraId="0C818F02">
      <w:pPr>
        <w:pageBreakBefore w:val="0"/>
        <w:widowControl w:val="0"/>
        <w:kinsoku/>
        <w:wordWrap/>
        <w:overflowPunct/>
        <w:topLinePunct w:val="0"/>
        <w:autoSpaceDE/>
        <w:autoSpaceDN/>
        <w:bidi w:val="0"/>
        <w:snapToGrid w:val="0"/>
        <w:spacing w:line="480" w:lineRule="exact"/>
        <w:ind w:firstLine="560" w:firstLineChars="200"/>
        <w:textAlignment w:val="auto"/>
        <w:rPr>
          <w:rFonts w:hint="eastAsia" w:ascii="Times New Roman" w:hAnsi="Times New Roman" w:eastAsia="宋体" w:cs="Times New Roman"/>
        </w:rPr>
      </w:pPr>
      <w:r>
        <w:rPr>
          <w:rFonts w:hint="eastAsia" w:ascii="方正仿宋_GBK" w:hAnsi="方正仿宋_GBK" w:eastAsia="方正仿宋_GBK" w:cs="方正仿宋_GBK"/>
        </w:rPr>
        <w:t>1.</w:t>
      </w:r>
      <w:r>
        <w:rPr>
          <w:rFonts w:hint="eastAsia" w:ascii="方正仿宋_GBK" w:hAnsi="方正仿宋_GBK" w:eastAsia="方正仿宋_GBK" w:cs="方正仿宋_GBK"/>
          <w:kern w:val="0"/>
        </w:rPr>
        <w:t>资格性审查。依据法律法规和竞争性比选文件的规定，对参选文件中的资格证明等进行审查，以确定参选人是否具备比选资格。资格性审查资料表如下：</w:t>
      </w:r>
    </w:p>
    <w:tbl>
      <w:tblPr>
        <w:tblStyle w:val="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35"/>
        <w:gridCol w:w="2969"/>
        <w:gridCol w:w="4984"/>
      </w:tblGrid>
      <w:tr w14:paraId="09A3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661F2C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序号</w:t>
            </w:r>
          </w:p>
        </w:tc>
        <w:tc>
          <w:tcPr>
            <w:tcW w:w="3704" w:type="dxa"/>
            <w:gridSpan w:val="2"/>
            <w:tcBorders>
              <w:top w:val="single" w:color="auto" w:sz="4" w:space="0"/>
              <w:left w:val="single" w:color="auto" w:sz="4" w:space="0"/>
              <w:bottom w:val="single" w:color="auto" w:sz="4" w:space="0"/>
              <w:right w:val="single" w:color="auto" w:sz="4" w:space="0"/>
            </w:tcBorders>
            <w:noWrap w:val="0"/>
            <w:vAlign w:val="center"/>
          </w:tcPr>
          <w:p w14:paraId="0DD772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39445D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检查内容</w:t>
            </w:r>
          </w:p>
        </w:tc>
      </w:tr>
      <w:tr w14:paraId="1342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restart"/>
            <w:noWrap w:val="0"/>
            <w:vAlign w:val="center"/>
          </w:tcPr>
          <w:p w14:paraId="0FE946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735" w:type="dxa"/>
            <w:vMerge w:val="restart"/>
            <w:noWrap w:val="0"/>
            <w:vAlign w:val="center"/>
          </w:tcPr>
          <w:p w14:paraId="1E99F96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w:t>
            </w:r>
          </w:p>
        </w:tc>
        <w:tc>
          <w:tcPr>
            <w:tcW w:w="2969" w:type="dxa"/>
            <w:noWrap w:val="0"/>
            <w:vAlign w:val="center"/>
          </w:tcPr>
          <w:p w14:paraId="240C00BE">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具有独立承担民事责任的能力。</w:t>
            </w:r>
          </w:p>
        </w:tc>
        <w:tc>
          <w:tcPr>
            <w:tcW w:w="4984" w:type="dxa"/>
            <w:noWrap w:val="0"/>
            <w:vAlign w:val="center"/>
          </w:tcPr>
          <w:p w14:paraId="37CEC25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1.参选人法人营业执照（副本）或事业单位法人证书（副本）或个体工商户营业执照或有效的自然人身份证明或社会团体法人登记证书（提供复印件）。 </w:t>
            </w:r>
          </w:p>
          <w:p w14:paraId="38F53D3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2.参选人法定代表人身份证明和法定代表人授权代表委托书。</w:t>
            </w:r>
          </w:p>
        </w:tc>
      </w:tr>
      <w:tr w14:paraId="74AB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 w:type="dxa"/>
            <w:vMerge w:val="continue"/>
            <w:noWrap w:val="0"/>
            <w:vAlign w:val="center"/>
          </w:tcPr>
          <w:p w14:paraId="416433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lang w:val="en-US" w:eastAsia="zh-CN"/>
              </w:rPr>
            </w:pPr>
          </w:p>
        </w:tc>
        <w:tc>
          <w:tcPr>
            <w:tcW w:w="735" w:type="dxa"/>
            <w:vMerge w:val="continue"/>
            <w:noWrap w:val="0"/>
            <w:vAlign w:val="center"/>
          </w:tcPr>
          <w:p w14:paraId="34BCCE0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lang w:val="zh-CN"/>
              </w:rPr>
            </w:pPr>
          </w:p>
        </w:tc>
        <w:tc>
          <w:tcPr>
            <w:tcW w:w="2969" w:type="dxa"/>
            <w:noWrap w:val="0"/>
            <w:vAlign w:val="center"/>
          </w:tcPr>
          <w:p w14:paraId="38E3737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具有良好的商业信誉和健全的财务会计制度</w:t>
            </w:r>
            <w:r>
              <w:rPr>
                <w:rFonts w:hint="eastAsia" w:ascii="方正仿宋_GBK" w:hAnsi="方正仿宋_GBK" w:eastAsia="方正仿宋_GBK" w:cs="方正仿宋_GBK"/>
                <w:kern w:val="0"/>
                <w:sz w:val="24"/>
                <w:szCs w:val="24"/>
              </w:rPr>
              <w:t>。</w:t>
            </w:r>
          </w:p>
        </w:tc>
        <w:tc>
          <w:tcPr>
            <w:tcW w:w="4984" w:type="dxa"/>
            <w:vMerge w:val="restart"/>
            <w:noWrap w:val="0"/>
            <w:vAlign w:val="center"/>
          </w:tcPr>
          <w:p w14:paraId="39D913B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参选人提供“书面声明”（格式详见第七篇）。</w:t>
            </w:r>
          </w:p>
        </w:tc>
      </w:tr>
      <w:tr w14:paraId="36E0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0" w:type="dxa"/>
            <w:vMerge w:val="continue"/>
            <w:noWrap w:val="0"/>
            <w:vAlign w:val="center"/>
          </w:tcPr>
          <w:p w14:paraId="125B00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lang w:val="en-US" w:eastAsia="zh-CN"/>
              </w:rPr>
            </w:pPr>
          </w:p>
        </w:tc>
        <w:tc>
          <w:tcPr>
            <w:tcW w:w="735" w:type="dxa"/>
            <w:vMerge w:val="continue"/>
            <w:noWrap w:val="0"/>
            <w:vAlign w:val="center"/>
          </w:tcPr>
          <w:p w14:paraId="1891DB2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lang w:val="zh-CN"/>
              </w:rPr>
            </w:pPr>
          </w:p>
        </w:tc>
        <w:tc>
          <w:tcPr>
            <w:tcW w:w="2969" w:type="dxa"/>
            <w:noWrap w:val="0"/>
            <w:vAlign w:val="center"/>
          </w:tcPr>
          <w:p w14:paraId="66D259E0">
            <w:pPr>
              <w:keepNext w:val="0"/>
              <w:keepLines w:val="0"/>
              <w:pageBreakBefore w:val="0"/>
              <w:widowControl w:val="0"/>
              <w:kinsoku/>
              <w:wordWrap/>
              <w:overflowPunct/>
              <w:topLinePunct w:val="0"/>
              <w:autoSpaceDE/>
              <w:autoSpaceDN/>
              <w:bidi w:val="0"/>
              <w:adjustRightInd/>
              <w:snapToGrid/>
              <w:spacing w:after="120" w:line="300" w:lineRule="exact"/>
              <w:ind w:firstLine="0"/>
              <w:jc w:val="both"/>
              <w:textAlignment w:val="auto"/>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有依法缴纳税收和社会保障资金的良好记录。</w:t>
            </w:r>
          </w:p>
        </w:tc>
        <w:tc>
          <w:tcPr>
            <w:tcW w:w="4984" w:type="dxa"/>
            <w:vMerge w:val="continue"/>
            <w:noWrap w:val="0"/>
            <w:vAlign w:val="center"/>
          </w:tcPr>
          <w:p w14:paraId="190E518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rPr>
            </w:pPr>
          </w:p>
        </w:tc>
      </w:tr>
      <w:tr w14:paraId="243D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noWrap w:val="0"/>
            <w:vAlign w:val="center"/>
          </w:tcPr>
          <w:p w14:paraId="505980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lang w:val="en-US" w:eastAsia="zh-CN"/>
              </w:rPr>
            </w:pPr>
          </w:p>
        </w:tc>
        <w:tc>
          <w:tcPr>
            <w:tcW w:w="735" w:type="dxa"/>
            <w:vMerge w:val="continue"/>
            <w:noWrap w:val="0"/>
            <w:vAlign w:val="center"/>
          </w:tcPr>
          <w:p w14:paraId="76B94A3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lang w:val="zh-CN"/>
              </w:rPr>
            </w:pPr>
          </w:p>
        </w:tc>
        <w:tc>
          <w:tcPr>
            <w:tcW w:w="2969" w:type="dxa"/>
            <w:noWrap w:val="0"/>
            <w:vAlign w:val="center"/>
          </w:tcPr>
          <w:p w14:paraId="12CC033C">
            <w:pPr>
              <w:keepNext w:val="0"/>
              <w:keepLines w:val="0"/>
              <w:pageBreakBefore w:val="0"/>
              <w:widowControl w:val="0"/>
              <w:kinsoku/>
              <w:wordWrap/>
              <w:overflowPunct/>
              <w:topLinePunct w:val="0"/>
              <w:autoSpaceDE/>
              <w:autoSpaceDN/>
              <w:bidi w:val="0"/>
              <w:adjustRightInd/>
              <w:snapToGrid/>
              <w:spacing w:after="120" w:line="300" w:lineRule="exact"/>
              <w:ind w:firstLine="0"/>
              <w:jc w:val="both"/>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参加本次采购活动前三年内，在经营活动中没有重大违法记录</w:t>
            </w:r>
          </w:p>
        </w:tc>
        <w:tc>
          <w:tcPr>
            <w:tcW w:w="4984" w:type="dxa"/>
            <w:noWrap w:val="0"/>
            <w:vAlign w:val="center"/>
          </w:tcPr>
          <w:p w14:paraId="0E2DF24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提供承诺，格式自拟，同时提供国家企业信用信息公示系统网站中未列入经营异常名录信息的网页截图。</w:t>
            </w:r>
          </w:p>
        </w:tc>
      </w:tr>
    </w:tbl>
    <w:p w14:paraId="76760A1E">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K" w:hAnsi="方正仿宋_GBK" w:eastAsia="方正仿宋_GBK" w:cs="方正仿宋_GBK"/>
          <w:kern w:val="0"/>
        </w:rPr>
      </w:pPr>
      <w:r>
        <w:rPr>
          <w:rFonts w:hint="eastAsia" w:ascii="方正仿宋_GBK" w:hAnsi="方正仿宋_GBK" w:eastAsia="方正仿宋_GBK" w:cs="方正仿宋_GBK"/>
          <w:kern w:val="0"/>
        </w:rPr>
        <w:t>2.符合性审查。依据竞争性比选文件的规定，从参选文件的有效性、完整性和对竞争性比选文件的响应程度进行审查，以确定是否对竞争性比选文件的实质性要求作出响应。符合性审查资料表如下：</w:t>
      </w:r>
    </w:p>
    <w:tbl>
      <w:tblPr>
        <w:tblStyle w:val="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51"/>
        <w:gridCol w:w="2217"/>
        <w:gridCol w:w="5176"/>
      </w:tblGrid>
      <w:tr w14:paraId="7863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84" w:type="dxa"/>
            <w:noWrap w:val="0"/>
            <w:vAlign w:val="center"/>
          </w:tcPr>
          <w:p w14:paraId="431C1A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序号</w:t>
            </w:r>
          </w:p>
        </w:tc>
        <w:tc>
          <w:tcPr>
            <w:tcW w:w="3668" w:type="dxa"/>
            <w:gridSpan w:val="2"/>
            <w:noWrap w:val="0"/>
            <w:vAlign w:val="center"/>
          </w:tcPr>
          <w:p w14:paraId="30B28B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评审因素</w:t>
            </w:r>
          </w:p>
        </w:tc>
        <w:tc>
          <w:tcPr>
            <w:tcW w:w="5176" w:type="dxa"/>
            <w:noWrap w:val="0"/>
            <w:vAlign w:val="center"/>
          </w:tcPr>
          <w:p w14:paraId="1F7701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评审标准</w:t>
            </w:r>
          </w:p>
        </w:tc>
      </w:tr>
      <w:tr w14:paraId="62E0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4" w:type="dxa"/>
            <w:vMerge w:val="restart"/>
            <w:noWrap w:val="0"/>
            <w:vAlign w:val="center"/>
          </w:tcPr>
          <w:p w14:paraId="54518B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451" w:type="dxa"/>
            <w:vMerge w:val="restart"/>
            <w:noWrap w:val="0"/>
            <w:vAlign w:val="center"/>
          </w:tcPr>
          <w:p w14:paraId="527013E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有效性审查</w:t>
            </w:r>
          </w:p>
        </w:tc>
        <w:tc>
          <w:tcPr>
            <w:tcW w:w="2217" w:type="dxa"/>
            <w:noWrap w:val="0"/>
            <w:vAlign w:val="center"/>
          </w:tcPr>
          <w:p w14:paraId="3B7D739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参选文件签署或盖章</w:t>
            </w:r>
          </w:p>
        </w:tc>
        <w:tc>
          <w:tcPr>
            <w:tcW w:w="5176" w:type="dxa"/>
            <w:noWrap w:val="0"/>
            <w:vAlign w:val="center"/>
          </w:tcPr>
          <w:p w14:paraId="61D6735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按竞争性比选文件“第七篇  参选文件编制要求”要求签署或盖章。</w:t>
            </w:r>
          </w:p>
        </w:tc>
      </w:tr>
      <w:tr w14:paraId="4EE3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4" w:type="dxa"/>
            <w:vMerge w:val="continue"/>
            <w:noWrap w:val="0"/>
            <w:vAlign w:val="center"/>
          </w:tcPr>
          <w:p w14:paraId="4C48C5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4"/>
                <w:szCs w:val="24"/>
              </w:rPr>
            </w:pPr>
          </w:p>
        </w:tc>
        <w:tc>
          <w:tcPr>
            <w:tcW w:w="1451" w:type="dxa"/>
            <w:vMerge w:val="continue"/>
            <w:noWrap w:val="0"/>
            <w:vAlign w:val="center"/>
          </w:tcPr>
          <w:p w14:paraId="7CF6B71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rPr>
            </w:pPr>
          </w:p>
        </w:tc>
        <w:tc>
          <w:tcPr>
            <w:tcW w:w="2217" w:type="dxa"/>
            <w:noWrap w:val="0"/>
            <w:vAlign w:val="center"/>
          </w:tcPr>
          <w:p w14:paraId="648E101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法定代表人身份证明及授权委托书</w:t>
            </w:r>
          </w:p>
        </w:tc>
        <w:tc>
          <w:tcPr>
            <w:tcW w:w="5176" w:type="dxa"/>
            <w:noWrap w:val="0"/>
            <w:vAlign w:val="center"/>
          </w:tcPr>
          <w:p w14:paraId="71129DF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法定代表人身份证明及授权委托书有效，符合竞争性比选文件规定的格式，签署或盖章齐全。</w:t>
            </w:r>
          </w:p>
        </w:tc>
      </w:tr>
      <w:tr w14:paraId="19A5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84" w:type="dxa"/>
            <w:vMerge w:val="continue"/>
            <w:noWrap w:val="0"/>
            <w:vAlign w:val="center"/>
          </w:tcPr>
          <w:p w14:paraId="69613D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4"/>
                <w:szCs w:val="24"/>
              </w:rPr>
            </w:pPr>
          </w:p>
        </w:tc>
        <w:tc>
          <w:tcPr>
            <w:tcW w:w="1451" w:type="dxa"/>
            <w:vMerge w:val="continue"/>
            <w:noWrap w:val="0"/>
            <w:vAlign w:val="center"/>
          </w:tcPr>
          <w:p w14:paraId="13BE88C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rPr>
            </w:pPr>
          </w:p>
        </w:tc>
        <w:tc>
          <w:tcPr>
            <w:tcW w:w="2217" w:type="dxa"/>
            <w:noWrap w:val="0"/>
            <w:vAlign w:val="center"/>
          </w:tcPr>
          <w:p w14:paraId="05C2933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响应</w:t>
            </w:r>
            <w:r>
              <w:rPr>
                <w:rFonts w:hint="eastAsia" w:ascii="方正仿宋_GBK" w:hAnsi="方正仿宋_GBK" w:eastAsia="方正仿宋_GBK" w:cs="方正仿宋_GBK"/>
                <w:sz w:val="24"/>
                <w:szCs w:val="24"/>
                <w:lang w:val="zh-CN"/>
              </w:rPr>
              <w:t>方案</w:t>
            </w:r>
          </w:p>
        </w:tc>
        <w:tc>
          <w:tcPr>
            <w:tcW w:w="5176" w:type="dxa"/>
            <w:noWrap w:val="0"/>
            <w:vAlign w:val="center"/>
          </w:tcPr>
          <w:p w14:paraId="453A9FB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lang w:val="zh-CN"/>
              </w:rPr>
              <w:t>每个包只能有一个</w:t>
            </w:r>
            <w:r>
              <w:rPr>
                <w:rFonts w:hint="eastAsia" w:ascii="方正仿宋_GBK" w:hAnsi="方正仿宋_GBK" w:eastAsia="方正仿宋_GBK" w:cs="方正仿宋_GBK"/>
                <w:sz w:val="24"/>
                <w:szCs w:val="24"/>
              </w:rPr>
              <w:t>响应</w:t>
            </w:r>
            <w:r>
              <w:rPr>
                <w:rFonts w:hint="eastAsia" w:ascii="方正仿宋_GBK" w:hAnsi="方正仿宋_GBK" w:eastAsia="方正仿宋_GBK" w:cs="方正仿宋_GBK"/>
                <w:sz w:val="24"/>
                <w:szCs w:val="24"/>
                <w:lang w:val="zh-CN"/>
              </w:rPr>
              <w:t>方案。</w:t>
            </w:r>
          </w:p>
        </w:tc>
      </w:tr>
      <w:tr w14:paraId="5AB3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4" w:type="dxa"/>
            <w:vMerge w:val="continue"/>
            <w:noWrap w:val="0"/>
            <w:vAlign w:val="center"/>
          </w:tcPr>
          <w:p w14:paraId="3735F2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4"/>
                <w:szCs w:val="24"/>
              </w:rPr>
            </w:pPr>
          </w:p>
        </w:tc>
        <w:tc>
          <w:tcPr>
            <w:tcW w:w="1451" w:type="dxa"/>
            <w:vMerge w:val="continue"/>
            <w:noWrap w:val="0"/>
            <w:vAlign w:val="center"/>
          </w:tcPr>
          <w:p w14:paraId="4FF885E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rPr>
            </w:pPr>
          </w:p>
        </w:tc>
        <w:tc>
          <w:tcPr>
            <w:tcW w:w="2217" w:type="dxa"/>
            <w:noWrap w:val="0"/>
            <w:vAlign w:val="center"/>
          </w:tcPr>
          <w:p w14:paraId="6BA0C86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报价唯一</w:t>
            </w:r>
          </w:p>
        </w:tc>
        <w:tc>
          <w:tcPr>
            <w:tcW w:w="5176" w:type="dxa"/>
            <w:noWrap w:val="0"/>
            <w:vAlign w:val="center"/>
          </w:tcPr>
          <w:p w14:paraId="5CF8F2A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只能有一个有效报价，不得提交选择性报价。</w:t>
            </w:r>
          </w:p>
        </w:tc>
      </w:tr>
      <w:tr w14:paraId="1B8F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4" w:type="dxa"/>
            <w:noWrap w:val="0"/>
            <w:vAlign w:val="center"/>
          </w:tcPr>
          <w:p w14:paraId="2C01E4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w:t>
            </w:r>
          </w:p>
        </w:tc>
        <w:tc>
          <w:tcPr>
            <w:tcW w:w="1451" w:type="dxa"/>
            <w:noWrap w:val="0"/>
            <w:vAlign w:val="center"/>
          </w:tcPr>
          <w:p w14:paraId="023471F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完整性审查</w:t>
            </w:r>
          </w:p>
        </w:tc>
        <w:tc>
          <w:tcPr>
            <w:tcW w:w="2217" w:type="dxa"/>
            <w:noWrap w:val="0"/>
            <w:vAlign w:val="center"/>
          </w:tcPr>
          <w:p w14:paraId="0F2A025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参选文件</w:t>
            </w:r>
            <w:r>
              <w:rPr>
                <w:rFonts w:hint="eastAsia" w:ascii="方正仿宋_GBK" w:hAnsi="方正仿宋_GBK" w:eastAsia="方正仿宋_GBK" w:cs="方正仿宋_GBK"/>
                <w:sz w:val="24"/>
                <w:szCs w:val="24"/>
                <w:lang w:val="zh-CN"/>
              </w:rPr>
              <w:t>份数</w:t>
            </w:r>
          </w:p>
        </w:tc>
        <w:tc>
          <w:tcPr>
            <w:tcW w:w="5176" w:type="dxa"/>
            <w:noWrap w:val="0"/>
            <w:vAlign w:val="center"/>
          </w:tcPr>
          <w:p w14:paraId="7642AF1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参选文件</w:t>
            </w:r>
            <w:r>
              <w:rPr>
                <w:rFonts w:hint="eastAsia" w:ascii="方正仿宋_GBK" w:hAnsi="方正仿宋_GBK" w:eastAsia="方正仿宋_GBK" w:cs="方正仿宋_GBK"/>
                <w:sz w:val="24"/>
                <w:szCs w:val="24"/>
                <w:lang w:val="zh-CN"/>
              </w:rPr>
              <w:t>正、副本数量符合</w:t>
            </w:r>
            <w:r>
              <w:rPr>
                <w:rFonts w:hint="eastAsia" w:ascii="方正仿宋_GBK" w:hAnsi="方正仿宋_GBK" w:eastAsia="方正仿宋_GBK" w:cs="方正仿宋_GBK"/>
                <w:sz w:val="24"/>
                <w:szCs w:val="24"/>
              </w:rPr>
              <w:t>竞争性比选</w:t>
            </w:r>
            <w:r>
              <w:rPr>
                <w:rFonts w:hint="eastAsia" w:ascii="方正仿宋_GBK" w:hAnsi="方正仿宋_GBK" w:eastAsia="方正仿宋_GBK" w:cs="方正仿宋_GBK"/>
                <w:sz w:val="24"/>
                <w:szCs w:val="24"/>
                <w:lang w:val="zh-CN"/>
              </w:rPr>
              <w:t>文件要求。</w:t>
            </w:r>
          </w:p>
        </w:tc>
      </w:tr>
      <w:tr w14:paraId="33A5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84" w:type="dxa"/>
            <w:vMerge w:val="restart"/>
            <w:noWrap w:val="0"/>
            <w:vAlign w:val="center"/>
          </w:tcPr>
          <w:p w14:paraId="6F5357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w:t>
            </w:r>
          </w:p>
        </w:tc>
        <w:tc>
          <w:tcPr>
            <w:tcW w:w="1451" w:type="dxa"/>
            <w:vMerge w:val="restart"/>
            <w:noWrap w:val="0"/>
            <w:vAlign w:val="center"/>
          </w:tcPr>
          <w:p w14:paraId="47E37F7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kern w:val="0"/>
                <w:sz w:val="24"/>
                <w:szCs w:val="24"/>
              </w:rPr>
              <w:t>响应程度审查</w:t>
            </w:r>
          </w:p>
        </w:tc>
        <w:tc>
          <w:tcPr>
            <w:tcW w:w="2217" w:type="dxa"/>
            <w:noWrap w:val="0"/>
            <w:vAlign w:val="center"/>
          </w:tcPr>
          <w:p w14:paraId="24C5DE8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参选文件内容</w:t>
            </w:r>
          </w:p>
        </w:tc>
        <w:tc>
          <w:tcPr>
            <w:tcW w:w="5176" w:type="dxa"/>
            <w:noWrap w:val="0"/>
            <w:vAlign w:val="center"/>
          </w:tcPr>
          <w:p w14:paraId="631F8E1B">
            <w:pPr>
              <w:pStyle w:val="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对竞争性比选文件</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第二篇</w:t>
            </w:r>
            <w:r>
              <w:rPr>
                <w:rFonts w:hint="eastAsia" w:ascii="方正仿宋_GBK" w:hAnsi="方正仿宋_GBK" w:eastAsia="方正仿宋_GBK" w:cs="方正仿宋_GBK"/>
                <w:kern w:val="0"/>
                <w:sz w:val="24"/>
                <w:szCs w:val="24"/>
                <w:lang w:val="en-US" w:eastAsia="zh-CN"/>
              </w:rPr>
              <w:t>项目服务需求</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和</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第三篇</w:t>
            </w:r>
            <w:r>
              <w:rPr>
                <w:rFonts w:hint="eastAsia" w:ascii="方正仿宋_GBK" w:hAnsi="方正仿宋_GBK" w:eastAsia="方正仿宋_GBK" w:cs="方正仿宋_GBK"/>
                <w:kern w:val="0"/>
                <w:sz w:val="24"/>
                <w:szCs w:val="24"/>
                <w:lang w:val="en-US" w:eastAsia="zh-CN"/>
              </w:rPr>
              <w:t xml:space="preserve"> 项目商务需求</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规定的比选内容一一作出响应。</w:t>
            </w:r>
          </w:p>
        </w:tc>
      </w:tr>
      <w:tr w14:paraId="56A0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4" w:type="dxa"/>
            <w:vMerge w:val="continue"/>
            <w:noWrap w:val="0"/>
            <w:vAlign w:val="center"/>
          </w:tcPr>
          <w:p w14:paraId="797A79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4"/>
                <w:szCs w:val="24"/>
              </w:rPr>
            </w:pPr>
          </w:p>
        </w:tc>
        <w:tc>
          <w:tcPr>
            <w:tcW w:w="1451" w:type="dxa"/>
            <w:vMerge w:val="continue"/>
            <w:noWrap w:val="0"/>
            <w:vAlign w:val="center"/>
          </w:tcPr>
          <w:p w14:paraId="58F755E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lang w:val="zh-CN"/>
              </w:rPr>
            </w:pPr>
          </w:p>
        </w:tc>
        <w:tc>
          <w:tcPr>
            <w:tcW w:w="2217" w:type="dxa"/>
            <w:noWrap w:val="0"/>
            <w:vAlign w:val="center"/>
          </w:tcPr>
          <w:p w14:paraId="6179586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比选有效期</w:t>
            </w:r>
          </w:p>
        </w:tc>
        <w:tc>
          <w:tcPr>
            <w:tcW w:w="5176" w:type="dxa"/>
            <w:noWrap w:val="0"/>
            <w:vAlign w:val="center"/>
          </w:tcPr>
          <w:p w14:paraId="529BDF4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参选文件及有关承诺文件有效期为提交参选文件截止时间起90天。</w:t>
            </w:r>
          </w:p>
        </w:tc>
      </w:tr>
    </w:tbl>
    <w:p w14:paraId="44306085">
      <w:pPr>
        <w:pageBreakBefore w:val="0"/>
        <w:widowControl w:val="0"/>
        <w:kinsoku/>
        <w:wordWrap/>
        <w:overflowPunct/>
        <w:topLinePunct w:val="0"/>
        <w:autoSpaceDE/>
        <w:autoSpaceDN/>
        <w:bidi w:val="0"/>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三）澄清有关问题。评选委员会在对参选文件的有效性、完整性和响应程度进行审查时，可以要求参选人对参选文件中含义不明确、同类问题表述不一致或者有明显文字和计算错误的内容等作出必要的澄清、说明或者更正。参选人的澄清、说明或者更正不得超出参选文件的范围或者改变参选文件的实质性内容。</w:t>
      </w:r>
    </w:p>
    <w:p w14:paraId="552CBFB6">
      <w:pPr>
        <w:pageBreakBefore w:val="0"/>
        <w:widowControl w:val="0"/>
        <w:kinsoku/>
        <w:wordWrap/>
        <w:overflowPunct/>
        <w:topLinePunct w:val="0"/>
        <w:autoSpaceDE/>
        <w:autoSpaceDN/>
        <w:bidi w:val="0"/>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四）评选委员会要求参选人澄清、说明或者更正参选文件应当以书面形式作出。参选人的澄清、说明或者更正应当由法定代表人（或其授权代表）签署或者加盖公章。由授权代表签署的，应当附法定代表人授权书。</w:t>
      </w:r>
    </w:p>
    <w:p w14:paraId="2C1AD6D3">
      <w:pPr>
        <w:pageBreakBefore w:val="0"/>
        <w:widowControl w:val="0"/>
        <w:kinsoku/>
        <w:wordWrap/>
        <w:overflowPunct/>
        <w:topLinePunct w:val="0"/>
        <w:autoSpaceDE/>
        <w:autoSpaceDN/>
        <w:bidi w:val="0"/>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（五）在比选过程中比选的任何一方不得向他人透露与比选有关的服务资料、价格或其他信息。</w:t>
      </w:r>
    </w:p>
    <w:p w14:paraId="42EB58A0">
      <w:pPr>
        <w:pageBreakBefore w:val="0"/>
        <w:widowControl w:val="0"/>
        <w:kinsoku/>
        <w:wordWrap/>
        <w:overflowPunct/>
        <w:topLinePunct w:val="0"/>
        <w:autoSpaceDE/>
        <w:autoSpaceDN/>
        <w:bidi w:val="0"/>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（六）参选人在</w:t>
      </w:r>
      <w:r>
        <w:rPr>
          <w:rFonts w:hint="eastAsia" w:ascii="方正仿宋_GBK" w:hAnsi="方正仿宋_GBK" w:eastAsia="方正仿宋_GBK" w:cs="方正仿宋_GBK"/>
          <w:lang w:val="en-US" w:eastAsia="zh-CN"/>
        </w:rPr>
        <w:t>参选文件中</w:t>
      </w:r>
      <w:r>
        <w:rPr>
          <w:rFonts w:hint="eastAsia" w:ascii="方正仿宋_GBK" w:hAnsi="方正仿宋_GBK" w:eastAsia="方正仿宋_GBK" w:cs="方正仿宋_GBK"/>
        </w:rPr>
        <w:t>作出的所有书面承诺须由法定代表人（或其授权代表）签署。</w:t>
      </w:r>
    </w:p>
    <w:p w14:paraId="17044017">
      <w:pPr>
        <w:pageBreakBefore w:val="0"/>
        <w:widowControl w:val="0"/>
        <w:kinsoku/>
        <w:wordWrap/>
        <w:overflowPunct/>
        <w:topLinePunct w:val="0"/>
        <w:autoSpaceDE/>
        <w:autoSpaceDN/>
        <w:bidi w:val="0"/>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（七）评选委员会采用综合评分法对参选人的参选文件和报价（含有效书面承诺）进行综合评分。</w:t>
      </w:r>
      <w:r>
        <w:rPr>
          <w:rFonts w:hint="eastAsia" w:ascii="方正仿宋_GBK" w:hAnsi="方正仿宋_GBK" w:eastAsia="方正仿宋_GBK" w:cs="方正仿宋_GBK"/>
          <w:kern w:val="0"/>
        </w:rPr>
        <w:t>综合评分法，是指参选文件满足竞争性比选文件全部实质性要求且按照评审因素的量化指标评审得分最高的参选人为中选候选人的评审方法。参选人总得分为报价、技术、商务等评定因素分别按照相应权重值计算分项得分后相加，满分为100分</w:t>
      </w:r>
      <w:r>
        <w:rPr>
          <w:rFonts w:hint="eastAsia" w:ascii="方正仿宋_GBK" w:hAnsi="方正仿宋_GBK" w:eastAsia="方正仿宋_GBK" w:cs="方正仿宋_GBK"/>
        </w:rPr>
        <w:t>。</w:t>
      </w:r>
    </w:p>
    <w:p w14:paraId="5C476C28">
      <w:pPr>
        <w:pageBreakBefore w:val="0"/>
        <w:widowControl w:val="0"/>
        <w:kinsoku/>
        <w:wordWrap/>
        <w:overflowPunct/>
        <w:topLinePunct w:val="0"/>
        <w:autoSpaceDE/>
        <w:autoSpaceDN/>
        <w:bidi w:val="0"/>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（八）评选委员会各成员独立对每个有效响应（通过资格性审查、</w:t>
      </w:r>
      <w:r>
        <w:rPr>
          <w:rFonts w:hint="eastAsia" w:ascii="方正仿宋_GBK" w:hAnsi="方正仿宋_GBK" w:eastAsia="方正仿宋_GBK" w:cs="方正仿宋_GBK"/>
          <w:kern w:val="0"/>
        </w:rPr>
        <w:t>符合性审查的参选人</w:t>
      </w:r>
      <w:r>
        <w:rPr>
          <w:rFonts w:hint="eastAsia" w:ascii="方正仿宋_GBK" w:hAnsi="方正仿宋_GBK" w:eastAsia="方正仿宋_GBK" w:cs="方正仿宋_GBK"/>
        </w:rPr>
        <w:t>）的文件进行评价、打分，然后汇总每个参选人每项评分因素的得分，并根据综合评分情况按照评审得分由高到低顺序推荐3名中选候选人。若参选人的评审得分相同的，按照报价由低到高的顺序排列推荐。评审得分且报价相同的，按照技术指标优劣顺序排列推荐。以上都相同的，按商务条款的优劣顺序排列推荐。若参选人的技术部分为0分，将失去成为中选候选人的资格。</w:t>
      </w:r>
    </w:p>
    <w:p w14:paraId="31F5D1A4">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480" w:lineRule="exact"/>
        <w:ind w:firstLine="562" w:firstLineChars="200"/>
        <w:jc w:val="both"/>
        <w:textAlignment w:val="auto"/>
        <w:outlineLvl w:val="1"/>
        <w:rPr>
          <w:rFonts w:hint="eastAsia" w:ascii="方正仿宋_GBK" w:hAnsi="方正仿宋_GBK" w:eastAsia="方正仿宋_GBK" w:cs="方正仿宋_GBK"/>
          <w:b/>
          <w:kern w:val="2"/>
          <w:sz w:val="28"/>
          <w:szCs w:val="28"/>
          <w:lang w:val="en-US" w:eastAsia="zh-CN" w:bidi="ar-SA"/>
        </w:rPr>
      </w:pPr>
      <w:bookmarkStart w:id="118" w:name="_Toc13337"/>
      <w:bookmarkStart w:id="119" w:name="_Toc13147"/>
      <w:bookmarkStart w:id="120" w:name="_Toc12989"/>
      <w:bookmarkStart w:id="121" w:name="_Toc5936"/>
      <w:bookmarkStart w:id="122" w:name="_Toc10607"/>
      <w:bookmarkStart w:id="123" w:name="_Toc16062"/>
      <w:r>
        <w:rPr>
          <w:rFonts w:hint="eastAsia" w:ascii="方正仿宋_GBK" w:hAnsi="方正仿宋_GBK" w:eastAsia="方正仿宋_GBK" w:cs="方正仿宋_GBK"/>
          <w:b/>
          <w:kern w:val="2"/>
          <w:sz w:val="28"/>
          <w:szCs w:val="28"/>
          <w:lang w:val="en-US" w:eastAsia="zh-CN" w:bidi="ar-SA"/>
        </w:rPr>
        <w:t>二、评审标准</w:t>
      </w:r>
      <w:bookmarkEnd w:id="118"/>
      <w:bookmarkEnd w:id="119"/>
      <w:bookmarkEnd w:id="120"/>
      <w:bookmarkEnd w:id="121"/>
      <w:bookmarkEnd w:id="122"/>
      <w:bookmarkEnd w:id="123"/>
    </w:p>
    <w:p w14:paraId="1D56A554">
      <w:pPr>
        <w:pageBreakBefore w:val="0"/>
        <w:widowControl w:val="0"/>
        <w:kinsoku/>
        <w:wordWrap/>
        <w:overflowPunct/>
        <w:topLinePunct w:val="0"/>
        <w:autoSpaceDE/>
        <w:autoSpaceDN/>
        <w:bidi w:val="0"/>
        <w:snapToGrid w:val="0"/>
        <w:spacing w:after="200"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评审的依据为竞争性比选文件（含有效的补充文件）。评选委员会判断参选文件对竞争性比选文件的响应，仅基于参选文件本身而不靠外部证据。</w:t>
      </w:r>
    </w:p>
    <w:tbl>
      <w:tblPr>
        <w:tblStyle w:val="9"/>
        <w:tblpPr w:leftFromText="180" w:rightFromText="180" w:vertAnchor="text" w:horzAnchor="page" w:tblpXSpec="center" w:tblpY="44"/>
        <w:tblOverlap w:val="never"/>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975"/>
        <w:gridCol w:w="1500"/>
        <w:gridCol w:w="6660"/>
      </w:tblGrid>
      <w:tr w14:paraId="020C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14:paraId="7E6D24A4">
            <w:pPr>
              <w:keepNext w:val="0"/>
              <w:keepLines w:val="0"/>
              <w:pageBreakBefore w:val="0"/>
              <w:kinsoku/>
              <w:wordWrap/>
              <w:overflowPunct/>
              <w:topLinePunct w:val="0"/>
              <w:autoSpaceDE/>
              <w:autoSpaceDN/>
              <w:bidi w:val="0"/>
              <w:adjustRightInd w:val="0"/>
              <w:snapToGrid/>
              <w:spacing w:line="300" w:lineRule="exact"/>
              <w:jc w:val="center"/>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sz w:val="24"/>
                <w:szCs w:val="24"/>
              </w:rPr>
              <w:t>序号</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CCE14F7">
            <w:pPr>
              <w:keepNext w:val="0"/>
              <w:keepLines w:val="0"/>
              <w:pageBreakBefore w:val="0"/>
              <w:kinsoku/>
              <w:wordWrap/>
              <w:overflowPunct/>
              <w:topLinePunct w:val="0"/>
              <w:autoSpaceDE/>
              <w:autoSpaceDN/>
              <w:bidi w:val="0"/>
              <w:adjustRightInd w:val="0"/>
              <w:snapToGrid/>
              <w:spacing w:line="300" w:lineRule="exact"/>
              <w:jc w:val="center"/>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sz w:val="24"/>
                <w:szCs w:val="24"/>
              </w:rPr>
              <w:t>评分因素</w:t>
            </w:r>
          </w:p>
        </w:tc>
        <w:tc>
          <w:tcPr>
            <w:tcW w:w="6660" w:type="dxa"/>
            <w:tcBorders>
              <w:top w:val="single" w:color="auto" w:sz="4" w:space="0"/>
              <w:left w:val="single" w:color="auto" w:sz="4" w:space="0"/>
              <w:bottom w:val="single" w:color="auto" w:sz="4" w:space="0"/>
              <w:right w:val="single" w:color="auto" w:sz="4" w:space="0"/>
            </w:tcBorders>
            <w:noWrap w:val="0"/>
            <w:vAlign w:val="center"/>
          </w:tcPr>
          <w:p w14:paraId="53203B62">
            <w:pPr>
              <w:keepNext w:val="0"/>
              <w:keepLines w:val="0"/>
              <w:pageBreakBefore w:val="0"/>
              <w:kinsoku/>
              <w:wordWrap/>
              <w:overflowPunct/>
              <w:topLinePunct w:val="0"/>
              <w:autoSpaceDE/>
              <w:autoSpaceDN/>
              <w:bidi w:val="0"/>
              <w:adjustRightInd w:val="0"/>
              <w:snapToGrid/>
              <w:spacing w:line="300" w:lineRule="exact"/>
              <w:jc w:val="center"/>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sz w:val="24"/>
                <w:szCs w:val="24"/>
              </w:rPr>
              <w:t>评分标准</w:t>
            </w:r>
          </w:p>
        </w:tc>
      </w:tr>
      <w:tr w14:paraId="19A8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14:paraId="7BB2620E">
            <w:pPr>
              <w:keepNext w:val="0"/>
              <w:keepLines w:val="0"/>
              <w:pageBreakBefore w:val="0"/>
              <w:kinsoku/>
              <w:wordWrap/>
              <w:overflowPunct/>
              <w:topLinePunct w:val="0"/>
              <w:autoSpaceDE/>
              <w:autoSpaceDN/>
              <w:bidi w:val="0"/>
              <w:adjustRightInd w:val="0"/>
              <w:snapToGrid/>
              <w:spacing w:line="300" w:lineRule="exact"/>
              <w:jc w:val="center"/>
              <w:textAlignment w:val="baseline"/>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FE1BB20">
            <w:pPr>
              <w:keepNext w:val="0"/>
              <w:keepLines w:val="0"/>
              <w:pageBreakBefore w:val="0"/>
              <w:kinsoku/>
              <w:wordWrap/>
              <w:overflowPunct/>
              <w:topLinePunct w:val="0"/>
              <w:autoSpaceDE/>
              <w:autoSpaceDN/>
              <w:bidi w:val="0"/>
              <w:adjustRightInd w:val="0"/>
              <w:snapToGrid/>
              <w:spacing w:line="300" w:lineRule="exact"/>
              <w:jc w:val="center"/>
              <w:textAlignment w:val="baseline"/>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价格</w:t>
            </w:r>
          </w:p>
          <w:p w14:paraId="13445ACC">
            <w:pPr>
              <w:keepNext w:val="0"/>
              <w:keepLines w:val="0"/>
              <w:pageBreakBefore w:val="0"/>
              <w:kinsoku/>
              <w:wordWrap/>
              <w:overflowPunct/>
              <w:topLinePunct w:val="0"/>
              <w:autoSpaceDE/>
              <w:autoSpaceDN/>
              <w:bidi w:val="0"/>
              <w:adjustRightInd w:val="0"/>
              <w:snapToGrid/>
              <w:spacing w:line="300" w:lineRule="exact"/>
              <w:jc w:val="center"/>
              <w:textAlignment w:val="baseline"/>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Cs/>
                <w:color w:val="auto"/>
                <w:sz w:val="24"/>
                <w:szCs w:val="24"/>
                <w:lang w:val="en-US" w:eastAsia="zh-CN"/>
              </w:rPr>
              <w:t>3</w:t>
            </w:r>
            <w:r>
              <w:rPr>
                <w:rFonts w:hint="eastAsia" w:ascii="方正仿宋_GBK" w:hAnsi="方正仿宋_GBK" w:eastAsia="方正仿宋_GBK" w:cs="方正仿宋_GBK"/>
                <w:bCs/>
                <w:color w:val="auto"/>
                <w:sz w:val="24"/>
                <w:szCs w:val="24"/>
              </w:rPr>
              <w:t>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39911BE">
            <w:pPr>
              <w:keepNext w:val="0"/>
              <w:keepLines w:val="0"/>
              <w:pageBreakBefore w:val="0"/>
              <w:kinsoku/>
              <w:wordWrap/>
              <w:overflowPunct/>
              <w:topLinePunct w:val="0"/>
              <w:autoSpaceDE/>
              <w:autoSpaceDN/>
              <w:bidi w:val="0"/>
              <w:adjustRightInd w:val="0"/>
              <w:snapToGrid/>
              <w:spacing w:line="300" w:lineRule="exact"/>
              <w:jc w:val="center"/>
              <w:textAlignment w:val="baseline"/>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参选报价</w:t>
            </w:r>
          </w:p>
          <w:p w14:paraId="4BF06EAE">
            <w:pPr>
              <w:keepNext w:val="0"/>
              <w:keepLines w:val="0"/>
              <w:pageBreakBefore w:val="0"/>
              <w:kinsoku/>
              <w:wordWrap/>
              <w:overflowPunct/>
              <w:topLinePunct w:val="0"/>
              <w:autoSpaceDE/>
              <w:autoSpaceDN/>
              <w:bidi w:val="0"/>
              <w:adjustRightInd w:val="0"/>
              <w:snapToGrid/>
              <w:spacing w:line="300" w:lineRule="exact"/>
              <w:jc w:val="center"/>
              <w:textAlignment w:val="baseline"/>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0分）</w:t>
            </w:r>
          </w:p>
        </w:tc>
        <w:tc>
          <w:tcPr>
            <w:tcW w:w="6660" w:type="dxa"/>
            <w:tcBorders>
              <w:top w:val="single" w:color="auto" w:sz="4" w:space="0"/>
              <w:left w:val="single" w:color="auto" w:sz="4" w:space="0"/>
              <w:bottom w:val="single" w:color="auto" w:sz="4" w:space="0"/>
              <w:right w:val="single" w:color="auto" w:sz="4" w:space="0"/>
            </w:tcBorders>
            <w:noWrap w:val="0"/>
            <w:vAlign w:val="center"/>
          </w:tcPr>
          <w:p w14:paraId="6C35732C">
            <w:pPr>
              <w:pStyle w:val="4"/>
              <w:keepNext w:val="0"/>
              <w:keepLines w:val="0"/>
              <w:pageBreakBefore w:val="0"/>
              <w:kinsoku/>
              <w:wordWrap/>
              <w:overflowPunct/>
              <w:topLinePunct w:val="0"/>
              <w:autoSpaceDE/>
              <w:autoSpaceDN/>
              <w:bidi w:val="0"/>
              <w:snapToGrid/>
              <w:spacing w:after="0"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有效的参选报价中的最低价为评标基准价，其价格分为满分。其他参选人的价格分统一按照下列公式计算：</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报价得分＝（评标基准价/参选报价）×价格权重×100。</w:t>
            </w:r>
          </w:p>
        </w:tc>
      </w:tr>
      <w:tr w14:paraId="25F1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14:paraId="3ECBA9D2">
            <w:pPr>
              <w:keepNext w:val="0"/>
              <w:keepLines w:val="0"/>
              <w:pageBreakBefore w:val="0"/>
              <w:kinsoku/>
              <w:wordWrap/>
              <w:overflowPunct/>
              <w:topLinePunct w:val="0"/>
              <w:autoSpaceDE/>
              <w:autoSpaceDN/>
              <w:bidi w:val="0"/>
              <w:adjustRightInd w:val="0"/>
              <w:snapToGrid/>
              <w:spacing w:line="300" w:lineRule="exact"/>
              <w:jc w:val="center"/>
              <w:textAlignment w:val="baseline"/>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4CC1395F">
            <w:pPr>
              <w:keepNext w:val="0"/>
              <w:keepLines w:val="0"/>
              <w:pageBreakBefore w:val="0"/>
              <w:kinsoku/>
              <w:wordWrap/>
              <w:overflowPunct/>
              <w:topLinePunct w:val="0"/>
              <w:autoSpaceDE/>
              <w:autoSpaceDN/>
              <w:bidi w:val="0"/>
              <w:adjustRightInd w:val="0"/>
              <w:snapToGrid/>
              <w:spacing w:line="300" w:lineRule="exact"/>
              <w:ind w:left="-140" w:leftChars="-50" w:right="-140" w:rightChars="-50"/>
              <w:jc w:val="center"/>
              <w:textAlignment w:val="baseline"/>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技术部分</w:t>
            </w:r>
          </w:p>
          <w:p w14:paraId="38E8A91E">
            <w:pPr>
              <w:keepNext w:val="0"/>
              <w:keepLines w:val="0"/>
              <w:pageBreakBefore w:val="0"/>
              <w:kinsoku/>
              <w:wordWrap/>
              <w:overflowPunct/>
              <w:topLinePunct w:val="0"/>
              <w:autoSpaceDE/>
              <w:autoSpaceDN/>
              <w:bidi w:val="0"/>
              <w:adjustRightInd w:val="0"/>
              <w:snapToGrid/>
              <w:spacing w:line="300" w:lineRule="exact"/>
              <w:ind w:left="-140" w:leftChars="-50" w:right="-140" w:rightChars="-50"/>
              <w:jc w:val="center"/>
              <w:textAlignment w:val="baseline"/>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Cs/>
                <w:color w:val="auto"/>
                <w:sz w:val="24"/>
                <w:szCs w:val="24"/>
                <w:lang w:val="en-US" w:eastAsia="zh-CN"/>
              </w:rPr>
              <w:t>35</w:t>
            </w:r>
            <w:r>
              <w:rPr>
                <w:rFonts w:hint="eastAsia" w:ascii="方正仿宋_GBK" w:hAnsi="方正仿宋_GBK" w:eastAsia="方正仿宋_GBK" w:cs="方正仿宋_GBK"/>
                <w:bCs/>
                <w:color w:val="auto"/>
                <w:sz w:val="24"/>
                <w:szCs w:val="24"/>
              </w:rPr>
              <w:t>%</w:t>
            </w:r>
          </w:p>
        </w:tc>
        <w:tc>
          <w:tcPr>
            <w:tcW w:w="1500" w:type="dxa"/>
            <w:tcBorders>
              <w:top w:val="single" w:color="auto" w:sz="4" w:space="0"/>
              <w:left w:val="single" w:color="auto" w:sz="4" w:space="0"/>
              <w:right w:val="single" w:color="auto" w:sz="4" w:space="0"/>
            </w:tcBorders>
            <w:noWrap w:val="0"/>
            <w:vAlign w:val="center"/>
          </w:tcPr>
          <w:p w14:paraId="273F49E8">
            <w:pPr>
              <w:keepNext w:val="0"/>
              <w:keepLines w:val="0"/>
              <w:pageBreakBefore w:val="0"/>
              <w:tabs>
                <w:tab w:val="left" w:pos="1414"/>
                <w:tab w:val="left" w:pos="7513"/>
              </w:tabs>
              <w:kinsoku/>
              <w:wordWrap/>
              <w:overflowPunct/>
              <w:topLinePunct w:val="0"/>
              <w:autoSpaceDE/>
              <w:autoSpaceDN/>
              <w:bidi w:val="0"/>
              <w:snapToGrid/>
              <w:spacing w:line="300" w:lineRule="exact"/>
              <w:ind w:right="232" w:rightChars="83"/>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服务方案</w:t>
            </w:r>
          </w:p>
          <w:p w14:paraId="0F0F27F7">
            <w:pPr>
              <w:keepNext w:val="0"/>
              <w:keepLines w:val="0"/>
              <w:pageBreakBefore w:val="0"/>
              <w:tabs>
                <w:tab w:val="left" w:pos="1414"/>
                <w:tab w:val="left" w:pos="7513"/>
              </w:tabs>
              <w:kinsoku/>
              <w:wordWrap/>
              <w:overflowPunct/>
              <w:topLinePunct w:val="0"/>
              <w:autoSpaceDE/>
              <w:autoSpaceDN/>
              <w:bidi w:val="0"/>
              <w:snapToGrid/>
              <w:spacing w:line="300" w:lineRule="exact"/>
              <w:ind w:right="232" w:rightChars="83"/>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35</w:t>
            </w:r>
            <w:r>
              <w:rPr>
                <w:rFonts w:hint="eastAsia" w:ascii="方正仿宋_GBK" w:hAnsi="方正仿宋_GBK" w:eastAsia="方正仿宋_GBK" w:cs="方正仿宋_GBK"/>
                <w:color w:val="auto"/>
                <w:sz w:val="24"/>
                <w:szCs w:val="24"/>
              </w:rPr>
              <w:t>分）</w:t>
            </w:r>
          </w:p>
        </w:tc>
        <w:tc>
          <w:tcPr>
            <w:tcW w:w="6660" w:type="dxa"/>
            <w:tcBorders>
              <w:top w:val="single" w:color="auto" w:sz="4" w:space="0"/>
              <w:left w:val="single" w:color="auto" w:sz="4" w:space="0"/>
              <w:bottom w:val="single" w:color="auto" w:sz="4" w:space="0"/>
              <w:right w:val="single" w:color="auto" w:sz="4" w:space="0"/>
            </w:tcBorders>
            <w:noWrap w:val="0"/>
            <w:vAlign w:val="center"/>
          </w:tcPr>
          <w:p w14:paraId="224FE6F2">
            <w:pPr>
              <w:keepNext w:val="0"/>
              <w:keepLines w:val="0"/>
              <w:pageBreakBefore w:val="0"/>
              <w:widowControl/>
              <w:kinsoku/>
              <w:wordWrap/>
              <w:overflowPunct/>
              <w:topLinePunct w:val="0"/>
              <w:autoSpaceDE/>
              <w:autoSpaceDN/>
              <w:bidi w:val="0"/>
              <w:snapToGrid/>
              <w:spacing w:line="300" w:lineRule="exact"/>
              <w:jc w:val="left"/>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1.服务方案（</w:t>
            </w:r>
            <w:r>
              <w:rPr>
                <w:rFonts w:hint="eastAsia" w:ascii="方正仿宋_GBK" w:hAnsi="方正仿宋_GBK" w:eastAsia="方正仿宋_GBK" w:cs="方正仿宋_GBK"/>
                <w:kern w:val="0"/>
                <w:sz w:val="24"/>
                <w:szCs w:val="24"/>
                <w:lang w:val="en-US" w:eastAsia="zh-CN" w:bidi="ar"/>
              </w:rPr>
              <w:t>15</w:t>
            </w:r>
            <w:r>
              <w:rPr>
                <w:rFonts w:hint="eastAsia" w:ascii="方正仿宋_GBK" w:hAnsi="方正仿宋_GBK" w:eastAsia="方正仿宋_GBK" w:cs="方正仿宋_GBK"/>
                <w:kern w:val="0"/>
                <w:sz w:val="24"/>
                <w:szCs w:val="24"/>
                <w:lang w:bidi="ar"/>
              </w:rPr>
              <w:t>分）</w:t>
            </w:r>
          </w:p>
          <w:p w14:paraId="05F365DE">
            <w:pPr>
              <w:keepNext w:val="0"/>
              <w:keepLines w:val="0"/>
              <w:pageBreakBefore w:val="0"/>
              <w:widowControl/>
              <w:kinsoku/>
              <w:wordWrap/>
              <w:overflowPunct/>
              <w:topLinePunct w:val="0"/>
              <w:autoSpaceDE/>
              <w:autoSpaceDN/>
              <w:bidi w:val="0"/>
              <w:snapToGrid/>
              <w:spacing w:line="300" w:lineRule="exact"/>
              <w:jc w:val="left"/>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根据参选人提供的服务方案的全面性、合理性，按照优劣程度进行评分。方案思路清晰，内容完整、针对性强、可操作性强得</w:t>
            </w:r>
            <w:r>
              <w:rPr>
                <w:rFonts w:hint="eastAsia" w:ascii="方正仿宋_GBK" w:hAnsi="方正仿宋_GBK" w:eastAsia="方正仿宋_GBK" w:cs="方正仿宋_GBK"/>
                <w:kern w:val="0"/>
                <w:sz w:val="24"/>
                <w:szCs w:val="24"/>
                <w:lang w:val="en-US" w:eastAsia="zh-CN" w:bidi="ar"/>
              </w:rPr>
              <w:t>15</w:t>
            </w:r>
            <w:r>
              <w:rPr>
                <w:rFonts w:hint="eastAsia" w:ascii="方正仿宋_GBK" w:hAnsi="方正仿宋_GBK" w:eastAsia="方正仿宋_GBK" w:cs="方正仿宋_GBK"/>
                <w:kern w:val="0"/>
                <w:sz w:val="24"/>
                <w:szCs w:val="24"/>
                <w:lang w:bidi="ar"/>
              </w:rPr>
              <w:t>分；方案内容简单粗略、针对性一般、可操作性一般得10分；方案内容不完整、针对性差、可操作性差得5分；未提供的不得分。</w:t>
            </w:r>
          </w:p>
          <w:p w14:paraId="384491F6">
            <w:pPr>
              <w:keepNext w:val="0"/>
              <w:keepLines w:val="0"/>
              <w:pageBreakBefore w:val="0"/>
              <w:widowControl/>
              <w:kinsoku/>
              <w:wordWrap/>
              <w:overflowPunct/>
              <w:topLinePunct w:val="0"/>
              <w:autoSpaceDE/>
              <w:autoSpaceDN/>
              <w:bidi w:val="0"/>
              <w:snapToGrid/>
              <w:spacing w:line="300" w:lineRule="exact"/>
              <w:jc w:val="left"/>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2.人员配置方案（</w:t>
            </w:r>
            <w:r>
              <w:rPr>
                <w:rFonts w:hint="eastAsia" w:ascii="方正仿宋_GBK" w:hAnsi="方正仿宋_GBK" w:eastAsia="方正仿宋_GBK" w:cs="方正仿宋_GBK"/>
                <w:kern w:val="0"/>
                <w:sz w:val="24"/>
                <w:szCs w:val="24"/>
                <w:lang w:val="en-US" w:eastAsia="zh-CN" w:bidi="ar"/>
              </w:rPr>
              <w:t>5</w:t>
            </w:r>
            <w:r>
              <w:rPr>
                <w:rFonts w:hint="eastAsia" w:ascii="方正仿宋_GBK" w:hAnsi="方正仿宋_GBK" w:eastAsia="方正仿宋_GBK" w:cs="方正仿宋_GBK"/>
                <w:kern w:val="0"/>
                <w:sz w:val="24"/>
                <w:szCs w:val="24"/>
                <w:lang w:bidi="ar"/>
              </w:rPr>
              <w:t>分）</w:t>
            </w:r>
          </w:p>
          <w:p w14:paraId="424F440E">
            <w:pPr>
              <w:keepNext w:val="0"/>
              <w:keepLines w:val="0"/>
              <w:pageBreakBefore w:val="0"/>
              <w:widowControl/>
              <w:kinsoku/>
              <w:wordWrap/>
              <w:overflowPunct/>
              <w:topLinePunct w:val="0"/>
              <w:autoSpaceDE/>
              <w:autoSpaceDN/>
              <w:bidi w:val="0"/>
              <w:snapToGrid/>
              <w:spacing w:line="300" w:lineRule="exact"/>
              <w:jc w:val="left"/>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根据参选人提供的人员配置方案（内容包括但不限于组织架构、人员名单、角色分工等）的全面性、合理性，按照优劣程度进行评分。方案内容完整、针对性强、可操作性强得</w:t>
            </w:r>
            <w:r>
              <w:rPr>
                <w:rFonts w:hint="eastAsia" w:ascii="方正仿宋_GBK" w:hAnsi="方正仿宋_GBK" w:eastAsia="方正仿宋_GBK" w:cs="方正仿宋_GBK"/>
                <w:kern w:val="0"/>
                <w:sz w:val="24"/>
                <w:szCs w:val="24"/>
                <w:lang w:val="en-US" w:eastAsia="zh-CN" w:bidi="ar"/>
              </w:rPr>
              <w:t>5</w:t>
            </w:r>
            <w:r>
              <w:rPr>
                <w:rFonts w:hint="eastAsia" w:ascii="方正仿宋_GBK" w:hAnsi="方正仿宋_GBK" w:eastAsia="方正仿宋_GBK" w:cs="方正仿宋_GBK"/>
                <w:kern w:val="0"/>
                <w:sz w:val="24"/>
                <w:szCs w:val="24"/>
                <w:lang w:bidi="ar"/>
              </w:rPr>
              <w:t>分；方案内容简单粗略、针对性一般、可操作性一般得</w:t>
            </w:r>
            <w:r>
              <w:rPr>
                <w:rFonts w:hint="eastAsia" w:ascii="方正仿宋_GBK" w:hAnsi="方正仿宋_GBK" w:eastAsia="方正仿宋_GBK" w:cs="方正仿宋_GBK"/>
                <w:kern w:val="0"/>
                <w:sz w:val="24"/>
                <w:szCs w:val="24"/>
                <w:lang w:val="en-US" w:eastAsia="zh-CN" w:bidi="ar"/>
              </w:rPr>
              <w:t>3</w:t>
            </w:r>
            <w:r>
              <w:rPr>
                <w:rFonts w:hint="eastAsia" w:ascii="方正仿宋_GBK" w:hAnsi="方正仿宋_GBK" w:eastAsia="方正仿宋_GBK" w:cs="方正仿宋_GBK"/>
                <w:kern w:val="0"/>
                <w:sz w:val="24"/>
                <w:szCs w:val="24"/>
                <w:lang w:bidi="ar"/>
              </w:rPr>
              <w:t>分；方案内容不完整、针对性差、可操作性差得</w:t>
            </w:r>
            <w:r>
              <w:rPr>
                <w:rFonts w:hint="eastAsia" w:ascii="方正仿宋_GBK" w:hAnsi="方正仿宋_GBK" w:eastAsia="方正仿宋_GBK" w:cs="方正仿宋_GBK"/>
                <w:kern w:val="0"/>
                <w:sz w:val="24"/>
                <w:szCs w:val="24"/>
                <w:lang w:val="en-US" w:eastAsia="zh-CN" w:bidi="ar"/>
              </w:rPr>
              <w:t>1</w:t>
            </w:r>
            <w:r>
              <w:rPr>
                <w:rFonts w:hint="eastAsia" w:ascii="方正仿宋_GBK" w:hAnsi="方正仿宋_GBK" w:eastAsia="方正仿宋_GBK" w:cs="方正仿宋_GBK"/>
                <w:kern w:val="0"/>
                <w:sz w:val="24"/>
                <w:szCs w:val="24"/>
                <w:lang w:bidi="ar"/>
              </w:rPr>
              <w:t>分；未提供的不得分。</w:t>
            </w:r>
          </w:p>
          <w:p w14:paraId="5768F9EF">
            <w:pPr>
              <w:keepNext w:val="0"/>
              <w:keepLines w:val="0"/>
              <w:pageBreakBefore w:val="0"/>
              <w:widowControl/>
              <w:kinsoku/>
              <w:wordWrap/>
              <w:overflowPunct/>
              <w:topLinePunct w:val="0"/>
              <w:autoSpaceDE/>
              <w:autoSpaceDN/>
              <w:bidi w:val="0"/>
              <w:snapToGrid/>
              <w:spacing w:line="300" w:lineRule="exact"/>
              <w:jc w:val="left"/>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3.应急保障方案（</w:t>
            </w:r>
            <w:r>
              <w:rPr>
                <w:rFonts w:hint="eastAsia" w:ascii="方正仿宋_GBK" w:hAnsi="方正仿宋_GBK" w:eastAsia="方正仿宋_GBK" w:cs="方正仿宋_GBK"/>
                <w:kern w:val="0"/>
                <w:sz w:val="24"/>
                <w:szCs w:val="24"/>
                <w:lang w:val="en-US" w:eastAsia="zh-CN" w:bidi="ar"/>
              </w:rPr>
              <w:t>15</w:t>
            </w:r>
            <w:r>
              <w:rPr>
                <w:rFonts w:hint="eastAsia" w:ascii="方正仿宋_GBK" w:hAnsi="方正仿宋_GBK" w:eastAsia="方正仿宋_GBK" w:cs="方正仿宋_GBK"/>
                <w:kern w:val="0"/>
                <w:sz w:val="24"/>
                <w:szCs w:val="24"/>
                <w:lang w:bidi="ar"/>
              </w:rPr>
              <w:t>分）</w:t>
            </w:r>
          </w:p>
          <w:p w14:paraId="15812917">
            <w:pPr>
              <w:keepNext w:val="0"/>
              <w:keepLines w:val="0"/>
              <w:pageBreakBefore w:val="0"/>
              <w:widowControl/>
              <w:tabs>
                <w:tab w:val="left" w:pos="1414"/>
                <w:tab w:val="left" w:pos="7513"/>
              </w:tabs>
              <w:kinsoku/>
              <w:wordWrap/>
              <w:overflowPunct/>
              <w:topLinePunct w:val="0"/>
              <w:autoSpaceDE/>
              <w:autoSpaceDN/>
              <w:bidi w:val="0"/>
              <w:snapToGrid/>
              <w:spacing w:line="300" w:lineRule="exact"/>
              <w:ind w:right="232" w:rightChars="83"/>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参选人根据本项目实施过程中，分析可能出现突发情况，并提供的相应的应急保障方案，根据参选人提供的方案的全面性、合理性，按照优劣程度进行评分。方案内容完整、针对性强、可操作性强得</w:t>
            </w:r>
            <w:r>
              <w:rPr>
                <w:rFonts w:hint="eastAsia" w:ascii="方正仿宋_GBK" w:hAnsi="方正仿宋_GBK" w:eastAsia="方正仿宋_GBK" w:cs="方正仿宋_GBK"/>
                <w:kern w:val="0"/>
                <w:sz w:val="24"/>
                <w:szCs w:val="24"/>
                <w:lang w:val="en-US" w:eastAsia="zh-CN" w:bidi="ar"/>
              </w:rPr>
              <w:t>15</w:t>
            </w:r>
            <w:r>
              <w:rPr>
                <w:rFonts w:hint="eastAsia" w:ascii="方正仿宋_GBK" w:hAnsi="方正仿宋_GBK" w:eastAsia="方正仿宋_GBK" w:cs="方正仿宋_GBK"/>
                <w:kern w:val="0"/>
                <w:sz w:val="24"/>
                <w:szCs w:val="24"/>
                <w:lang w:bidi="ar"/>
              </w:rPr>
              <w:t>分；方案内容简单粗略、针对性一般、可操作性一般得</w:t>
            </w:r>
            <w:r>
              <w:rPr>
                <w:rFonts w:hint="eastAsia" w:ascii="方正仿宋_GBK" w:hAnsi="方正仿宋_GBK" w:eastAsia="方正仿宋_GBK" w:cs="方正仿宋_GBK"/>
                <w:kern w:val="0"/>
                <w:sz w:val="24"/>
                <w:szCs w:val="24"/>
                <w:lang w:val="en-US" w:eastAsia="zh-CN" w:bidi="ar"/>
              </w:rPr>
              <w:t>10</w:t>
            </w:r>
            <w:r>
              <w:rPr>
                <w:rFonts w:hint="eastAsia" w:ascii="方正仿宋_GBK" w:hAnsi="方正仿宋_GBK" w:eastAsia="方正仿宋_GBK" w:cs="方正仿宋_GBK"/>
                <w:kern w:val="0"/>
                <w:sz w:val="24"/>
                <w:szCs w:val="24"/>
                <w:lang w:bidi="ar"/>
              </w:rPr>
              <w:t>分；方案内容不完整、针对性差、可操作性差得</w:t>
            </w:r>
            <w:r>
              <w:rPr>
                <w:rFonts w:hint="eastAsia" w:ascii="方正仿宋_GBK" w:hAnsi="方正仿宋_GBK" w:eastAsia="方正仿宋_GBK" w:cs="方正仿宋_GBK"/>
                <w:kern w:val="0"/>
                <w:sz w:val="24"/>
                <w:szCs w:val="24"/>
                <w:lang w:val="en-US" w:eastAsia="zh-CN" w:bidi="ar"/>
              </w:rPr>
              <w:t>5</w:t>
            </w:r>
            <w:r>
              <w:rPr>
                <w:rFonts w:hint="eastAsia" w:ascii="方正仿宋_GBK" w:hAnsi="方正仿宋_GBK" w:eastAsia="方正仿宋_GBK" w:cs="方正仿宋_GBK"/>
                <w:kern w:val="0"/>
                <w:sz w:val="24"/>
                <w:szCs w:val="24"/>
                <w:lang w:bidi="ar"/>
              </w:rPr>
              <w:t>分；未提供的不得分。</w:t>
            </w:r>
          </w:p>
        </w:tc>
      </w:tr>
      <w:tr w14:paraId="471E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5" w:type="dxa"/>
            <w:vMerge w:val="restart"/>
            <w:tcBorders>
              <w:top w:val="single" w:color="auto" w:sz="4" w:space="0"/>
              <w:left w:val="single" w:color="auto" w:sz="4" w:space="0"/>
              <w:right w:val="single" w:color="auto" w:sz="4" w:space="0"/>
            </w:tcBorders>
            <w:noWrap w:val="0"/>
            <w:vAlign w:val="center"/>
          </w:tcPr>
          <w:p w14:paraId="3672FD55">
            <w:pPr>
              <w:keepNext w:val="0"/>
              <w:keepLines w:val="0"/>
              <w:pageBreakBefore w:val="0"/>
              <w:kinsoku/>
              <w:wordWrap/>
              <w:overflowPunct/>
              <w:topLinePunct w:val="0"/>
              <w:autoSpaceDE/>
              <w:autoSpaceDN/>
              <w:bidi w:val="0"/>
              <w:adjustRightInd w:val="0"/>
              <w:snapToGrid/>
              <w:spacing w:line="300" w:lineRule="exact"/>
              <w:jc w:val="center"/>
              <w:textAlignment w:val="baseline"/>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 xml:space="preserve"> </w:t>
            </w:r>
          </w:p>
          <w:p w14:paraId="018844A0">
            <w:pPr>
              <w:keepNext w:val="0"/>
              <w:keepLines w:val="0"/>
              <w:pageBreakBefore w:val="0"/>
              <w:kinsoku/>
              <w:wordWrap/>
              <w:overflowPunct/>
              <w:topLinePunct w:val="0"/>
              <w:autoSpaceDE/>
              <w:autoSpaceDN/>
              <w:bidi w:val="0"/>
              <w:adjustRightInd w:val="0"/>
              <w:snapToGrid/>
              <w:spacing w:line="300" w:lineRule="exact"/>
              <w:jc w:val="center"/>
              <w:textAlignment w:val="baseline"/>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3</w:t>
            </w:r>
          </w:p>
        </w:tc>
        <w:tc>
          <w:tcPr>
            <w:tcW w:w="975" w:type="dxa"/>
            <w:vMerge w:val="restart"/>
            <w:tcBorders>
              <w:top w:val="single" w:color="auto" w:sz="4" w:space="0"/>
              <w:left w:val="single" w:color="auto" w:sz="4" w:space="0"/>
              <w:right w:val="single" w:color="auto" w:sz="4" w:space="0"/>
            </w:tcBorders>
            <w:noWrap w:val="0"/>
            <w:vAlign w:val="center"/>
          </w:tcPr>
          <w:p w14:paraId="77DC88DD">
            <w:pPr>
              <w:keepNext w:val="0"/>
              <w:keepLines w:val="0"/>
              <w:pageBreakBefore w:val="0"/>
              <w:kinsoku/>
              <w:wordWrap/>
              <w:overflowPunct/>
              <w:topLinePunct w:val="0"/>
              <w:autoSpaceDE/>
              <w:autoSpaceDN/>
              <w:bidi w:val="0"/>
              <w:adjustRightInd w:val="0"/>
              <w:snapToGrid/>
              <w:spacing w:line="300" w:lineRule="exact"/>
              <w:ind w:left="-140" w:leftChars="-50" w:right="-140" w:rightChars="-50"/>
              <w:jc w:val="center"/>
              <w:textAlignment w:val="baseline"/>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Cs/>
                <w:color w:val="auto"/>
                <w:sz w:val="24"/>
                <w:szCs w:val="24"/>
              </w:rPr>
              <w:t>商务部分</w:t>
            </w:r>
            <w:r>
              <w:rPr>
                <w:rFonts w:hint="eastAsia" w:ascii="方正仿宋_GBK" w:hAnsi="方正仿宋_GBK" w:eastAsia="方正仿宋_GBK" w:cs="方正仿宋_GBK"/>
                <w:bCs/>
                <w:color w:val="auto"/>
                <w:sz w:val="24"/>
                <w:szCs w:val="24"/>
                <w:lang w:val="en-US" w:eastAsia="zh-CN"/>
              </w:rPr>
              <w:t>35</w:t>
            </w:r>
            <w:r>
              <w:rPr>
                <w:rFonts w:hint="eastAsia" w:ascii="方正仿宋_GBK" w:hAnsi="方正仿宋_GBK" w:eastAsia="方正仿宋_GBK" w:cs="方正仿宋_GBK"/>
                <w:bCs/>
                <w:color w:val="auto"/>
                <w:sz w:val="24"/>
                <w:szCs w:val="24"/>
              </w:rPr>
              <w:t>%</w:t>
            </w:r>
          </w:p>
        </w:tc>
        <w:tc>
          <w:tcPr>
            <w:tcW w:w="15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2103FD2">
            <w:pPr>
              <w:keepNext w:val="0"/>
              <w:keepLines w:val="0"/>
              <w:pageBreakBefore w:val="0"/>
              <w:widowControl/>
              <w:kinsoku/>
              <w:wordWrap/>
              <w:overflowPunct/>
              <w:topLinePunct w:val="0"/>
              <w:autoSpaceDE/>
              <w:autoSpaceDN/>
              <w:bidi w:val="0"/>
              <w:snapToGrid/>
              <w:spacing w:line="3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公司实力</w:t>
            </w:r>
          </w:p>
          <w:p w14:paraId="06B976D0">
            <w:pPr>
              <w:keepNext w:val="0"/>
              <w:keepLines w:val="0"/>
              <w:pageBreakBefore w:val="0"/>
              <w:kinsoku/>
              <w:wordWrap/>
              <w:overflowPunct/>
              <w:topLinePunct w:val="0"/>
              <w:autoSpaceDE/>
              <w:autoSpaceDN/>
              <w:bidi w:val="0"/>
              <w:snapToGrid/>
              <w:spacing w:line="30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kern w:val="0"/>
                <w:sz w:val="24"/>
                <w:szCs w:val="24"/>
              </w:rPr>
              <w:t>（10分）</w:t>
            </w:r>
          </w:p>
        </w:tc>
        <w:tc>
          <w:tcPr>
            <w:tcW w:w="6660" w:type="dxa"/>
            <w:tcBorders>
              <w:top w:val="single" w:color="auto" w:sz="4" w:space="0"/>
              <w:left w:val="single" w:color="auto" w:sz="4" w:space="0"/>
              <w:bottom w:val="single" w:color="auto" w:sz="4" w:space="0"/>
              <w:right w:val="single" w:color="auto" w:sz="4" w:space="0"/>
            </w:tcBorders>
            <w:noWrap w:val="0"/>
            <w:vAlign w:val="top"/>
          </w:tcPr>
          <w:p w14:paraId="20374F16">
            <w:pPr>
              <w:keepNext w:val="0"/>
              <w:keepLines w:val="0"/>
              <w:pageBreakBefore w:val="0"/>
              <w:kinsoku/>
              <w:wordWrap/>
              <w:overflowPunct/>
              <w:topLinePunct w:val="0"/>
              <w:autoSpaceDE/>
              <w:autoSpaceDN/>
              <w:bidi w:val="0"/>
              <w:snapToGrid/>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参选人具有市级媒体平台和信息发布渠道</w:t>
            </w:r>
            <w:r>
              <w:rPr>
                <w:rFonts w:hint="eastAsia" w:ascii="方正仿宋_GBK" w:hAnsi="方正仿宋_GBK" w:eastAsia="方正仿宋_GBK" w:cs="方正仿宋_GBK"/>
                <w:kern w:val="0"/>
                <w:sz w:val="24"/>
                <w:szCs w:val="24"/>
                <w:lang w:val="en-US" w:eastAsia="zh-CN" w:bidi="ar"/>
              </w:rPr>
              <w:t>资源</w:t>
            </w:r>
            <w:r>
              <w:rPr>
                <w:rFonts w:hint="eastAsia" w:ascii="方正仿宋_GBK" w:hAnsi="方正仿宋_GBK" w:eastAsia="方正仿宋_GBK" w:cs="方正仿宋_GBK"/>
                <w:kern w:val="0"/>
                <w:sz w:val="24"/>
                <w:szCs w:val="24"/>
                <w:lang w:bidi="ar"/>
              </w:rPr>
              <w:t>，有得10分，没有不得分。</w:t>
            </w:r>
          </w:p>
        </w:tc>
      </w:tr>
      <w:tr w14:paraId="69EA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Borders>
              <w:left w:val="single" w:color="auto" w:sz="4" w:space="0"/>
              <w:right w:val="single" w:color="auto" w:sz="4" w:space="0"/>
            </w:tcBorders>
            <w:noWrap w:val="0"/>
            <w:vAlign w:val="center"/>
          </w:tcPr>
          <w:p w14:paraId="4DA9E77F">
            <w:pPr>
              <w:keepNext w:val="0"/>
              <w:keepLines w:val="0"/>
              <w:pageBreakBefore w:val="0"/>
              <w:widowControl/>
              <w:kinsoku/>
              <w:wordWrap/>
              <w:overflowPunct/>
              <w:topLinePunct w:val="0"/>
              <w:autoSpaceDE/>
              <w:autoSpaceDN/>
              <w:bidi w:val="0"/>
              <w:snapToGrid/>
              <w:spacing w:line="300" w:lineRule="exact"/>
              <w:jc w:val="left"/>
              <w:rPr>
                <w:rFonts w:hint="eastAsia" w:ascii="方正仿宋_GBK" w:hAnsi="方正仿宋_GBK" w:eastAsia="方正仿宋_GBK" w:cs="方正仿宋_GBK"/>
                <w:b/>
                <w:color w:val="000000"/>
                <w:sz w:val="24"/>
                <w:szCs w:val="24"/>
              </w:rPr>
            </w:pPr>
          </w:p>
        </w:tc>
        <w:tc>
          <w:tcPr>
            <w:tcW w:w="975" w:type="dxa"/>
            <w:vMerge w:val="continue"/>
            <w:tcBorders>
              <w:left w:val="single" w:color="auto" w:sz="4" w:space="0"/>
              <w:right w:val="single" w:color="auto" w:sz="4" w:space="0"/>
            </w:tcBorders>
            <w:noWrap w:val="0"/>
            <w:vAlign w:val="center"/>
          </w:tcPr>
          <w:p w14:paraId="5491E9A1">
            <w:pPr>
              <w:keepNext w:val="0"/>
              <w:keepLines w:val="0"/>
              <w:pageBreakBefore w:val="0"/>
              <w:widowControl/>
              <w:kinsoku/>
              <w:wordWrap/>
              <w:overflowPunct/>
              <w:topLinePunct w:val="0"/>
              <w:autoSpaceDE/>
              <w:autoSpaceDN/>
              <w:bidi w:val="0"/>
              <w:snapToGrid/>
              <w:spacing w:line="300" w:lineRule="exact"/>
              <w:jc w:val="left"/>
              <w:rPr>
                <w:rFonts w:hint="eastAsia" w:ascii="方正仿宋_GBK" w:hAnsi="方正仿宋_GBK" w:eastAsia="方正仿宋_GBK" w:cs="方正仿宋_GBK"/>
                <w:b/>
                <w:color w:val="000000"/>
                <w:sz w:val="24"/>
                <w:szCs w:val="24"/>
              </w:rPr>
            </w:pPr>
          </w:p>
        </w:tc>
        <w:tc>
          <w:tcPr>
            <w:tcW w:w="15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8A335CB">
            <w:pPr>
              <w:keepNext w:val="0"/>
              <w:keepLines w:val="0"/>
              <w:pageBreakBefore w:val="0"/>
              <w:widowControl/>
              <w:kinsoku/>
              <w:wordWrap/>
              <w:overflowPunct/>
              <w:topLinePunct w:val="0"/>
              <w:autoSpaceDE/>
              <w:autoSpaceDN/>
              <w:bidi w:val="0"/>
              <w:snapToGrid/>
              <w:spacing w:line="3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项目经验</w:t>
            </w:r>
          </w:p>
          <w:p w14:paraId="1287870A">
            <w:pPr>
              <w:keepNext w:val="0"/>
              <w:keepLines w:val="0"/>
              <w:pageBreakBefore w:val="0"/>
              <w:kinsoku/>
              <w:wordWrap/>
              <w:overflowPunct/>
              <w:topLinePunct w:val="0"/>
              <w:autoSpaceDE/>
              <w:autoSpaceDN/>
              <w:bidi w:val="0"/>
              <w:snapToGrid/>
              <w:spacing w:line="30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lang w:val="en-US" w:eastAsia="zh-CN"/>
              </w:rPr>
              <w:t>15</w:t>
            </w:r>
            <w:r>
              <w:rPr>
                <w:rFonts w:hint="eastAsia" w:ascii="方正仿宋_GBK" w:hAnsi="方正仿宋_GBK" w:eastAsia="方正仿宋_GBK" w:cs="方正仿宋_GBK"/>
                <w:kern w:val="0"/>
                <w:sz w:val="24"/>
                <w:szCs w:val="24"/>
              </w:rPr>
              <w:t>分）</w:t>
            </w:r>
          </w:p>
        </w:tc>
        <w:tc>
          <w:tcPr>
            <w:tcW w:w="6660" w:type="dxa"/>
            <w:tcBorders>
              <w:top w:val="single" w:color="auto" w:sz="4" w:space="0"/>
              <w:left w:val="single" w:color="auto" w:sz="4" w:space="0"/>
              <w:bottom w:val="single" w:color="auto" w:sz="4" w:space="0"/>
              <w:right w:val="single" w:color="auto" w:sz="4" w:space="0"/>
            </w:tcBorders>
            <w:noWrap w:val="0"/>
            <w:vAlign w:val="center"/>
          </w:tcPr>
          <w:p w14:paraId="24A99BA3">
            <w:pPr>
              <w:keepNext w:val="0"/>
              <w:keepLines w:val="0"/>
              <w:pageBreakBefore w:val="0"/>
              <w:kinsoku/>
              <w:wordWrap/>
              <w:overflowPunct/>
              <w:topLinePunct w:val="0"/>
              <w:autoSpaceDE/>
              <w:autoSpaceDN/>
              <w:bidi w:val="0"/>
              <w:snapToGrid/>
              <w:spacing w:line="30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参选人代运营过省级及以上金融类微信公众号，以合同复印件为主要证明文件。提供一项证明文件得</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分，最高</w:t>
            </w:r>
            <w:r>
              <w:rPr>
                <w:rFonts w:hint="eastAsia" w:ascii="方正仿宋_GBK" w:hAnsi="方正仿宋_GBK" w:eastAsia="方正仿宋_GBK" w:cs="方正仿宋_GBK"/>
                <w:sz w:val="24"/>
                <w:szCs w:val="24"/>
                <w:lang w:val="en-US" w:eastAsia="zh-CN"/>
              </w:rPr>
              <w:t>15</w:t>
            </w:r>
            <w:r>
              <w:rPr>
                <w:rFonts w:hint="eastAsia" w:ascii="方正仿宋_GBK" w:hAnsi="方正仿宋_GBK" w:eastAsia="方正仿宋_GBK" w:cs="方正仿宋_GBK"/>
                <w:sz w:val="24"/>
                <w:szCs w:val="24"/>
              </w:rPr>
              <w:t>分。</w:t>
            </w:r>
          </w:p>
        </w:tc>
      </w:tr>
      <w:tr w14:paraId="46A6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Borders>
              <w:left w:val="single" w:color="auto" w:sz="4" w:space="0"/>
              <w:right w:val="single" w:color="auto" w:sz="4" w:space="0"/>
            </w:tcBorders>
            <w:noWrap w:val="0"/>
            <w:vAlign w:val="center"/>
          </w:tcPr>
          <w:p w14:paraId="22F956C0">
            <w:pPr>
              <w:keepNext w:val="0"/>
              <w:keepLines w:val="0"/>
              <w:pageBreakBefore w:val="0"/>
              <w:widowControl/>
              <w:kinsoku/>
              <w:wordWrap/>
              <w:overflowPunct/>
              <w:topLinePunct w:val="0"/>
              <w:autoSpaceDE/>
              <w:autoSpaceDN/>
              <w:bidi w:val="0"/>
              <w:snapToGrid/>
              <w:spacing w:line="300" w:lineRule="exact"/>
              <w:jc w:val="left"/>
              <w:rPr>
                <w:rFonts w:hint="eastAsia" w:ascii="方正仿宋_GBK" w:hAnsi="方正仿宋_GBK" w:eastAsia="方正仿宋_GBK" w:cs="方正仿宋_GBK"/>
                <w:b/>
                <w:color w:val="000000"/>
                <w:sz w:val="24"/>
                <w:szCs w:val="24"/>
              </w:rPr>
            </w:pPr>
          </w:p>
        </w:tc>
        <w:tc>
          <w:tcPr>
            <w:tcW w:w="975" w:type="dxa"/>
            <w:vMerge w:val="continue"/>
            <w:tcBorders>
              <w:left w:val="single" w:color="auto" w:sz="4" w:space="0"/>
              <w:right w:val="single" w:color="auto" w:sz="4" w:space="0"/>
            </w:tcBorders>
            <w:noWrap w:val="0"/>
            <w:vAlign w:val="center"/>
          </w:tcPr>
          <w:p w14:paraId="02960ED1">
            <w:pPr>
              <w:keepNext w:val="0"/>
              <w:keepLines w:val="0"/>
              <w:pageBreakBefore w:val="0"/>
              <w:widowControl/>
              <w:kinsoku/>
              <w:wordWrap/>
              <w:overflowPunct/>
              <w:topLinePunct w:val="0"/>
              <w:autoSpaceDE/>
              <w:autoSpaceDN/>
              <w:bidi w:val="0"/>
              <w:snapToGrid/>
              <w:spacing w:line="300" w:lineRule="exact"/>
              <w:jc w:val="left"/>
              <w:rPr>
                <w:rFonts w:hint="eastAsia" w:ascii="方正仿宋_GBK" w:hAnsi="方正仿宋_GBK" w:eastAsia="方正仿宋_GBK" w:cs="方正仿宋_GBK"/>
                <w:b/>
                <w:color w:val="000000"/>
                <w:sz w:val="24"/>
                <w:szCs w:val="24"/>
              </w:rPr>
            </w:pPr>
          </w:p>
        </w:tc>
        <w:tc>
          <w:tcPr>
            <w:tcW w:w="15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02E498A">
            <w:pPr>
              <w:keepNext w:val="0"/>
              <w:keepLines w:val="0"/>
              <w:pageBreakBefore w:val="0"/>
              <w:kinsoku/>
              <w:wordWrap/>
              <w:overflowPunct/>
              <w:topLinePunct w:val="0"/>
              <w:autoSpaceDE/>
              <w:autoSpaceDN/>
              <w:bidi w:val="0"/>
              <w:snapToGrid/>
              <w:spacing w:line="3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人员资质</w:t>
            </w:r>
          </w:p>
          <w:p w14:paraId="596FB8BF">
            <w:pPr>
              <w:keepNext w:val="0"/>
              <w:keepLines w:val="0"/>
              <w:pageBreakBefore w:val="0"/>
              <w:kinsoku/>
              <w:wordWrap/>
              <w:overflowPunct/>
              <w:topLinePunct w:val="0"/>
              <w:autoSpaceDE/>
              <w:autoSpaceDN/>
              <w:bidi w:val="0"/>
              <w:snapToGrid/>
              <w:spacing w:line="3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（10分）</w:t>
            </w:r>
          </w:p>
        </w:tc>
        <w:tc>
          <w:tcPr>
            <w:tcW w:w="6660" w:type="dxa"/>
            <w:tcBorders>
              <w:top w:val="single" w:color="auto" w:sz="4" w:space="0"/>
              <w:left w:val="single" w:color="auto" w:sz="4" w:space="0"/>
              <w:bottom w:val="single" w:color="auto" w:sz="4" w:space="0"/>
              <w:right w:val="single" w:color="auto" w:sz="4" w:space="0"/>
            </w:tcBorders>
            <w:noWrap w:val="0"/>
            <w:vAlign w:val="center"/>
          </w:tcPr>
          <w:p w14:paraId="14C8BECF">
            <w:pPr>
              <w:keepNext w:val="0"/>
              <w:keepLines w:val="0"/>
              <w:pageBreakBefore w:val="0"/>
              <w:kinsoku/>
              <w:wordWrap/>
              <w:overflowPunct/>
              <w:topLinePunct w:val="0"/>
              <w:autoSpaceDE/>
              <w:autoSpaceDN/>
              <w:bidi w:val="0"/>
              <w:snapToGrid/>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服务团队负责人具备经济学本科学历或职称证书，得5分；团队成员具有新闻采编资格证，每提供一个得5分，最高10分。</w:t>
            </w:r>
          </w:p>
        </w:tc>
      </w:tr>
      <w:tr w14:paraId="14AC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630" w:type="dxa"/>
            <w:gridSpan w:val="4"/>
            <w:tcBorders>
              <w:top w:val="single" w:color="auto" w:sz="4" w:space="0"/>
              <w:left w:val="single" w:color="auto" w:sz="4" w:space="0"/>
              <w:bottom w:val="single" w:color="auto" w:sz="4" w:space="0"/>
              <w:right w:val="single" w:color="auto" w:sz="4" w:space="0"/>
            </w:tcBorders>
            <w:noWrap w:val="0"/>
            <w:vAlign w:val="center"/>
          </w:tcPr>
          <w:p w14:paraId="03F2D9A1">
            <w:pPr>
              <w:keepNext w:val="0"/>
              <w:keepLines w:val="0"/>
              <w:pageBreakBefore w:val="0"/>
              <w:kinsoku/>
              <w:wordWrap/>
              <w:overflowPunct/>
              <w:topLinePunct w:val="0"/>
              <w:autoSpaceDE/>
              <w:autoSpaceDN/>
              <w:bidi w:val="0"/>
              <w:snapToGrid/>
              <w:spacing w:line="300" w:lineRule="exact"/>
              <w:ind w:firstLine="420"/>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
                <w:bCs/>
                <w:color w:val="000000"/>
                <w:sz w:val="24"/>
                <w:szCs w:val="24"/>
              </w:rPr>
              <w:t>总得分=1+2+3。</w:t>
            </w:r>
          </w:p>
        </w:tc>
      </w:tr>
    </w:tbl>
    <w:p w14:paraId="5683502B">
      <w:pPr>
        <w:rPr>
          <w:rFonts w:hint="eastAsia" w:ascii="Times New Roman" w:hAnsi="Times New Roman" w:eastAsia="宋体" w:cs="Times New Roman"/>
        </w:rPr>
      </w:pPr>
    </w:p>
    <w:p w14:paraId="234E176E">
      <w:pPr>
        <w:keepNext/>
        <w:keepLines/>
        <w:pageBreakBefore w:val="0"/>
        <w:kinsoku/>
        <w:wordWrap/>
        <w:topLinePunct w:val="0"/>
        <w:bidi w:val="0"/>
        <w:adjustRightInd/>
        <w:spacing w:line="480" w:lineRule="exact"/>
        <w:ind w:firstLine="562" w:firstLineChars="200"/>
        <w:textAlignment w:val="auto"/>
        <w:outlineLvl w:val="0"/>
        <w:rPr>
          <w:rFonts w:hint="eastAsia" w:ascii="方正仿宋_GBK" w:hAnsi="方正仿宋_GBK" w:eastAsia="方正仿宋_GBK" w:cs="方正仿宋_GBK"/>
          <w:b/>
          <w:lang w:val="en-US" w:eastAsia="zh-CN"/>
        </w:rPr>
      </w:pPr>
      <w:bookmarkStart w:id="124" w:name="_Toc20542"/>
      <w:bookmarkStart w:id="125" w:name="_Toc26179"/>
      <w:bookmarkStart w:id="126" w:name="_Toc28398"/>
      <w:bookmarkStart w:id="127" w:name="_Toc23850"/>
      <w:bookmarkStart w:id="128" w:name="_Toc20672"/>
      <w:bookmarkStart w:id="129" w:name="_Toc30815"/>
      <w:bookmarkStart w:id="130" w:name="_Toc28133"/>
      <w:bookmarkStart w:id="131" w:name="_Toc102227313"/>
      <w:r>
        <w:rPr>
          <w:rFonts w:hint="eastAsia" w:ascii="方正仿宋_GBK" w:hAnsi="方正仿宋_GBK" w:eastAsia="方正仿宋_GBK" w:cs="方正仿宋_GBK"/>
          <w:b/>
        </w:rPr>
        <w:t>三、</w:t>
      </w:r>
      <w:r>
        <w:rPr>
          <w:rFonts w:hint="eastAsia" w:ascii="方正仿宋_GBK" w:hAnsi="方正仿宋_GBK" w:eastAsia="方正仿宋_GBK" w:cs="方正仿宋_GBK"/>
          <w:b/>
          <w:lang w:val="en-US" w:eastAsia="zh-CN"/>
        </w:rPr>
        <w:t>成交参选的确认和变更</w:t>
      </w:r>
    </w:p>
    <w:p w14:paraId="518B0189">
      <w:pPr>
        <w:pStyle w:val="11"/>
        <w:pageBreakBefore w:val="0"/>
        <w:kinsoku/>
        <w:wordWrap/>
        <w:topLinePunct w:val="0"/>
        <w:bidi w:val="0"/>
        <w:adjustRightInd/>
        <w:spacing w:line="48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（一）成交</w:t>
      </w:r>
      <w:r>
        <w:rPr>
          <w:rFonts w:hint="eastAsia" w:ascii="方正仿宋_GBK" w:hAnsi="方正仿宋_GBK" w:eastAsia="方正仿宋_GBK" w:cs="方正仿宋_GBK"/>
          <w:color w:val="auto"/>
          <w:sz w:val="28"/>
          <w:szCs w:val="28"/>
          <w:highlight w:val="none"/>
          <w:lang w:val="en-US" w:eastAsia="zh-CN"/>
        </w:rPr>
        <w:t>参选人</w:t>
      </w:r>
      <w:r>
        <w:rPr>
          <w:rFonts w:hint="eastAsia" w:ascii="方正仿宋_GBK" w:hAnsi="方正仿宋_GBK" w:eastAsia="方正仿宋_GBK" w:cs="方正仿宋_GBK"/>
          <w:color w:val="auto"/>
          <w:sz w:val="28"/>
          <w:szCs w:val="28"/>
          <w:highlight w:val="none"/>
        </w:rPr>
        <w:t>的确认</w:t>
      </w:r>
    </w:p>
    <w:p w14:paraId="6A8B528E">
      <w:pPr>
        <w:pStyle w:val="11"/>
        <w:pageBreakBefore w:val="0"/>
        <w:kinsoku/>
        <w:wordWrap/>
        <w:topLinePunct w:val="0"/>
        <w:bidi w:val="0"/>
        <w:adjustRightInd/>
        <w:spacing w:line="480" w:lineRule="exac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auto"/>
          <w:sz w:val="28"/>
          <w:szCs w:val="28"/>
          <w:highlight w:val="none"/>
          <w:lang w:val="en-US" w:eastAsia="zh-CN"/>
        </w:rPr>
        <w:t>比选人根据参选人提交的相应参选文件进行综合评分，</w:t>
      </w:r>
      <w:r>
        <w:rPr>
          <w:rFonts w:hint="eastAsia" w:ascii="方正仿宋_GBK" w:hAnsi="方正仿宋_GBK" w:eastAsia="方正仿宋_GBK" w:cs="方正仿宋_GBK"/>
          <w:sz w:val="28"/>
          <w:szCs w:val="28"/>
          <w:highlight w:val="none"/>
        </w:rPr>
        <w:t>按照</w:t>
      </w:r>
      <w:r>
        <w:rPr>
          <w:rFonts w:hint="eastAsia" w:ascii="方正仿宋_GBK" w:hAnsi="方正仿宋_GBK" w:eastAsia="方正仿宋_GBK" w:cs="方正仿宋_GBK"/>
          <w:sz w:val="28"/>
          <w:szCs w:val="28"/>
          <w:highlight w:val="none"/>
          <w:lang w:val="en-US" w:eastAsia="zh-CN"/>
        </w:rPr>
        <w:t>得分</w:t>
      </w:r>
      <w:r>
        <w:rPr>
          <w:rFonts w:hint="eastAsia" w:ascii="方正仿宋_GBK" w:hAnsi="方正仿宋_GBK" w:eastAsia="方正仿宋_GBK" w:cs="方正仿宋_GBK"/>
          <w:sz w:val="28"/>
          <w:szCs w:val="28"/>
          <w:highlight w:val="none"/>
        </w:rPr>
        <w:t>由高到低的原则确定成交供应商。</w:t>
      </w:r>
    </w:p>
    <w:p w14:paraId="17BD505F">
      <w:pPr>
        <w:pStyle w:val="11"/>
        <w:pageBreakBefore w:val="0"/>
        <w:kinsoku/>
        <w:wordWrap/>
        <w:topLinePunct w:val="0"/>
        <w:bidi w:val="0"/>
        <w:adjustRightInd/>
        <w:spacing w:line="480" w:lineRule="exac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（二）成交供应商的变更</w:t>
      </w:r>
    </w:p>
    <w:p w14:paraId="32EA1F63">
      <w:pPr>
        <w:pStyle w:val="11"/>
        <w:pageBreakBefore w:val="0"/>
        <w:kinsoku/>
        <w:wordWrap/>
        <w:topLinePunct w:val="0"/>
        <w:bidi w:val="0"/>
        <w:adjustRightInd/>
        <w:spacing w:line="480" w:lineRule="exac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成交供应商拒绝与</w:t>
      </w:r>
      <w:r>
        <w:rPr>
          <w:rFonts w:hint="eastAsia" w:ascii="方正仿宋_GBK" w:hAnsi="方正仿宋_GBK" w:eastAsia="方正仿宋_GBK" w:cs="方正仿宋_GBK"/>
          <w:sz w:val="28"/>
          <w:szCs w:val="28"/>
          <w:highlight w:val="none"/>
          <w:lang w:val="en-US" w:eastAsia="zh-CN"/>
        </w:rPr>
        <w:t>比选人</w:t>
      </w:r>
      <w:r>
        <w:rPr>
          <w:rFonts w:hint="eastAsia" w:ascii="方正仿宋_GBK" w:hAnsi="方正仿宋_GBK" w:eastAsia="方正仿宋_GBK" w:cs="方正仿宋_GBK"/>
          <w:sz w:val="28"/>
          <w:szCs w:val="28"/>
          <w:highlight w:val="none"/>
        </w:rPr>
        <w:t>签订合同的，</w:t>
      </w:r>
      <w:r>
        <w:rPr>
          <w:rFonts w:hint="eastAsia" w:ascii="方正仿宋_GBK" w:hAnsi="方正仿宋_GBK" w:eastAsia="方正仿宋_GBK" w:cs="方正仿宋_GBK"/>
          <w:sz w:val="28"/>
          <w:szCs w:val="28"/>
          <w:highlight w:val="none"/>
          <w:lang w:val="en-US" w:eastAsia="zh-CN"/>
        </w:rPr>
        <w:t>比选人</w:t>
      </w:r>
      <w:r>
        <w:rPr>
          <w:rFonts w:hint="eastAsia" w:ascii="方正仿宋_GBK" w:hAnsi="方正仿宋_GBK" w:eastAsia="方正仿宋_GBK" w:cs="方正仿宋_GBK"/>
          <w:sz w:val="28"/>
          <w:szCs w:val="28"/>
          <w:highlight w:val="none"/>
        </w:rPr>
        <w:t>可以按照</w:t>
      </w:r>
      <w:r>
        <w:rPr>
          <w:rFonts w:hint="eastAsia" w:ascii="方正仿宋_GBK" w:hAnsi="方正仿宋_GBK" w:eastAsia="方正仿宋_GBK" w:cs="方正仿宋_GBK"/>
          <w:sz w:val="28"/>
          <w:szCs w:val="28"/>
          <w:highlight w:val="none"/>
          <w:lang w:val="en-US" w:eastAsia="zh-CN"/>
        </w:rPr>
        <w:t>综合得分</w:t>
      </w:r>
      <w:r>
        <w:rPr>
          <w:rFonts w:hint="eastAsia" w:ascii="方正仿宋_GBK" w:hAnsi="方正仿宋_GBK" w:eastAsia="方正仿宋_GBK" w:cs="方正仿宋_GBK"/>
          <w:sz w:val="28"/>
          <w:szCs w:val="28"/>
          <w:highlight w:val="none"/>
        </w:rPr>
        <w:t>顺序，确定排名下一位的</w:t>
      </w:r>
      <w:r>
        <w:rPr>
          <w:rFonts w:hint="eastAsia" w:ascii="方正仿宋_GBK" w:hAnsi="方正仿宋_GBK" w:eastAsia="方正仿宋_GBK" w:cs="方正仿宋_GBK"/>
          <w:sz w:val="28"/>
          <w:szCs w:val="28"/>
          <w:highlight w:val="none"/>
          <w:lang w:val="en-US" w:eastAsia="zh-CN"/>
        </w:rPr>
        <w:t>参选人</w:t>
      </w:r>
      <w:r>
        <w:rPr>
          <w:rFonts w:hint="eastAsia" w:ascii="方正仿宋_GBK" w:hAnsi="方正仿宋_GBK" w:eastAsia="方正仿宋_GBK" w:cs="方正仿宋_GBK"/>
          <w:sz w:val="28"/>
          <w:szCs w:val="28"/>
          <w:highlight w:val="none"/>
        </w:rPr>
        <w:t>为成交供应商，也可以重新开展</w:t>
      </w:r>
      <w:r>
        <w:rPr>
          <w:rFonts w:hint="eastAsia" w:ascii="方正仿宋_GBK" w:hAnsi="方正仿宋_GBK" w:eastAsia="方正仿宋_GBK" w:cs="方正仿宋_GBK"/>
          <w:sz w:val="28"/>
          <w:szCs w:val="28"/>
          <w:highlight w:val="none"/>
          <w:lang w:val="en-US" w:eastAsia="zh-CN"/>
        </w:rPr>
        <w:t>竞采</w:t>
      </w:r>
      <w:r>
        <w:rPr>
          <w:rFonts w:hint="eastAsia" w:ascii="方正仿宋_GBK" w:hAnsi="方正仿宋_GBK" w:eastAsia="方正仿宋_GBK" w:cs="方正仿宋_GBK"/>
          <w:sz w:val="28"/>
          <w:szCs w:val="28"/>
          <w:highlight w:val="none"/>
        </w:rPr>
        <w:t>活动。</w:t>
      </w:r>
    </w:p>
    <w:p w14:paraId="64981E61">
      <w:pPr>
        <w:keepNext/>
        <w:keepLines/>
        <w:pageBreakBefore w:val="0"/>
        <w:kinsoku/>
        <w:wordWrap/>
        <w:topLinePunct w:val="0"/>
        <w:bidi w:val="0"/>
        <w:adjustRightInd/>
        <w:spacing w:line="480" w:lineRule="exact"/>
        <w:ind w:firstLine="562" w:firstLineChars="200"/>
        <w:textAlignment w:val="auto"/>
        <w:outlineLvl w:val="0"/>
        <w:rPr>
          <w:rFonts w:hint="eastAsia" w:ascii="方正仿宋_GBK" w:hAnsi="方正仿宋_GBK" w:eastAsia="方正仿宋_GBK" w:cs="方正仿宋_GBK"/>
          <w:b/>
          <w:lang w:val="en-US" w:eastAsia="zh-CN"/>
        </w:rPr>
      </w:pPr>
      <w:bookmarkStart w:id="132" w:name="_Toc76462342"/>
      <w:bookmarkStart w:id="133" w:name="_Toc106030897"/>
      <w:r>
        <w:rPr>
          <w:rFonts w:hint="eastAsia" w:ascii="方正仿宋_GBK" w:hAnsi="方正仿宋_GBK" w:eastAsia="方正仿宋_GBK" w:cs="方正仿宋_GBK"/>
          <w:b/>
          <w:lang w:val="en-US" w:eastAsia="zh-CN"/>
        </w:rPr>
        <w:t>四、成交通知</w:t>
      </w:r>
      <w:bookmarkEnd w:id="132"/>
      <w:bookmarkEnd w:id="133"/>
    </w:p>
    <w:p w14:paraId="3BD37DD5">
      <w:pPr>
        <w:pStyle w:val="11"/>
        <w:pageBreakBefore w:val="0"/>
        <w:kinsoku/>
        <w:wordWrap/>
        <w:topLinePunct w:val="0"/>
        <w:bidi w:val="0"/>
        <w:adjustRightInd/>
        <w:spacing w:line="48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（一）成交供应商确定后，</w:t>
      </w:r>
      <w:r>
        <w:rPr>
          <w:rFonts w:hint="eastAsia" w:ascii="方正仿宋_GBK" w:hAnsi="方正仿宋_GBK" w:eastAsia="方正仿宋_GBK" w:cs="方正仿宋_GBK"/>
          <w:color w:val="auto"/>
          <w:sz w:val="28"/>
          <w:szCs w:val="28"/>
          <w:highlight w:val="none"/>
          <w:lang w:val="en-US" w:eastAsia="zh-CN"/>
        </w:rPr>
        <w:t>比选人</w:t>
      </w:r>
      <w:r>
        <w:rPr>
          <w:rFonts w:hint="eastAsia" w:ascii="方正仿宋_GBK" w:hAnsi="方正仿宋_GBK" w:eastAsia="方正仿宋_GBK" w:cs="方正仿宋_GBK"/>
          <w:color w:val="auto"/>
          <w:sz w:val="28"/>
          <w:szCs w:val="28"/>
          <w:highlight w:val="none"/>
        </w:rPr>
        <w:t>将在</w:t>
      </w:r>
      <w:r>
        <w:rPr>
          <w:rFonts w:hint="eastAsia" w:ascii="方正仿宋_GBK" w:hAnsi="方正仿宋_GBK" w:eastAsia="方正仿宋_GBK" w:cs="方正仿宋_GBK"/>
          <w:color w:val="auto"/>
          <w:sz w:val="28"/>
          <w:szCs w:val="28"/>
          <w:highlight w:val="none"/>
          <w:lang w:val="en-US" w:eastAsia="zh-CN"/>
        </w:rPr>
        <w:t>重庆市行采家自主采购服务平台</w:t>
      </w:r>
      <w:r>
        <w:rPr>
          <w:rFonts w:hint="eastAsia" w:ascii="方正仿宋_GBK" w:hAnsi="方正仿宋_GBK" w:eastAsia="方正仿宋_GBK" w:cs="方正仿宋_GBK"/>
          <w:color w:val="auto"/>
          <w:sz w:val="28"/>
          <w:szCs w:val="28"/>
          <w:highlight w:val="none"/>
        </w:rPr>
        <w:t>（www.gec123.com）上发布成交结果公告。</w:t>
      </w:r>
    </w:p>
    <w:p w14:paraId="06E13064">
      <w:pPr>
        <w:pStyle w:val="11"/>
        <w:pageBreakBefore w:val="0"/>
        <w:kinsoku/>
        <w:wordWrap/>
        <w:topLinePunct w:val="0"/>
        <w:bidi w:val="0"/>
        <w:adjustRightInd/>
        <w:spacing w:line="48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（二）结果公告发出同时，</w:t>
      </w:r>
      <w:r>
        <w:rPr>
          <w:rFonts w:hint="eastAsia" w:ascii="方正仿宋_GBK" w:hAnsi="方正仿宋_GBK" w:eastAsia="方正仿宋_GBK" w:cs="方正仿宋_GBK"/>
          <w:color w:val="auto"/>
          <w:sz w:val="28"/>
          <w:szCs w:val="28"/>
          <w:highlight w:val="none"/>
          <w:lang w:val="en-US" w:eastAsia="zh-CN"/>
        </w:rPr>
        <w:t>比选人</w:t>
      </w:r>
      <w:r>
        <w:rPr>
          <w:rFonts w:hint="eastAsia" w:ascii="方正仿宋_GBK" w:hAnsi="方正仿宋_GBK" w:eastAsia="方正仿宋_GBK" w:cs="方正仿宋_GBK"/>
          <w:color w:val="auto"/>
          <w:sz w:val="28"/>
          <w:szCs w:val="28"/>
          <w:highlight w:val="none"/>
        </w:rPr>
        <w:t>将以书面形式发出《成交通知书》。《成交通知书》一经发出即发生法律效力。</w:t>
      </w:r>
    </w:p>
    <w:p w14:paraId="434F1609">
      <w:pPr>
        <w:pStyle w:val="11"/>
        <w:pageBreakBefore w:val="0"/>
        <w:kinsoku/>
        <w:wordWrap/>
        <w:topLinePunct w:val="0"/>
        <w:bidi w:val="0"/>
        <w:adjustRightInd/>
        <w:spacing w:line="48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（三）《成交通知书》作为签订合同的依据。</w:t>
      </w:r>
    </w:p>
    <w:p w14:paraId="24EAA51E">
      <w:pPr>
        <w:keepNext/>
        <w:keepLines/>
        <w:pageBreakBefore w:val="0"/>
        <w:kinsoku/>
        <w:wordWrap/>
        <w:topLinePunct w:val="0"/>
        <w:bidi w:val="0"/>
        <w:adjustRightInd/>
        <w:spacing w:line="480" w:lineRule="exact"/>
        <w:ind w:firstLine="562" w:firstLineChars="200"/>
        <w:textAlignment w:val="auto"/>
        <w:outlineLvl w:val="0"/>
        <w:rPr>
          <w:rFonts w:hint="eastAsia" w:ascii="方正仿宋_GBK" w:hAnsi="方正仿宋_GBK" w:eastAsia="方正仿宋_GBK" w:cs="方正仿宋_GBK"/>
          <w:b/>
        </w:rPr>
      </w:pPr>
      <w:r>
        <w:rPr>
          <w:rFonts w:hint="eastAsia" w:ascii="方正仿宋_GBK" w:hAnsi="方正仿宋_GBK" w:eastAsia="方正仿宋_GBK" w:cs="方正仿宋_GBK"/>
          <w:b/>
          <w:lang w:val="en-US" w:eastAsia="zh-CN"/>
        </w:rPr>
        <w:t>五、</w:t>
      </w:r>
      <w:r>
        <w:rPr>
          <w:rFonts w:hint="eastAsia" w:ascii="方正仿宋_GBK" w:hAnsi="方正仿宋_GBK" w:eastAsia="方正仿宋_GBK" w:cs="方正仿宋_GBK"/>
          <w:b/>
        </w:rPr>
        <w:t>无效响应</w:t>
      </w:r>
      <w:bookmarkEnd w:id="124"/>
      <w:bookmarkEnd w:id="125"/>
      <w:bookmarkEnd w:id="126"/>
      <w:bookmarkEnd w:id="127"/>
      <w:bookmarkEnd w:id="128"/>
      <w:bookmarkEnd w:id="129"/>
    </w:p>
    <w:p w14:paraId="7D8797DB">
      <w:pPr>
        <w:pageBreakBefore w:val="0"/>
        <w:kinsoku/>
        <w:wordWrap/>
        <w:topLinePunct w:val="0"/>
        <w:bidi w:val="0"/>
        <w:adjustRightInd/>
        <w:snapToGrid w:val="0"/>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参选人发生以下条款情况之一者，视为无效响应，其参选文件将被拒绝：</w:t>
      </w:r>
    </w:p>
    <w:p w14:paraId="5337F559">
      <w:pPr>
        <w:pageBreakBefore w:val="0"/>
        <w:numPr>
          <w:ilvl w:val="0"/>
          <w:numId w:val="2"/>
        </w:numPr>
        <w:kinsoku/>
        <w:wordWrap/>
        <w:topLinePunct w:val="0"/>
        <w:bidi w:val="0"/>
        <w:adjustRightInd/>
        <w:snapToGrid w:val="0"/>
        <w:spacing w:line="480" w:lineRule="exact"/>
        <w:ind w:left="0" w:firstLine="42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参选人不符合规定的资格条件的</w:t>
      </w:r>
      <w:r>
        <w:rPr>
          <w:rFonts w:hint="eastAsia" w:ascii="方正仿宋_GBK" w:hAnsi="方正仿宋_GBK" w:eastAsia="方正仿宋_GBK" w:cs="方正仿宋_GBK"/>
          <w:lang w:eastAsia="zh-CN"/>
        </w:rPr>
        <w:t>。</w:t>
      </w:r>
    </w:p>
    <w:p w14:paraId="5FAB2713">
      <w:pPr>
        <w:pageBreakBefore w:val="0"/>
        <w:numPr>
          <w:ilvl w:val="0"/>
          <w:numId w:val="2"/>
        </w:numPr>
        <w:kinsoku/>
        <w:wordWrap/>
        <w:topLinePunct w:val="0"/>
        <w:bidi w:val="0"/>
        <w:adjustRightInd/>
        <w:snapToGrid w:val="0"/>
        <w:spacing w:line="480" w:lineRule="exact"/>
        <w:ind w:left="0" w:firstLine="42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参选人所提交的参选文件不按第七篇“参选文件格式要求”规定签字、盖章</w:t>
      </w:r>
      <w:r>
        <w:rPr>
          <w:rFonts w:hint="eastAsia" w:ascii="方正仿宋_GBK" w:hAnsi="方正仿宋_GBK" w:eastAsia="方正仿宋_GBK" w:cs="方正仿宋_GBK"/>
          <w:lang w:eastAsia="zh-CN"/>
        </w:rPr>
        <w:t>。</w:t>
      </w:r>
    </w:p>
    <w:p w14:paraId="1875817A">
      <w:pPr>
        <w:pageBreakBefore w:val="0"/>
        <w:numPr>
          <w:ilvl w:val="0"/>
          <w:numId w:val="2"/>
        </w:numPr>
        <w:kinsoku/>
        <w:wordWrap/>
        <w:topLinePunct w:val="0"/>
        <w:bidi w:val="0"/>
        <w:adjustRightInd/>
        <w:snapToGrid w:val="0"/>
        <w:spacing w:line="480" w:lineRule="exact"/>
        <w:ind w:left="0" w:firstLine="420"/>
        <w:textAlignment w:val="auto"/>
        <w:outlineLvl w:val="1"/>
        <w:rPr>
          <w:rFonts w:hint="eastAsia" w:ascii="方正仿宋_GBK" w:hAnsi="方正仿宋_GBK" w:eastAsia="方正仿宋_GBK" w:cs="方正仿宋_GBK"/>
        </w:rPr>
      </w:pPr>
      <w:bookmarkStart w:id="134" w:name="_Toc3534"/>
      <w:bookmarkStart w:id="135" w:name="_Toc31998"/>
      <w:r>
        <w:rPr>
          <w:rFonts w:hint="eastAsia" w:ascii="方正仿宋_GBK" w:hAnsi="方正仿宋_GBK" w:eastAsia="方正仿宋_GBK" w:cs="方正仿宋_GBK"/>
        </w:rPr>
        <w:t>参选人的报价超过最高限价的</w:t>
      </w:r>
      <w:bookmarkEnd w:id="134"/>
      <w:bookmarkEnd w:id="135"/>
      <w:r>
        <w:rPr>
          <w:rFonts w:hint="eastAsia" w:ascii="方正仿宋_GBK" w:hAnsi="方正仿宋_GBK" w:eastAsia="方正仿宋_GBK" w:cs="方正仿宋_GBK"/>
          <w:lang w:eastAsia="zh-CN"/>
        </w:rPr>
        <w:t>。</w:t>
      </w:r>
    </w:p>
    <w:p w14:paraId="38E094D0">
      <w:pPr>
        <w:pageBreakBefore w:val="0"/>
        <w:numPr>
          <w:ilvl w:val="0"/>
          <w:numId w:val="2"/>
        </w:numPr>
        <w:kinsoku/>
        <w:wordWrap/>
        <w:topLinePunct w:val="0"/>
        <w:bidi w:val="0"/>
        <w:adjustRightInd/>
        <w:snapToGrid w:val="0"/>
        <w:spacing w:line="480" w:lineRule="exact"/>
        <w:ind w:left="0" w:firstLine="42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单位负责人为同一人或者存在直接控股、管理关系的不同参选人，参加同一合同项下的比选的</w:t>
      </w:r>
      <w:r>
        <w:rPr>
          <w:rFonts w:hint="eastAsia" w:ascii="方正仿宋_GBK" w:hAnsi="方正仿宋_GBK" w:eastAsia="方正仿宋_GBK" w:cs="方正仿宋_GBK"/>
          <w:lang w:eastAsia="zh-CN"/>
        </w:rPr>
        <w:t>。</w:t>
      </w:r>
    </w:p>
    <w:p w14:paraId="561B02BA">
      <w:pPr>
        <w:pageBreakBefore w:val="0"/>
        <w:numPr>
          <w:ilvl w:val="0"/>
          <w:numId w:val="2"/>
        </w:numPr>
        <w:kinsoku/>
        <w:wordWrap/>
        <w:topLinePunct w:val="0"/>
        <w:bidi w:val="0"/>
        <w:adjustRightInd/>
        <w:snapToGrid w:val="0"/>
        <w:spacing w:line="480" w:lineRule="exact"/>
        <w:ind w:left="0" w:firstLine="42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参选人参选文件内容有与国家现行法律法规相违背的内容，或附有比选人无法接受的条件。</w:t>
      </w:r>
    </w:p>
    <w:p w14:paraId="6002877A">
      <w:pPr>
        <w:pageBreakBefore w:val="0"/>
        <w:numPr>
          <w:ilvl w:val="0"/>
          <w:numId w:val="2"/>
        </w:numPr>
        <w:kinsoku/>
        <w:wordWrap/>
        <w:topLinePunct w:val="0"/>
        <w:bidi w:val="0"/>
        <w:adjustRightInd/>
        <w:snapToGrid w:val="0"/>
        <w:spacing w:line="480" w:lineRule="exact"/>
        <w:ind w:left="0" w:firstLine="42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参选人被列入失信被执行人、重大税收违法案件当事人名单、政府采购严重违法失信行为记录名单。</w:t>
      </w:r>
    </w:p>
    <w:p w14:paraId="1550C34C">
      <w:pPr>
        <w:pageBreakBefore w:val="0"/>
        <w:numPr>
          <w:ilvl w:val="0"/>
          <w:numId w:val="2"/>
        </w:numPr>
        <w:kinsoku/>
        <w:wordWrap/>
        <w:topLinePunct w:val="0"/>
        <w:bidi w:val="0"/>
        <w:adjustRightInd/>
        <w:snapToGrid w:val="0"/>
        <w:spacing w:line="480" w:lineRule="exact"/>
        <w:ind w:left="0" w:firstLine="420"/>
        <w:textAlignment w:val="auto"/>
        <w:outlineLvl w:val="1"/>
        <w:rPr>
          <w:rFonts w:hint="eastAsia" w:ascii="方正仿宋_GBK" w:hAnsi="方正仿宋_GBK" w:eastAsia="方正仿宋_GBK" w:cs="方正仿宋_GBK"/>
        </w:rPr>
      </w:pPr>
      <w:bookmarkStart w:id="136" w:name="_Toc23891"/>
      <w:bookmarkStart w:id="137" w:name="_Toc6552"/>
      <w:r>
        <w:rPr>
          <w:rFonts w:hint="eastAsia" w:ascii="方正仿宋_GBK" w:hAnsi="方正仿宋_GBK" w:eastAsia="方正仿宋_GBK" w:cs="方正仿宋_GBK"/>
        </w:rPr>
        <w:t>参选人提供虚假材料的。</w:t>
      </w:r>
      <w:bookmarkEnd w:id="136"/>
      <w:bookmarkEnd w:id="137"/>
    </w:p>
    <w:p w14:paraId="59D76229">
      <w:pPr>
        <w:pageBreakBefore w:val="0"/>
        <w:numPr>
          <w:ilvl w:val="0"/>
          <w:numId w:val="2"/>
        </w:numPr>
        <w:kinsoku/>
        <w:wordWrap/>
        <w:topLinePunct w:val="0"/>
        <w:bidi w:val="0"/>
        <w:adjustRightInd/>
        <w:snapToGrid w:val="0"/>
        <w:spacing w:line="480" w:lineRule="exact"/>
        <w:ind w:left="0" w:firstLine="42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法定代表人为同一个人的两个及两个以上法人，母公司、全资子公司及其控股公司，在同一包比选活动中同时参与比选</w:t>
      </w:r>
      <w:r>
        <w:rPr>
          <w:rFonts w:hint="eastAsia" w:ascii="方正仿宋_GBK" w:hAnsi="方正仿宋_GBK" w:eastAsia="方正仿宋_GBK" w:cs="方正仿宋_GBK"/>
          <w:lang w:eastAsia="zh-CN"/>
        </w:rPr>
        <w:t>。</w:t>
      </w:r>
    </w:p>
    <w:p w14:paraId="3E74BD97">
      <w:pPr>
        <w:pageBreakBefore w:val="0"/>
        <w:numPr>
          <w:ilvl w:val="0"/>
          <w:numId w:val="2"/>
        </w:numPr>
        <w:kinsoku/>
        <w:wordWrap/>
        <w:topLinePunct w:val="0"/>
        <w:bidi w:val="0"/>
        <w:adjustRightInd/>
        <w:snapToGrid w:val="0"/>
        <w:spacing w:line="480" w:lineRule="exact"/>
        <w:ind w:left="0" w:firstLine="420"/>
        <w:textAlignment w:val="auto"/>
        <w:outlineLvl w:val="1"/>
        <w:rPr>
          <w:rFonts w:hint="eastAsia" w:ascii="方正仿宋_GBK" w:hAnsi="方正仿宋_GBK" w:eastAsia="方正仿宋_GBK" w:cs="方正仿宋_GBK"/>
        </w:rPr>
      </w:pPr>
      <w:bookmarkStart w:id="138" w:name="_Toc32173"/>
      <w:bookmarkStart w:id="139" w:name="_Toc21691"/>
      <w:r>
        <w:rPr>
          <w:rFonts w:hint="eastAsia" w:ascii="方正仿宋_GBK" w:hAnsi="方正仿宋_GBK" w:eastAsia="方正仿宋_GBK" w:cs="方正仿宋_GBK"/>
        </w:rPr>
        <w:t>参选人比选有效期不满足竞争性比选文件要求的</w:t>
      </w:r>
      <w:bookmarkEnd w:id="138"/>
      <w:r>
        <w:rPr>
          <w:rFonts w:hint="eastAsia" w:ascii="方正仿宋_GBK" w:hAnsi="方正仿宋_GBK" w:eastAsia="方正仿宋_GBK" w:cs="方正仿宋_GBK"/>
        </w:rPr>
        <w:t>。</w:t>
      </w:r>
      <w:bookmarkEnd w:id="139"/>
    </w:p>
    <w:p w14:paraId="178D1789">
      <w:pPr>
        <w:pageBreakBefore w:val="0"/>
        <w:kinsoku/>
        <w:wordWrap/>
        <w:topLinePunct w:val="0"/>
        <w:bidi w:val="0"/>
        <w:adjustRightInd/>
        <w:snapToGrid w:val="0"/>
        <w:spacing w:line="480" w:lineRule="exact"/>
        <w:ind w:firstLine="562" w:firstLineChars="200"/>
        <w:textAlignment w:val="auto"/>
        <w:outlineLvl w:val="0"/>
        <w:rPr>
          <w:rFonts w:hint="eastAsia" w:ascii="方正仿宋_GBK" w:hAnsi="方正仿宋_GBK" w:eastAsia="方正仿宋_GBK" w:cs="方正仿宋_GBK"/>
          <w:b/>
        </w:rPr>
      </w:pPr>
      <w:bookmarkStart w:id="140" w:name="_Toc2008"/>
      <w:bookmarkStart w:id="141" w:name="_Toc26045"/>
      <w:bookmarkStart w:id="142" w:name="_Toc17407"/>
      <w:bookmarkStart w:id="143" w:name="_Toc4321"/>
      <w:bookmarkStart w:id="144" w:name="_Toc15802"/>
      <w:bookmarkStart w:id="145" w:name="_Toc29871"/>
      <w:bookmarkStart w:id="146" w:name="_Toc428437948"/>
      <w:bookmarkStart w:id="147" w:name="_Toc3217"/>
      <w:bookmarkStart w:id="148" w:name="_Toc29891"/>
      <w:r>
        <w:rPr>
          <w:rFonts w:hint="eastAsia" w:ascii="方正仿宋_GBK" w:hAnsi="方正仿宋_GBK" w:eastAsia="方正仿宋_GBK" w:cs="方正仿宋_GBK"/>
          <w:b/>
          <w:lang w:val="en-US" w:eastAsia="zh-CN"/>
        </w:rPr>
        <w:t>六</w:t>
      </w:r>
      <w:r>
        <w:rPr>
          <w:rFonts w:hint="eastAsia" w:ascii="方正仿宋_GBK" w:hAnsi="方正仿宋_GBK" w:eastAsia="方正仿宋_GBK" w:cs="方正仿宋_GBK"/>
          <w:b/>
        </w:rPr>
        <w:t>、比选终止</w:t>
      </w:r>
      <w:bookmarkEnd w:id="140"/>
      <w:bookmarkEnd w:id="141"/>
      <w:bookmarkEnd w:id="142"/>
      <w:bookmarkEnd w:id="143"/>
      <w:bookmarkEnd w:id="144"/>
      <w:bookmarkEnd w:id="145"/>
      <w:bookmarkEnd w:id="146"/>
      <w:bookmarkEnd w:id="147"/>
      <w:bookmarkEnd w:id="148"/>
    </w:p>
    <w:p w14:paraId="5E2D4278">
      <w:pPr>
        <w:pageBreakBefore w:val="0"/>
        <w:kinsoku/>
        <w:wordWrap/>
        <w:topLinePunct w:val="0"/>
        <w:bidi w:val="0"/>
        <w:adjustRightInd/>
        <w:snapToGrid w:val="0"/>
        <w:spacing w:line="480" w:lineRule="exact"/>
        <w:ind w:firstLine="465"/>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出现下列情形之一的，比选人或者比选代理机构应当终止竞争性比选，发布项目终止公告并说明原因，重新开展比选：</w:t>
      </w:r>
    </w:p>
    <w:p w14:paraId="0B52C5A2">
      <w:pPr>
        <w:pageBreakBefore w:val="0"/>
        <w:kinsoku/>
        <w:wordWrap/>
        <w:topLinePunct w:val="0"/>
        <w:bidi w:val="0"/>
        <w:adjustRightInd/>
        <w:snapToGrid w:val="0"/>
        <w:spacing w:line="480" w:lineRule="exact"/>
        <w:ind w:firstLine="465"/>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（一）因情况变化，不再符合规定的竞争性比选比选人式适用情形的；</w:t>
      </w:r>
    </w:p>
    <w:p w14:paraId="075AE696">
      <w:pPr>
        <w:pageBreakBefore w:val="0"/>
        <w:kinsoku/>
        <w:wordWrap/>
        <w:topLinePunct w:val="0"/>
        <w:bidi w:val="0"/>
        <w:adjustRightInd/>
        <w:snapToGrid w:val="0"/>
        <w:spacing w:line="480" w:lineRule="exact"/>
        <w:ind w:firstLine="465"/>
        <w:textAlignment w:val="auto"/>
        <w:outlineLvl w:val="1"/>
        <w:rPr>
          <w:rFonts w:hint="eastAsia" w:ascii="方正仿宋_GBK" w:hAnsi="方正仿宋_GBK" w:eastAsia="方正仿宋_GBK" w:cs="方正仿宋_GBK"/>
          <w:lang w:eastAsia="zh-CN"/>
        </w:rPr>
        <w:sectPr>
          <w:headerReference r:id="rId7" w:type="default"/>
          <w:footerReference r:id="rId8" w:type="default"/>
          <w:pgSz w:w="11907" w:h="16840"/>
          <w:pgMar w:top="1440" w:right="1800" w:bottom="1440" w:left="1800" w:header="964" w:footer="992" w:gutter="0"/>
          <w:pgNumType w:fmt="numberInDash"/>
          <w:cols w:space="720" w:num="1"/>
          <w:docGrid w:linePitch="312" w:charSpace="0"/>
        </w:sectPr>
      </w:pPr>
      <w:bookmarkStart w:id="149" w:name="_Toc8094"/>
      <w:bookmarkStart w:id="150" w:name="_Toc29317"/>
      <w:r>
        <w:rPr>
          <w:rFonts w:hint="eastAsia" w:ascii="方正仿宋_GBK" w:hAnsi="方正仿宋_GBK" w:eastAsia="方正仿宋_GBK" w:cs="方正仿宋_GBK"/>
        </w:rPr>
        <w:t>（二）出现影响比选公正的违法、违规行为的</w:t>
      </w:r>
      <w:bookmarkEnd w:id="149"/>
      <w:bookmarkEnd w:id="150"/>
      <w:r>
        <w:rPr>
          <w:rFonts w:hint="eastAsia" w:ascii="方正仿宋_GBK" w:hAnsi="方正仿宋_GBK" w:eastAsia="方正仿宋_GBK" w:cs="方正仿宋_GBK"/>
          <w:lang w:eastAsia="zh-CN"/>
        </w:rPr>
        <w:t>。</w:t>
      </w:r>
    </w:p>
    <w:p w14:paraId="4DB67E1F">
      <w:pPr>
        <w:spacing w:line="600" w:lineRule="exact"/>
        <w:jc w:val="center"/>
        <w:outlineLvl w:val="0"/>
        <w:rPr>
          <w:rFonts w:hint="eastAsia" w:ascii="仿宋" w:hAnsi="仿宋" w:eastAsia="仿宋" w:cs="仿宋"/>
          <w:b/>
          <w:bCs/>
          <w:sz w:val="36"/>
          <w:szCs w:val="36"/>
        </w:rPr>
      </w:pPr>
      <w:bookmarkStart w:id="151" w:name="_Toc11822"/>
      <w:bookmarkStart w:id="152" w:name="_Toc3738"/>
      <w:bookmarkStart w:id="153" w:name="_Toc31934"/>
      <w:bookmarkStart w:id="154" w:name="_Toc19938"/>
      <w:bookmarkStart w:id="155" w:name="_Toc11633"/>
      <w:bookmarkStart w:id="156" w:name="_Toc28587"/>
      <w:r>
        <w:rPr>
          <w:rFonts w:hint="eastAsia" w:ascii="仿宋" w:hAnsi="仿宋" w:eastAsia="仿宋" w:cs="仿宋"/>
          <w:b/>
          <w:bCs/>
          <w:sz w:val="36"/>
          <w:szCs w:val="36"/>
        </w:rPr>
        <w:t>第五篇  参选人须知</w:t>
      </w:r>
      <w:bookmarkEnd w:id="130"/>
      <w:bookmarkEnd w:id="131"/>
      <w:bookmarkEnd w:id="151"/>
      <w:bookmarkEnd w:id="152"/>
      <w:bookmarkEnd w:id="153"/>
      <w:bookmarkEnd w:id="154"/>
      <w:bookmarkEnd w:id="155"/>
      <w:bookmarkEnd w:id="156"/>
    </w:p>
    <w:p w14:paraId="38FD1534">
      <w:pPr>
        <w:pStyle w:val="2"/>
        <w:pageBreakBefore w:val="0"/>
        <w:widowControl w:val="0"/>
        <w:kinsoku/>
        <w:wordWrap/>
        <w:overflowPunct/>
        <w:topLinePunct w:val="0"/>
        <w:autoSpaceDE/>
        <w:autoSpaceDN/>
        <w:bidi w:val="0"/>
        <w:adjustRightInd/>
        <w:spacing w:before="0" w:after="0" w:line="480" w:lineRule="exact"/>
        <w:ind w:firstLine="562" w:firstLineChars="200"/>
        <w:textAlignment w:val="auto"/>
        <w:rPr>
          <w:rFonts w:hint="eastAsia" w:ascii="方正仿宋_GBK" w:hAnsi="方正仿宋_GBK" w:eastAsia="方正仿宋_GBK" w:cs="方正仿宋_GBK"/>
          <w:b/>
          <w:bCs/>
          <w:sz w:val="28"/>
          <w:szCs w:val="28"/>
        </w:rPr>
      </w:pPr>
      <w:bookmarkStart w:id="157" w:name="_Toc1227"/>
      <w:bookmarkStart w:id="158" w:name="_Toc28900"/>
      <w:bookmarkStart w:id="159" w:name="_Toc31531"/>
      <w:bookmarkStart w:id="160" w:name="_Toc31268"/>
      <w:bookmarkStart w:id="161" w:name="_Toc23556"/>
      <w:bookmarkStart w:id="162" w:name="_Toc1320"/>
      <w:bookmarkStart w:id="163" w:name="_Toc28040"/>
      <w:bookmarkStart w:id="164" w:name="_Toc342913389"/>
      <w:r>
        <w:rPr>
          <w:rFonts w:hint="eastAsia" w:ascii="方正仿宋_GBK" w:hAnsi="方正仿宋_GBK" w:eastAsia="方正仿宋_GBK" w:cs="方正仿宋_GBK"/>
          <w:b/>
          <w:bCs/>
          <w:sz w:val="28"/>
          <w:szCs w:val="28"/>
        </w:rPr>
        <w:t>一、比选费用</w:t>
      </w:r>
      <w:bookmarkEnd w:id="157"/>
      <w:bookmarkEnd w:id="158"/>
      <w:bookmarkEnd w:id="159"/>
      <w:bookmarkEnd w:id="160"/>
      <w:bookmarkEnd w:id="161"/>
      <w:bookmarkEnd w:id="162"/>
      <w:bookmarkEnd w:id="163"/>
      <w:bookmarkEnd w:id="164"/>
    </w:p>
    <w:p w14:paraId="4192F301">
      <w:pPr>
        <w:pageBreakBefore w:val="0"/>
        <w:widowControl w:val="0"/>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参与比选的参选人应承担其编制参选文件与递交参选文件所涉及的一切费用，不论比选结果如何，比选人和比选代理机构在任何情况下无义务也无责任承担这些费用。</w:t>
      </w:r>
    </w:p>
    <w:p w14:paraId="5386DB8F">
      <w:pPr>
        <w:pStyle w:val="2"/>
        <w:pageBreakBefore w:val="0"/>
        <w:widowControl w:val="0"/>
        <w:tabs>
          <w:tab w:val="left" w:pos="2640"/>
        </w:tabs>
        <w:kinsoku/>
        <w:wordWrap/>
        <w:overflowPunct/>
        <w:topLinePunct w:val="0"/>
        <w:autoSpaceDE/>
        <w:autoSpaceDN/>
        <w:bidi w:val="0"/>
        <w:adjustRightInd/>
        <w:spacing w:before="0" w:after="0" w:line="480" w:lineRule="exact"/>
        <w:ind w:firstLine="562" w:firstLineChars="200"/>
        <w:textAlignment w:val="auto"/>
        <w:rPr>
          <w:rFonts w:hint="eastAsia" w:ascii="方正仿宋_GBK" w:hAnsi="方正仿宋_GBK" w:eastAsia="方正仿宋_GBK" w:cs="方正仿宋_GBK"/>
          <w:b/>
          <w:bCs/>
          <w:sz w:val="28"/>
          <w:szCs w:val="28"/>
        </w:rPr>
      </w:pPr>
      <w:bookmarkStart w:id="165" w:name="_Toc6428"/>
      <w:bookmarkStart w:id="166" w:name="_Toc342913391"/>
      <w:bookmarkStart w:id="167" w:name="_Toc20483"/>
      <w:bookmarkStart w:id="168" w:name="_Toc3108"/>
      <w:bookmarkStart w:id="169" w:name="_Toc25047"/>
      <w:bookmarkStart w:id="170" w:name="_Toc31697"/>
      <w:bookmarkStart w:id="171" w:name="_Toc32118"/>
      <w:bookmarkStart w:id="172" w:name="_Toc878"/>
      <w:r>
        <w:rPr>
          <w:rFonts w:hint="eastAsia" w:ascii="方正仿宋_GBK" w:hAnsi="方正仿宋_GBK" w:eastAsia="方正仿宋_GBK" w:cs="方正仿宋_GBK"/>
          <w:b/>
          <w:bCs/>
          <w:sz w:val="28"/>
          <w:szCs w:val="28"/>
        </w:rPr>
        <w:t>二、竞争性比选文件</w:t>
      </w:r>
      <w:bookmarkEnd w:id="165"/>
      <w:bookmarkEnd w:id="166"/>
      <w:bookmarkEnd w:id="167"/>
      <w:bookmarkEnd w:id="168"/>
      <w:bookmarkEnd w:id="169"/>
      <w:bookmarkEnd w:id="170"/>
      <w:bookmarkEnd w:id="171"/>
      <w:bookmarkEnd w:id="172"/>
    </w:p>
    <w:p w14:paraId="282E6DF2">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（一）竞争性比选文件由比选公告、项目服务需求、项目商务需求、比选程序及方法、评审标准、参选人须知、采购合同、参选文件编制要求七部分组成。</w:t>
      </w:r>
    </w:p>
    <w:p w14:paraId="367D6CF6">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（二）比选人（或比选代理机构）所作的一切有效的书面通知、修改及补充，都是竞争性比选文件不可分割的部分。</w:t>
      </w:r>
    </w:p>
    <w:p w14:paraId="660D8136">
      <w:pPr>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1"/>
        <w:rPr>
          <w:rFonts w:hint="eastAsia" w:ascii="方正仿宋_GBK" w:hAnsi="方正仿宋_GBK" w:eastAsia="方正仿宋_GBK" w:cs="方正仿宋_GBK"/>
        </w:rPr>
      </w:pPr>
      <w:bookmarkStart w:id="173" w:name="_Toc7533"/>
      <w:bookmarkStart w:id="174" w:name="_Toc13320"/>
      <w:r>
        <w:rPr>
          <w:rFonts w:hint="eastAsia" w:ascii="方正仿宋_GBK" w:hAnsi="方正仿宋_GBK" w:eastAsia="方正仿宋_GBK" w:cs="方正仿宋_GBK"/>
        </w:rPr>
        <w:t>（三）竞争性比选文件的解释</w:t>
      </w:r>
      <w:bookmarkEnd w:id="173"/>
      <w:bookmarkEnd w:id="174"/>
    </w:p>
    <w:p w14:paraId="58205339">
      <w:pPr>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参选人如对竞争性比选文件有疑问，必须以书面形式在提交参选文件截止时间3个工作日前向比选人（或比选代理机构）要求澄清，比选人（或比选代理机构）可视具体情况做出处理或答复。如参选人未提出疑问，视为完全理解并同意本竞争性比选文件。一经进入比选程序，即视为参选人已详细阅读全部文件资料，完全理解竞争性比选文件所有条款内容并同意放弃对这方面有不明白及误解的权利。</w:t>
      </w:r>
    </w:p>
    <w:p w14:paraId="7585997D">
      <w:pPr>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rPr>
      </w:pPr>
      <w:bookmarkStart w:id="175" w:name="_Toc318166429"/>
      <w:bookmarkStart w:id="176" w:name="_Toc318159349"/>
      <w:bookmarkStart w:id="177" w:name="_Toc318159780"/>
      <w:bookmarkStart w:id="178" w:name="_Toc318159160"/>
      <w:r>
        <w:rPr>
          <w:rFonts w:hint="eastAsia" w:ascii="方正仿宋_GBK" w:hAnsi="方正仿宋_GBK" w:eastAsia="方正仿宋_GBK" w:cs="方正仿宋_GBK"/>
        </w:rPr>
        <w:t>（四）评审的依据为竞争性比选文件和参选文件（含有效的书面承诺）。评选委员会判断参选文件对竞争性比选文件的响应，仅基于参选文件本身而不靠外部证据。</w:t>
      </w:r>
    </w:p>
    <w:bookmarkEnd w:id="175"/>
    <w:bookmarkEnd w:id="176"/>
    <w:bookmarkEnd w:id="177"/>
    <w:bookmarkEnd w:id="178"/>
    <w:p w14:paraId="09FD6E61">
      <w:pPr>
        <w:pStyle w:val="2"/>
        <w:pageBreakBefore w:val="0"/>
        <w:widowControl w:val="0"/>
        <w:kinsoku/>
        <w:wordWrap/>
        <w:overflowPunct/>
        <w:topLinePunct w:val="0"/>
        <w:autoSpaceDE/>
        <w:autoSpaceDN/>
        <w:bidi w:val="0"/>
        <w:adjustRightInd/>
        <w:spacing w:before="0" w:after="0" w:line="480" w:lineRule="exact"/>
        <w:ind w:firstLine="562" w:firstLineChars="200"/>
        <w:textAlignment w:val="auto"/>
        <w:rPr>
          <w:rFonts w:hint="eastAsia" w:ascii="方正仿宋_GBK" w:hAnsi="方正仿宋_GBK" w:eastAsia="方正仿宋_GBK" w:cs="方正仿宋_GBK"/>
          <w:b/>
          <w:bCs/>
          <w:sz w:val="28"/>
          <w:szCs w:val="28"/>
        </w:rPr>
      </w:pPr>
      <w:bookmarkStart w:id="179" w:name="_Toc102227318"/>
      <w:bookmarkStart w:id="180" w:name="_Toc7032"/>
      <w:bookmarkStart w:id="181" w:name="_Toc84"/>
      <w:bookmarkStart w:id="182" w:name="_Toc14939"/>
      <w:bookmarkStart w:id="183" w:name="_Toc342913392"/>
      <w:bookmarkStart w:id="184" w:name="_Toc9011"/>
      <w:bookmarkStart w:id="185" w:name="_Toc179714297"/>
      <w:bookmarkStart w:id="186" w:name="_Toc30125"/>
      <w:bookmarkStart w:id="187" w:name="_Toc27769"/>
      <w:bookmarkStart w:id="188" w:name="_Toc26731"/>
      <w:r>
        <w:rPr>
          <w:rFonts w:hint="eastAsia" w:ascii="方正仿宋_GBK" w:hAnsi="方正仿宋_GBK" w:eastAsia="方正仿宋_GBK" w:cs="方正仿宋_GBK"/>
          <w:b/>
          <w:bCs/>
          <w:sz w:val="28"/>
          <w:szCs w:val="28"/>
        </w:rPr>
        <w:t>三、比选要求</w:t>
      </w:r>
      <w:bookmarkEnd w:id="179"/>
      <w:bookmarkEnd w:id="180"/>
      <w:bookmarkEnd w:id="181"/>
      <w:bookmarkEnd w:id="182"/>
      <w:bookmarkEnd w:id="183"/>
      <w:bookmarkEnd w:id="184"/>
      <w:bookmarkEnd w:id="185"/>
      <w:bookmarkEnd w:id="186"/>
      <w:bookmarkEnd w:id="187"/>
      <w:bookmarkEnd w:id="188"/>
    </w:p>
    <w:p w14:paraId="0C619578">
      <w:pPr>
        <w:pageBreakBefore w:val="0"/>
        <w:widowControl w:val="0"/>
        <w:kinsoku/>
        <w:wordWrap/>
        <w:overflowPunct/>
        <w:topLinePunct w:val="0"/>
        <w:autoSpaceDE/>
        <w:autoSpaceDN/>
        <w:bidi w:val="0"/>
        <w:adjustRightInd/>
        <w:spacing w:line="480" w:lineRule="exact"/>
        <w:ind w:firstLine="560" w:firstLineChars="200"/>
        <w:textAlignment w:val="auto"/>
        <w:outlineLvl w:val="1"/>
        <w:rPr>
          <w:rFonts w:hint="eastAsia" w:ascii="方正仿宋_GBK" w:hAnsi="方正仿宋_GBK" w:eastAsia="方正仿宋_GBK" w:cs="方正仿宋_GBK"/>
        </w:rPr>
      </w:pPr>
      <w:bookmarkStart w:id="189" w:name="_Toc2585"/>
      <w:bookmarkStart w:id="190" w:name="_Toc3113"/>
      <w:r>
        <w:rPr>
          <w:rFonts w:hint="eastAsia" w:ascii="方正仿宋_GBK" w:hAnsi="方正仿宋_GBK" w:eastAsia="方正仿宋_GBK" w:cs="方正仿宋_GBK"/>
        </w:rPr>
        <w:t>（一）参选文件</w:t>
      </w:r>
      <w:bookmarkEnd w:id="189"/>
      <w:bookmarkEnd w:id="190"/>
    </w:p>
    <w:p w14:paraId="55FAFCFE">
      <w:pPr>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1、参选人应当按照竞争性比选文件的要求编制参选文件，并对竞争性比选文件提出的要求和条件作出实质性响应。</w:t>
      </w:r>
    </w:p>
    <w:p w14:paraId="43F0442D">
      <w:pPr>
        <w:pageBreakBefore w:val="0"/>
        <w:widowControl w:val="0"/>
        <w:kinsoku/>
        <w:wordWrap/>
        <w:overflowPunct/>
        <w:topLinePunct w:val="0"/>
        <w:autoSpaceDE/>
        <w:autoSpaceDN/>
        <w:bidi w:val="0"/>
        <w:adjustRightInd/>
        <w:spacing w:line="480" w:lineRule="exact"/>
        <w:ind w:firstLine="560" w:firstLineChars="200"/>
        <w:textAlignment w:val="auto"/>
        <w:outlineLvl w:val="2"/>
        <w:rPr>
          <w:rFonts w:hint="eastAsia" w:ascii="方正仿宋_GBK" w:hAnsi="方正仿宋_GBK" w:eastAsia="方正仿宋_GBK" w:cs="方正仿宋_GBK"/>
        </w:rPr>
      </w:pPr>
      <w:bookmarkStart w:id="191" w:name="_Toc29998"/>
      <w:bookmarkStart w:id="192" w:name="_Toc24019"/>
      <w:r>
        <w:rPr>
          <w:rFonts w:hint="eastAsia" w:ascii="方正仿宋_GBK" w:hAnsi="方正仿宋_GBK" w:eastAsia="方正仿宋_GBK" w:cs="方正仿宋_GBK"/>
        </w:rPr>
        <w:t>2、参选文件组成</w:t>
      </w:r>
      <w:bookmarkEnd w:id="191"/>
      <w:bookmarkEnd w:id="192"/>
    </w:p>
    <w:p w14:paraId="12E630C6">
      <w:pPr>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参选文件由第七篇“参选文件编制要求”规定的部分和参选人所作的一切有效补充、修改和承诺等文件组成，参选人应按照第七篇“参选文件编制要求”规定的目录顺序组织编写和装订，也可在基本格式基础上对表格进行扩展，未规定格式的由参选人自定格式。</w:t>
      </w:r>
    </w:p>
    <w:p w14:paraId="3ABDB26A">
      <w:pPr>
        <w:pageBreakBefore w:val="0"/>
        <w:widowControl w:val="0"/>
        <w:kinsoku/>
        <w:wordWrap/>
        <w:overflowPunct/>
        <w:topLinePunct w:val="0"/>
        <w:autoSpaceDE/>
        <w:autoSpaceDN/>
        <w:bidi w:val="0"/>
        <w:adjustRightInd/>
        <w:spacing w:line="480" w:lineRule="exact"/>
        <w:ind w:firstLine="560" w:firstLineChars="200"/>
        <w:textAlignment w:val="auto"/>
        <w:outlineLvl w:val="1"/>
        <w:rPr>
          <w:rFonts w:hint="eastAsia" w:ascii="方正仿宋_GBK" w:hAnsi="方正仿宋_GBK" w:eastAsia="方正仿宋_GBK" w:cs="方正仿宋_GBK"/>
        </w:rPr>
      </w:pPr>
      <w:bookmarkStart w:id="193" w:name="_Toc6274"/>
      <w:bookmarkStart w:id="194" w:name="_Toc22050"/>
      <w:r>
        <w:rPr>
          <w:rFonts w:hint="eastAsia" w:ascii="方正仿宋_GBK" w:hAnsi="方正仿宋_GBK" w:eastAsia="方正仿宋_GBK" w:cs="方正仿宋_GBK"/>
        </w:rPr>
        <w:t>（二）不接受联合体</w:t>
      </w:r>
      <w:bookmarkEnd w:id="193"/>
      <w:bookmarkEnd w:id="194"/>
    </w:p>
    <w:p w14:paraId="06CA846F">
      <w:pPr>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（三）比选有效期：参选文件及有关承诺文件有效期为提交参选文件截止时间起90天。</w:t>
      </w:r>
    </w:p>
    <w:p w14:paraId="7F9A9196">
      <w:pPr>
        <w:pageBreakBefore w:val="0"/>
        <w:widowControl w:val="0"/>
        <w:kinsoku/>
        <w:wordWrap/>
        <w:overflowPunct/>
        <w:topLinePunct w:val="0"/>
        <w:autoSpaceDE/>
        <w:autoSpaceDN/>
        <w:bidi w:val="0"/>
        <w:adjustRightInd/>
        <w:spacing w:line="480" w:lineRule="exact"/>
        <w:ind w:firstLine="560" w:firstLineChars="200"/>
        <w:textAlignment w:val="auto"/>
        <w:outlineLvl w:val="1"/>
        <w:rPr>
          <w:rFonts w:hint="eastAsia" w:ascii="方正仿宋_GBK" w:hAnsi="方正仿宋_GBK" w:eastAsia="方正仿宋_GBK" w:cs="方正仿宋_GBK"/>
        </w:rPr>
      </w:pPr>
      <w:bookmarkStart w:id="195" w:name="_Toc21450"/>
      <w:bookmarkStart w:id="196" w:name="_Toc15084"/>
      <w:r>
        <w:rPr>
          <w:rFonts w:hint="eastAsia" w:ascii="方正仿宋_GBK" w:hAnsi="方正仿宋_GBK" w:eastAsia="方正仿宋_GBK" w:cs="方正仿宋_GBK"/>
        </w:rPr>
        <w:t>（四）修正错误</w:t>
      </w:r>
      <w:bookmarkEnd w:id="195"/>
      <w:bookmarkEnd w:id="196"/>
    </w:p>
    <w:p w14:paraId="684B2C58">
      <w:pPr>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1、若参选人所递交的参选文件或报价中的价格出现大写金额和小写金额不一致的错误，以大写金额修正为准。</w:t>
      </w:r>
    </w:p>
    <w:p w14:paraId="510866A6">
      <w:pPr>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2、评选委员会按上述修正错误的原则及方法修正参选人的报价，参选人同意并签字确认后，修正后的报价对参选人具有约束作用。如果参选人不接受修正后的价格，将失去成为中选人的资格。</w:t>
      </w:r>
    </w:p>
    <w:p w14:paraId="00BE96CD">
      <w:pPr>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1"/>
        <w:rPr>
          <w:rFonts w:hint="eastAsia" w:ascii="方正仿宋_GBK" w:hAnsi="方正仿宋_GBK" w:eastAsia="方正仿宋_GBK" w:cs="方正仿宋_GBK"/>
        </w:rPr>
      </w:pPr>
      <w:bookmarkStart w:id="197" w:name="_Toc8844"/>
      <w:bookmarkStart w:id="198" w:name="_Toc31013"/>
      <w:r>
        <w:rPr>
          <w:rFonts w:hint="eastAsia" w:ascii="方正仿宋_GBK" w:hAnsi="方正仿宋_GBK" w:eastAsia="方正仿宋_GBK" w:cs="方正仿宋_GBK"/>
        </w:rPr>
        <w:t>（六）提交参选文件的份数和签署</w:t>
      </w:r>
      <w:bookmarkEnd w:id="197"/>
      <w:bookmarkEnd w:id="198"/>
    </w:p>
    <w:p w14:paraId="70FA6644">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1、参选文件</w:t>
      </w:r>
      <w:r>
        <w:rPr>
          <w:rFonts w:hint="eastAsia" w:ascii="方正仿宋_GBK" w:hAnsi="方正仿宋_GBK" w:eastAsia="方正仿宋_GBK" w:cs="方正仿宋_GBK"/>
          <w:lang w:val="en-US" w:eastAsia="zh-CN"/>
        </w:rPr>
        <w:t>提供电子扫描件一份（盖章）</w:t>
      </w:r>
      <w:r>
        <w:rPr>
          <w:rFonts w:hint="eastAsia" w:ascii="方正仿宋_GBK" w:hAnsi="方正仿宋_GBK" w:eastAsia="方正仿宋_GBK" w:cs="方正仿宋_GBK"/>
        </w:rPr>
        <w:t>。</w:t>
      </w:r>
    </w:p>
    <w:p w14:paraId="48675882">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2、参选文件按竞争性比选文件“第七篇 参选文件编制要求”要求签署或盖章。</w:t>
      </w:r>
    </w:p>
    <w:p w14:paraId="758EB1B9">
      <w:pPr>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1"/>
        <w:rPr>
          <w:rFonts w:hint="eastAsia" w:ascii="方正仿宋_GBK" w:hAnsi="方正仿宋_GBK" w:eastAsia="方正仿宋_GBK" w:cs="方正仿宋_GBK"/>
        </w:rPr>
      </w:pPr>
      <w:bookmarkStart w:id="199" w:name="_Toc30703"/>
      <w:bookmarkStart w:id="200" w:name="_Toc25317"/>
      <w:r>
        <w:rPr>
          <w:rFonts w:hint="eastAsia" w:ascii="方正仿宋_GBK" w:hAnsi="方正仿宋_GBK" w:eastAsia="方正仿宋_GBK" w:cs="方正仿宋_GBK"/>
        </w:rPr>
        <w:t>（五）参选文件的递交</w:t>
      </w:r>
      <w:bookmarkEnd w:id="199"/>
      <w:bookmarkEnd w:id="200"/>
    </w:p>
    <w:p w14:paraId="52F68C95">
      <w:pPr>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2"/>
        <w:rPr>
          <w:rFonts w:hint="eastAsia" w:ascii="方正仿宋_GBK" w:hAnsi="方正仿宋_GBK" w:eastAsia="方正仿宋_GBK" w:cs="方正仿宋_GBK"/>
        </w:rPr>
      </w:pPr>
      <w:bookmarkStart w:id="201" w:name="_Toc20635"/>
      <w:bookmarkStart w:id="202" w:name="_Toc4533"/>
      <w:r>
        <w:rPr>
          <w:rFonts w:hint="eastAsia" w:ascii="方正仿宋_GBK" w:hAnsi="方正仿宋_GBK" w:eastAsia="方正仿宋_GBK" w:cs="方正仿宋_GBK"/>
        </w:rPr>
        <w:t>1. 参选文件的密封</w:t>
      </w:r>
      <w:bookmarkEnd w:id="201"/>
      <w:bookmarkEnd w:id="202"/>
    </w:p>
    <w:p w14:paraId="4261C62E">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1.1参选文件的正本、副本均应密封送达递交参选文件地点，应在封套上注明项目名称、参选人名称。若正本、副本分别进行密封的，还应在封套上注明“正本”、“副本”字样。</w:t>
      </w:r>
    </w:p>
    <w:p w14:paraId="0C09B7F9">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1.2封套的封口处应加盖参选人鲜章或由法定代表人授权代表签字。</w:t>
      </w:r>
    </w:p>
    <w:p w14:paraId="05A0682E">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2.如果未按上述规定进行密封，比选代理机构对参选文件误投、丢失或提前拆封不负责任。</w:t>
      </w:r>
    </w:p>
    <w:p w14:paraId="64E7BC29">
      <w:pPr>
        <w:pStyle w:val="2"/>
        <w:pageBreakBefore w:val="0"/>
        <w:widowControl w:val="0"/>
        <w:kinsoku/>
        <w:wordWrap/>
        <w:overflowPunct/>
        <w:topLinePunct w:val="0"/>
        <w:autoSpaceDE/>
        <w:autoSpaceDN/>
        <w:bidi w:val="0"/>
        <w:adjustRightInd/>
        <w:spacing w:before="0" w:after="0" w:line="480" w:lineRule="exact"/>
        <w:ind w:firstLine="562" w:firstLineChars="200"/>
        <w:textAlignment w:val="auto"/>
        <w:rPr>
          <w:rFonts w:hint="eastAsia" w:ascii="方正仿宋_GBK" w:hAnsi="方正仿宋_GBK" w:eastAsia="方正仿宋_GBK" w:cs="方正仿宋_GBK"/>
          <w:b/>
          <w:bCs/>
          <w:sz w:val="28"/>
          <w:szCs w:val="28"/>
        </w:rPr>
      </w:pPr>
      <w:bookmarkStart w:id="203" w:name="_Toc21153"/>
      <w:bookmarkStart w:id="204" w:name="_Toc28802"/>
      <w:bookmarkStart w:id="205" w:name="_Toc7349"/>
      <w:bookmarkStart w:id="206" w:name="_Toc26722"/>
      <w:bookmarkStart w:id="207" w:name="_Toc21026"/>
      <w:bookmarkStart w:id="208" w:name="_Toc18330"/>
      <w:bookmarkStart w:id="209" w:name="_Toc23026"/>
      <w:r>
        <w:rPr>
          <w:rFonts w:hint="eastAsia" w:ascii="方正仿宋_GBK" w:hAnsi="方正仿宋_GBK" w:eastAsia="方正仿宋_GBK" w:cs="方正仿宋_GBK"/>
          <w:b/>
          <w:bCs/>
          <w:sz w:val="28"/>
          <w:szCs w:val="28"/>
          <w:lang w:val="en-US" w:eastAsia="zh-CN"/>
        </w:rPr>
        <w:t>四</w:t>
      </w:r>
      <w:r>
        <w:rPr>
          <w:rFonts w:hint="eastAsia" w:ascii="方正仿宋_GBK" w:hAnsi="方正仿宋_GBK" w:eastAsia="方正仿宋_GBK" w:cs="方正仿宋_GBK"/>
          <w:b/>
          <w:bCs/>
          <w:sz w:val="28"/>
          <w:szCs w:val="28"/>
        </w:rPr>
        <w:t>、关于质疑和投诉</w:t>
      </w:r>
      <w:bookmarkEnd w:id="203"/>
      <w:bookmarkEnd w:id="204"/>
      <w:bookmarkEnd w:id="205"/>
      <w:bookmarkEnd w:id="206"/>
      <w:bookmarkEnd w:id="207"/>
      <w:bookmarkEnd w:id="208"/>
      <w:bookmarkEnd w:id="209"/>
    </w:p>
    <w:p w14:paraId="154E3104">
      <w:pPr>
        <w:pageBreakBefore w:val="0"/>
        <w:widowControl w:val="0"/>
        <w:kinsoku/>
        <w:wordWrap/>
        <w:overflowPunct/>
        <w:topLinePunct w:val="0"/>
        <w:autoSpaceDE/>
        <w:autoSpaceDN/>
        <w:bidi w:val="0"/>
        <w:adjustRightInd/>
        <w:spacing w:line="480" w:lineRule="exact"/>
        <w:ind w:firstLine="560" w:firstLineChars="200"/>
        <w:textAlignment w:val="auto"/>
        <w:outlineLvl w:val="1"/>
        <w:rPr>
          <w:rFonts w:hint="eastAsia" w:ascii="方正仿宋_GBK" w:hAnsi="方正仿宋_GBK" w:eastAsia="方正仿宋_GBK" w:cs="方正仿宋_GBK"/>
        </w:rPr>
      </w:pPr>
      <w:bookmarkStart w:id="210" w:name="_Toc27660"/>
      <w:bookmarkStart w:id="211" w:name="_Toc32605"/>
      <w:bookmarkStart w:id="212" w:name="_Toc102227322"/>
      <w:bookmarkStart w:id="213" w:name="_Toc3201"/>
      <w:bookmarkStart w:id="214" w:name="_Toc342913396"/>
      <w:bookmarkStart w:id="215" w:name="_Toc11641055"/>
      <w:bookmarkStart w:id="216" w:name="_Toc12789059"/>
      <w:r>
        <w:rPr>
          <w:rFonts w:hint="eastAsia" w:ascii="方正仿宋_GBK" w:hAnsi="方正仿宋_GBK" w:eastAsia="方正仿宋_GBK" w:cs="方正仿宋_GBK"/>
        </w:rPr>
        <w:t>（一）质疑</w:t>
      </w:r>
      <w:bookmarkEnd w:id="210"/>
      <w:bookmarkEnd w:id="211"/>
    </w:p>
    <w:p w14:paraId="2B619AC3">
      <w:pPr>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参选人认为比选文件、比选过程和中选结果使自己的权益收到伤害的，可向比选人或比选代理机构以书面形式提出质疑。</w:t>
      </w:r>
    </w:p>
    <w:p w14:paraId="73E8C3DF">
      <w:pPr>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提出质疑的应当是参与所质疑项目比选活动的参选人。 </w:t>
      </w:r>
    </w:p>
    <w:p w14:paraId="5833426A">
      <w:pPr>
        <w:pageBreakBefore w:val="0"/>
        <w:widowControl w:val="0"/>
        <w:kinsoku/>
        <w:wordWrap/>
        <w:overflowPunct/>
        <w:topLinePunct w:val="0"/>
        <w:autoSpaceDE/>
        <w:autoSpaceDN/>
        <w:bidi w:val="0"/>
        <w:adjustRightInd/>
        <w:spacing w:line="480" w:lineRule="exact"/>
        <w:ind w:right="12" w:firstLine="480"/>
        <w:textAlignment w:val="auto"/>
        <w:outlineLvl w:val="2"/>
        <w:rPr>
          <w:rFonts w:hint="eastAsia" w:ascii="方正仿宋_GBK" w:hAnsi="方正仿宋_GBK" w:eastAsia="方正仿宋_GBK" w:cs="方正仿宋_GBK"/>
        </w:rPr>
      </w:pPr>
      <w:bookmarkStart w:id="217" w:name="_Toc15186"/>
      <w:bookmarkStart w:id="218" w:name="_Toc8889"/>
      <w:r>
        <w:rPr>
          <w:rFonts w:hint="eastAsia" w:ascii="方正仿宋_GBK" w:hAnsi="方正仿宋_GBK" w:eastAsia="方正仿宋_GBK" w:cs="方正仿宋_GBK"/>
        </w:rPr>
        <w:t>1.质疑时限、内容</w:t>
      </w:r>
      <w:bookmarkEnd w:id="217"/>
      <w:bookmarkEnd w:id="218"/>
    </w:p>
    <w:p w14:paraId="11D37033">
      <w:pPr>
        <w:pageBreakBefore w:val="0"/>
        <w:widowControl w:val="0"/>
        <w:kinsoku/>
        <w:wordWrap/>
        <w:overflowPunct/>
        <w:topLinePunct w:val="0"/>
        <w:autoSpaceDE/>
        <w:autoSpaceDN/>
        <w:bidi w:val="0"/>
        <w:adjustRightInd/>
        <w:spacing w:line="480" w:lineRule="exact"/>
        <w:ind w:right="12" w:firstLine="48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参选人认为比选文件、比选过程、中选结果使自己的权益受到损害的，可以在知道或者应知其权益受到损害之日起7个工作日内，以书面形式向比选人、比选代理机构提出质疑。</w:t>
      </w:r>
    </w:p>
    <w:p w14:paraId="48CD1B21">
      <w:pPr>
        <w:pageBreakBefore w:val="0"/>
        <w:widowControl w:val="0"/>
        <w:kinsoku/>
        <w:wordWrap/>
        <w:overflowPunct/>
        <w:topLinePunct w:val="0"/>
        <w:autoSpaceDE/>
        <w:autoSpaceDN/>
        <w:bidi w:val="0"/>
        <w:adjustRightInd/>
        <w:spacing w:line="480" w:lineRule="exact"/>
        <w:ind w:right="12" w:firstLine="48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1.2参选人提出质疑应当提交质疑函和必要的证明材料，质疑函应当包括下列内容：</w:t>
      </w:r>
    </w:p>
    <w:p w14:paraId="004DDAFE">
      <w:pPr>
        <w:pageBreakBefore w:val="0"/>
        <w:widowControl w:val="0"/>
        <w:kinsoku/>
        <w:wordWrap/>
        <w:overflowPunct/>
        <w:topLinePunct w:val="0"/>
        <w:autoSpaceDE/>
        <w:autoSpaceDN/>
        <w:bidi w:val="0"/>
        <w:adjustRightInd/>
        <w:spacing w:line="480" w:lineRule="exact"/>
        <w:ind w:right="12" w:firstLine="48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1.2.1参选人的姓名或者名称、地址、邮编、联系人及联系电话；</w:t>
      </w:r>
    </w:p>
    <w:p w14:paraId="12283408">
      <w:pPr>
        <w:pageBreakBefore w:val="0"/>
        <w:widowControl w:val="0"/>
        <w:kinsoku/>
        <w:wordWrap/>
        <w:overflowPunct/>
        <w:topLinePunct w:val="0"/>
        <w:autoSpaceDE/>
        <w:autoSpaceDN/>
        <w:bidi w:val="0"/>
        <w:adjustRightInd/>
        <w:spacing w:line="480" w:lineRule="exact"/>
        <w:ind w:right="12" w:firstLine="48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1.2.2质疑项目的名称、项目编号以及采购执行编号；</w:t>
      </w:r>
    </w:p>
    <w:p w14:paraId="0B29B4B4">
      <w:pPr>
        <w:pageBreakBefore w:val="0"/>
        <w:widowControl w:val="0"/>
        <w:kinsoku/>
        <w:wordWrap/>
        <w:overflowPunct/>
        <w:topLinePunct w:val="0"/>
        <w:autoSpaceDE/>
        <w:autoSpaceDN/>
        <w:bidi w:val="0"/>
        <w:adjustRightInd/>
        <w:spacing w:line="480" w:lineRule="exact"/>
        <w:ind w:right="12" w:firstLine="48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1.2.3具体、明确的质疑事项和与质疑事项相关的请求；</w:t>
      </w:r>
    </w:p>
    <w:p w14:paraId="51DC064D">
      <w:pPr>
        <w:pageBreakBefore w:val="0"/>
        <w:widowControl w:val="0"/>
        <w:kinsoku/>
        <w:wordWrap/>
        <w:overflowPunct/>
        <w:topLinePunct w:val="0"/>
        <w:autoSpaceDE/>
        <w:autoSpaceDN/>
        <w:bidi w:val="0"/>
        <w:adjustRightInd/>
        <w:spacing w:line="480" w:lineRule="exact"/>
        <w:ind w:right="12" w:firstLine="48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1.2.4事实依据；</w:t>
      </w:r>
    </w:p>
    <w:p w14:paraId="29670AEA">
      <w:pPr>
        <w:pageBreakBefore w:val="0"/>
        <w:widowControl w:val="0"/>
        <w:kinsoku/>
        <w:wordWrap/>
        <w:overflowPunct/>
        <w:topLinePunct w:val="0"/>
        <w:autoSpaceDE/>
        <w:autoSpaceDN/>
        <w:bidi w:val="0"/>
        <w:adjustRightInd/>
        <w:spacing w:line="480" w:lineRule="exact"/>
        <w:ind w:right="12" w:firstLine="48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1.2.5必要的法律依据；</w:t>
      </w:r>
    </w:p>
    <w:p w14:paraId="73FFEDFA">
      <w:pPr>
        <w:pageBreakBefore w:val="0"/>
        <w:widowControl w:val="0"/>
        <w:kinsoku/>
        <w:wordWrap/>
        <w:overflowPunct/>
        <w:topLinePunct w:val="0"/>
        <w:autoSpaceDE/>
        <w:autoSpaceDN/>
        <w:bidi w:val="0"/>
        <w:adjustRightInd/>
        <w:spacing w:line="480" w:lineRule="exact"/>
        <w:ind w:right="12" w:firstLine="48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1.2.6提出质疑的日期；</w:t>
      </w:r>
    </w:p>
    <w:p w14:paraId="489A2639">
      <w:pPr>
        <w:pageBreakBefore w:val="0"/>
        <w:widowControl w:val="0"/>
        <w:kinsoku/>
        <w:wordWrap/>
        <w:overflowPunct/>
        <w:topLinePunct w:val="0"/>
        <w:autoSpaceDE/>
        <w:autoSpaceDN/>
        <w:bidi w:val="0"/>
        <w:adjustRightInd/>
        <w:spacing w:line="480" w:lineRule="exact"/>
        <w:ind w:right="12" w:firstLine="48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1.2.7营业执照（或事业单位法人证书，或个体工商户营业执照或有效的自然人身份证明）复印件；</w:t>
      </w:r>
    </w:p>
    <w:p w14:paraId="0A75C8E8">
      <w:pPr>
        <w:pageBreakBefore w:val="0"/>
        <w:widowControl w:val="0"/>
        <w:kinsoku/>
        <w:wordWrap/>
        <w:overflowPunct/>
        <w:topLinePunct w:val="0"/>
        <w:autoSpaceDE/>
        <w:autoSpaceDN/>
        <w:bidi w:val="0"/>
        <w:adjustRightInd/>
        <w:spacing w:line="480" w:lineRule="exact"/>
        <w:ind w:right="12" w:firstLine="48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1.2.8法定代表人授权委托书原件、法定代表人身份证复印件和其授权代表的身份证复印件（参选人为自然人的提供自然人身份证复印件）；</w:t>
      </w:r>
    </w:p>
    <w:p w14:paraId="5C9D915E">
      <w:pPr>
        <w:pageBreakBefore w:val="0"/>
        <w:widowControl w:val="0"/>
        <w:kinsoku/>
        <w:wordWrap/>
        <w:overflowPunct/>
        <w:topLinePunct w:val="0"/>
        <w:autoSpaceDE/>
        <w:autoSpaceDN/>
        <w:bidi w:val="0"/>
        <w:adjustRightInd/>
        <w:spacing w:line="480" w:lineRule="exact"/>
        <w:ind w:right="12" w:firstLine="480"/>
        <w:textAlignment w:val="auto"/>
        <w:outlineLvl w:val="2"/>
        <w:rPr>
          <w:rFonts w:hint="eastAsia" w:ascii="方正仿宋_GBK" w:hAnsi="方正仿宋_GBK" w:eastAsia="方正仿宋_GBK" w:cs="方正仿宋_GBK"/>
        </w:rPr>
      </w:pPr>
      <w:bookmarkStart w:id="219" w:name="_Toc21865"/>
      <w:bookmarkStart w:id="220" w:name="_Toc24029"/>
      <w:r>
        <w:rPr>
          <w:rFonts w:hint="eastAsia" w:ascii="方正仿宋_GBK" w:hAnsi="方正仿宋_GBK" w:eastAsia="方正仿宋_GBK" w:cs="方正仿宋_GBK"/>
        </w:rPr>
        <w:t>2.质疑答复</w:t>
      </w:r>
      <w:bookmarkEnd w:id="219"/>
      <w:bookmarkEnd w:id="220"/>
    </w:p>
    <w:p w14:paraId="4FCA5F36">
      <w:pPr>
        <w:pageBreakBefore w:val="0"/>
        <w:widowControl w:val="0"/>
        <w:kinsoku/>
        <w:wordWrap/>
        <w:overflowPunct/>
        <w:topLinePunct w:val="0"/>
        <w:autoSpaceDE/>
        <w:autoSpaceDN/>
        <w:bidi w:val="0"/>
        <w:adjustRightInd/>
        <w:spacing w:line="480" w:lineRule="exact"/>
        <w:ind w:right="12" w:firstLine="48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比选人、比选代理机构应当在收到参选人的书面质疑后七个工作日内作出答复，并以书面形式通知质疑参选人和其他有关参选人。</w:t>
      </w:r>
    </w:p>
    <w:p w14:paraId="0BC85B10">
      <w:pPr>
        <w:pageBreakBefore w:val="0"/>
        <w:widowControl w:val="0"/>
        <w:kinsoku/>
        <w:wordWrap/>
        <w:overflowPunct/>
        <w:topLinePunct w:val="0"/>
        <w:autoSpaceDE/>
        <w:autoSpaceDN/>
        <w:bidi w:val="0"/>
        <w:adjustRightInd/>
        <w:spacing w:line="480" w:lineRule="exact"/>
        <w:ind w:right="12" w:firstLine="480"/>
        <w:textAlignment w:val="auto"/>
        <w:outlineLvl w:val="2"/>
        <w:rPr>
          <w:rFonts w:hint="eastAsia" w:ascii="方正仿宋_GBK" w:hAnsi="方正仿宋_GBK" w:eastAsia="方正仿宋_GBK" w:cs="方正仿宋_GBK"/>
        </w:rPr>
      </w:pPr>
      <w:bookmarkStart w:id="221" w:name="_Toc12950"/>
      <w:bookmarkStart w:id="222" w:name="_Toc19774"/>
      <w:r>
        <w:rPr>
          <w:rFonts w:hint="eastAsia" w:ascii="方正仿宋_GBK" w:hAnsi="方正仿宋_GBK" w:eastAsia="方正仿宋_GBK" w:cs="方正仿宋_GBK"/>
        </w:rPr>
        <w:t>3.其他</w:t>
      </w:r>
      <w:bookmarkEnd w:id="221"/>
      <w:bookmarkEnd w:id="222"/>
    </w:p>
    <w:p w14:paraId="1F3FC9BB">
      <w:pPr>
        <w:pageBreakBefore w:val="0"/>
        <w:widowControl w:val="0"/>
        <w:kinsoku/>
        <w:wordWrap/>
        <w:overflowPunct/>
        <w:topLinePunct w:val="0"/>
        <w:autoSpaceDE/>
        <w:autoSpaceDN/>
        <w:bidi w:val="0"/>
        <w:adjustRightInd/>
        <w:spacing w:line="480" w:lineRule="exact"/>
        <w:ind w:right="12" w:firstLine="48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3.1参选人应按照相关法律法规要求，在法定质疑期内一次性提出针对同一比选程序环节的质疑。</w:t>
      </w:r>
    </w:p>
    <w:p w14:paraId="220081CA">
      <w:pPr>
        <w:pageBreakBefore w:val="0"/>
        <w:widowControl w:val="0"/>
        <w:kinsoku/>
        <w:wordWrap/>
        <w:overflowPunct/>
        <w:topLinePunct w:val="0"/>
        <w:autoSpaceDE/>
        <w:autoSpaceDN/>
        <w:bidi w:val="0"/>
        <w:adjustRightInd/>
        <w:spacing w:line="480" w:lineRule="exact"/>
        <w:ind w:right="12" w:firstLine="480"/>
        <w:textAlignment w:val="auto"/>
        <w:outlineLvl w:val="1"/>
        <w:rPr>
          <w:rFonts w:hint="eastAsia" w:ascii="方正仿宋_GBK" w:hAnsi="方正仿宋_GBK" w:eastAsia="方正仿宋_GBK" w:cs="方正仿宋_GBK"/>
        </w:rPr>
      </w:pPr>
      <w:bookmarkStart w:id="223" w:name="_Toc30477"/>
      <w:bookmarkStart w:id="224" w:name="_Toc17283"/>
      <w:r>
        <w:rPr>
          <w:rFonts w:hint="eastAsia" w:ascii="方正仿宋_GBK" w:hAnsi="方正仿宋_GBK" w:eastAsia="方正仿宋_GBK" w:cs="方正仿宋_GBK"/>
        </w:rPr>
        <w:t>（二）投诉</w:t>
      </w:r>
      <w:bookmarkEnd w:id="223"/>
      <w:bookmarkEnd w:id="224"/>
    </w:p>
    <w:p w14:paraId="5E9C713F">
      <w:pPr>
        <w:pageBreakBefore w:val="0"/>
        <w:widowControl w:val="0"/>
        <w:kinsoku/>
        <w:wordWrap/>
        <w:overflowPunct/>
        <w:topLinePunct w:val="0"/>
        <w:autoSpaceDE/>
        <w:autoSpaceDN/>
        <w:bidi w:val="0"/>
        <w:adjustRightInd/>
        <w:spacing w:line="480" w:lineRule="exact"/>
        <w:ind w:right="12" w:firstLine="48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1.参选人对比选人、比选代理机构的答复不满意，或者比选人、比选代理机构未在规定时间内作出答复的，可以在答复期满后15个工作日内按照相关法律法规提起投诉。</w:t>
      </w:r>
    </w:p>
    <w:p w14:paraId="121A76D2">
      <w:pPr>
        <w:pageBreakBefore w:val="0"/>
        <w:widowControl w:val="0"/>
        <w:kinsoku/>
        <w:wordWrap/>
        <w:overflowPunct/>
        <w:topLinePunct w:val="0"/>
        <w:autoSpaceDE/>
        <w:autoSpaceDN/>
        <w:bidi w:val="0"/>
        <w:adjustRightInd/>
        <w:spacing w:line="480" w:lineRule="exact"/>
        <w:ind w:right="12" w:firstLine="480"/>
        <w:textAlignment w:val="auto"/>
        <w:outlineLvl w:val="2"/>
        <w:rPr>
          <w:rFonts w:hint="eastAsia" w:ascii="方正仿宋_GBK" w:hAnsi="方正仿宋_GBK" w:eastAsia="方正仿宋_GBK" w:cs="方正仿宋_GBK"/>
        </w:rPr>
      </w:pPr>
      <w:bookmarkStart w:id="225" w:name="_Toc15028"/>
      <w:bookmarkStart w:id="226" w:name="_Toc24349"/>
      <w:r>
        <w:rPr>
          <w:rFonts w:hint="eastAsia" w:ascii="方正仿宋_GBK" w:hAnsi="方正仿宋_GBK" w:eastAsia="方正仿宋_GBK" w:cs="方正仿宋_GBK"/>
        </w:rPr>
        <w:t>2.参选人应按照相关法律法规要求递交投诉书和必要的证明材料。</w:t>
      </w:r>
      <w:bookmarkEnd w:id="225"/>
      <w:bookmarkEnd w:id="226"/>
    </w:p>
    <w:p w14:paraId="64E89A82">
      <w:pPr>
        <w:pageBreakBefore w:val="0"/>
        <w:widowControl w:val="0"/>
        <w:kinsoku/>
        <w:wordWrap/>
        <w:overflowPunct/>
        <w:topLinePunct w:val="0"/>
        <w:autoSpaceDE/>
        <w:autoSpaceDN/>
        <w:bidi w:val="0"/>
        <w:adjustRightInd/>
        <w:spacing w:line="480" w:lineRule="exact"/>
        <w:ind w:right="12" w:firstLine="48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3.投诉书应当使用中文，相关当事人提供外文书证或者外国语视听资料的，应当附有中文译本，由翻译机构盖章或者翻译人员签名；相关当事人向有关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9D84674">
      <w:pPr>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4.在确定受理投诉后，自受理投诉之日起30个工作日内（需要检验、检测、鉴定、专家评审以及需要投诉人补正材料的，所需时间不计算在投诉处理期限内）对投诉事项做出处理决定。</w:t>
      </w:r>
    </w:p>
    <w:p w14:paraId="04C22008">
      <w:pPr>
        <w:pStyle w:val="4"/>
        <w:pageBreakBefore w:val="0"/>
        <w:widowControl w:val="0"/>
        <w:kinsoku/>
        <w:wordWrap/>
        <w:overflowPunct/>
        <w:topLinePunct w:val="0"/>
        <w:autoSpaceDE/>
        <w:autoSpaceDN/>
        <w:bidi w:val="0"/>
        <w:adjustRightInd/>
        <w:spacing w:line="480" w:lineRule="exact"/>
        <w:ind w:firstLine="562" w:firstLineChars="200"/>
        <w:textAlignment w:val="auto"/>
        <w:outlineLvl w:val="0"/>
        <w:rPr>
          <w:rFonts w:hint="eastAsia" w:ascii="方正仿宋_GBK" w:hAnsi="方正仿宋_GBK" w:eastAsia="方正仿宋_GBK" w:cs="方正仿宋_GBK"/>
          <w:b/>
          <w:bCs/>
        </w:rPr>
      </w:pPr>
      <w:bookmarkStart w:id="227" w:name="_Toc22260"/>
      <w:bookmarkStart w:id="228" w:name="_Toc29924"/>
      <w:bookmarkStart w:id="229" w:name="_Toc25958"/>
      <w:bookmarkStart w:id="230" w:name="_Toc17047"/>
      <w:bookmarkStart w:id="231" w:name="_Toc20249"/>
      <w:bookmarkStart w:id="232" w:name="_Toc26315"/>
      <w:r>
        <w:rPr>
          <w:rFonts w:hint="eastAsia" w:ascii="方正仿宋_GBK" w:hAnsi="方正仿宋_GBK" w:eastAsia="方正仿宋_GBK" w:cs="方正仿宋_GBK"/>
          <w:b/>
          <w:bCs/>
          <w:lang w:val="en-US" w:eastAsia="zh-CN"/>
        </w:rPr>
        <w:t>五</w:t>
      </w:r>
      <w:r>
        <w:rPr>
          <w:rFonts w:hint="eastAsia" w:ascii="方正仿宋_GBK" w:hAnsi="方正仿宋_GBK" w:eastAsia="方正仿宋_GBK" w:cs="方正仿宋_GBK"/>
          <w:b/>
          <w:bCs/>
        </w:rPr>
        <w:t>、语言文字</w:t>
      </w:r>
      <w:bookmarkEnd w:id="227"/>
      <w:bookmarkEnd w:id="228"/>
      <w:bookmarkEnd w:id="229"/>
      <w:bookmarkEnd w:id="230"/>
      <w:bookmarkEnd w:id="231"/>
      <w:bookmarkEnd w:id="232"/>
    </w:p>
    <w:p w14:paraId="1A72E4EA">
      <w:pPr>
        <w:pStyle w:val="4"/>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参选文件使用的语言文字一律为中文。专用术语使用外文的，应附有中文注释。</w:t>
      </w:r>
    </w:p>
    <w:p w14:paraId="40D81D41">
      <w:pPr>
        <w:pStyle w:val="2"/>
        <w:pageBreakBefore w:val="0"/>
        <w:widowControl w:val="0"/>
        <w:kinsoku/>
        <w:wordWrap/>
        <w:overflowPunct/>
        <w:topLinePunct w:val="0"/>
        <w:autoSpaceDE/>
        <w:autoSpaceDN/>
        <w:bidi w:val="0"/>
        <w:adjustRightInd/>
        <w:spacing w:before="0" w:after="0" w:line="480" w:lineRule="exact"/>
        <w:ind w:firstLine="562" w:firstLineChars="200"/>
        <w:textAlignment w:val="auto"/>
        <w:rPr>
          <w:rFonts w:hint="eastAsia" w:ascii="方正仿宋_GBK" w:hAnsi="方正仿宋_GBK" w:eastAsia="方正仿宋_GBK" w:cs="方正仿宋_GBK"/>
          <w:b/>
          <w:bCs/>
          <w:sz w:val="28"/>
          <w:szCs w:val="28"/>
        </w:rPr>
      </w:pPr>
      <w:bookmarkStart w:id="233" w:name="_Toc12264"/>
      <w:bookmarkStart w:id="234" w:name="_Toc16675"/>
      <w:bookmarkStart w:id="235" w:name="_Toc5917"/>
      <w:bookmarkStart w:id="236" w:name="_Toc32619"/>
      <w:bookmarkStart w:id="237" w:name="_Toc6054"/>
      <w:bookmarkStart w:id="238" w:name="_Toc9258"/>
      <w:r>
        <w:rPr>
          <w:rFonts w:hint="eastAsia" w:ascii="方正仿宋_GBK" w:hAnsi="方正仿宋_GBK" w:eastAsia="方正仿宋_GBK" w:cs="方正仿宋_GBK"/>
          <w:b/>
          <w:bCs/>
          <w:sz w:val="28"/>
          <w:szCs w:val="28"/>
          <w:lang w:val="en-US" w:eastAsia="zh-CN"/>
        </w:rPr>
        <w:t>六</w:t>
      </w:r>
      <w:r>
        <w:rPr>
          <w:rFonts w:hint="eastAsia" w:ascii="方正仿宋_GBK" w:hAnsi="方正仿宋_GBK" w:eastAsia="方正仿宋_GBK" w:cs="方正仿宋_GBK"/>
          <w:b/>
          <w:bCs/>
          <w:sz w:val="28"/>
          <w:szCs w:val="28"/>
        </w:rPr>
        <w:t>、签订</w:t>
      </w:r>
      <w:bookmarkEnd w:id="212"/>
      <w:r>
        <w:rPr>
          <w:rFonts w:hint="eastAsia" w:ascii="方正仿宋_GBK" w:hAnsi="方正仿宋_GBK" w:eastAsia="方正仿宋_GBK" w:cs="方正仿宋_GBK"/>
          <w:b/>
          <w:bCs/>
          <w:sz w:val="28"/>
          <w:szCs w:val="28"/>
        </w:rPr>
        <w:t>合同</w:t>
      </w:r>
      <w:bookmarkEnd w:id="213"/>
      <w:bookmarkEnd w:id="214"/>
      <w:bookmarkEnd w:id="233"/>
      <w:bookmarkEnd w:id="234"/>
      <w:bookmarkEnd w:id="235"/>
      <w:bookmarkEnd w:id="236"/>
      <w:bookmarkEnd w:id="237"/>
      <w:bookmarkEnd w:id="238"/>
    </w:p>
    <w:p w14:paraId="4EC0B296">
      <w:pPr>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一）比选人应当自中选通知书发出之日起5日内，按照竞争性比选文件和中选人参选文件的约定，与中选人签订书面合同。所签订的合同不得对竞争性比选文件和参选人的参选文件作实质性修改。其他未尽事宜由比选人和中选人在合同中详细约定。</w:t>
      </w:r>
    </w:p>
    <w:p w14:paraId="797FDE6C">
      <w:pPr>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（二）竞争性比选文件、参选人的参选文件及澄清文件等，均为签订合同的依据。</w:t>
      </w:r>
    </w:p>
    <w:p w14:paraId="131D3201">
      <w:pPr>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（三）合同生效条款由供需双方约定，法律、行政法规规定应当办理批准、登记等手续后生效的合同，依照其规定。</w:t>
      </w:r>
    </w:p>
    <w:p w14:paraId="0068B296">
      <w:pPr>
        <w:spacing w:line="600" w:lineRule="exact"/>
        <w:ind w:firstLine="3060" w:firstLineChars="850"/>
        <w:rPr>
          <w:rFonts w:hint="eastAsia" w:ascii="仿宋" w:hAnsi="仿宋" w:eastAsia="仿宋" w:cs="仿宋"/>
        </w:rPr>
      </w:pPr>
      <w:r>
        <w:rPr>
          <w:rFonts w:hint="eastAsia" w:ascii="仿宋" w:hAnsi="仿宋" w:eastAsia="仿宋" w:cs="仿宋"/>
          <w:sz w:val="36"/>
          <w:szCs w:val="30"/>
        </w:rPr>
        <w:br w:type="page"/>
      </w:r>
      <w:bookmarkEnd w:id="215"/>
      <w:bookmarkEnd w:id="216"/>
      <w:bookmarkStart w:id="239" w:name="_Hlt41879464"/>
      <w:bookmarkEnd w:id="239"/>
      <w:bookmarkStart w:id="240" w:name="_Toc7709"/>
      <w:bookmarkStart w:id="241" w:name="_Toc24101"/>
      <w:bookmarkStart w:id="242" w:name="_Toc20855"/>
      <w:bookmarkStart w:id="243" w:name="_Toc6308"/>
      <w:bookmarkStart w:id="244" w:name="_Toc3774"/>
      <w:bookmarkStart w:id="245" w:name="_Toc24234"/>
      <w:bookmarkStart w:id="246" w:name="_Toc11132"/>
      <w:bookmarkStart w:id="247" w:name="_Toc21446"/>
      <w:bookmarkStart w:id="248" w:name="_Toc27055"/>
      <w:bookmarkStart w:id="249" w:name="_Toc12789072"/>
      <w:bookmarkStart w:id="250" w:name="_Toc31102"/>
      <w:bookmarkStart w:id="251" w:name="_Toc30926"/>
      <w:bookmarkStart w:id="252" w:name="_Toc2212"/>
      <w:r>
        <w:rPr>
          <w:rFonts w:hint="eastAsia" w:ascii="仿宋" w:hAnsi="仿宋" w:eastAsia="仿宋" w:cs="仿宋"/>
          <w:b/>
          <w:bCs/>
          <w:sz w:val="36"/>
          <w:szCs w:val="36"/>
        </w:rPr>
        <w:t xml:space="preserve">第六篇  </w:t>
      </w:r>
      <w:bookmarkStart w:id="253" w:name="_Toc277084871"/>
      <w:bookmarkStart w:id="254" w:name="_Toc14438"/>
      <w:bookmarkStart w:id="255" w:name="_Toc532"/>
      <w:bookmarkStart w:id="256" w:name="_Toc4623"/>
      <w:bookmarkStart w:id="257" w:name="_Toc10958"/>
      <w:bookmarkStart w:id="258" w:name="_Toc13103"/>
      <w:bookmarkStart w:id="259" w:name="_Toc11820"/>
      <w:bookmarkStart w:id="260" w:name="_Toc6201"/>
      <w:bookmarkStart w:id="261" w:name="_Toc11006"/>
      <w:bookmarkStart w:id="262" w:name="_Toc285722713"/>
      <w:bookmarkStart w:id="263" w:name="_Toc75793538"/>
      <w:bookmarkStart w:id="264" w:name="_Toc106030415"/>
      <w:bookmarkStart w:id="265" w:name="_Toc6684"/>
      <w:bookmarkStart w:id="266" w:name="_Toc24031"/>
      <w:bookmarkStart w:id="267" w:name="_Toc1900"/>
      <w:bookmarkStart w:id="268" w:name="_Toc10851"/>
      <w:bookmarkStart w:id="269" w:name="_Toc3208"/>
      <w:bookmarkStart w:id="270" w:name="_Toc14172"/>
      <w:r>
        <w:rPr>
          <w:rFonts w:hint="eastAsia" w:ascii="仿宋" w:hAnsi="仿宋" w:eastAsia="仿宋" w:cs="仿宋"/>
          <w:b/>
          <w:bCs/>
          <w:sz w:val="36"/>
          <w:szCs w:val="36"/>
        </w:rPr>
        <w:t>采购合同</w:t>
      </w:r>
      <w:bookmarkEnd w:id="240"/>
      <w:bookmarkEnd w:id="241"/>
      <w:bookmarkEnd w:id="242"/>
      <w:bookmarkEnd w:id="243"/>
      <w:bookmarkEnd w:id="244"/>
      <w:bookmarkEnd w:id="245"/>
      <w:bookmarkEnd w:id="246"/>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14A15CAF">
      <w:pPr>
        <w:spacing w:line="500" w:lineRule="exact"/>
        <w:jc w:val="center"/>
        <w:outlineLvl w:val="1"/>
        <w:rPr>
          <w:rFonts w:hint="eastAsia" w:ascii="方正仿宋_GBK" w:hAnsi="方正仿宋_GBK" w:eastAsia="方正仿宋_GBK" w:cs="方正仿宋_GBK"/>
        </w:rPr>
      </w:pPr>
      <w:bookmarkStart w:id="271" w:name="_Toc11304"/>
      <w:bookmarkStart w:id="272" w:name="_Toc3725"/>
      <w:bookmarkStart w:id="273" w:name="_Toc20931"/>
      <w:bookmarkStart w:id="274" w:name="_Toc2222"/>
      <w:bookmarkStart w:id="275" w:name="_Toc31961"/>
      <w:r>
        <w:rPr>
          <w:rFonts w:hint="eastAsia" w:ascii="方正仿宋_GBK" w:hAnsi="方正仿宋_GBK" w:eastAsia="方正仿宋_GBK" w:cs="方正仿宋_GBK"/>
        </w:rPr>
        <w:t>（项目号：     ）</w:t>
      </w:r>
      <w:bookmarkEnd w:id="271"/>
      <w:bookmarkEnd w:id="272"/>
      <w:bookmarkEnd w:id="273"/>
      <w:bookmarkEnd w:id="274"/>
      <w:bookmarkEnd w:id="275"/>
    </w:p>
    <w:p w14:paraId="59626CF1">
      <w:pPr>
        <w:spacing w:line="500" w:lineRule="exact"/>
        <w:rPr>
          <w:rFonts w:hint="eastAsia" w:ascii="方正仿宋_GBK" w:hAnsi="方正仿宋_GBK" w:eastAsia="方正仿宋_GBK" w:cs="方正仿宋_GBK"/>
        </w:rPr>
      </w:pPr>
      <w:r>
        <w:rPr>
          <w:rFonts w:hint="eastAsia" w:ascii="方正仿宋_GBK" w:hAnsi="方正仿宋_GBK" w:eastAsia="方正仿宋_GBK" w:cs="方正仿宋_GBK"/>
        </w:rPr>
        <w:t>甲方（需方）：</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 xml:space="preserve">      计价单位：</w:t>
      </w:r>
      <w:r>
        <w:rPr>
          <w:rFonts w:hint="eastAsia" w:ascii="方正仿宋_GBK" w:hAnsi="方正仿宋_GBK" w:eastAsia="方正仿宋_GBK" w:cs="方正仿宋_GBK"/>
          <w:u w:val="single"/>
        </w:rPr>
        <w:t xml:space="preserve">     元      </w:t>
      </w:r>
    </w:p>
    <w:p w14:paraId="5BBD6025">
      <w:pPr>
        <w:spacing w:line="500" w:lineRule="exact"/>
        <w:rPr>
          <w:rFonts w:hint="eastAsia" w:ascii="方正仿宋_GBK" w:hAnsi="方正仿宋_GBK" w:eastAsia="方正仿宋_GBK" w:cs="方正仿宋_GBK"/>
        </w:rPr>
      </w:pPr>
      <w:r>
        <w:rPr>
          <w:rFonts w:hint="eastAsia" w:ascii="方正仿宋_GBK" w:hAnsi="方正仿宋_GBK" w:eastAsia="方正仿宋_GBK" w:cs="方正仿宋_GBK"/>
        </w:rPr>
        <w:t>乙方（供方）：</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 xml:space="preserve">      计量单位：</w:t>
      </w:r>
      <w:r>
        <w:rPr>
          <w:rFonts w:hint="eastAsia" w:ascii="方正仿宋_GBK" w:hAnsi="方正仿宋_GBK" w:eastAsia="方正仿宋_GBK" w:cs="方正仿宋_GBK"/>
          <w:u w:val="single"/>
        </w:rPr>
        <w:t xml:space="preserve">     元      </w:t>
      </w:r>
    </w:p>
    <w:p w14:paraId="1F9E57D9">
      <w:pPr>
        <w:spacing w:line="500" w:lineRule="exact"/>
        <w:rPr>
          <w:rFonts w:hint="eastAsia" w:ascii="方正仿宋_GBK" w:hAnsi="方正仿宋_GBK" w:eastAsia="方正仿宋_GBK" w:cs="方正仿宋_GBK"/>
        </w:rPr>
      </w:pPr>
      <w:r>
        <w:rPr>
          <w:rFonts w:hint="eastAsia" w:ascii="方正仿宋_GBK" w:hAnsi="方正仿宋_GBK" w:eastAsia="方正仿宋_GBK" w:cs="方正仿宋_GBK"/>
        </w:rPr>
        <w:t>经双方协商一致，达成以下购销合同：</w:t>
      </w:r>
    </w:p>
    <w:tbl>
      <w:tblPr>
        <w:tblStyle w:val="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4995"/>
      </w:tblGrid>
      <w:tr w14:paraId="2370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3" w:hRule="atLeast"/>
        </w:trPr>
        <w:tc>
          <w:tcPr>
            <w:tcW w:w="9735" w:type="dxa"/>
            <w:gridSpan w:val="2"/>
            <w:noWrap w:val="0"/>
            <w:vAlign w:val="top"/>
          </w:tcPr>
          <w:p w14:paraId="4D3F9F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lang w:val="en-US" w:eastAsia="zh-CN"/>
              </w:rPr>
              <w:t>一、</w:t>
            </w:r>
            <w:r>
              <w:rPr>
                <w:rFonts w:hint="eastAsia" w:ascii="方正仿宋_GBK" w:hAnsi="方正仿宋_GBK" w:eastAsia="方正仿宋_GBK" w:cs="方正仿宋_GBK"/>
                <w:kern w:val="1"/>
              </w:rPr>
              <w:t>服务内容及金额</w:t>
            </w:r>
          </w:p>
          <w:p w14:paraId="26360E4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1"/>
                <w:u w:val="single"/>
              </w:rPr>
            </w:pPr>
            <w:r>
              <w:rPr>
                <w:rFonts w:hint="eastAsia" w:ascii="方正仿宋_GBK" w:hAnsi="方正仿宋_GBK" w:eastAsia="方正仿宋_GBK" w:cs="方正仿宋_GBK"/>
                <w:kern w:val="1"/>
              </w:rPr>
              <w:t>服务内容：。</w:t>
            </w:r>
          </w:p>
          <w:p w14:paraId="2C55F56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1"/>
                <w:u w:val="single"/>
              </w:rPr>
            </w:pPr>
            <w:r>
              <w:rPr>
                <w:rFonts w:hint="eastAsia" w:ascii="方正仿宋_GBK" w:hAnsi="方正仿宋_GBK" w:eastAsia="方正仿宋_GBK" w:cs="方正仿宋_GBK"/>
                <w:kern w:val="1"/>
              </w:rPr>
              <w:t>金额：人民币</w:t>
            </w:r>
            <w:r>
              <w:rPr>
                <w:rFonts w:hint="eastAsia" w:ascii="方正仿宋_GBK" w:hAnsi="方正仿宋_GBK" w:eastAsia="方正仿宋_GBK" w:cs="方正仿宋_GBK"/>
                <w:kern w:val="1"/>
                <w:u w:val="single"/>
              </w:rPr>
              <w:t xml:space="preserve">            </w:t>
            </w:r>
            <w:r>
              <w:rPr>
                <w:rFonts w:hint="eastAsia" w:ascii="方正仿宋_GBK" w:hAnsi="方正仿宋_GBK" w:eastAsia="方正仿宋_GBK" w:cs="方正仿宋_GBK"/>
                <w:kern w:val="1"/>
              </w:rPr>
              <w:t>元（大写：</w:t>
            </w:r>
            <w:r>
              <w:rPr>
                <w:rFonts w:hint="eastAsia" w:ascii="方正仿宋_GBK" w:hAnsi="方正仿宋_GBK" w:eastAsia="方正仿宋_GBK" w:cs="方正仿宋_GBK"/>
                <w:kern w:val="1"/>
                <w:u w:val="single"/>
              </w:rPr>
              <w:t xml:space="preserve">         </w:t>
            </w:r>
            <w:r>
              <w:rPr>
                <w:rFonts w:hint="eastAsia" w:ascii="方正仿宋_GBK" w:hAnsi="方正仿宋_GBK" w:eastAsia="方正仿宋_GBK" w:cs="方正仿宋_GBK"/>
                <w:kern w:val="1"/>
              </w:rPr>
              <w:t>）。</w:t>
            </w:r>
          </w:p>
          <w:p w14:paraId="5219F8B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二、质量保证和售后服务：</w:t>
            </w:r>
          </w:p>
          <w:p w14:paraId="6568D8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（一）质保期内售后服务</w:t>
            </w:r>
          </w:p>
          <w:p w14:paraId="2C8230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1. 服务质保期：</w:t>
            </w:r>
            <w:r>
              <w:rPr>
                <w:rFonts w:hint="eastAsia" w:ascii="方正仿宋_GBK" w:hAnsi="方正仿宋_GBK" w:eastAsia="方正仿宋_GBK" w:cs="方正仿宋_GBK"/>
                <w:kern w:val="1"/>
                <w:u w:val="single"/>
              </w:rPr>
              <w:t xml:space="preserve">                  </w:t>
            </w:r>
            <w:r>
              <w:rPr>
                <w:rFonts w:hint="eastAsia" w:ascii="方正仿宋_GBK" w:hAnsi="方正仿宋_GBK" w:eastAsia="方正仿宋_GBK" w:cs="方正仿宋_GBK"/>
                <w:kern w:val="1"/>
              </w:rPr>
              <w:t>。</w:t>
            </w:r>
          </w:p>
          <w:p w14:paraId="7EE7B8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2. 售后服务内容：</w:t>
            </w:r>
          </w:p>
          <w:p w14:paraId="5F157A7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主要包括：</w:t>
            </w:r>
            <w:r>
              <w:rPr>
                <w:rFonts w:hint="eastAsia" w:ascii="方正仿宋_GBK" w:hAnsi="方正仿宋_GBK" w:eastAsia="方正仿宋_GBK" w:cs="方正仿宋_GBK"/>
                <w:kern w:val="1"/>
                <w:u w:val="single"/>
              </w:rPr>
              <w:t xml:space="preserve">                    </w:t>
            </w:r>
            <w:r>
              <w:rPr>
                <w:rFonts w:hint="eastAsia" w:ascii="方正仿宋_GBK" w:hAnsi="方正仿宋_GBK" w:eastAsia="方正仿宋_GBK" w:cs="方正仿宋_GBK"/>
                <w:kern w:val="1"/>
              </w:rPr>
              <w:t xml:space="preserve">。 </w:t>
            </w:r>
          </w:p>
          <w:p w14:paraId="3CA66C8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3.服务质保期内服务要求：</w:t>
            </w:r>
          </w:p>
          <w:p w14:paraId="5F170F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（1）技术服务</w:t>
            </w:r>
          </w:p>
          <w:p w14:paraId="7064ED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u w:val="single"/>
              </w:rPr>
            </w:pPr>
            <w:r>
              <w:rPr>
                <w:rFonts w:hint="eastAsia" w:ascii="方正仿宋_GBK" w:hAnsi="方正仿宋_GBK" w:eastAsia="方正仿宋_GBK" w:cs="方正仿宋_GBK"/>
                <w:u w:val="single"/>
              </w:rPr>
              <w:t xml:space="preserve">                       </w:t>
            </w:r>
          </w:p>
          <w:p w14:paraId="655B5D8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（2）现场响应</w:t>
            </w:r>
          </w:p>
          <w:p w14:paraId="5B04AB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现场服务：</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kern w:val="1"/>
              </w:rPr>
              <w:t>。</w:t>
            </w:r>
          </w:p>
          <w:p w14:paraId="6A2A66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（3）电话咨询</w:t>
            </w:r>
          </w:p>
          <w:p w14:paraId="77F794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rPr>
              <w:t>乙方</w:t>
            </w:r>
            <w:r>
              <w:rPr>
                <w:rFonts w:hint="eastAsia" w:ascii="方正仿宋_GBK" w:hAnsi="方正仿宋_GBK" w:eastAsia="方正仿宋_GBK" w:cs="方正仿宋_GBK"/>
                <w:kern w:val="1"/>
              </w:rPr>
              <w:t>应当为甲方提供技术援助电话，解答甲方在使用中遇到的问题，及时为甲方提出解决问题的建议。</w:t>
            </w:r>
          </w:p>
          <w:p w14:paraId="6E10929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（二）质保期外售后服务</w:t>
            </w:r>
          </w:p>
          <w:p w14:paraId="15FF59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1. 服务质保期过后，</w:t>
            </w:r>
            <w:r>
              <w:rPr>
                <w:rFonts w:hint="eastAsia" w:ascii="方正仿宋_GBK" w:hAnsi="方正仿宋_GBK" w:eastAsia="方正仿宋_GBK" w:cs="方正仿宋_GBK"/>
              </w:rPr>
              <w:t>乙方</w:t>
            </w:r>
            <w:r>
              <w:rPr>
                <w:rFonts w:hint="eastAsia" w:ascii="方正仿宋_GBK" w:hAnsi="方正仿宋_GBK" w:eastAsia="方正仿宋_GBK" w:cs="方正仿宋_GBK"/>
                <w:kern w:val="1"/>
              </w:rPr>
              <w:t xml:space="preserve">应同样提供免费电话咨询服务。 </w:t>
            </w:r>
          </w:p>
          <w:p w14:paraId="4292E2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2. 服务质保期过后，</w:t>
            </w:r>
            <w:r>
              <w:rPr>
                <w:rFonts w:hint="eastAsia" w:ascii="方正仿宋_GBK" w:hAnsi="方正仿宋_GBK" w:eastAsia="方正仿宋_GBK" w:cs="方正仿宋_GBK"/>
                <w:kern w:val="1"/>
                <w:u w:val="single"/>
              </w:rPr>
              <w:t xml:space="preserve">            </w:t>
            </w:r>
            <w:r>
              <w:rPr>
                <w:rFonts w:hint="eastAsia" w:ascii="方正仿宋_GBK" w:hAnsi="方正仿宋_GBK" w:eastAsia="方正仿宋_GBK" w:cs="方正仿宋_GBK"/>
                <w:kern w:val="1"/>
              </w:rPr>
              <w:t>，具体情况视当时市场行情并由双方协商确定。</w:t>
            </w:r>
          </w:p>
          <w:p w14:paraId="67BE91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 xml:space="preserve">（三）质量标准：  </w:t>
            </w:r>
          </w:p>
          <w:p w14:paraId="60B697B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三、服务期和地点：</w:t>
            </w:r>
          </w:p>
          <w:p w14:paraId="6D9F4F7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（一）服务期：                   ；</w:t>
            </w:r>
          </w:p>
          <w:p w14:paraId="2591356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（二）实施地点：                。</w:t>
            </w:r>
          </w:p>
          <w:p w14:paraId="04FE5E9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四、验收标准、方法：</w:t>
            </w:r>
          </w:p>
          <w:p w14:paraId="633F053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（一）项目验收须满足达到本比选文件“验收方式”。</w:t>
            </w:r>
          </w:p>
        </w:tc>
      </w:tr>
      <w:tr w14:paraId="17AB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735" w:type="dxa"/>
            <w:gridSpan w:val="2"/>
            <w:noWrap w:val="0"/>
            <w:vAlign w:val="top"/>
          </w:tcPr>
          <w:p w14:paraId="6296F62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五、付款方式：</w:t>
            </w:r>
          </w:p>
          <w:p w14:paraId="60BD38F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(按比选文件执行)</w:t>
            </w:r>
          </w:p>
          <w:p w14:paraId="7B8CD43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六、转包或分包</w:t>
            </w:r>
          </w:p>
          <w:p w14:paraId="7FEA48D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（一）本合同范围的服务，应由乙方直接供应，不得转让他人供应；</w:t>
            </w:r>
          </w:p>
          <w:p w14:paraId="07A893CC">
            <w:pPr>
              <w:keepNext w:val="0"/>
              <w:keepLines w:val="0"/>
              <w:pageBreakBefore w:val="0"/>
              <w:widowControl w:val="0"/>
              <w:kinsoku/>
              <w:wordWrap/>
              <w:overflowPunct/>
              <w:topLinePunct w:val="0"/>
              <w:autoSpaceDE/>
              <w:autoSpaceDN/>
              <w:bidi w:val="0"/>
              <w:adjustRightInd/>
              <w:snapToGrid/>
              <w:spacing w:after="120" w:line="420" w:lineRule="exact"/>
              <w:ind w:firstLine="210"/>
              <w:jc w:val="both"/>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（二）如有转包或分包行为，甲方有权解除合同，收回以支付合同款并追究乙方的违约责任。</w:t>
            </w:r>
          </w:p>
          <w:p w14:paraId="60B5002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七</w:t>
            </w:r>
            <w:r>
              <w:rPr>
                <w:rFonts w:hint="eastAsia" w:ascii="方正仿宋_GBK" w:hAnsi="方正仿宋_GBK" w:eastAsia="方正仿宋_GBK" w:cs="方正仿宋_GBK"/>
                <w:lang w:eastAsia="zh-CN"/>
              </w:rPr>
              <w:t>、知识产权：</w:t>
            </w:r>
          </w:p>
          <w:p w14:paraId="693F477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一</w:t>
            </w:r>
            <w:r>
              <w:rPr>
                <w:rFonts w:hint="eastAsia" w:ascii="方正仿宋_GBK" w:hAnsi="方正仿宋_GBK" w:eastAsia="方正仿宋_GBK" w:cs="方正仿宋_GBK"/>
                <w:lang w:eastAsia="zh-CN"/>
              </w:rPr>
              <w:t>）甲方向乙方提交的素材、资料知识产权归甲方所有，未经甲方书面同意，乙方不得用于他用或允许第三方使用；</w:t>
            </w:r>
          </w:p>
          <w:p w14:paraId="7CED555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二</w:t>
            </w:r>
            <w:r>
              <w:rPr>
                <w:rFonts w:hint="eastAsia" w:ascii="方正仿宋_GBK" w:hAnsi="方正仿宋_GBK" w:eastAsia="方正仿宋_GBK" w:cs="方正仿宋_GBK"/>
                <w:lang w:eastAsia="zh-CN"/>
              </w:rPr>
              <w:t>）甲方在使用乙方提供的服务或服务成果时免受第三方提出的侵犯其专利权或其它知识产权的起诉。乙方保证，在其依本合同为甲方提供服务过程中不侵犯任何第三人的合法权益。如果有人提出法律或行政程序(合称“侵权指控”)，声称甲方侵犯了其知识产权或其他权利等合法权益的，乙方应当负责解决，乙方应承担由此而引起的一切法律责任和费用，并赔偿甲方就此所承担的一切损失和费用，包括但不限于上述侵权指控中所产生的诉讼费用、调查费用、律师费用、和解金额或生效的法律文书中规定的赔偿金额及甲方的其他损失。</w:t>
            </w:r>
          </w:p>
          <w:p w14:paraId="0E37E79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八</w:t>
            </w:r>
            <w:r>
              <w:rPr>
                <w:rFonts w:hint="eastAsia" w:ascii="方正仿宋_GBK" w:hAnsi="方正仿宋_GBK" w:eastAsia="方正仿宋_GBK" w:cs="方正仿宋_GBK"/>
              </w:rPr>
              <w:t>、违约责任：</w:t>
            </w:r>
          </w:p>
          <w:p w14:paraId="0968CEE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（一）乙方未能在合同规定的限期内提供完成服务的，每延期一日按合同总额的</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 xml:space="preserve">支付甲方违约金，并赔偿由此给甲方造成的直接损失；                      </w:t>
            </w:r>
          </w:p>
          <w:p w14:paraId="42F3352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（二）乙方未能达到合同要求的验收标准，甲方有权要求乙方按照技术要求重新提供服务，如因此造成延期的，每延期一日按合同总额的</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支付甲方违约金，并赔偿由此给甲方造成的直接损失；</w:t>
            </w:r>
          </w:p>
          <w:p w14:paraId="506B2B8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（三）乙方未能达到合同要求的售后服务标准，造成甲方直接损失的，乙方负责赔偿相应损失，</w:t>
            </w:r>
          </w:p>
          <w:p w14:paraId="370E097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（四）乙方未按质保要求时间提供服务的，甲方有权自行维护，并从乙方合同款中扣除相应维护金额；</w:t>
            </w:r>
          </w:p>
          <w:p w14:paraId="7AD1832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（五）乙方违反合同其他约定，违约金按合同总价的</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计算，如违约金不足以补偿甲方实际损失的，应补足甲方实际损失。</w:t>
            </w:r>
          </w:p>
          <w:p w14:paraId="26504F1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（六）本合同未尽事宜，甲乙双方可另行协商解决。</w:t>
            </w:r>
          </w:p>
          <w:p w14:paraId="5E696CE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九</w:t>
            </w:r>
            <w:r>
              <w:rPr>
                <w:rFonts w:hint="eastAsia" w:ascii="方正仿宋_GBK" w:hAnsi="方正仿宋_GBK" w:eastAsia="方正仿宋_GBK" w:cs="方正仿宋_GBK"/>
              </w:rPr>
              <w:t>、其他约定事项：</w:t>
            </w:r>
          </w:p>
          <w:p w14:paraId="01F582A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1、招标文件及其补遗文件、投标文件和承诺是本合同不可分割的部分。</w:t>
            </w:r>
          </w:p>
          <w:p w14:paraId="1A041FD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kern w:val="1"/>
              </w:rPr>
            </w:pPr>
            <w:r>
              <w:rPr>
                <w:rFonts w:hint="eastAsia" w:ascii="方正仿宋_GBK" w:hAnsi="方正仿宋_GBK" w:eastAsia="方正仿宋_GBK" w:cs="方正仿宋_GBK"/>
                <w:kern w:val="1"/>
              </w:rPr>
              <w:t>2、本合同如发生争议由双方协商解决，协商不成向甲方所在地人民法院提请诉讼。</w:t>
            </w:r>
          </w:p>
          <w:p w14:paraId="2566E7FC">
            <w:pPr>
              <w:keepNext w:val="0"/>
              <w:keepLines w:val="0"/>
              <w:pageBreakBefore w:val="0"/>
              <w:widowControl w:val="0"/>
              <w:kinsoku/>
              <w:wordWrap/>
              <w:overflowPunct/>
              <w:topLinePunct w:val="0"/>
              <w:autoSpaceDE/>
              <w:autoSpaceDN/>
              <w:bidi w:val="0"/>
              <w:adjustRightInd/>
              <w:snapToGrid/>
              <w:spacing w:after="120" w:line="420" w:lineRule="exact"/>
              <w:jc w:val="both"/>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3、本合同一式</w:t>
            </w:r>
            <w:r>
              <w:rPr>
                <w:rFonts w:hint="eastAsia" w:ascii="方正仿宋_GBK" w:hAnsi="方正仿宋_GBK" w:eastAsia="方正仿宋_GBK" w:cs="方正仿宋_GBK"/>
                <w:kern w:val="2"/>
                <w:sz w:val="28"/>
                <w:szCs w:val="28"/>
                <w:u w:val="single"/>
                <w:lang w:val="en-US" w:eastAsia="zh-CN" w:bidi="ar-SA"/>
              </w:rPr>
              <w:t>陆</w:t>
            </w:r>
            <w:r>
              <w:rPr>
                <w:rFonts w:hint="eastAsia" w:ascii="方正仿宋_GBK" w:hAnsi="方正仿宋_GBK" w:eastAsia="方正仿宋_GBK" w:cs="方正仿宋_GBK"/>
                <w:kern w:val="2"/>
                <w:sz w:val="28"/>
                <w:szCs w:val="28"/>
                <w:lang w:val="en-US" w:eastAsia="zh-CN" w:bidi="ar-SA"/>
              </w:rPr>
              <w:t>份， 甲方肆份，乙方</w:t>
            </w:r>
            <w:r>
              <w:rPr>
                <w:rFonts w:hint="eastAsia" w:ascii="方正仿宋_GBK" w:hAnsi="方正仿宋_GBK" w:eastAsia="方正仿宋_GBK" w:cs="方正仿宋_GBK"/>
                <w:kern w:val="2"/>
                <w:sz w:val="28"/>
                <w:szCs w:val="28"/>
                <w:u w:val="single"/>
                <w:lang w:val="en-US" w:eastAsia="zh-CN" w:bidi="ar-SA"/>
              </w:rPr>
              <w:t>贰</w:t>
            </w:r>
            <w:r>
              <w:rPr>
                <w:rFonts w:hint="eastAsia" w:ascii="方正仿宋_GBK" w:hAnsi="方正仿宋_GBK" w:eastAsia="方正仿宋_GBK" w:cs="方正仿宋_GBK"/>
                <w:kern w:val="2"/>
                <w:sz w:val="28"/>
                <w:szCs w:val="28"/>
                <w:lang w:val="en-US" w:eastAsia="zh-CN" w:bidi="ar-SA"/>
              </w:rPr>
              <w:t>份，具同等法律效力。</w:t>
            </w:r>
          </w:p>
        </w:tc>
      </w:tr>
      <w:tr w14:paraId="7471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trPr>
        <w:tc>
          <w:tcPr>
            <w:tcW w:w="4740" w:type="dxa"/>
            <w:noWrap w:val="0"/>
            <w:vAlign w:val="top"/>
          </w:tcPr>
          <w:p w14:paraId="29C678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需方： </w:t>
            </w:r>
          </w:p>
          <w:p w14:paraId="53C2629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地址： </w:t>
            </w:r>
          </w:p>
          <w:p w14:paraId="59EA2F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联系电话： </w:t>
            </w:r>
          </w:p>
          <w:p w14:paraId="3D06619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经办人：</w:t>
            </w:r>
          </w:p>
        </w:tc>
        <w:tc>
          <w:tcPr>
            <w:tcW w:w="4995" w:type="dxa"/>
            <w:noWrap w:val="0"/>
            <w:vAlign w:val="top"/>
          </w:tcPr>
          <w:p w14:paraId="3B84F2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供方：                 </w:t>
            </w:r>
          </w:p>
          <w:p w14:paraId="168BD9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地址：                 </w:t>
            </w:r>
          </w:p>
          <w:p w14:paraId="36B14C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电话：                 </w:t>
            </w:r>
          </w:p>
          <w:p w14:paraId="293329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传真：                 </w:t>
            </w:r>
          </w:p>
          <w:p w14:paraId="013831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开户银行：             </w:t>
            </w:r>
          </w:p>
          <w:p w14:paraId="79965B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账号：                 </w:t>
            </w:r>
          </w:p>
          <w:p w14:paraId="57D003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经办人：</w:t>
            </w:r>
          </w:p>
        </w:tc>
      </w:tr>
    </w:tbl>
    <w:p w14:paraId="35B9E448">
      <w:pPr>
        <w:tabs>
          <w:tab w:val="left" w:pos="9000"/>
        </w:tabs>
        <w:spacing w:line="500" w:lineRule="exact"/>
        <w:outlineLvl w:val="1"/>
        <w:rPr>
          <w:rFonts w:hint="eastAsia" w:ascii="Times New Roman" w:hAnsi="Times New Roman" w:eastAsia="宋体" w:cs="Times New Roman"/>
        </w:rPr>
      </w:pPr>
      <w:bookmarkStart w:id="276" w:name="_Toc9900"/>
      <w:bookmarkStart w:id="277" w:name="_Toc23973"/>
      <w:bookmarkStart w:id="278" w:name="_Toc12169"/>
      <w:bookmarkStart w:id="279" w:name="_Toc31811"/>
      <w:r>
        <w:rPr>
          <w:rFonts w:hint="eastAsia" w:ascii="方正仿宋_GBK" w:hAnsi="方正仿宋_GBK" w:eastAsia="方正仿宋_GBK" w:cs="方正仿宋_GBK"/>
          <w:b/>
        </w:rPr>
        <w:t>注：甲乙双方可以参考以上合同模板签订，具体以甲乙双方协商签订的正式合同为准</w:t>
      </w:r>
      <w:bookmarkEnd w:id="247"/>
      <w:bookmarkEnd w:id="248"/>
      <w:bookmarkEnd w:id="276"/>
      <w:bookmarkEnd w:id="277"/>
      <w:bookmarkEnd w:id="278"/>
      <w:r>
        <w:rPr>
          <w:rFonts w:hint="eastAsia" w:ascii="方正仿宋_GBK" w:hAnsi="方正仿宋_GBK" w:eastAsia="方正仿宋_GBK" w:cs="方正仿宋_GBK"/>
          <w:b/>
        </w:rPr>
        <w:t>。</w:t>
      </w:r>
      <w:bookmarkEnd w:id="279"/>
    </w:p>
    <w:p w14:paraId="33731E07">
      <w:pPr>
        <w:spacing w:line="480" w:lineRule="auto"/>
        <w:jc w:val="center"/>
        <w:outlineLvl w:val="0"/>
        <w:rPr>
          <w:rFonts w:hint="eastAsia" w:ascii="仿宋" w:hAnsi="仿宋" w:eastAsia="仿宋" w:cs="仿宋"/>
          <w:b/>
          <w:bCs/>
          <w:sz w:val="36"/>
          <w:szCs w:val="36"/>
        </w:rPr>
      </w:pPr>
      <w:bookmarkStart w:id="280" w:name="_Toc17673"/>
      <w:bookmarkStart w:id="281" w:name="_Toc8367"/>
      <w:bookmarkStart w:id="282" w:name="_Toc1775"/>
    </w:p>
    <w:p w14:paraId="7F2264CD">
      <w:pPr>
        <w:spacing w:line="480" w:lineRule="auto"/>
        <w:jc w:val="center"/>
        <w:outlineLvl w:val="0"/>
        <w:rPr>
          <w:rFonts w:hint="eastAsia" w:ascii="仿宋" w:hAnsi="仿宋" w:eastAsia="仿宋" w:cs="仿宋"/>
          <w:b/>
          <w:bCs/>
          <w:sz w:val="36"/>
          <w:szCs w:val="36"/>
        </w:rPr>
      </w:pPr>
    </w:p>
    <w:p w14:paraId="6884F82D">
      <w:pPr>
        <w:spacing w:line="480" w:lineRule="auto"/>
        <w:jc w:val="center"/>
        <w:outlineLvl w:val="0"/>
        <w:rPr>
          <w:rFonts w:hint="eastAsia" w:ascii="仿宋" w:hAnsi="仿宋" w:eastAsia="仿宋" w:cs="仿宋"/>
          <w:b/>
          <w:bCs/>
          <w:sz w:val="36"/>
          <w:szCs w:val="36"/>
        </w:rPr>
      </w:pPr>
    </w:p>
    <w:p w14:paraId="1D13C18E">
      <w:pPr>
        <w:spacing w:line="480" w:lineRule="auto"/>
        <w:jc w:val="center"/>
        <w:outlineLvl w:val="0"/>
        <w:rPr>
          <w:rFonts w:hint="eastAsia" w:ascii="仿宋" w:hAnsi="仿宋" w:eastAsia="仿宋" w:cs="仿宋"/>
          <w:b/>
          <w:bCs/>
          <w:sz w:val="36"/>
          <w:szCs w:val="36"/>
        </w:rPr>
      </w:pPr>
    </w:p>
    <w:p w14:paraId="08700EAF">
      <w:pPr>
        <w:spacing w:line="480" w:lineRule="auto"/>
        <w:jc w:val="center"/>
        <w:outlineLvl w:val="0"/>
        <w:rPr>
          <w:rFonts w:hint="eastAsia" w:ascii="仿宋" w:hAnsi="仿宋" w:eastAsia="仿宋" w:cs="仿宋"/>
          <w:b/>
          <w:bCs/>
          <w:sz w:val="36"/>
          <w:szCs w:val="36"/>
        </w:rPr>
      </w:pPr>
    </w:p>
    <w:p w14:paraId="463EED6F">
      <w:pPr>
        <w:spacing w:line="480" w:lineRule="auto"/>
        <w:jc w:val="center"/>
        <w:outlineLvl w:val="0"/>
        <w:rPr>
          <w:rFonts w:hint="eastAsia" w:ascii="仿宋" w:hAnsi="仿宋" w:eastAsia="仿宋" w:cs="仿宋"/>
          <w:b/>
          <w:bCs/>
          <w:sz w:val="36"/>
          <w:szCs w:val="36"/>
        </w:rPr>
      </w:pPr>
    </w:p>
    <w:p w14:paraId="252B5BE1">
      <w:pPr>
        <w:spacing w:line="480" w:lineRule="auto"/>
        <w:jc w:val="center"/>
        <w:outlineLvl w:val="0"/>
        <w:rPr>
          <w:rFonts w:hint="eastAsia" w:ascii="仿宋" w:hAnsi="仿宋" w:eastAsia="仿宋" w:cs="仿宋"/>
          <w:b/>
          <w:bCs/>
          <w:sz w:val="36"/>
          <w:szCs w:val="36"/>
        </w:rPr>
      </w:pPr>
    </w:p>
    <w:p w14:paraId="6A2E7482">
      <w:pPr>
        <w:spacing w:line="480" w:lineRule="auto"/>
        <w:jc w:val="center"/>
        <w:outlineLvl w:val="0"/>
        <w:rPr>
          <w:rFonts w:hint="eastAsia" w:ascii="仿宋" w:hAnsi="仿宋" w:eastAsia="仿宋" w:cs="仿宋"/>
          <w:b/>
          <w:bCs/>
          <w:sz w:val="36"/>
          <w:szCs w:val="36"/>
        </w:rPr>
      </w:pPr>
    </w:p>
    <w:p w14:paraId="51D2128B">
      <w:pPr>
        <w:spacing w:line="480" w:lineRule="auto"/>
        <w:jc w:val="center"/>
        <w:outlineLvl w:val="0"/>
        <w:rPr>
          <w:rFonts w:hint="eastAsia" w:ascii="仿宋" w:hAnsi="仿宋" w:eastAsia="仿宋" w:cs="仿宋"/>
          <w:b/>
          <w:bCs/>
          <w:sz w:val="36"/>
          <w:szCs w:val="36"/>
        </w:rPr>
      </w:pPr>
    </w:p>
    <w:p w14:paraId="279A5107">
      <w:pPr>
        <w:spacing w:line="480" w:lineRule="auto"/>
        <w:jc w:val="center"/>
        <w:outlineLvl w:val="0"/>
        <w:rPr>
          <w:rFonts w:hint="eastAsia" w:ascii="仿宋" w:hAnsi="仿宋" w:eastAsia="仿宋" w:cs="仿宋"/>
          <w:b/>
          <w:bCs/>
          <w:sz w:val="36"/>
          <w:szCs w:val="36"/>
        </w:rPr>
      </w:pPr>
    </w:p>
    <w:p w14:paraId="4C2C3760">
      <w:pPr>
        <w:spacing w:line="480" w:lineRule="auto"/>
        <w:jc w:val="center"/>
        <w:outlineLvl w:val="0"/>
        <w:rPr>
          <w:rFonts w:hint="eastAsia" w:ascii="仿宋" w:hAnsi="仿宋" w:eastAsia="仿宋" w:cs="仿宋"/>
          <w:b/>
          <w:bCs/>
          <w:sz w:val="36"/>
          <w:szCs w:val="36"/>
        </w:rPr>
      </w:pPr>
    </w:p>
    <w:p w14:paraId="4C9D3212">
      <w:pPr>
        <w:spacing w:line="480" w:lineRule="auto"/>
        <w:jc w:val="center"/>
        <w:outlineLvl w:val="0"/>
        <w:rPr>
          <w:rFonts w:hint="eastAsia" w:ascii="仿宋" w:hAnsi="仿宋" w:eastAsia="仿宋" w:cs="仿宋"/>
          <w:b/>
          <w:bCs/>
          <w:sz w:val="36"/>
          <w:szCs w:val="36"/>
        </w:rPr>
      </w:pPr>
      <w:r>
        <w:rPr>
          <w:rFonts w:hint="eastAsia" w:ascii="仿宋" w:hAnsi="仿宋" w:eastAsia="仿宋" w:cs="仿宋"/>
          <w:b/>
          <w:bCs/>
          <w:sz w:val="36"/>
          <w:szCs w:val="36"/>
        </w:rPr>
        <w:t xml:space="preserve">第七篇  </w:t>
      </w:r>
      <w:bookmarkEnd w:id="249"/>
      <w:r>
        <w:rPr>
          <w:rFonts w:hint="eastAsia" w:ascii="仿宋" w:hAnsi="仿宋" w:eastAsia="仿宋" w:cs="仿宋"/>
          <w:b/>
          <w:bCs/>
          <w:sz w:val="36"/>
          <w:szCs w:val="36"/>
        </w:rPr>
        <w:t>参选文件编制要求</w:t>
      </w:r>
      <w:bookmarkEnd w:id="250"/>
      <w:bookmarkEnd w:id="251"/>
      <w:bookmarkEnd w:id="252"/>
      <w:bookmarkEnd w:id="280"/>
      <w:bookmarkEnd w:id="281"/>
      <w:bookmarkEnd w:id="282"/>
    </w:p>
    <w:p w14:paraId="1110E0DC">
      <w:pPr>
        <w:pageBreakBefore w:val="0"/>
        <w:widowControl w:val="0"/>
        <w:kinsoku/>
        <w:wordWrap/>
        <w:overflowPunct/>
        <w:topLinePunct w:val="0"/>
        <w:autoSpaceDE/>
        <w:autoSpaceDN/>
        <w:bidi w:val="0"/>
        <w:adjustRightInd/>
        <w:spacing w:line="480" w:lineRule="exact"/>
        <w:ind w:firstLine="562" w:firstLineChars="200"/>
        <w:textAlignment w:val="auto"/>
        <w:outlineLvl w:val="0"/>
        <w:rPr>
          <w:rFonts w:hint="eastAsia" w:ascii="方正仿宋_GBK" w:hAnsi="方正仿宋_GBK" w:eastAsia="方正仿宋_GBK" w:cs="方正仿宋_GBK"/>
          <w:b/>
          <w:sz w:val="28"/>
          <w:szCs w:val="28"/>
        </w:rPr>
      </w:pPr>
      <w:bookmarkStart w:id="283" w:name="_Toc3663"/>
      <w:bookmarkStart w:id="284" w:name="_Toc25055"/>
      <w:bookmarkStart w:id="285" w:name="_Toc23639"/>
      <w:bookmarkStart w:id="286" w:name="_Toc12647"/>
      <w:bookmarkStart w:id="287" w:name="_Toc30883"/>
      <w:bookmarkStart w:id="288" w:name="_Toc19184"/>
      <w:bookmarkStart w:id="289" w:name="_Toc29586"/>
      <w:bookmarkStart w:id="290" w:name="_Toc313008356"/>
      <w:bookmarkStart w:id="291" w:name="_Toc313888360"/>
      <w:bookmarkStart w:id="292" w:name="_Toc342913419"/>
      <w:bookmarkStart w:id="293" w:name="_Toc12789073"/>
      <w:bookmarkStart w:id="294" w:name="_Toc283382454"/>
      <w:r>
        <w:rPr>
          <w:rFonts w:hint="eastAsia" w:ascii="方正仿宋_GBK" w:hAnsi="方正仿宋_GBK" w:eastAsia="方正仿宋_GBK" w:cs="方正仿宋_GBK"/>
          <w:b/>
          <w:sz w:val="28"/>
          <w:szCs w:val="28"/>
        </w:rPr>
        <w:t>一、经济部分</w:t>
      </w:r>
      <w:bookmarkEnd w:id="283"/>
      <w:bookmarkEnd w:id="284"/>
      <w:bookmarkEnd w:id="285"/>
      <w:bookmarkEnd w:id="286"/>
      <w:bookmarkEnd w:id="287"/>
      <w:bookmarkEnd w:id="288"/>
      <w:bookmarkEnd w:id="289"/>
    </w:p>
    <w:p w14:paraId="12D0DBFD">
      <w:pPr>
        <w:pageBreakBefore w:val="0"/>
        <w:widowControl w:val="0"/>
        <w:kinsoku/>
        <w:wordWrap/>
        <w:overflowPunct/>
        <w:topLinePunct w:val="0"/>
        <w:autoSpaceDE/>
        <w:autoSpaceDN/>
        <w:bidi w:val="0"/>
        <w:adjustRightInd/>
        <w:spacing w:line="480" w:lineRule="exact"/>
        <w:ind w:firstLine="560" w:firstLineChars="200"/>
        <w:textAlignment w:val="auto"/>
        <w:outlineLvl w:val="1"/>
        <w:rPr>
          <w:rFonts w:hint="eastAsia" w:ascii="方正仿宋_GBK" w:hAnsi="方正仿宋_GBK" w:eastAsia="方正仿宋_GBK" w:cs="方正仿宋_GBK"/>
          <w:sz w:val="28"/>
          <w:szCs w:val="28"/>
        </w:rPr>
      </w:pPr>
      <w:bookmarkStart w:id="295" w:name="_Toc24359"/>
      <w:bookmarkStart w:id="296" w:name="_Toc13594"/>
      <w:r>
        <w:rPr>
          <w:rFonts w:hint="eastAsia" w:ascii="方正仿宋_GBK" w:hAnsi="方正仿宋_GBK" w:eastAsia="方正仿宋_GBK" w:cs="方正仿宋_GBK"/>
          <w:sz w:val="28"/>
          <w:szCs w:val="28"/>
        </w:rPr>
        <w:t>（一）竞争性比选报价函</w:t>
      </w:r>
      <w:bookmarkEnd w:id="295"/>
      <w:bookmarkEnd w:id="296"/>
    </w:p>
    <w:p w14:paraId="3530499A">
      <w:pPr>
        <w:pStyle w:val="4"/>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（二）分项报价明细表</w:t>
      </w:r>
    </w:p>
    <w:p w14:paraId="35EF5C14">
      <w:pPr>
        <w:pageBreakBefore w:val="0"/>
        <w:widowControl w:val="0"/>
        <w:kinsoku/>
        <w:wordWrap/>
        <w:overflowPunct/>
        <w:topLinePunct w:val="0"/>
        <w:autoSpaceDE/>
        <w:autoSpaceDN/>
        <w:bidi w:val="0"/>
        <w:adjustRightInd/>
        <w:spacing w:line="480" w:lineRule="exact"/>
        <w:ind w:firstLine="562" w:firstLineChars="200"/>
        <w:textAlignment w:val="auto"/>
        <w:outlineLvl w:val="0"/>
        <w:rPr>
          <w:rFonts w:hint="eastAsia" w:ascii="方正仿宋_GBK" w:hAnsi="方正仿宋_GBK" w:eastAsia="方正仿宋_GBK" w:cs="方正仿宋_GBK"/>
          <w:b/>
          <w:sz w:val="28"/>
          <w:szCs w:val="28"/>
        </w:rPr>
      </w:pPr>
      <w:bookmarkStart w:id="297" w:name="_Toc20679"/>
      <w:bookmarkStart w:id="298" w:name="_Toc18960"/>
      <w:bookmarkStart w:id="299" w:name="_Toc2062"/>
      <w:bookmarkStart w:id="300" w:name="_Toc17082"/>
      <w:bookmarkStart w:id="301" w:name="_Toc19011"/>
      <w:bookmarkStart w:id="302" w:name="_Toc57"/>
      <w:bookmarkStart w:id="303" w:name="_Toc13784"/>
      <w:bookmarkStart w:id="304" w:name="_Toc28044"/>
      <w:r>
        <w:rPr>
          <w:rFonts w:hint="eastAsia" w:ascii="方正仿宋_GBK" w:hAnsi="方正仿宋_GBK" w:eastAsia="方正仿宋_GBK" w:cs="方正仿宋_GBK"/>
          <w:b/>
          <w:sz w:val="28"/>
          <w:szCs w:val="28"/>
        </w:rPr>
        <w:t>二、技术部分</w:t>
      </w:r>
      <w:bookmarkEnd w:id="297"/>
      <w:bookmarkEnd w:id="298"/>
      <w:bookmarkEnd w:id="299"/>
      <w:bookmarkEnd w:id="300"/>
      <w:bookmarkEnd w:id="301"/>
      <w:bookmarkEnd w:id="302"/>
      <w:bookmarkEnd w:id="303"/>
      <w:bookmarkEnd w:id="304"/>
    </w:p>
    <w:p w14:paraId="374F8A08">
      <w:pPr>
        <w:pageBreakBefore w:val="0"/>
        <w:widowControl w:val="0"/>
        <w:kinsoku/>
        <w:wordWrap/>
        <w:overflowPunct/>
        <w:topLinePunct w:val="0"/>
        <w:autoSpaceDE/>
        <w:autoSpaceDN/>
        <w:bidi w:val="0"/>
        <w:adjustRightInd/>
        <w:spacing w:line="480" w:lineRule="exact"/>
        <w:ind w:firstLine="560" w:firstLineChars="200"/>
        <w:textAlignment w:val="auto"/>
        <w:outlineLvl w:val="1"/>
        <w:rPr>
          <w:rFonts w:hint="eastAsia" w:ascii="方正仿宋_GBK" w:hAnsi="方正仿宋_GBK" w:eastAsia="方正仿宋_GBK" w:cs="方正仿宋_GBK"/>
          <w:sz w:val="28"/>
          <w:szCs w:val="28"/>
        </w:rPr>
      </w:pPr>
      <w:bookmarkStart w:id="305" w:name="_Toc18609"/>
      <w:bookmarkStart w:id="306" w:name="_Toc2006"/>
      <w:r>
        <w:rPr>
          <w:rFonts w:hint="eastAsia" w:ascii="方正仿宋_GBK" w:hAnsi="方正仿宋_GBK" w:eastAsia="方正仿宋_GBK" w:cs="方正仿宋_GBK"/>
          <w:sz w:val="28"/>
          <w:szCs w:val="28"/>
        </w:rPr>
        <w:t>（一）服务方案（格式自拟）</w:t>
      </w:r>
      <w:bookmarkEnd w:id="305"/>
      <w:bookmarkEnd w:id="306"/>
    </w:p>
    <w:p w14:paraId="6A648719">
      <w:pPr>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（二）技术部分响应偏离表</w:t>
      </w:r>
    </w:p>
    <w:p w14:paraId="5D02CD57">
      <w:pPr>
        <w:pageBreakBefore w:val="0"/>
        <w:widowControl w:val="0"/>
        <w:kinsoku/>
        <w:wordWrap/>
        <w:overflowPunct/>
        <w:topLinePunct w:val="0"/>
        <w:autoSpaceDE/>
        <w:autoSpaceDN/>
        <w:bidi w:val="0"/>
        <w:adjustRightInd/>
        <w:spacing w:line="480" w:lineRule="exact"/>
        <w:ind w:firstLine="562" w:firstLineChars="200"/>
        <w:textAlignment w:val="auto"/>
        <w:outlineLvl w:val="0"/>
        <w:rPr>
          <w:rFonts w:hint="eastAsia" w:ascii="方正仿宋_GBK" w:hAnsi="方正仿宋_GBK" w:eastAsia="方正仿宋_GBK" w:cs="方正仿宋_GBK"/>
          <w:b/>
          <w:sz w:val="28"/>
          <w:szCs w:val="28"/>
        </w:rPr>
      </w:pPr>
      <w:bookmarkStart w:id="307" w:name="_Toc3128"/>
      <w:bookmarkStart w:id="308" w:name="_Toc28787"/>
      <w:bookmarkStart w:id="309" w:name="_Toc8918"/>
      <w:bookmarkStart w:id="310" w:name="_Toc31585"/>
      <w:bookmarkStart w:id="311" w:name="_Toc18667"/>
      <w:bookmarkStart w:id="312" w:name="_Toc7087"/>
      <w:bookmarkStart w:id="313" w:name="_Toc9710"/>
      <w:bookmarkStart w:id="314" w:name="_Toc24291"/>
      <w:r>
        <w:rPr>
          <w:rFonts w:hint="eastAsia" w:ascii="方正仿宋_GBK" w:hAnsi="方正仿宋_GBK" w:eastAsia="方正仿宋_GBK" w:cs="方正仿宋_GBK"/>
          <w:b/>
          <w:sz w:val="28"/>
          <w:szCs w:val="28"/>
        </w:rPr>
        <w:t>三、商务部分</w:t>
      </w:r>
      <w:bookmarkEnd w:id="307"/>
      <w:bookmarkEnd w:id="308"/>
      <w:bookmarkEnd w:id="309"/>
      <w:bookmarkEnd w:id="310"/>
      <w:bookmarkEnd w:id="311"/>
      <w:bookmarkEnd w:id="312"/>
      <w:bookmarkEnd w:id="313"/>
      <w:bookmarkEnd w:id="314"/>
    </w:p>
    <w:p w14:paraId="74D273BA">
      <w:pPr>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（一）商务响应偏离表</w:t>
      </w:r>
    </w:p>
    <w:p w14:paraId="34D84B9B">
      <w:pPr>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（二）商务部分要求的其他资料（格式自拟）</w:t>
      </w:r>
    </w:p>
    <w:p w14:paraId="1D265A47">
      <w:pPr>
        <w:pageBreakBefore w:val="0"/>
        <w:widowControl w:val="0"/>
        <w:kinsoku/>
        <w:wordWrap/>
        <w:overflowPunct/>
        <w:topLinePunct w:val="0"/>
        <w:autoSpaceDE/>
        <w:autoSpaceDN/>
        <w:bidi w:val="0"/>
        <w:adjustRightInd/>
        <w:spacing w:line="480" w:lineRule="exact"/>
        <w:ind w:firstLine="562" w:firstLineChars="200"/>
        <w:textAlignment w:val="auto"/>
        <w:outlineLvl w:val="0"/>
        <w:rPr>
          <w:rFonts w:hint="eastAsia" w:ascii="方正仿宋_GBK" w:hAnsi="方正仿宋_GBK" w:eastAsia="方正仿宋_GBK" w:cs="方正仿宋_GBK"/>
          <w:b/>
          <w:sz w:val="28"/>
          <w:szCs w:val="28"/>
        </w:rPr>
      </w:pPr>
      <w:bookmarkStart w:id="315" w:name="_Toc16417"/>
      <w:bookmarkStart w:id="316" w:name="_Toc6675"/>
      <w:bookmarkStart w:id="317" w:name="_Toc17907"/>
      <w:bookmarkStart w:id="318" w:name="_Toc15843"/>
      <w:bookmarkStart w:id="319" w:name="_Toc29206"/>
      <w:bookmarkStart w:id="320" w:name="_Toc25930"/>
      <w:bookmarkStart w:id="321" w:name="_Toc28008"/>
      <w:bookmarkStart w:id="322" w:name="_Toc23165"/>
      <w:r>
        <w:rPr>
          <w:rFonts w:hint="eastAsia" w:ascii="方正仿宋_GBK" w:hAnsi="方正仿宋_GBK" w:eastAsia="方正仿宋_GBK" w:cs="方正仿宋_GBK"/>
          <w:b/>
          <w:sz w:val="28"/>
          <w:szCs w:val="28"/>
        </w:rPr>
        <w:t>四、资格条件及其他</w:t>
      </w:r>
      <w:bookmarkEnd w:id="315"/>
      <w:bookmarkEnd w:id="316"/>
      <w:bookmarkEnd w:id="317"/>
      <w:bookmarkEnd w:id="318"/>
      <w:bookmarkEnd w:id="319"/>
      <w:bookmarkEnd w:id="320"/>
      <w:bookmarkEnd w:id="321"/>
      <w:bookmarkEnd w:id="322"/>
    </w:p>
    <w:p w14:paraId="0D141957">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（一）法人营业执照（副本）或事业单位法人证书（副本）或个体工商户营业执照或有效的自然人身份证明或社会团体法人登记证书复印件</w:t>
      </w:r>
    </w:p>
    <w:p w14:paraId="335E1A66">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（二）法定代表人身份证明书（格式）</w:t>
      </w:r>
    </w:p>
    <w:p w14:paraId="3006A9D8">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（三）法定代表人授权委托书（格式）</w:t>
      </w:r>
    </w:p>
    <w:p w14:paraId="72B0047D">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（四）书面声明（格式）</w:t>
      </w:r>
    </w:p>
    <w:p w14:paraId="1C65D913">
      <w:pPr>
        <w:pageBreakBefore w:val="0"/>
        <w:widowControl w:val="0"/>
        <w:kinsoku/>
        <w:wordWrap/>
        <w:overflowPunct/>
        <w:topLinePunct w:val="0"/>
        <w:autoSpaceDE/>
        <w:autoSpaceDN/>
        <w:bidi w:val="0"/>
        <w:adjustRightInd/>
        <w:snapToGrid w:val="0"/>
        <w:spacing w:line="480" w:lineRule="exact"/>
        <w:ind w:left="756" w:leftChars="170" w:hanging="280" w:hangingChars="100"/>
        <w:textAlignment w:val="auto"/>
        <w:rPr>
          <w:rFonts w:hint="eastAsia" w:ascii="方正仿宋_GBK" w:hAnsi="方正仿宋_GBK" w:eastAsia="方正仿宋_GBK" w:cs="方正仿宋_GBK"/>
          <w:sz w:val="28"/>
          <w:szCs w:val="28"/>
        </w:rPr>
      </w:pPr>
      <w:bookmarkStart w:id="323" w:name="_Toc9854"/>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sz w:val="28"/>
          <w:szCs w:val="28"/>
        </w:rPr>
        <w:t>五）参加本次采购活动前三年内，在经营活动中没有重大违法记录。</w:t>
      </w:r>
    </w:p>
    <w:p w14:paraId="6B16DB2A">
      <w:pPr>
        <w:pageBreakBefore w:val="0"/>
        <w:widowControl w:val="0"/>
        <w:kinsoku/>
        <w:wordWrap/>
        <w:overflowPunct/>
        <w:topLinePunct w:val="0"/>
        <w:autoSpaceDE/>
        <w:autoSpaceDN/>
        <w:bidi w:val="0"/>
        <w:adjustRightInd/>
        <w:spacing w:line="48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五、其他与项目有关的资料</w:t>
      </w:r>
    </w:p>
    <w:p w14:paraId="0FCD157A">
      <w:pPr>
        <w:pStyle w:val="2"/>
        <w:pageBreakBefore w:val="0"/>
        <w:widowControl w:val="0"/>
        <w:kinsoku/>
        <w:wordWrap/>
        <w:overflowPunct/>
        <w:topLinePunct w:val="0"/>
        <w:autoSpaceDE/>
        <w:autoSpaceDN/>
        <w:bidi w:val="0"/>
        <w:adjustRightInd/>
        <w:spacing w:before="0" w:after="0" w:line="480" w:lineRule="exact"/>
        <w:ind w:firstLine="562" w:firstLineChars="200"/>
        <w:textAlignment w:val="auto"/>
        <w:rPr>
          <w:rFonts w:hint="eastAsia" w:ascii="方正仿宋_GBK" w:hAnsi="方正仿宋_GBK" w:eastAsia="方正仿宋_GBK" w:cs="方正仿宋_GBK"/>
          <w:sz w:val="28"/>
          <w:szCs w:val="28"/>
        </w:rPr>
        <w:sectPr>
          <w:footerReference r:id="rId9" w:type="default"/>
          <w:pgSz w:w="11907" w:h="16840"/>
          <w:pgMar w:top="1134" w:right="1191" w:bottom="1134" w:left="1304" w:header="851" w:footer="992" w:gutter="0"/>
          <w:pgNumType w:fmt="numberInDash"/>
          <w:cols w:space="720" w:num="1"/>
          <w:docGrid w:linePitch="380" w:charSpace="-5735"/>
        </w:sectPr>
      </w:pPr>
    </w:p>
    <w:p w14:paraId="0FF1662B">
      <w:pPr>
        <w:pStyle w:val="2"/>
        <w:pageBreakBefore w:val="0"/>
        <w:widowControl w:val="0"/>
        <w:kinsoku/>
        <w:wordWrap/>
        <w:overflowPunct/>
        <w:topLinePunct w:val="0"/>
        <w:autoSpaceDE/>
        <w:autoSpaceDN/>
        <w:bidi w:val="0"/>
        <w:adjustRightInd/>
        <w:spacing w:before="0" w:after="0" w:line="480" w:lineRule="exact"/>
        <w:ind w:firstLine="562" w:firstLineChars="200"/>
        <w:textAlignment w:val="auto"/>
        <w:rPr>
          <w:rFonts w:hint="eastAsia" w:ascii="方正仿宋_GBK" w:hAnsi="方正仿宋_GBK" w:eastAsia="方正仿宋_GBK" w:cs="方正仿宋_GBK"/>
          <w:b/>
          <w:bCs/>
          <w:sz w:val="28"/>
          <w:szCs w:val="28"/>
        </w:rPr>
      </w:pPr>
      <w:bookmarkStart w:id="324" w:name="_Toc8915"/>
      <w:bookmarkStart w:id="325" w:name="_Toc11935"/>
      <w:bookmarkStart w:id="326" w:name="_Toc13708"/>
      <w:bookmarkStart w:id="327" w:name="_Toc32634"/>
      <w:bookmarkStart w:id="328" w:name="_Toc9836"/>
      <w:bookmarkStart w:id="329" w:name="_Toc31549"/>
      <w:bookmarkStart w:id="330" w:name="_Toc13235"/>
      <w:bookmarkStart w:id="331" w:name="_Toc14580"/>
      <w:r>
        <w:rPr>
          <w:rFonts w:hint="eastAsia" w:ascii="方正仿宋_GBK" w:hAnsi="方正仿宋_GBK" w:eastAsia="方正仿宋_GBK" w:cs="方正仿宋_GBK"/>
          <w:b/>
          <w:bCs/>
          <w:sz w:val="28"/>
          <w:szCs w:val="28"/>
        </w:rPr>
        <w:t>一、经济部分</w:t>
      </w:r>
      <w:bookmarkEnd w:id="290"/>
      <w:bookmarkEnd w:id="291"/>
      <w:bookmarkEnd w:id="292"/>
      <w:bookmarkEnd w:id="323"/>
      <w:bookmarkEnd w:id="324"/>
      <w:bookmarkEnd w:id="325"/>
      <w:bookmarkEnd w:id="326"/>
      <w:bookmarkEnd w:id="327"/>
      <w:bookmarkEnd w:id="328"/>
      <w:bookmarkEnd w:id="329"/>
      <w:bookmarkEnd w:id="330"/>
      <w:bookmarkEnd w:id="331"/>
    </w:p>
    <w:bookmarkEnd w:id="293"/>
    <w:bookmarkEnd w:id="294"/>
    <w:p w14:paraId="788AD126">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60" w:firstLineChars="200"/>
        <w:textAlignment w:val="auto"/>
        <w:outlineLvl w:val="1"/>
        <w:rPr>
          <w:rFonts w:hint="eastAsia" w:ascii="方正仿宋_GBK" w:hAnsi="方正仿宋_GBK" w:eastAsia="方正仿宋_GBK" w:cs="方正仿宋_GBK"/>
          <w:sz w:val="28"/>
          <w:szCs w:val="28"/>
        </w:rPr>
      </w:pPr>
      <w:bookmarkStart w:id="332" w:name="_Toc28441"/>
      <w:bookmarkStart w:id="333" w:name="_Toc29093"/>
      <w:r>
        <w:rPr>
          <w:rFonts w:hint="eastAsia" w:ascii="方正仿宋_GBK" w:hAnsi="方正仿宋_GBK" w:eastAsia="方正仿宋_GBK" w:cs="方正仿宋_GBK"/>
          <w:sz w:val="28"/>
          <w:szCs w:val="28"/>
        </w:rPr>
        <w:t>（一）竞争性比选报价函</w:t>
      </w:r>
      <w:bookmarkEnd w:id="332"/>
      <w:bookmarkEnd w:id="333"/>
    </w:p>
    <w:p w14:paraId="6FBBF74F">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62" w:firstLineChars="200"/>
        <w:jc w:val="center"/>
        <w:textAlignment w:val="auto"/>
        <w:outlineLvl w:val="2"/>
        <w:rPr>
          <w:rFonts w:hint="eastAsia" w:ascii="方正仿宋_GBK" w:hAnsi="方正仿宋_GBK" w:eastAsia="方正仿宋_GBK" w:cs="方正仿宋_GBK"/>
          <w:b/>
          <w:sz w:val="28"/>
          <w:szCs w:val="28"/>
        </w:rPr>
      </w:pPr>
      <w:bookmarkStart w:id="334" w:name="_Toc14680"/>
      <w:bookmarkStart w:id="335" w:name="_Toc12674"/>
      <w:r>
        <w:rPr>
          <w:rFonts w:hint="eastAsia" w:ascii="方正仿宋_GBK" w:hAnsi="方正仿宋_GBK" w:eastAsia="方正仿宋_GBK" w:cs="方正仿宋_GBK"/>
          <w:b/>
          <w:sz w:val="28"/>
          <w:szCs w:val="28"/>
        </w:rPr>
        <w:t>竞争性比选报价函</w:t>
      </w:r>
      <w:bookmarkEnd w:id="334"/>
      <w:bookmarkEnd w:id="335"/>
    </w:p>
    <w:p w14:paraId="0169189B">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（比选人）</w:t>
      </w:r>
      <w:r>
        <w:rPr>
          <w:rFonts w:hint="eastAsia" w:ascii="方正仿宋_GBK" w:hAnsi="方正仿宋_GBK" w:eastAsia="方正仿宋_GBK" w:cs="方正仿宋_GBK"/>
          <w:sz w:val="28"/>
          <w:szCs w:val="28"/>
        </w:rPr>
        <w:t>：</w:t>
      </w:r>
    </w:p>
    <w:p w14:paraId="6FE4F617">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我方收到</w:t>
      </w:r>
      <w:r>
        <w:rPr>
          <w:rFonts w:hint="eastAsia" w:ascii="方正仿宋_GBK" w:hAnsi="方正仿宋_GBK" w:eastAsia="方正仿宋_GBK" w:cs="方正仿宋_GBK"/>
          <w:sz w:val="28"/>
          <w:szCs w:val="28"/>
          <w:u w:val="single"/>
        </w:rPr>
        <w:t>____________________________</w:t>
      </w:r>
      <w:r>
        <w:rPr>
          <w:rFonts w:hint="eastAsia" w:ascii="方正仿宋_GBK" w:hAnsi="方正仿宋_GBK" w:eastAsia="方正仿宋_GBK" w:cs="方正仿宋_GBK"/>
          <w:sz w:val="28"/>
          <w:szCs w:val="28"/>
        </w:rPr>
        <w:t>（项目名称）及</w:t>
      </w:r>
      <w:r>
        <w:rPr>
          <w:rFonts w:hint="eastAsia" w:ascii="方正仿宋_GBK" w:hAnsi="方正仿宋_GBK" w:eastAsia="方正仿宋_GBK" w:cs="方正仿宋_GBK"/>
          <w:sz w:val="28"/>
          <w:szCs w:val="28"/>
          <w:u w:val="single"/>
        </w:rPr>
        <w:t>_____________</w:t>
      </w:r>
      <w:r>
        <w:rPr>
          <w:rFonts w:hint="eastAsia" w:ascii="方正仿宋_GBK" w:hAnsi="方正仿宋_GBK" w:eastAsia="方正仿宋_GBK" w:cs="方正仿宋_GBK"/>
          <w:sz w:val="28"/>
          <w:szCs w:val="28"/>
        </w:rPr>
        <w:t>（项目编号）的竞争性比选文件，经详细研究，决定参加该项目的比选。</w:t>
      </w:r>
    </w:p>
    <w:p w14:paraId="4A061526">
      <w:pPr>
        <w:keepNext w:val="0"/>
        <w:keepLines w:val="0"/>
        <w:pageBreakBefore w:val="0"/>
        <w:widowControl w:val="0"/>
        <w:tabs>
          <w:tab w:val="left" w:pos="6300"/>
        </w:tabs>
        <w:kinsoku/>
        <w:wordWrap/>
        <w:overflowPunct/>
        <w:topLinePunct w:val="0"/>
        <w:autoSpaceDE/>
        <w:autoSpaceDN/>
        <w:bidi w:val="0"/>
        <w:adjustRightInd/>
        <w:spacing w:line="440" w:lineRule="exact"/>
        <w:ind w:firstLine="560" w:firstLineChars="200"/>
        <w:textAlignment w:val="auto"/>
        <w:rPr>
          <w:rFonts w:hint="eastAsia" w:ascii="方正仿宋_GBK" w:hAnsi="方正仿宋_GBK" w:eastAsia="方正仿宋_GBK" w:cs="方正仿宋_GBK"/>
          <w:color w:val="00B0F0"/>
          <w:sz w:val="28"/>
          <w:szCs w:val="28"/>
        </w:rPr>
      </w:pPr>
      <w:r>
        <w:rPr>
          <w:rFonts w:hint="eastAsia" w:ascii="方正仿宋_GBK" w:hAnsi="方正仿宋_GBK" w:eastAsia="方正仿宋_GBK" w:cs="方正仿宋_GBK"/>
          <w:sz w:val="28"/>
          <w:szCs w:val="28"/>
        </w:rPr>
        <w:t>1.愿意按照竞争性比选文件中的一切要求，提供本项目的服务，本次报价为含税包干价人民币大写：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元整；人民币小写：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w:t>
      </w:r>
    </w:p>
    <w:p w14:paraId="172FC579">
      <w:pPr>
        <w:keepNext w:val="0"/>
        <w:keepLines w:val="0"/>
        <w:pageBreakBefore w:val="0"/>
        <w:widowControl w:val="0"/>
        <w:tabs>
          <w:tab w:val="left" w:pos="6300"/>
        </w:tabs>
        <w:kinsoku/>
        <w:wordWrap/>
        <w:overflowPunct/>
        <w:topLinePunct w:val="0"/>
        <w:autoSpaceDE/>
        <w:autoSpaceDN/>
        <w:bidi w:val="0"/>
        <w:adjustRightInd/>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2、如果我方中选，我方保证在合同签订后，在比选文件规定的服务周期内提供所有技术服务内容，并按合同约定履行义务。</w:t>
      </w:r>
    </w:p>
    <w:p w14:paraId="1FE7A032">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3.我方现提交的参选文件为：参选文件正本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份，副本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份，电子文档</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w:t>
      </w:r>
    </w:p>
    <w:p w14:paraId="116BA7CB">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60" w:firstLineChars="200"/>
        <w:textAlignment w:val="auto"/>
        <w:outlineLvl w:val="2"/>
        <w:rPr>
          <w:rFonts w:hint="eastAsia" w:ascii="方正仿宋_GBK" w:hAnsi="方正仿宋_GBK" w:eastAsia="方正仿宋_GBK" w:cs="方正仿宋_GBK"/>
          <w:sz w:val="28"/>
          <w:szCs w:val="28"/>
        </w:rPr>
      </w:pPr>
      <w:bookmarkStart w:id="336" w:name="_Toc28522"/>
      <w:bookmarkStart w:id="337" w:name="_Toc9833"/>
      <w:r>
        <w:rPr>
          <w:rFonts w:hint="eastAsia" w:ascii="方正仿宋_GBK" w:hAnsi="方正仿宋_GBK" w:eastAsia="方正仿宋_GBK" w:cs="方正仿宋_GBK"/>
          <w:sz w:val="28"/>
          <w:szCs w:val="28"/>
        </w:rPr>
        <w:t>4.我方承诺：本次比选的有效期为90天。</w:t>
      </w:r>
      <w:bookmarkEnd w:id="336"/>
      <w:bookmarkEnd w:id="337"/>
    </w:p>
    <w:p w14:paraId="2E80329B">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5.我方完全理解和接受贵方竞争性比选文件的一切规定和要求及评审办法。</w:t>
      </w:r>
    </w:p>
    <w:p w14:paraId="7253D022">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6.在整个竞争性比选过程中，我方若有违规行为，接受按照有关规定给予惩罚。</w:t>
      </w:r>
    </w:p>
    <w:p w14:paraId="0459041B">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7.我方若成为中选人，将按照最终比选结果签订合同，并且严格履行合同义务。本承诺函将成为合同不可分割的一部分，与合同具有同等的法律效力。</w:t>
      </w:r>
    </w:p>
    <w:p w14:paraId="3C6EBE5A">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60" w:firstLineChars="200"/>
        <w:textAlignment w:val="auto"/>
        <w:outlineLvl w:val="2"/>
        <w:rPr>
          <w:rFonts w:hint="eastAsia" w:ascii="方正仿宋_GBK" w:hAnsi="方正仿宋_GBK" w:eastAsia="方正仿宋_GBK" w:cs="方正仿宋_GBK"/>
          <w:sz w:val="28"/>
          <w:szCs w:val="28"/>
        </w:rPr>
      </w:pPr>
      <w:bookmarkStart w:id="338" w:name="_Toc998"/>
      <w:bookmarkStart w:id="339" w:name="_Toc19254"/>
      <w:r>
        <w:rPr>
          <w:rFonts w:hint="eastAsia" w:ascii="方正仿宋_GBK" w:hAnsi="方正仿宋_GBK" w:eastAsia="方正仿宋_GBK" w:cs="方正仿宋_GBK"/>
          <w:sz w:val="28"/>
          <w:szCs w:val="28"/>
        </w:rPr>
        <w:t>8、我方理解，最低报价不是中选的唯一条件。</w:t>
      </w:r>
      <w:bookmarkEnd w:id="338"/>
      <w:bookmarkEnd w:id="339"/>
    </w:p>
    <w:p w14:paraId="0712849D">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9、如果我方成为中选人，保证在接到中选通知书后，按比选文件规定交纳所有相关费用。</w:t>
      </w:r>
    </w:p>
    <w:p w14:paraId="4771ACDA">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10、我方在此声明，保证所递交的参选文件及有关资料内容完整、真实和准确。同时我方承诺接受比选文件及附件、答疑及补遗通知中所有的内容。</w:t>
      </w:r>
    </w:p>
    <w:p w14:paraId="0DBCBB15">
      <w:pPr>
        <w:keepNext w:val="0"/>
        <w:keepLines w:val="0"/>
        <w:pageBreakBefore w:val="0"/>
        <w:widowControl w:val="0"/>
        <w:tabs>
          <w:tab w:val="left" w:pos="6300"/>
        </w:tabs>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28"/>
          <w:szCs w:val="28"/>
        </w:rPr>
      </w:pPr>
    </w:p>
    <w:p w14:paraId="08881AF8">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参选人名称：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（盖单位章）</w:t>
      </w:r>
    </w:p>
    <w:p w14:paraId="725BC17A">
      <w:pPr>
        <w:keepNext w:val="0"/>
        <w:keepLines w:val="0"/>
        <w:pageBreakBefore w:val="0"/>
        <w:widowControl w:val="0"/>
        <w:tabs>
          <w:tab w:val="left" w:pos="6300"/>
        </w:tabs>
        <w:kinsoku/>
        <w:wordWrap/>
        <w:overflowPunct/>
        <w:topLinePunct w:val="0"/>
        <w:autoSpaceDE/>
        <w:autoSpaceDN/>
        <w:bidi w:val="0"/>
        <w:adjustRightInd/>
        <w:spacing w:line="44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法定代表人或其委托代理人：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（签字或盖章）</w:t>
      </w:r>
    </w:p>
    <w:p w14:paraId="71CBDCD6">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地址：  </w:t>
      </w:r>
    </w:p>
    <w:p w14:paraId="2B353306">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                                             传真：</w:t>
      </w:r>
    </w:p>
    <w:p w14:paraId="52A3C0F5">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网址：                                             邮编：</w:t>
      </w:r>
    </w:p>
    <w:p w14:paraId="1349D748">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p>
    <w:p w14:paraId="021A6C30">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仿宋_GBK" w:hAnsi="方正仿宋_GBK" w:eastAsia="方正仿宋_GBK" w:cs="方正仿宋_GBK"/>
          <w:sz w:val="28"/>
          <w:szCs w:val="28"/>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8"/>
          <w:szCs w:val="28"/>
        </w:rPr>
        <w:t xml:space="preserve">                                                  年   月   日</w:t>
      </w:r>
    </w:p>
    <w:p w14:paraId="5A9304D4">
      <w:pPr>
        <w:snapToGrid w:val="0"/>
        <w:spacing w:line="480" w:lineRule="auto"/>
        <w:outlineLvl w:val="1"/>
        <w:rPr>
          <w:rFonts w:hint="eastAsia" w:ascii="方正仿宋_GBK" w:hAnsi="方正仿宋_GBK" w:eastAsia="方正仿宋_GBK" w:cs="方正仿宋_GBK"/>
          <w:sz w:val="24"/>
          <w:szCs w:val="24"/>
        </w:rPr>
      </w:pPr>
      <w:bookmarkStart w:id="340" w:name="_Toc27088"/>
      <w:bookmarkStart w:id="341" w:name="_Toc27169"/>
      <w:bookmarkStart w:id="342" w:name="_Toc18554"/>
      <w:bookmarkStart w:id="343" w:name="_Toc7611"/>
      <w:bookmarkStart w:id="344" w:name="_Toc19481"/>
      <w:bookmarkStart w:id="345" w:name="_Toc19317"/>
      <w:bookmarkStart w:id="346" w:name="_Toc6080"/>
      <w:bookmarkStart w:id="347" w:name="_Toc22310"/>
      <w:bookmarkStart w:id="348" w:name="_Toc313008359"/>
      <w:bookmarkStart w:id="349" w:name="_Toc342913420"/>
      <w:bookmarkStart w:id="350" w:name="_Toc313008357"/>
      <w:bookmarkStart w:id="351" w:name="_Toc313888363"/>
      <w:bookmarkStart w:id="352" w:name="_Toc313888361"/>
      <w:bookmarkStart w:id="353" w:name="_Toc342913422"/>
      <w:bookmarkStart w:id="354" w:name="_Toc25693"/>
      <w:r>
        <w:rPr>
          <w:rFonts w:hint="eastAsia" w:ascii="仿宋" w:hAnsi="仿宋" w:eastAsia="仿宋" w:cs="仿宋"/>
          <w:sz w:val="24"/>
          <w:szCs w:val="24"/>
        </w:rPr>
        <w:t>（二）</w:t>
      </w:r>
      <w:r>
        <w:rPr>
          <w:rFonts w:hint="eastAsia" w:ascii="方正仿宋_GBK" w:hAnsi="方正仿宋_GBK" w:eastAsia="方正仿宋_GBK" w:cs="方正仿宋_GBK"/>
          <w:sz w:val="24"/>
          <w:szCs w:val="24"/>
        </w:rPr>
        <w:t>分项报价明细表</w:t>
      </w:r>
      <w:bookmarkEnd w:id="340"/>
      <w:bookmarkEnd w:id="341"/>
    </w:p>
    <w:p w14:paraId="7F21E3C1">
      <w:pPr>
        <w:spacing w:line="480" w:lineRule="auto"/>
        <w:ind w:firstLine="720" w:firstLineChars="3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                                      项目编号：</w:t>
      </w:r>
    </w:p>
    <w:tbl>
      <w:tblPr>
        <w:tblStyle w:val="9"/>
        <w:tblpPr w:leftFromText="180" w:rightFromText="180" w:vertAnchor="text" w:horzAnchor="page" w:tblpX="1934" w:tblpY="411"/>
        <w:tblOverlap w:val="never"/>
        <w:tblW w:w="8124" w:type="dxa"/>
        <w:tblInd w:w="0" w:type="dxa"/>
        <w:tblLayout w:type="autofit"/>
        <w:tblCellMar>
          <w:top w:w="0" w:type="dxa"/>
          <w:left w:w="0" w:type="dxa"/>
          <w:bottom w:w="0" w:type="dxa"/>
          <w:right w:w="0" w:type="dxa"/>
        </w:tblCellMar>
      </w:tblPr>
      <w:tblGrid>
        <w:gridCol w:w="1411"/>
        <w:gridCol w:w="1310"/>
        <w:gridCol w:w="2297"/>
        <w:gridCol w:w="1384"/>
        <w:gridCol w:w="1722"/>
      </w:tblGrid>
      <w:tr w14:paraId="4F9609C4">
        <w:tblPrEx>
          <w:tblCellMar>
            <w:top w:w="0" w:type="dxa"/>
            <w:left w:w="0" w:type="dxa"/>
            <w:bottom w:w="0" w:type="dxa"/>
            <w:right w:w="0" w:type="dxa"/>
          </w:tblCellMar>
        </w:tblPrEx>
        <w:trPr>
          <w:trHeight w:val="718" w:hRule="atLeast"/>
        </w:trPr>
        <w:tc>
          <w:tcPr>
            <w:tcW w:w="1411" w:type="dxa"/>
            <w:tcBorders>
              <w:top w:val="single" w:color="000000" w:sz="8" w:space="0"/>
              <w:left w:val="single" w:color="000000" w:sz="8" w:space="0"/>
              <w:bottom w:val="nil"/>
              <w:right w:val="single" w:color="000000" w:sz="4" w:space="0"/>
            </w:tcBorders>
            <w:noWrap w:val="0"/>
            <w:tcMar>
              <w:top w:w="12" w:type="dxa"/>
              <w:left w:w="12" w:type="dxa"/>
              <w:right w:w="12" w:type="dxa"/>
            </w:tcMar>
            <w:vAlign w:val="center"/>
          </w:tcPr>
          <w:p w14:paraId="0222D17F">
            <w:pPr>
              <w:spacing w:line="480" w:lineRule="auto"/>
              <w:jc w:val="center"/>
              <w:textAlignment w:val="center"/>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lang w:bidi="ar"/>
              </w:rPr>
              <w:t>序号</w:t>
            </w:r>
          </w:p>
        </w:tc>
        <w:tc>
          <w:tcPr>
            <w:tcW w:w="1310" w:type="dxa"/>
            <w:tcBorders>
              <w:top w:val="single" w:color="000000" w:sz="8" w:space="0"/>
              <w:left w:val="single" w:color="000000" w:sz="8" w:space="0"/>
              <w:bottom w:val="nil"/>
              <w:right w:val="single" w:color="000000" w:sz="4" w:space="0"/>
            </w:tcBorders>
            <w:noWrap w:val="0"/>
            <w:tcMar>
              <w:top w:w="12" w:type="dxa"/>
              <w:left w:w="12" w:type="dxa"/>
              <w:right w:w="12" w:type="dxa"/>
            </w:tcMar>
            <w:vAlign w:val="center"/>
          </w:tcPr>
          <w:p w14:paraId="7E0A819E">
            <w:pPr>
              <w:widowControl/>
              <w:spacing w:line="600" w:lineRule="exact"/>
              <w:jc w:val="center"/>
              <w:textAlignment w:val="center"/>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lang w:bidi="ar"/>
              </w:rPr>
              <w:t>内容</w:t>
            </w:r>
          </w:p>
        </w:tc>
        <w:tc>
          <w:tcPr>
            <w:tcW w:w="2297" w:type="dxa"/>
            <w:tcBorders>
              <w:top w:val="single" w:color="000000" w:sz="8" w:space="0"/>
              <w:left w:val="single" w:color="000000" w:sz="8" w:space="0"/>
              <w:bottom w:val="nil"/>
              <w:right w:val="single" w:color="000000" w:sz="4" w:space="0"/>
            </w:tcBorders>
            <w:noWrap w:val="0"/>
            <w:tcMar>
              <w:top w:w="12" w:type="dxa"/>
              <w:left w:w="12" w:type="dxa"/>
              <w:right w:w="12" w:type="dxa"/>
            </w:tcMar>
            <w:vAlign w:val="center"/>
          </w:tcPr>
          <w:p w14:paraId="39F43002">
            <w:pPr>
              <w:widowControl/>
              <w:spacing w:line="600" w:lineRule="exact"/>
              <w:jc w:val="center"/>
              <w:textAlignment w:val="center"/>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lang w:bidi="ar"/>
              </w:rPr>
              <w:t>数量</w:t>
            </w:r>
          </w:p>
        </w:tc>
        <w:tc>
          <w:tcPr>
            <w:tcW w:w="0" w:type="auto"/>
            <w:tcBorders>
              <w:top w:val="single" w:color="000000" w:sz="8" w:space="0"/>
              <w:left w:val="single" w:color="000000" w:sz="8" w:space="0"/>
              <w:bottom w:val="nil"/>
              <w:right w:val="single" w:color="000000" w:sz="4" w:space="0"/>
            </w:tcBorders>
            <w:noWrap w:val="0"/>
            <w:tcMar>
              <w:top w:w="12" w:type="dxa"/>
              <w:left w:w="12" w:type="dxa"/>
              <w:right w:w="12" w:type="dxa"/>
            </w:tcMar>
            <w:vAlign w:val="center"/>
          </w:tcPr>
          <w:p w14:paraId="3D45E798">
            <w:pPr>
              <w:widowControl/>
              <w:spacing w:line="600" w:lineRule="exact"/>
              <w:jc w:val="center"/>
              <w:textAlignment w:val="center"/>
              <w:rPr>
                <w:rFonts w:hint="eastAsia" w:ascii="方正仿宋_GBK" w:hAnsi="方正仿宋_GBK" w:eastAsia="方正仿宋_GBK" w:cs="方正仿宋_GBK"/>
                <w:b/>
                <w:bCs w:val="0"/>
                <w:sz w:val="24"/>
                <w:szCs w:val="24"/>
                <w:lang w:bidi="ar"/>
              </w:rPr>
            </w:pPr>
            <w:r>
              <w:rPr>
                <w:rFonts w:hint="eastAsia" w:ascii="方正仿宋_GBK" w:hAnsi="方正仿宋_GBK" w:eastAsia="方正仿宋_GBK" w:cs="方正仿宋_GBK"/>
                <w:b/>
                <w:bCs w:val="0"/>
                <w:sz w:val="24"/>
                <w:szCs w:val="24"/>
                <w:lang w:bidi="ar"/>
              </w:rPr>
              <w:t>基本要求</w:t>
            </w:r>
          </w:p>
        </w:tc>
        <w:tc>
          <w:tcPr>
            <w:tcW w:w="0" w:type="auto"/>
            <w:tcBorders>
              <w:top w:val="single" w:color="000000" w:sz="8" w:space="0"/>
              <w:left w:val="single" w:color="000000" w:sz="8" w:space="0"/>
              <w:bottom w:val="nil"/>
              <w:right w:val="single" w:color="000000" w:sz="4" w:space="0"/>
            </w:tcBorders>
            <w:noWrap w:val="0"/>
            <w:tcMar>
              <w:top w:w="12" w:type="dxa"/>
              <w:left w:w="12" w:type="dxa"/>
              <w:right w:w="12" w:type="dxa"/>
            </w:tcMar>
            <w:vAlign w:val="center"/>
          </w:tcPr>
          <w:p w14:paraId="15E093B0">
            <w:pPr>
              <w:widowControl/>
              <w:spacing w:line="600" w:lineRule="exact"/>
              <w:jc w:val="center"/>
              <w:textAlignment w:val="center"/>
              <w:rPr>
                <w:rFonts w:hint="eastAsia" w:ascii="方正仿宋_GBK" w:hAnsi="方正仿宋_GBK" w:eastAsia="方正仿宋_GBK" w:cs="方正仿宋_GBK"/>
                <w:b/>
                <w:bCs w:val="0"/>
                <w:sz w:val="24"/>
                <w:szCs w:val="24"/>
                <w:lang w:bidi="ar"/>
              </w:rPr>
            </w:pPr>
            <w:r>
              <w:rPr>
                <w:rFonts w:hint="eastAsia" w:ascii="方正仿宋_GBK" w:hAnsi="方正仿宋_GBK" w:eastAsia="方正仿宋_GBK" w:cs="方正仿宋_GBK"/>
                <w:b/>
                <w:bCs w:val="0"/>
                <w:sz w:val="24"/>
                <w:szCs w:val="24"/>
                <w:lang w:bidi="ar"/>
              </w:rPr>
              <w:t>价格（元）</w:t>
            </w:r>
          </w:p>
        </w:tc>
      </w:tr>
      <w:tr w14:paraId="407832C6">
        <w:tblPrEx>
          <w:tblCellMar>
            <w:top w:w="0" w:type="dxa"/>
            <w:left w:w="0" w:type="dxa"/>
            <w:bottom w:w="0" w:type="dxa"/>
            <w:right w:w="0" w:type="dxa"/>
          </w:tblCellMar>
        </w:tblPrEx>
        <w:trPr>
          <w:trHeight w:val="860" w:hRule="atLeast"/>
        </w:trPr>
        <w:tc>
          <w:tcPr>
            <w:tcW w:w="1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C044F3">
            <w:pPr>
              <w:spacing w:line="480" w:lineRule="auto"/>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w:t>
            </w:r>
          </w:p>
        </w:tc>
        <w:tc>
          <w:tcPr>
            <w:tcW w:w="13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C5A44E">
            <w:pPr>
              <w:spacing w:line="480" w:lineRule="auto"/>
              <w:jc w:val="center"/>
              <w:rPr>
                <w:rFonts w:hint="eastAsia" w:ascii="方正仿宋_GBK" w:hAnsi="方正仿宋_GBK" w:eastAsia="方正仿宋_GBK" w:cs="方正仿宋_GBK"/>
                <w:bCs/>
                <w:sz w:val="24"/>
                <w:szCs w:val="24"/>
              </w:rPr>
            </w:pPr>
          </w:p>
        </w:tc>
        <w:tc>
          <w:tcPr>
            <w:tcW w:w="22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DCD54A">
            <w:pPr>
              <w:spacing w:line="480" w:lineRule="auto"/>
              <w:jc w:val="center"/>
              <w:rPr>
                <w:rFonts w:hint="eastAsia" w:ascii="方正仿宋_GBK" w:hAnsi="方正仿宋_GBK" w:eastAsia="方正仿宋_GBK" w:cs="方正仿宋_GBK"/>
                <w:bCs/>
                <w:sz w:val="24"/>
                <w:szCs w:val="24"/>
              </w:rPr>
            </w:pPr>
          </w:p>
        </w:tc>
        <w:tc>
          <w:tcPr>
            <w:tcW w:w="0" w:type="auto"/>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BF2702">
            <w:pPr>
              <w:spacing w:line="480" w:lineRule="auto"/>
              <w:jc w:val="center"/>
              <w:rPr>
                <w:rFonts w:hint="eastAsia" w:ascii="方正仿宋_GBK" w:hAnsi="方正仿宋_GBK" w:eastAsia="方正仿宋_GBK" w:cs="方正仿宋_GBK"/>
                <w:bCs/>
                <w:sz w:val="24"/>
                <w:szCs w:val="24"/>
              </w:rPr>
            </w:pPr>
          </w:p>
        </w:tc>
        <w:tc>
          <w:tcPr>
            <w:tcW w:w="0" w:type="auto"/>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7908A2">
            <w:pPr>
              <w:spacing w:line="480" w:lineRule="auto"/>
              <w:jc w:val="center"/>
              <w:rPr>
                <w:rFonts w:hint="eastAsia" w:ascii="方正仿宋_GBK" w:hAnsi="方正仿宋_GBK" w:eastAsia="方正仿宋_GBK" w:cs="方正仿宋_GBK"/>
                <w:bCs/>
                <w:sz w:val="24"/>
                <w:szCs w:val="24"/>
              </w:rPr>
            </w:pPr>
          </w:p>
        </w:tc>
      </w:tr>
      <w:tr w14:paraId="5CD94D7D">
        <w:tblPrEx>
          <w:tblCellMar>
            <w:top w:w="0" w:type="dxa"/>
            <w:left w:w="0" w:type="dxa"/>
            <w:bottom w:w="0" w:type="dxa"/>
            <w:right w:w="0" w:type="dxa"/>
          </w:tblCellMar>
        </w:tblPrEx>
        <w:trPr>
          <w:trHeight w:val="895" w:hRule="atLeast"/>
        </w:trPr>
        <w:tc>
          <w:tcPr>
            <w:tcW w:w="1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072D83">
            <w:pPr>
              <w:spacing w:line="480" w:lineRule="auto"/>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w:t>
            </w:r>
          </w:p>
        </w:tc>
        <w:tc>
          <w:tcPr>
            <w:tcW w:w="13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F1E60D">
            <w:pPr>
              <w:spacing w:line="480" w:lineRule="auto"/>
              <w:jc w:val="center"/>
              <w:rPr>
                <w:rFonts w:hint="eastAsia" w:ascii="方正仿宋_GBK" w:hAnsi="方正仿宋_GBK" w:eastAsia="方正仿宋_GBK" w:cs="方正仿宋_GBK"/>
                <w:bCs/>
                <w:sz w:val="24"/>
                <w:szCs w:val="24"/>
              </w:rPr>
            </w:pPr>
          </w:p>
        </w:tc>
        <w:tc>
          <w:tcPr>
            <w:tcW w:w="22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D4EB23">
            <w:pPr>
              <w:spacing w:line="480" w:lineRule="auto"/>
              <w:jc w:val="center"/>
              <w:rPr>
                <w:rFonts w:hint="eastAsia" w:ascii="方正仿宋_GBK" w:hAnsi="方正仿宋_GBK" w:eastAsia="方正仿宋_GBK" w:cs="方正仿宋_GBK"/>
                <w:bCs/>
                <w:sz w:val="24"/>
                <w:szCs w:val="24"/>
              </w:rPr>
            </w:pPr>
          </w:p>
        </w:tc>
        <w:tc>
          <w:tcPr>
            <w:tcW w:w="0" w:type="auto"/>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0BBCD0">
            <w:pPr>
              <w:spacing w:line="480" w:lineRule="auto"/>
              <w:jc w:val="center"/>
              <w:rPr>
                <w:rFonts w:hint="eastAsia" w:ascii="方正仿宋_GBK" w:hAnsi="方正仿宋_GBK" w:eastAsia="方正仿宋_GBK" w:cs="方正仿宋_GBK"/>
                <w:bCs/>
                <w:sz w:val="24"/>
                <w:szCs w:val="24"/>
              </w:rPr>
            </w:pPr>
          </w:p>
        </w:tc>
        <w:tc>
          <w:tcPr>
            <w:tcW w:w="0" w:type="auto"/>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75CE6D">
            <w:pPr>
              <w:spacing w:line="480" w:lineRule="auto"/>
              <w:jc w:val="center"/>
              <w:rPr>
                <w:rFonts w:hint="eastAsia" w:ascii="方正仿宋_GBK" w:hAnsi="方正仿宋_GBK" w:eastAsia="方正仿宋_GBK" w:cs="方正仿宋_GBK"/>
                <w:bCs/>
                <w:sz w:val="24"/>
                <w:szCs w:val="24"/>
              </w:rPr>
            </w:pPr>
          </w:p>
        </w:tc>
      </w:tr>
      <w:tr w14:paraId="24145CB8">
        <w:tblPrEx>
          <w:tblCellMar>
            <w:top w:w="0" w:type="dxa"/>
            <w:left w:w="0" w:type="dxa"/>
            <w:bottom w:w="0" w:type="dxa"/>
            <w:right w:w="0" w:type="dxa"/>
          </w:tblCellMar>
        </w:tblPrEx>
        <w:trPr>
          <w:trHeight w:val="895" w:hRule="atLeast"/>
        </w:trPr>
        <w:tc>
          <w:tcPr>
            <w:tcW w:w="1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60B003">
            <w:pPr>
              <w:spacing w:line="480" w:lineRule="auto"/>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w:t>
            </w:r>
          </w:p>
        </w:tc>
        <w:tc>
          <w:tcPr>
            <w:tcW w:w="13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1F33C8">
            <w:pPr>
              <w:spacing w:line="480" w:lineRule="auto"/>
              <w:jc w:val="center"/>
              <w:rPr>
                <w:rFonts w:hint="eastAsia" w:ascii="方正仿宋_GBK" w:hAnsi="方正仿宋_GBK" w:eastAsia="方正仿宋_GBK" w:cs="方正仿宋_GBK"/>
                <w:bCs/>
                <w:sz w:val="24"/>
                <w:szCs w:val="24"/>
              </w:rPr>
            </w:pPr>
          </w:p>
        </w:tc>
        <w:tc>
          <w:tcPr>
            <w:tcW w:w="22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165891">
            <w:pPr>
              <w:spacing w:line="480" w:lineRule="auto"/>
              <w:jc w:val="center"/>
              <w:rPr>
                <w:rFonts w:hint="eastAsia" w:ascii="方正仿宋_GBK" w:hAnsi="方正仿宋_GBK" w:eastAsia="方正仿宋_GBK" w:cs="方正仿宋_GBK"/>
                <w:bCs/>
                <w:sz w:val="24"/>
                <w:szCs w:val="24"/>
              </w:rPr>
            </w:pPr>
          </w:p>
        </w:tc>
        <w:tc>
          <w:tcPr>
            <w:tcW w:w="0" w:type="auto"/>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9E86AC">
            <w:pPr>
              <w:spacing w:line="480" w:lineRule="auto"/>
              <w:jc w:val="center"/>
              <w:rPr>
                <w:rFonts w:hint="eastAsia" w:ascii="方正仿宋_GBK" w:hAnsi="方正仿宋_GBK" w:eastAsia="方正仿宋_GBK" w:cs="方正仿宋_GBK"/>
                <w:bCs/>
                <w:sz w:val="24"/>
                <w:szCs w:val="24"/>
              </w:rPr>
            </w:pPr>
          </w:p>
        </w:tc>
        <w:tc>
          <w:tcPr>
            <w:tcW w:w="0" w:type="auto"/>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CE7EAA">
            <w:pPr>
              <w:spacing w:line="480" w:lineRule="auto"/>
              <w:jc w:val="center"/>
              <w:rPr>
                <w:rFonts w:hint="eastAsia" w:ascii="方正仿宋_GBK" w:hAnsi="方正仿宋_GBK" w:eastAsia="方正仿宋_GBK" w:cs="方正仿宋_GBK"/>
                <w:bCs/>
                <w:sz w:val="24"/>
                <w:szCs w:val="24"/>
              </w:rPr>
            </w:pPr>
          </w:p>
        </w:tc>
      </w:tr>
    </w:tbl>
    <w:p w14:paraId="2C81ECEB">
      <w:pPr>
        <w:rPr>
          <w:rFonts w:hint="eastAsia" w:ascii="方正仿宋_GBK" w:hAnsi="方正仿宋_GBK" w:eastAsia="方正仿宋_GBK" w:cs="方正仿宋_GBK"/>
        </w:rPr>
      </w:pPr>
    </w:p>
    <w:p w14:paraId="62F2F29A">
      <w:pPr>
        <w:pStyle w:val="4"/>
        <w:rPr>
          <w:rFonts w:hint="eastAsia" w:ascii="方正仿宋_GBK" w:hAnsi="方正仿宋_GBK" w:eastAsia="方正仿宋_GBK" w:cs="方正仿宋_GBK"/>
        </w:rPr>
      </w:pPr>
    </w:p>
    <w:p w14:paraId="7DFB629D">
      <w:pPr>
        <w:pStyle w:val="5"/>
        <w:rPr>
          <w:rFonts w:hint="eastAsia" w:ascii="方正仿宋_GBK" w:hAnsi="方正仿宋_GBK" w:eastAsia="方正仿宋_GBK" w:cs="方正仿宋_GBK"/>
        </w:rPr>
      </w:pPr>
    </w:p>
    <w:p w14:paraId="3C7DD55C">
      <w:pPr>
        <w:pStyle w:val="5"/>
        <w:rPr>
          <w:rFonts w:hint="eastAsia" w:ascii="方正仿宋_GBK" w:hAnsi="方正仿宋_GBK" w:eastAsia="方正仿宋_GBK" w:cs="方正仿宋_GBK"/>
        </w:rPr>
      </w:pPr>
    </w:p>
    <w:p w14:paraId="7882FA7C">
      <w:pPr>
        <w:pStyle w:val="5"/>
        <w:rPr>
          <w:rFonts w:hint="eastAsia" w:ascii="方正仿宋_GBK" w:hAnsi="方正仿宋_GBK" w:eastAsia="方正仿宋_GBK" w:cs="方正仿宋_GBK"/>
        </w:rPr>
      </w:pPr>
    </w:p>
    <w:p w14:paraId="3608A1A8">
      <w:pPr>
        <w:pStyle w:val="5"/>
        <w:rPr>
          <w:rFonts w:hint="eastAsia" w:ascii="方正仿宋_GBK" w:hAnsi="方正仿宋_GBK" w:eastAsia="方正仿宋_GBK" w:cs="方正仿宋_GBK"/>
        </w:rPr>
      </w:pPr>
    </w:p>
    <w:p w14:paraId="04381219">
      <w:pPr>
        <w:pStyle w:val="5"/>
        <w:rPr>
          <w:rFonts w:hint="eastAsia" w:ascii="方正仿宋_GBK" w:hAnsi="方正仿宋_GBK" w:eastAsia="方正仿宋_GBK" w:cs="方正仿宋_GBK"/>
        </w:rPr>
      </w:pPr>
    </w:p>
    <w:p w14:paraId="01C3B773">
      <w:pPr>
        <w:pStyle w:val="5"/>
        <w:rPr>
          <w:rFonts w:hint="eastAsia" w:ascii="方正仿宋_GBK" w:hAnsi="方正仿宋_GBK" w:eastAsia="方正仿宋_GBK" w:cs="方正仿宋_GBK"/>
        </w:rPr>
      </w:pPr>
    </w:p>
    <w:p w14:paraId="498310EC">
      <w:pPr>
        <w:pStyle w:val="5"/>
        <w:rPr>
          <w:rFonts w:hint="eastAsia" w:ascii="方正仿宋_GBK" w:hAnsi="方正仿宋_GBK" w:eastAsia="方正仿宋_GBK" w:cs="方正仿宋_GBK"/>
        </w:rPr>
      </w:pPr>
    </w:p>
    <w:p w14:paraId="6561D2B7">
      <w:pPr>
        <w:pStyle w:val="5"/>
        <w:rPr>
          <w:rFonts w:hint="eastAsia" w:ascii="方正仿宋_GBK" w:hAnsi="方正仿宋_GBK" w:eastAsia="方正仿宋_GBK" w:cs="方正仿宋_GBK"/>
        </w:rPr>
      </w:pPr>
    </w:p>
    <w:p w14:paraId="4C92DC27">
      <w:pPr>
        <w:pStyle w:val="4"/>
        <w:rPr>
          <w:rFonts w:hint="eastAsia" w:ascii="方正仿宋_GBK" w:hAnsi="方正仿宋_GBK" w:eastAsia="方正仿宋_GBK" w:cs="方正仿宋_GBK"/>
        </w:rPr>
      </w:pPr>
    </w:p>
    <w:p w14:paraId="4C661237">
      <w:pPr>
        <w:pStyle w:val="5"/>
        <w:rPr>
          <w:rFonts w:hint="eastAsia" w:ascii="方正仿宋_GBK" w:hAnsi="方正仿宋_GBK" w:eastAsia="方正仿宋_GBK" w:cs="方正仿宋_GBK"/>
        </w:rPr>
      </w:pPr>
    </w:p>
    <w:p w14:paraId="35BFAA88">
      <w:pPr>
        <w:pStyle w:val="5"/>
        <w:rPr>
          <w:rFonts w:hint="eastAsia" w:ascii="方正仿宋_GBK" w:hAnsi="方正仿宋_GBK" w:eastAsia="方正仿宋_GBK" w:cs="方正仿宋_GBK"/>
        </w:rPr>
      </w:pPr>
    </w:p>
    <w:p w14:paraId="7A3134C8">
      <w:pPr>
        <w:pStyle w:val="2"/>
        <w:spacing w:before="0" w:after="0" w:line="240" w:lineRule="auto"/>
        <w:jc w:val="left"/>
        <w:rPr>
          <w:rFonts w:hint="eastAsia" w:ascii="方正仿宋_GBK" w:hAnsi="方正仿宋_GBK" w:eastAsia="方正仿宋_GBK" w:cs="方正仿宋_GBK"/>
          <w:b/>
          <w:bCs/>
          <w:sz w:val="24"/>
          <w:szCs w:val="24"/>
        </w:rPr>
      </w:pPr>
      <w:bookmarkStart w:id="355" w:name="_Toc19119"/>
      <w:bookmarkStart w:id="356" w:name="_Toc28374"/>
      <w:bookmarkStart w:id="357" w:name="_Toc599"/>
      <w:bookmarkStart w:id="358" w:name="_Toc14245"/>
      <w:r>
        <w:rPr>
          <w:rFonts w:hint="eastAsia" w:ascii="方正仿宋_GBK" w:hAnsi="方正仿宋_GBK" w:eastAsia="方正仿宋_GBK" w:cs="方正仿宋_GBK"/>
          <w:b/>
          <w:bCs/>
          <w:sz w:val="24"/>
          <w:szCs w:val="24"/>
        </w:rPr>
        <w:t>二、技术部分</w:t>
      </w:r>
      <w:bookmarkEnd w:id="342"/>
      <w:bookmarkEnd w:id="343"/>
      <w:bookmarkEnd w:id="344"/>
      <w:bookmarkEnd w:id="345"/>
      <w:bookmarkEnd w:id="346"/>
      <w:bookmarkEnd w:id="347"/>
      <w:bookmarkEnd w:id="355"/>
      <w:bookmarkEnd w:id="356"/>
      <w:bookmarkEnd w:id="357"/>
      <w:bookmarkEnd w:id="358"/>
    </w:p>
    <w:p w14:paraId="3408101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outlineLvl w:val="1"/>
        <w:rPr>
          <w:rFonts w:hint="eastAsia" w:ascii="方正仿宋_GBK" w:hAnsi="方正仿宋_GBK" w:eastAsia="方正仿宋_GBK" w:cs="方正仿宋_GBK"/>
          <w:sz w:val="24"/>
          <w:szCs w:val="24"/>
        </w:rPr>
      </w:pPr>
      <w:bookmarkStart w:id="359" w:name="_Toc8027"/>
      <w:bookmarkStart w:id="360" w:name="_Toc27428"/>
      <w:r>
        <w:rPr>
          <w:rFonts w:hint="eastAsia" w:ascii="方正仿宋_GBK" w:hAnsi="方正仿宋_GBK" w:eastAsia="方正仿宋_GBK" w:cs="方正仿宋_GBK"/>
          <w:sz w:val="24"/>
          <w:szCs w:val="24"/>
        </w:rPr>
        <w:t>（一）服务方案（格式自定）</w:t>
      </w:r>
      <w:bookmarkEnd w:id="359"/>
      <w:bookmarkEnd w:id="360"/>
    </w:p>
    <w:p w14:paraId="6BA437B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Cs w:val="24"/>
        </w:rPr>
      </w:pPr>
      <w:bookmarkStart w:id="361" w:name="_Toc18678"/>
      <w:bookmarkStart w:id="362" w:name="_Toc19256"/>
      <w:r>
        <w:rPr>
          <w:rFonts w:hint="eastAsia" w:ascii="方正仿宋_GBK" w:hAnsi="方正仿宋_GBK" w:eastAsia="方正仿宋_GBK" w:cs="方正仿宋_GBK"/>
          <w:sz w:val="24"/>
          <w:szCs w:val="24"/>
        </w:rPr>
        <w:t>（二）技术响应偏离表</w:t>
      </w:r>
    </w:p>
    <w:p w14:paraId="6EE0041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项目名称：                              项目编号：</w:t>
      </w:r>
    </w:p>
    <w:tbl>
      <w:tblPr>
        <w:tblStyle w:val="9"/>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FA8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38" w:type="dxa"/>
            <w:noWrap w:val="0"/>
            <w:vAlign w:val="center"/>
          </w:tcPr>
          <w:p w14:paraId="7E9184C0">
            <w:pPr>
              <w:spacing w:line="480" w:lineRule="auto"/>
              <w:jc w:val="center"/>
              <w:textAlignment w:val="center"/>
              <w:rPr>
                <w:rFonts w:hint="eastAsia" w:ascii="方正仿宋_GBK" w:hAnsi="方正仿宋_GBK" w:eastAsia="方正仿宋_GBK" w:cs="方正仿宋_GBK"/>
                <w:b/>
                <w:bCs w:val="0"/>
                <w:sz w:val="24"/>
                <w:szCs w:val="24"/>
                <w:lang w:bidi="ar"/>
              </w:rPr>
            </w:pPr>
            <w:bookmarkStart w:id="363" w:name="_Toc31985"/>
            <w:bookmarkStart w:id="364" w:name="_Toc16177"/>
            <w:bookmarkStart w:id="365" w:name="_Toc25739"/>
            <w:bookmarkStart w:id="366" w:name="_Toc14442"/>
            <w:bookmarkStart w:id="367" w:name="_Toc9083"/>
            <w:bookmarkStart w:id="368" w:name="_Toc18931"/>
            <w:bookmarkStart w:id="369" w:name="_Toc17606"/>
            <w:bookmarkStart w:id="370" w:name="_Toc19469"/>
            <w:bookmarkStart w:id="371" w:name="_Toc12236"/>
            <w:bookmarkStart w:id="372" w:name="_Toc32735"/>
            <w:bookmarkStart w:id="373" w:name="_Toc2327"/>
            <w:bookmarkStart w:id="374" w:name="_Toc27613"/>
            <w:bookmarkStart w:id="375" w:name="_Toc479"/>
            <w:bookmarkStart w:id="376" w:name="_Toc120036029"/>
            <w:bookmarkStart w:id="377" w:name="_Toc8687"/>
            <w:r>
              <w:rPr>
                <w:rFonts w:hint="eastAsia" w:ascii="方正仿宋_GBK" w:hAnsi="方正仿宋_GBK" w:eastAsia="方正仿宋_GBK" w:cs="方正仿宋_GBK"/>
                <w:b/>
                <w:bCs w:val="0"/>
                <w:sz w:val="24"/>
                <w:szCs w:val="24"/>
                <w:lang w:bidi="ar"/>
              </w:rPr>
              <w:t>序号</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tc>
        <w:tc>
          <w:tcPr>
            <w:tcW w:w="2658" w:type="dxa"/>
            <w:noWrap w:val="0"/>
            <w:vAlign w:val="center"/>
          </w:tcPr>
          <w:p w14:paraId="3EB24214">
            <w:pPr>
              <w:spacing w:line="480" w:lineRule="auto"/>
              <w:jc w:val="center"/>
              <w:textAlignment w:val="center"/>
              <w:rPr>
                <w:rFonts w:hint="eastAsia" w:ascii="方正仿宋_GBK" w:hAnsi="方正仿宋_GBK" w:eastAsia="方正仿宋_GBK" w:cs="方正仿宋_GBK"/>
                <w:b/>
                <w:bCs w:val="0"/>
                <w:sz w:val="24"/>
                <w:szCs w:val="24"/>
                <w:lang w:bidi="ar"/>
              </w:rPr>
            </w:pPr>
            <w:bookmarkStart w:id="378" w:name="_Toc7810"/>
            <w:bookmarkStart w:id="379" w:name="_Toc19330"/>
            <w:bookmarkStart w:id="380" w:name="_Toc22026"/>
            <w:bookmarkStart w:id="381" w:name="_Toc20600"/>
            <w:bookmarkStart w:id="382" w:name="_Toc4693"/>
            <w:bookmarkStart w:id="383" w:name="_Toc22268"/>
            <w:bookmarkStart w:id="384" w:name="_Toc13529"/>
            <w:bookmarkStart w:id="385" w:name="_Toc13633"/>
            <w:bookmarkStart w:id="386" w:name="_Toc311"/>
            <w:bookmarkStart w:id="387" w:name="_Toc15723"/>
            <w:bookmarkStart w:id="388" w:name="_Toc28596"/>
            <w:bookmarkStart w:id="389" w:name="_Toc17252"/>
            <w:bookmarkStart w:id="390" w:name="_Toc120036030"/>
            <w:bookmarkStart w:id="391" w:name="_Toc15566"/>
            <w:bookmarkStart w:id="392" w:name="_Toc14996"/>
            <w:r>
              <w:rPr>
                <w:rFonts w:hint="eastAsia" w:ascii="方正仿宋_GBK" w:hAnsi="方正仿宋_GBK" w:eastAsia="方正仿宋_GBK" w:cs="方正仿宋_GBK"/>
                <w:b/>
                <w:bCs w:val="0"/>
                <w:sz w:val="24"/>
                <w:szCs w:val="24"/>
                <w:lang w:bidi="ar"/>
              </w:rPr>
              <w:t>采购需求</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tc>
        <w:tc>
          <w:tcPr>
            <w:tcW w:w="2759" w:type="dxa"/>
            <w:noWrap w:val="0"/>
            <w:vAlign w:val="center"/>
          </w:tcPr>
          <w:p w14:paraId="331034B5">
            <w:pPr>
              <w:spacing w:line="480" w:lineRule="auto"/>
              <w:jc w:val="center"/>
              <w:textAlignment w:val="center"/>
              <w:rPr>
                <w:rFonts w:hint="eastAsia" w:ascii="方正仿宋_GBK" w:hAnsi="方正仿宋_GBK" w:eastAsia="方正仿宋_GBK" w:cs="方正仿宋_GBK"/>
                <w:b/>
                <w:bCs w:val="0"/>
                <w:sz w:val="24"/>
                <w:szCs w:val="24"/>
                <w:lang w:bidi="ar"/>
              </w:rPr>
            </w:pPr>
            <w:bookmarkStart w:id="393" w:name="_Toc23141"/>
            <w:bookmarkStart w:id="394" w:name="_Toc1021"/>
            <w:bookmarkStart w:id="395" w:name="_Toc120036031"/>
            <w:bookmarkStart w:id="396" w:name="_Toc15784"/>
            <w:bookmarkStart w:id="397" w:name="_Toc21139"/>
            <w:bookmarkStart w:id="398" w:name="_Toc5307"/>
            <w:bookmarkStart w:id="399" w:name="_Toc20363"/>
            <w:bookmarkStart w:id="400" w:name="_Toc18976"/>
            <w:bookmarkStart w:id="401" w:name="_Toc9203"/>
            <w:bookmarkStart w:id="402" w:name="_Toc23749"/>
            <w:bookmarkStart w:id="403" w:name="_Toc8871"/>
            <w:bookmarkStart w:id="404" w:name="_Toc2270"/>
            <w:bookmarkStart w:id="405" w:name="_Toc15160"/>
            <w:bookmarkStart w:id="406" w:name="_Toc24008"/>
            <w:r>
              <w:rPr>
                <w:rFonts w:hint="eastAsia" w:ascii="方正仿宋_GBK" w:hAnsi="方正仿宋_GBK" w:eastAsia="方正仿宋_GBK" w:cs="方正仿宋_GBK"/>
                <w:b/>
                <w:bCs w:val="0"/>
                <w:sz w:val="24"/>
                <w:szCs w:val="24"/>
                <w:lang w:bidi="ar"/>
              </w:rPr>
              <w:t>响应情况</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tc>
        <w:tc>
          <w:tcPr>
            <w:tcW w:w="2067" w:type="dxa"/>
            <w:noWrap w:val="0"/>
            <w:vAlign w:val="center"/>
          </w:tcPr>
          <w:p w14:paraId="3A8E9288">
            <w:pPr>
              <w:spacing w:line="480" w:lineRule="auto"/>
              <w:jc w:val="center"/>
              <w:textAlignment w:val="center"/>
              <w:rPr>
                <w:rFonts w:hint="eastAsia" w:ascii="方正仿宋_GBK" w:hAnsi="方正仿宋_GBK" w:eastAsia="方正仿宋_GBK" w:cs="方正仿宋_GBK"/>
                <w:b/>
                <w:bCs w:val="0"/>
                <w:sz w:val="24"/>
                <w:szCs w:val="24"/>
                <w:lang w:bidi="ar"/>
              </w:rPr>
            </w:pPr>
            <w:bookmarkStart w:id="407" w:name="_Toc11000"/>
            <w:bookmarkStart w:id="408" w:name="_Toc3315"/>
            <w:bookmarkStart w:id="409" w:name="_Toc23858"/>
            <w:bookmarkStart w:id="410" w:name="_Toc14145"/>
            <w:bookmarkStart w:id="411" w:name="_Toc5026"/>
            <w:bookmarkStart w:id="412" w:name="_Toc28014"/>
            <w:bookmarkStart w:id="413" w:name="_Toc18392"/>
            <w:bookmarkStart w:id="414" w:name="_Toc21174"/>
            <w:bookmarkStart w:id="415" w:name="_Toc4903"/>
            <w:bookmarkStart w:id="416" w:name="_Toc31122"/>
            <w:bookmarkStart w:id="417" w:name="_Toc3578"/>
            <w:bookmarkStart w:id="418" w:name="_Toc17874"/>
            <w:bookmarkStart w:id="419" w:name="_Toc28243"/>
            <w:bookmarkStart w:id="420" w:name="_Toc120036032"/>
            <w:bookmarkStart w:id="421" w:name="_Toc29675"/>
            <w:r>
              <w:rPr>
                <w:rFonts w:hint="eastAsia" w:ascii="方正仿宋_GBK" w:hAnsi="方正仿宋_GBK" w:eastAsia="方正仿宋_GBK" w:cs="方正仿宋_GBK"/>
                <w:b/>
                <w:bCs w:val="0"/>
                <w:sz w:val="24"/>
                <w:szCs w:val="24"/>
                <w:lang w:bidi="ar"/>
              </w:rPr>
              <w:t>差异说明</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tc>
      </w:tr>
      <w:tr w14:paraId="1621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A3AD248">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658" w:type="dxa"/>
            <w:noWrap w:val="0"/>
            <w:vAlign w:val="center"/>
          </w:tcPr>
          <w:p w14:paraId="7A8EBFAB">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759" w:type="dxa"/>
            <w:noWrap w:val="0"/>
            <w:vAlign w:val="center"/>
          </w:tcPr>
          <w:p w14:paraId="11EE9D2C">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067" w:type="dxa"/>
            <w:noWrap w:val="0"/>
            <w:vAlign w:val="center"/>
          </w:tcPr>
          <w:p w14:paraId="5B01F410">
            <w:pPr>
              <w:tabs>
                <w:tab w:val="left" w:pos="6300"/>
              </w:tabs>
              <w:snapToGrid w:val="0"/>
              <w:spacing w:line="480" w:lineRule="auto"/>
              <w:jc w:val="center"/>
              <w:rPr>
                <w:rFonts w:hint="eastAsia" w:ascii="方正仿宋_GBK" w:hAnsi="方正仿宋_GBK" w:eastAsia="方正仿宋_GBK" w:cs="方正仿宋_GBK"/>
                <w:sz w:val="21"/>
                <w:szCs w:val="21"/>
              </w:rPr>
            </w:pPr>
          </w:p>
        </w:tc>
      </w:tr>
      <w:tr w14:paraId="1EAA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0DA7F9D">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658" w:type="dxa"/>
            <w:noWrap w:val="0"/>
            <w:vAlign w:val="center"/>
          </w:tcPr>
          <w:p w14:paraId="5D7A0083">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759" w:type="dxa"/>
            <w:noWrap w:val="0"/>
            <w:vAlign w:val="center"/>
          </w:tcPr>
          <w:p w14:paraId="59DB3331">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067" w:type="dxa"/>
            <w:noWrap w:val="0"/>
            <w:vAlign w:val="center"/>
          </w:tcPr>
          <w:p w14:paraId="17AC4AF3">
            <w:pPr>
              <w:tabs>
                <w:tab w:val="left" w:pos="6300"/>
              </w:tabs>
              <w:snapToGrid w:val="0"/>
              <w:spacing w:line="480" w:lineRule="auto"/>
              <w:jc w:val="center"/>
              <w:rPr>
                <w:rFonts w:hint="eastAsia" w:ascii="方正仿宋_GBK" w:hAnsi="方正仿宋_GBK" w:eastAsia="方正仿宋_GBK" w:cs="方正仿宋_GBK"/>
                <w:sz w:val="21"/>
                <w:szCs w:val="21"/>
              </w:rPr>
            </w:pPr>
          </w:p>
        </w:tc>
      </w:tr>
      <w:tr w14:paraId="7AF3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2C3B8A0">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658" w:type="dxa"/>
            <w:noWrap w:val="0"/>
            <w:vAlign w:val="center"/>
          </w:tcPr>
          <w:p w14:paraId="3EE8D993">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759" w:type="dxa"/>
            <w:noWrap w:val="0"/>
            <w:vAlign w:val="center"/>
          </w:tcPr>
          <w:p w14:paraId="679A86EE">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067" w:type="dxa"/>
            <w:noWrap w:val="0"/>
            <w:vAlign w:val="center"/>
          </w:tcPr>
          <w:p w14:paraId="6E6B3B32">
            <w:pPr>
              <w:tabs>
                <w:tab w:val="left" w:pos="6300"/>
              </w:tabs>
              <w:snapToGrid w:val="0"/>
              <w:spacing w:line="480" w:lineRule="auto"/>
              <w:jc w:val="center"/>
              <w:rPr>
                <w:rFonts w:hint="eastAsia" w:ascii="方正仿宋_GBK" w:hAnsi="方正仿宋_GBK" w:eastAsia="方正仿宋_GBK" w:cs="方正仿宋_GBK"/>
                <w:sz w:val="21"/>
                <w:szCs w:val="21"/>
              </w:rPr>
            </w:pPr>
          </w:p>
        </w:tc>
      </w:tr>
      <w:tr w14:paraId="48CD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A6C4F8B">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658" w:type="dxa"/>
            <w:noWrap w:val="0"/>
            <w:vAlign w:val="center"/>
          </w:tcPr>
          <w:p w14:paraId="300585A3">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759" w:type="dxa"/>
            <w:noWrap w:val="0"/>
            <w:vAlign w:val="center"/>
          </w:tcPr>
          <w:p w14:paraId="438A5BBA">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067" w:type="dxa"/>
            <w:noWrap w:val="0"/>
            <w:vAlign w:val="center"/>
          </w:tcPr>
          <w:p w14:paraId="3942EA86">
            <w:pPr>
              <w:tabs>
                <w:tab w:val="left" w:pos="6300"/>
              </w:tabs>
              <w:snapToGrid w:val="0"/>
              <w:spacing w:line="480" w:lineRule="auto"/>
              <w:jc w:val="center"/>
              <w:rPr>
                <w:rFonts w:hint="eastAsia" w:ascii="方正仿宋_GBK" w:hAnsi="方正仿宋_GBK" w:eastAsia="方正仿宋_GBK" w:cs="方正仿宋_GBK"/>
                <w:sz w:val="21"/>
                <w:szCs w:val="21"/>
              </w:rPr>
            </w:pPr>
          </w:p>
        </w:tc>
      </w:tr>
      <w:tr w14:paraId="2881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DDEC206">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658" w:type="dxa"/>
            <w:noWrap w:val="0"/>
            <w:vAlign w:val="center"/>
          </w:tcPr>
          <w:p w14:paraId="5C88F6E3">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759" w:type="dxa"/>
            <w:noWrap w:val="0"/>
            <w:vAlign w:val="center"/>
          </w:tcPr>
          <w:p w14:paraId="602114D1">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067" w:type="dxa"/>
            <w:noWrap w:val="0"/>
            <w:vAlign w:val="center"/>
          </w:tcPr>
          <w:p w14:paraId="7946A04E">
            <w:pPr>
              <w:tabs>
                <w:tab w:val="left" w:pos="6300"/>
              </w:tabs>
              <w:snapToGrid w:val="0"/>
              <w:spacing w:line="480" w:lineRule="auto"/>
              <w:jc w:val="center"/>
              <w:rPr>
                <w:rFonts w:hint="eastAsia" w:ascii="方正仿宋_GBK" w:hAnsi="方正仿宋_GBK" w:eastAsia="方正仿宋_GBK" w:cs="方正仿宋_GBK"/>
                <w:sz w:val="21"/>
                <w:szCs w:val="21"/>
              </w:rPr>
            </w:pPr>
          </w:p>
        </w:tc>
      </w:tr>
      <w:tr w14:paraId="2557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CFAA9B4">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658" w:type="dxa"/>
            <w:noWrap w:val="0"/>
            <w:vAlign w:val="center"/>
          </w:tcPr>
          <w:p w14:paraId="5E98AE47">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759" w:type="dxa"/>
            <w:noWrap w:val="0"/>
            <w:vAlign w:val="center"/>
          </w:tcPr>
          <w:p w14:paraId="00965E9F">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067" w:type="dxa"/>
            <w:noWrap w:val="0"/>
            <w:vAlign w:val="center"/>
          </w:tcPr>
          <w:p w14:paraId="7CFF4FF0">
            <w:pPr>
              <w:tabs>
                <w:tab w:val="left" w:pos="6300"/>
              </w:tabs>
              <w:snapToGrid w:val="0"/>
              <w:spacing w:line="480" w:lineRule="auto"/>
              <w:jc w:val="center"/>
              <w:rPr>
                <w:rFonts w:hint="eastAsia" w:ascii="方正仿宋_GBK" w:hAnsi="方正仿宋_GBK" w:eastAsia="方正仿宋_GBK" w:cs="方正仿宋_GBK"/>
                <w:sz w:val="21"/>
                <w:szCs w:val="21"/>
              </w:rPr>
            </w:pPr>
          </w:p>
        </w:tc>
      </w:tr>
      <w:tr w14:paraId="4ABC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2A4A2F9">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658" w:type="dxa"/>
            <w:noWrap w:val="0"/>
            <w:vAlign w:val="center"/>
          </w:tcPr>
          <w:p w14:paraId="7BBCE49D">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759" w:type="dxa"/>
            <w:noWrap w:val="0"/>
            <w:vAlign w:val="center"/>
          </w:tcPr>
          <w:p w14:paraId="5823E00B">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067" w:type="dxa"/>
            <w:noWrap w:val="0"/>
            <w:vAlign w:val="center"/>
          </w:tcPr>
          <w:p w14:paraId="08712ED7">
            <w:pPr>
              <w:tabs>
                <w:tab w:val="left" w:pos="6300"/>
              </w:tabs>
              <w:snapToGrid w:val="0"/>
              <w:spacing w:line="480" w:lineRule="auto"/>
              <w:jc w:val="center"/>
              <w:rPr>
                <w:rFonts w:hint="eastAsia" w:ascii="方正仿宋_GBK" w:hAnsi="方正仿宋_GBK" w:eastAsia="方正仿宋_GBK" w:cs="方正仿宋_GBK"/>
                <w:sz w:val="21"/>
                <w:szCs w:val="21"/>
              </w:rPr>
            </w:pPr>
          </w:p>
        </w:tc>
      </w:tr>
      <w:tr w14:paraId="1AA8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7146D3B">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658" w:type="dxa"/>
            <w:noWrap w:val="0"/>
            <w:vAlign w:val="center"/>
          </w:tcPr>
          <w:p w14:paraId="13C6577B">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759" w:type="dxa"/>
            <w:noWrap w:val="0"/>
            <w:vAlign w:val="center"/>
          </w:tcPr>
          <w:p w14:paraId="07AFA429">
            <w:pPr>
              <w:tabs>
                <w:tab w:val="left" w:pos="6300"/>
              </w:tabs>
              <w:snapToGrid w:val="0"/>
              <w:spacing w:line="480" w:lineRule="auto"/>
              <w:jc w:val="center"/>
              <w:rPr>
                <w:rFonts w:hint="eastAsia" w:ascii="方正仿宋_GBK" w:hAnsi="方正仿宋_GBK" w:eastAsia="方正仿宋_GBK" w:cs="方正仿宋_GBK"/>
                <w:sz w:val="21"/>
                <w:szCs w:val="21"/>
              </w:rPr>
            </w:pPr>
          </w:p>
        </w:tc>
        <w:tc>
          <w:tcPr>
            <w:tcW w:w="2067" w:type="dxa"/>
            <w:noWrap w:val="0"/>
            <w:vAlign w:val="center"/>
          </w:tcPr>
          <w:p w14:paraId="1ED7BD76">
            <w:pPr>
              <w:tabs>
                <w:tab w:val="left" w:pos="6300"/>
              </w:tabs>
              <w:snapToGrid w:val="0"/>
              <w:spacing w:line="480" w:lineRule="auto"/>
              <w:jc w:val="center"/>
              <w:rPr>
                <w:rFonts w:hint="eastAsia" w:ascii="方正仿宋_GBK" w:hAnsi="方正仿宋_GBK" w:eastAsia="方正仿宋_GBK" w:cs="方正仿宋_GBK"/>
                <w:sz w:val="21"/>
                <w:szCs w:val="21"/>
              </w:rPr>
            </w:pPr>
          </w:p>
        </w:tc>
      </w:tr>
    </w:tbl>
    <w:p w14:paraId="43D94591">
      <w:pPr>
        <w:keepNext w:val="0"/>
        <w:keepLines w:val="0"/>
        <w:pageBreakBefore w:val="0"/>
        <w:widowControl w:val="0"/>
        <w:kinsoku/>
        <w:wordWrap/>
        <w:overflowPunct/>
        <w:topLinePunct w:val="0"/>
        <w:autoSpaceDE/>
        <w:autoSpaceDN/>
        <w:bidi w:val="0"/>
        <w:adjustRightInd/>
        <w:spacing w:line="480" w:lineRule="exact"/>
        <w:ind w:firstLine="600" w:firstLineChars="25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参选人：                                      法定代表人授权代表：</w:t>
      </w:r>
    </w:p>
    <w:p w14:paraId="7BE506B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61590D48">
      <w:pPr>
        <w:keepNext w:val="0"/>
        <w:keepLines w:val="0"/>
        <w:pageBreakBefore w:val="0"/>
        <w:widowControl w:val="0"/>
        <w:kinsoku/>
        <w:wordWrap/>
        <w:overflowPunct/>
        <w:topLinePunct w:val="0"/>
        <w:autoSpaceDE/>
        <w:autoSpaceDN/>
        <w:bidi w:val="0"/>
        <w:adjustRightInd/>
        <w:spacing w:line="480" w:lineRule="exact"/>
        <w:ind w:firstLine="720" w:firstLineChars="3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（参选人公章）                               （签字或盖章）</w:t>
      </w:r>
    </w:p>
    <w:p w14:paraId="3276EF8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1F2C96A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w:t>
      </w:r>
    </w:p>
    <w:p w14:paraId="6147684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.本表即为对本项目“第二篇  项目服务需求”中所列要求进行一一比较和响应；</w:t>
      </w:r>
    </w:p>
    <w:p w14:paraId="4A11629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2.该表必须按照竞争性比选要求逐条如实填写，根据响应情况在“差异说明”项填写正偏离或负偏离及原因，完全符合的填写“无差异”；</w:t>
      </w:r>
    </w:p>
    <w:p w14:paraId="1C5F34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3.该表可扩展，并签字或盖章；</w:t>
      </w:r>
    </w:p>
    <w:p w14:paraId="5236875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4.可附相关支撑材料。（格式自定）</w:t>
      </w:r>
    </w:p>
    <w:p w14:paraId="0081FA44">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szCs w:val="24"/>
        </w:rPr>
        <w:br w:type="page"/>
      </w:r>
      <w:bookmarkStart w:id="422" w:name="_Toc17327"/>
      <w:bookmarkStart w:id="423" w:name="_Toc18915"/>
      <w:bookmarkStart w:id="424" w:name="_Toc27779"/>
      <w:bookmarkStart w:id="425" w:name="_Toc27319"/>
      <w:bookmarkStart w:id="426" w:name="_Toc19923"/>
      <w:bookmarkStart w:id="427" w:name="_Toc9954"/>
      <w:bookmarkStart w:id="428" w:name="_Toc19610"/>
      <w:bookmarkStart w:id="429" w:name="_Toc3699"/>
      <w:r>
        <w:rPr>
          <w:rFonts w:hint="eastAsia" w:ascii="仿宋" w:hAnsi="仿宋" w:eastAsia="仿宋" w:cs="仿宋"/>
          <w:b/>
          <w:bCs/>
          <w:sz w:val="28"/>
          <w:szCs w:val="28"/>
        </w:rPr>
        <w:t>三、</w:t>
      </w:r>
      <w:r>
        <w:rPr>
          <w:rFonts w:hint="eastAsia" w:ascii="方正仿宋_GBK" w:hAnsi="方正仿宋_GBK" w:eastAsia="方正仿宋_GBK" w:cs="方正仿宋_GBK"/>
          <w:b/>
          <w:bCs/>
          <w:sz w:val="28"/>
          <w:szCs w:val="28"/>
        </w:rPr>
        <w:t>商务部分</w:t>
      </w:r>
      <w:bookmarkEnd w:id="361"/>
      <w:bookmarkEnd w:id="362"/>
      <w:bookmarkEnd w:id="422"/>
      <w:bookmarkEnd w:id="423"/>
      <w:bookmarkEnd w:id="424"/>
      <w:bookmarkEnd w:id="425"/>
      <w:bookmarkEnd w:id="426"/>
      <w:bookmarkEnd w:id="427"/>
      <w:bookmarkEnd w:id="428"/>
      <w:bookmarkEnd w:id="429"/>
    </w:p>
    <w:p w14:paraId="77158CBA">
      <w:pPr>
        <w:snapToGrid w:val="0"/>
        <w:spacing w:line="360" w:lineRule="auto"/>
        <w:outlineLvl w:val="1"/>
        <w:rPr>
          <w:rFonts w:hint="eastAsia" w:ascii="方正仿宋_GBK" w:hAnsi="方正仿宋_GBK" w:eastAsia="方正仿宋_GBK" w:cs="方正仿宋_GBK"/>
          <w:sz w:val="28"/>
          <w:szCs w:val="28"/>
        </w:rPr>
      </w:pPr>
      <w:bookmarkStart w:id="430" w:name="_Toc12949"/>
      <w:bookmarkStart w:id="431" w:name="_Toc29359"/>
      <w:r>
        <w:rPr>
          <w:rFonts w:hint="eastAsia" w:ascii="方正仿宋_GBK" w:hAnsi="方正仿宋_GBK" w:eastAsia="方正仿宋_GBK" w:cs="方正仿宋_GBK"/>
          <w:sz w:val="28"/>
          <w:szCs w:val="28"/>
        </w:rPr>
        <w:t>（一）商务响应偏离表</w:t>
      </w:r>
      <w:bookmarkEnd w:id="430"/>
      <w:bookmarkEnd w:id="431"/>
      <w:r>
        <w:rPr>
          <w:rFonts w:hint="eastAsia" w:ascii="方正仿宋_GBK" w:hAnsi="方正仿宋_GBK" w:eastAsia="方正仿宋_GBK" w:cs="方正仿宋_GBK"/>
          <w:sz w:val="28"/>
          <w:szCs w:val="28"/>
        </w:rPr>
        <w:t xml:space="preserve">                        </w:t>
      </w:r>
    </w:p>
    <w:p w14:paraId="7F72D5A5">
      <w:pPr>
        <w:pStyle w:val="6"/>
        <w:tabs>
          <w:tab w:val="left" w:pos="6300"/>
        </w:tabs>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8"/>
          <w:szCs w:val="28"/>
        </w:rPr>
        <w:t xml:space="preserve">比选项目名称：                       项目编号： </w:t>
      </w:r>
      <w:r>
        <w:rPr>
          <w:rFonts w:hint="eastAsia" w:ascii="方正仿宋_GBK" w:hAnsi="方正仿宋_GBK" w:eastAsia="方正仿宋_GBK" w:cs="方正仿宋_GBK"/>
          <w:sz w:val="24"/>
          <w:szCs w:val="24"/>
        </w:rPr>
        <w:t xml:space="preserve">       </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8E4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231BB34F">
            <w:pPr>
              <w:spacing w:line="480" w:lineRule="auto"/>
              <w:jc w:val="center"/>
              <w:textAlignment w:val="center"/>
              <w:rPr>
                <w:rFonts w:hint="eastAsia" w:ascii="方正仿宋_GBK" w:hAnsi="方正仿宋_GBK" w:eastAsia="方正仿宋_GBK" w:cs="方正仿宋_GBK"/>
                <w:b/>
                <w:bCs w:val="0"/>
                <w:sz w:val="24"/>
                <w:szCs w:val="24"/>
                <w:lang w:bidi="ar"/>
              </w:rPr>
            </w:pPr>
            <w:bookmarkStart w:id="432" w:name="_Toc23810"/>
            <w:bookmarkStart w:id="433" w:name="_Toc19641"/>
            <w:bookmarkStart w:id="434" w:name="_Toc25278"/>
            <w:bookmarkStart w:id="435" w:name="_Toc28248"/>
            <w:bookmarkStart w:id="436" w:name="_Toc4171"/>
            <w:bookmarkStart w:id="437" w:name="_Toc19507"/>
            <w:bookmarkStart w:id="438" w:name="_Toc29961"/>
            <w:bookmarkStart w:id="439" w:name="_Toc4227"/>
            <w:bookmarkStart w:id="440" w:name="_Toc32459"/>
            <w:bookmarkStart w:id="441" w:name="_Toc26154"/>
            <w:r>
              <w:rPr>
                <w:rFonts w:hint="eastAsia" w:ascii="方正仿宋_GBK" w:hAnsi="方正仿宋_GBK" w:eastAsia="方正仿宋_GBK" w:cs="方正仿宋_GBK"/>
                <w:b/>
                <w:bCs w:val="0"/>
                <w:sz w:val="24"/>
                <w:szCs w:val="24"/>
                <w:lang w:bidi="ar"/>
              </w:rPr>
              <w:t>序号</w:t>
            </w:r>
            <w:bookmarkEnd w:id="432"/>
            <w:bookmarkEnd w:id="433"/>
            <w:bookmarkEnd w:id="434"/>
            <w:bookmarkEnd w:id="435"/>
            <w:bookmarkEnd w:id="436"/>
            <w:bookmarkEnd w:id="437"/>
            <w:bookmarkEnd w:id="438"/>
            <w:bookmarkEnd w:id="439"/>
            <w:bookmarkEnd w:id="440"/>
            <w:bookmarkEnd w:id="441"/>
          </w:p>
        </w:tc>
        <w:tc>
          <w:tcPr>
            <w:tcW w:w="3179" w:type="dxa"/>
            <w:noWrap w:val="0"/>
            <w:vAlign w:val="center"/>
          </w:tcPr>
          <w:p w14:paraId="74673068">
            <w:pPr>
              <w:spacing w:line="480" w:lineRule="auto"/>
              <w:jc w:val="center"/>
              <w:textAlignment w:val="center"/>
              <w:rPr>
                <w:rFonts w:hint="eastAsia" w:ascii="方正仿宋_GBK" w:hAnsi="方正仿宋_GBK" w:eastAsia="方正仿宋_GBK" w:cs="方正仿宋_GBK"/>
                <w:b/>
                <w:bCs w:val="0"/>
                <w:sz w:val="24"/>
                <w:szCs w:val="24"/>
                <w:lang w:bidi="ar"/>
              </w:rPr>
            </w:pPr>
            <w:bookmarkStart w:id="442" w:name="_Toc13590"/>
            <w:bookmarkStart w:id="443" w:name="_Toc15695"/>
            <w:bookmarkStart w:id="444" w:name="_Toc25722"/>
            <w:bookmarkStart w:id="445" w:name="_Toc7352"/>
            <w:bookmarkStart w:id="446" w:name="_Toc28310"/>
            <w:bookmarkStart w:id="447" w:name="_Toc20116"/>
            <w:bookmarkStart w:id="448" w:name="_Toc31655"/>
            <w:bookmarkStart w:id="449" w:name="_Toc9472"/>
            <w:bookmarkStart w:id="450" w:name="_Toc31756"/>
            <w:bookmarkStart w:id="451" w:name="_Toc4366"/>
            <w:r>
              <w:rPr>
                <w:rFonts w:hint="eastAsia" w:ascii="方正仿宋_GBK" w:hAnsi="方正仿宋_GBK" w:eastAsia="方正仿宋_GBK" w:cs="方正仿宋_GBK"/>
                <w:b/>
                <w:bCs w:val="0"/>
                <w:sz w:val="24"/>
                <w:szCs w:val="24"/>
                <w:lang w:bidi="ar"/>
              </w:rPr>
              <w:t>项目商务需求</w:t>
            </w:r>
            <w:bookmarkEnd w:id="442"/>
            <w:bookmarkEnd w:id="443"/>
            <w:bookmarkEnd w:id="444"/>
            <w:bookmarkEnd w:id="445"/>
            <w:bookmarkEnd w:id="446"/>
            <w:bookmarkEnd w:id="447"/>
            <w:bookmarkEnd w:id="448"/>
            <w:bookmarkEnd w:id="449"/>
            <w:bookmarkEnd w:id="450"/>
            <w:bookmarkEnd w:id="451"/>
          </w:p>
        </w:tc>
        <w:tc>
          <w:tcPr>
            <w:tcW w:w="2434" w:type="dxa"/>
            <w:noWrap w:val="0"/>
            <w:vAlign w:val="center"/>
          </w:tcPr>
          <w:p w14:paraId="59AA6FC9">
            <w:pPr>
              <w:spacing w:line="480" w:lineRule="auto"/>
              <w:jc w:val="center"/>
              <w:textAlignment w:val="center"/>
              <w:rPr>
                <w:rFonts w:hint="eastAsia" w:ascii="方正仿宋_GBK" w:hAnsi="方正仿宋_GBK" w:eastAsia="方正仿宋_GBK" w:cs="方正仿宋_GBK"/>
                <w:b/>
                <w:bCs w:val="0"/>
                <w:sz w:val="24"/>
                <w:szCs w:val="24"/>
                <w:lang w:bidi="ar"/>
              </w:rPr>
            </w:pPr>
            <w:bookmarkStart w:id="452" w:name="_Toc20205"/>
            <w:bookmarkStart w:id="453" w:name="_Toc1208"/>
            <w:bookmarkStart w:id="454" w:name="_Toc4550"/>
            <w:bookmarkStart w:id="455" w:name="_Toc24137"/>
            <w:bookmarkStart w:id="456" w:name="_Toc11430"/>
            <w:bookmarkStart w:id="457" w:name="_Toc24633"/>
            <w:bookmarkStart w:id="458" w:name="_Toc778"/>
            <w:bookmarkStart w:id="459" w:name="_Toc8108"/>
            <w:bookmarkStart w:id="460" w:name="_Toc27690"/>
            <w:bookmarkStart w:id="461" w:name="_Toc25166"/>
            <w:r>
              <w:rPr>
                <w:rFonts w:hint="eastAsia" w:ascii="方正仿宋_GBK" w:hAnsi="方正仿宋_GBK" w:eastAsia="方正仿宋_GBK" w:cs="方正仿宋_GBK"/>
                <w:b/>
                <w:bCs w:val="0"/>
                <w:sz w:val="24"/>
                <w:szCs w:val="24"/>
                <w:lang w:bidi="ar"/>
              </w:rPr>
              <w:t>响应情况</w:t>
            </w:r>
            <w:bookmarkEnd w:id="452"/>
            <w:bookmarkEnd w:id="453"/>
            <w:bookmarkEnd w:id="454"/>
            <w:bookmarkEnd w:id="455"/>
            <w:bookmarkEnd w:id="456"/>
            <w:bookmarkEnd w:id="457"/>
            <w:bookmarkEnd w:id="458"/>
            <w:bookmarkEnd w:id="459"/>
            <w:bookmarkEnd w:id="460"/>
            <w:bookmarkEnd w:id="461"/>
          </w:p>
        </w:tc>
        <w:tc>
          <w:tcPr>
            <w:tcW w:w="2355" w:type="dxa"/>
            <w:noWrap w:val="0"/>
            <w:vAlign w:val="center"/>
          </w:tcPr>
          <w:p w14:paraId="479974A8">
            <w:pPr>
              <w:spacing w:line="480" w:lineRule="auto"/>
              <w:jc w:val="center"/>
              <w:textAlignment w:val="center"/>
              <w:rPr>
                <w:rFonts w:hint="eastAsia" w:ascii="方正仿宋_GBK" w:hAnsi="方正仿宋_GBK" w:eastAsia="方正仿宋_GBK" w:cs="方正仿宋_GBK"/>
                <w:b/>
                <w:bCs w:val="0"/>
                <w:sz w:val="24"/>
                <w:szCs w:val="24"/>
                <w:lang w:bidi="ar"/>
              </w:rPr>
            </w:pPr>
            <w:bookmarkStart w:id="462" w:name="_Toc9755"/>
            <w:bookmarkStart w:id="463" w:name="_Toc4380"/>
            <w:bookmarkStart w:id="464" w:name="_Toc26097"/>
            <w:bookmarkStart w:id="465" w:name="_Toc12650"/>
            <w:bookmarkStart w:id="466" w:name="_Toc27390"/>
            <w:bookmarkStart w:id="467" w:name="_Toc16831"/>
            <w:bookmarkStart w:id="468" w:name="_Toc10320"/>
            <w:bookmarkStart w:id="469" w:name="_Toc30283"/>
            <w:bookmarkStart w:id="470" w:name="_Toc17081"/>
            <w:bookmarkStart w:id="471" w:name="_Toc26632"/>
            <w:r>
              <w:rPr>
                <w:rFonts w:hint="eastAsia" w:ascii="方正仿宋_GBK" w:hAnsi="方正仿宋_GBK" w:eastAsia="方正仿宋_GBK" w:cs="方正仿宋_GBK"/>
                <w:b/>
                <w:bCs w:val="0"/>
                <w:sz w:val="24"/>
                <w:szCs w:val="24"/>
                <w:lang w:bidi="ar"/>
              </w:rPr>
              <w:t>偏离说明</w:t>
            </w:r>
            <w:bookmarkEnd w:id="462"/>
            <w:bookmarkEnd w:id="463"/>
            <w:bookmarkEnd w:id="464"/>
            <w:bookmarkEnd w:id="465"/>
            <w:bookmarkEnd w:id="466"/>
            <w:bookmarkEnd w:id="467"/>
            <w:bookmarkEnd w:id="468"/>
            <w:bookmarkEnd w:id="469"/>
            <w:bookmarkEnd w:id="470"/>
            <w:bookmarkEnd w:id="471"/>
          </w:p>
        </w:tc>
      </w:tr>
      <w:tr w14:paraId="7B04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2C04180">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3179" w:type="dxa"/>
            <w:noWrap w:val="0"/>
            <w:vAlign w:val="center"/>
          </w:tcPr>
          <w:p w14:paraId="57714295">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434" w:type="dxa"/>
            <w:noWrap w:val="0"/>
            <w:vAlign w:val="center"/>
          </w:tcPr>
          <w:p w14:paraId="730B5264">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355" w:type="dxa"/>
            <w:noWrap w:val="0"/>
            <w:vAlign w:val="center"/>
          </w:tcPr>
          <w:p w14:paraId="7C4F9489">
            <w:pPr>
              <w:tabs>
                <w:tab w:val="left" w:pos="6300"/>
              </w:tabs>
              <w:snapToGrid w:val="0"/>
              <w:spacing w:line="360" w:lineRule="auto"/>
              <w:jc w:val="center"/>
              <w:rPr>
                <w:rFonts w:hint="eastAsia" w:ascii="方正仿宋_GBK" w:hAnsi="方正仿宋_GBK" w:eastAsia="方正仿宋_GBK" w:cs="方正仿宋_GBK"/>
                <w:sz w:val="21"/>
                <w:szCs w:val="24"/>
              </w:rPr>
            </w:pPr>
          </w:p>
        </w:tc>
      </w:tr>
      <w:tr w14:paraId="2E27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3D6F5CD">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3179" w:type="dxa"/>
            <w:noWrap w:val="0"/>
            <w:vAlign w:val="center"/>
          </w:tcPr>
          <w:p w14:paraId="7EB1FC7F">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434" w:type="dxa"/>
            <w:noWrap w:val="0"/>
            <w:vAlign w:val="center"/>
          </w:tcPr>
          <w:p w14:paraId="648707E6">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355" w:type="dxa"/>
            <w:noWrap w:val="0"/>
            <w:vAlign w:val="center"/>
          </w:tcPr>
          <w:p w14:paraId="669FCBDD">
            <w:pPr>
              <w:tabs>
                <w:tab w:val="left" w:pos="6300"/>
              </w:tabs>
              <w:snapToGrid w:val="0"/>
              <w:spacing w:line="360" w:lineRule="auto"/>
              <w:jc w:val="center"/>
              <w:rPr>
                <w:rFonts w:hint="eastAsia" w:ascii="方正仿宋_GBK" w:hAnsi="方正仿宋_GBK" w:eastAsia="方正仿宋_GBK" w:cs="方正仿宋_GBK"/>
                <w:sz w:val="21"/>
                <w:szCs w:val="24"/>
              </w:rPr>
            </w:pPr>
          </w:p>
        </w:tc>
      </w:tr>
      <w:tr w14:paraId="3982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2B95E1F">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3179" w:type="dxa"/>
            <w:noWrap w:val="0"/>
            <w:vAlign w:val="center"/>
          </w:tcPr>
          <w:p w14:paraId="37E87C1D">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434" w:type="dxa"/>
            <w:noWrap w:val="0"/>
            <w:vAlign w:val="center"/>
          </w:tcPr>
          <w:p w14:paraId="4941D04A">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355" w:type="dxa"/>
            <w:noWrap w:val="0"/>
            <w:vAlign w:val="center"/>
          </w:tcPr>
          <w:p w14:paraId="6CA8D97E">
            <w:pPr>
              <w:tabs>
                <w:tab w:val="left" w:pos="6300"/>
              </w:tabs>
              <w:snapToGrid w:val="0"/>
              <w:spacing w:line="360" w:lineRule="auto"/>
              <w:jc w:val="center"/>
              <w:rPr>
                <w:rFonts w:hint="eastAsia" w:ascii="方正仿宋_GBK" w:hAnsi="方正仿宋_GBK" w:eastAsia="方正仿宋_GBK" w:cs="方正仿宋_GBK"/>
                <w:sz w:val="21"/>
                <w:szCs w:val="24"/>
              </w:rPr>
            </w:pPr>
          </w:p>
        </w:tc>
      </w:tr>
      <w:tr w14:paraId="1B19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A4FA371">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3179" w:type="dxa"/>
            <w:noWrap w:val="0"/>
            <w:vAlign w:val="center"/>
          </w:tcPr>
          <w:p w14:paraId="3B8C2A5A">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434" w:type="dxa"/>
            <w:noWrap w:val="0"/>
            <w:vAlign w:val="center"/>
          </w:tcPr>
          <w:p w14:paraId="4F0EB520">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355" w:type="dxa"/>
            <w:noWrap w:val="0"/>
            <w:vAlign w:val="center"/>
          </w:tcPr>
          <w:p w14:paraId="5E030C88">
            <w:pPr>
              <w:tabs>
                <w:tab w:val="left" w:pos="6300"/>
              </w:tabs>
              <w:snapToGrid w:val="0"/>
              <w:spacing w:line="360" w:lineRule="auto"/>
              <w:jc w:val="center"/>
              <w:rPr>
                <w:rFonts w:hint="eastAsia" w:ascii="方正仿宋_GBK" w:hAnsi="方正仿宋_GBK" w:eastAsia="方正仿宋_GBK" w:cs="方正仿宋_GBK"/>
                <w:sz w:val="21"/>
                <w:szCs w:val="24"/>
              </w:rPr>
            </w:pPr>
          </w:p>
        </w:tc>
      </w:tr>
      <w:tr w14:paraId="2BFC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580003D">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3179" w:type="dxa"/>
            <w:noWrap w:val="0"/>
            <w:vAlign w:val="center"/>
          </w:tcPr>
          <w:p w14:paraId="23BF031C">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434" w:type="dxa"/>
            <w:noWrap w:val="0"/>
            <w:vAlign w:val="center"/>
          </w:tcPr>
          <w:p w14:paraId="41DB6FB6">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355" w:type="dxa"/>
            <w:noWrap w:val="0"/>
            <w:vAlign w:val="center"/>
          </w:tcPr>
          <w:p w14:paraId="1517B08E">
            <w:pPr>
              <w:tabs>
                <w:tab w:val="left" w:pos="6300"/>
              </w:tabs>
              <w:snapToGrid w:val="0"/>
              <w:spacing w:line="360" w:lineRule="auto"/>
              <w:jc w:val="center"/>
              <w:rPr>
                <w:rFonts w:hint="eastAsia" w:ascii="方正仿宋_GBK" w:hAnsi="方正仿宋_GBK" w:eastAsia="方正仿宋_GBK" w:cs="方正仿宋_GBK"/>
                <w:sz w:val="21"/>
                <w:szCs w:val="24"/>
              </w:rPr>
            </w:pPr>
          </w:p>
        </w:tc>
      </w:tr>
      <w:tr w14:paraId="0A84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F641EFE">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3179" w:type="dxa"/>
            <w:noWrap w:val="0"/>
            <w:vAlign w:val="center"/>
          </w:tcPr>
          <w:p w14:paraId="16DC7EBB">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434" w:type="dxa"/>
            <w:noWrap w:val="0"/>
            <w:vAlign w:val="center"/>
          </w:tcPr>
          <w:p w14:paraId="0419496D">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355" w:type="dxa"/>
            <w:noWrap w:val="0"/>
            <w:vAlign w:val="center"/>
          </w:tcPr>
          <w:p w14:paraId="762D0EA6">
            <w:pPr>
              <w:tabs>
                <w:tab w:val="left" w:pos="6300"/>
              </w:tabs>
              <w:snapToGrid w:val="0"/>
              <w:spacing w:line="360" w:lineRule="auto"/>
              <w:jc w:val="center"/>
              <w:rPr>
                <w:rFonts w:hint="eastAsia" w:ascii="方正仿宋_GBK" w:hAnsi="方正仿宋_GBK" w:eastAsia="方正仿宋_GBK" w:cs="方正仿宋_GBK"/>
                <w:sz w:val="21"/>
                <w:szCs w:val="24"/>
              </w:rPr>
            </w:pPr>
          </w:p>
        </w:tc>
      </w:tr>
    </w:tbl>
    <w:p w14:paraId="7D1CB3FC">
      <w:pPr>
        <w:snapToGrid w:val="0"/>
        <w:spacing w:line="360" w:lineRule="auto"/>
        <w:ind w:firstLine="465"/>
        <w:rPr>
          <w:rFonts w:hint="eastAsia" w:ascii="方正仿宋_GBK" w:hAnsi="方正仿宋_GBK" w:eastAsia="方正仿宋_GBK" w:cs="方正仿宋_GBK"/>
          <w:sz w:val="24"/>
          <w:szCs w:val="24"/>
        </w:rPr>
      </w:pPr>
    </w:p>
    <w:p w14:paraId="75539B5C">
      <w:pPr>
        <w:spacing w:line="500" w:lineRule="exact"/>
        <w:ind w:firstLine="600" w:firstLineChars="25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参选人：                             法定代表人或其委托代理人：</w:t>
      </w:r>
    </w:p>
    <w:p w14:paraId="13302B8C">
      <w:pPr>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45576225">
      <w:pPr>
        <w:spacing w:line="500" w:lineRule="exact"/>
        <w:ind w:firstLine="360" w:firstLineChars="15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（参选人公章）                                 （签字或盖章）</w:t>
      </w:r>
    </w:p>
    <w:p w14:paraId="34EEEFDB">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31014280">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w:t>
      </w:r>
    </w:p>
    <w:p w14:paraId="0C08D196">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.本表即为对本项目“第三篇 项目商务需求”中所列条款进行一一比较和响应</w:t>
      </w:r>
      <w:r>
        <w:rPr>
          <w:rFonts w:hint="eastAsia" w:ascii="方正仿宋_GBK" w:hAnsi="方正仿宋_GBK" w:eastAsia="方正仿宋_GBK" w:cs="方正仿宋_GBK"/>
          <w:sz w:val="24"/>
          <w:szCs w:val="24"/>
        </w:rPr>
        <w:t>，应逐条如实填写，“响应情况”中必须列出具体数值或内容。如参选人未应答或只注明“符合”、“满足”等类似无具体内容的表述，将视为不满足竞争性比选文件要求；</w:t>
      </w:r>
    </w:p>
    <w:p w14:paraId="128DAE38">
      <w:pPr>
        <w:tabs>
          <w:tab w:val="left" w:pos="6300"/>
        </w:tabs>
        <w:snapToGrid w:val="0"/>
        <w:spacing w:line="500" w:lineRule="exact"/>
        <w:ind w:firstLine="480" w:firstLineChars="200"/>
        <w:outlineLvl w:val="2"/>
        <w:rPr>
          <w:rFonts w:hint="eastAsia" w:ascii="方正仿宋_GBK" w:hAnsi="方正仿宋_GBK" w:eastAsia="方正仿宋_GBK" w:cs="方正仿宋_GBK"/>
          <w:sz w:val="24"/>
        </w:rPr>
      </w:pPr>
      <w:bookmarkStart w:id="472" w:name="_Toc5706"/>
      <w:bookmarkStart w:id="473" w:name="_Toc7305"/>
      <w:r>
        <w:rPr>
          <w:rFonts w:hint="eastAsia" w:ascii="方正仿宋_GBK" w:hAnsi="方正仿宋_GBK" w:eastAsia="方正仿宋_GBK" w:cs="方正仿宋_GBK"/>
          <w:sz w:val="24"/>
        </w:rPr>
        <w:t>2.本表可扩展，并签字或盖章。</w:t>
      </w:r>
      <w:bookmarkEnd w:id="472"/>
      <w:bookmarkEnd w:id="473"/>
    </w:p>
    <w:p w14:paraId="3CFF2D0D">
      <w:pPr>
        <w:spacing w:line="360" w:lineRule="auto"/>
        <w:rPr>
          <w:rFonts w:hint="eastAsia" w:ascii="方正仿宋_GBK" w:hAnsi="方正仿宋_GBK" w:eastAsia="方正仿宋_GBK" w:cs="方正仿宋_GBK"/>
          <w:sz w:val="24"/>
          <w:szCs w:val="24"/>
        </w:rPr>
      </w:pPr>
    </w:p>
    <w:p w14:paraId="06CD8082">
      <w:pPr>
        <w:rPr>
          <w:rFonts w:hint="eastAsia" w:ascii="方正仿宋_GBK" w:hAnsi="方正仿宋_GBK" w:eastAsia="方正仿宋_GBK" w:cs="方正仿宋_GBK"/>
        </w:rPr>
      </w:pPr>
    </w:p>
    <w:p w14:paraId="70CE37A9">
      <w:pPr>
        <w:numPr>
          <w:ilvl w:val="0"/>
          <w:numId w:val="0"/>
        </w:numPr>
        <w:spacing w:line="400" w:lineRule="exact"/>
        <w:outlineLvl w:val="1"/>
        <w:rPr>
          <w:rFonts w:hint="eastAsia" w:ascii="方正仿宋_GBK" w:hAnsi="方正仿宋_GBK" w:eastAsia="方正仿宋_GBK" w:cs="方正仿宋_GBK"/>
          <w:sz w:val="24"/>
          <w:szCs w:val="24"/>
        </w:rPr>
      </w:pPr>
      <w:bookmarkStart w:id="474" w:name="_Toc23871"/>
      <w:bookmarkStart w:id="475" w:name="_Toc18121"/>
    </w:p>
    <w:p w14:paraId="16BDF846">
      <w:pPr>
        <w:snapToGrid w:val="0"/>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商务部分要求的其他资料（格式自拟）</w:t>
      </w:r>
      <w:bookmarkEnd w:id="474"/>
      <w:bookmarkEnd w:id="475"/>
    </w:p>
    <w:p w14:paraId="4D36FDC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bookmarkStart w:id="476" w:name="_Toc5465"/>
      <w:bookmarkStart w:id="477" w:name="_Toc32122"/>
      <w:bookmarkStart w:id="478" w:name="_Toc12452"/>
      <w:bookmarkStart w:id="479" w:name="_Toc21449"/>
      <w:bookmarkStart w:id="480" w:name="_Toc9707"/>
      <w:bookmarkStart w:id="481" w:name="_Toc19097"/>
      <w:bookmarkStart w:id="482" w:name="_Toc11253"/>
      <w:bookmarkStart w:id="483" w:name="_Toc15568"/>
      <w:r>
        <w:rPr>
          <w:rFonts w:hint="eastAsia" w:ascii="方正仿宋_GBK" w:hAnsi="方正仿宋_GBK" w:eastAsia="方正仿宋_GBK" w:cs="方正仿宋_GBK"/>
          <w:b/>
          <w:bCs/>
          <w:sz w:val="28"/>
          <w:szCs w:val="28"/>
        </w:rPr>
        <w:t>四、资格条件及其他</w:t>
      </w:r>
      <w:bookmarkEnd w:id="476"/>
      <w:bookmarkEnd w:id="477"/>
      <w:bookmarkEnd w:id="478"/>
      <w:bookmarkEnd w:id="479"/>
      <w:bookmarkEnd w:id="480"/>
      <w:bookmarkEnd w:id="481"/>
      <w:bookmarkEnd w:id="482"/>
      <w:bookmarkEnd w:id="483"/>
    </w:p>
    <w:p w14:paraId="287D0A9A">
      <w:pPr>
        <w:snapToGrid w:val="0"/>
        <w:spacing w:line="360" w:lineRule="auto"/>
        <w:ind w:firstLine="560" w:firstLineChars="200"/>
        <w:outlineLvl w:val="1"/>
        <w:rPr>
          <w:rFonts w:hint="eastAsia" w:ascii="方正仿宋_GBK" w:hAnsi="方正仿宋_GBK" w:eastAsia="方正仿宋_GBK" w:cs="方正仿宋_GBK"/>
          <w:sz w:val="28"/>
          <w:szCs w:val="28"/>
        </w:rPr>
      </w:pPr>
      <w:bookmarkStart w:id="484" w:name="_Toc23574"/>
      <w:bookmarkStart w:id="485" w:name="_Toc30191"/>
      <w:r>
        <w:rPr>
          <w:rFonts w:hint="eastAsia" w:ascii="方正仿宋_GBK" w:hAnsi="方正仿宋_GBK" w:eastAsia="方正仿宋_GBK" w:cs="方正仿宋_GBK"/>
          <w:sz w:val="28"/>
          <w:szCs w:val="28"/>
        </w:rPr>
        <w:t>（一）法人营业执照（副本）或事业单位法人证书（副本）或个体工商户营业执照或有效的自然人身份证明或社会团体法人登记证书复印件</w:t>
      </w:r>
      <w:bookmarkEnd w:id="484"/>
      <w:bookmarkEnd w:id="485"/>
    </w:p>
    <w:p w14:paraId="29E4EFA4">
      <w:pPr>
        <w:tabs>
          <w:tab w:val="left" w:pos="6300"/>
        </w:tabs>
        <w:snapToGrid w:val="0"/>
        <w:spacing w:line="400" w:lineRule="exact"/>
        <w:ind w:firstLine="570"/>
        <w:rPr>
          <w:rFonts w:hint="eastAsia" w:ascii="方正仿宋_GBK" w:hAnsi="方正仿宋_GBK" w:eastAsia="方正仿宋_GBK" w:cs="方正仿宋_GBK"/>
          <w:sz w:val="24"/>
          <w:szCs w:val="24"/>
        </w:rPr>
      </w:pPr>
    </w:p>
    <w:p w14:paraId="4F07C3CA">
      <w:pPr>
        <w:tabs>
          <w:tab w:val="left" w:pos="6300"/>
        </w:tabs>
        <w:snapToGrid w:val="0"/>
        <w:spacing w:line="500" w:lineRule="exact"/>
        <w:ind w:firstLine="570"/>
        <w:rPr>
          <w:rFonts w:hint="eastAsia" w:ascii="方正仿宋_GBK" w:hAnsi="方正仿宋_GBK" w:eastAsia="方正仿宋_GBK" w:cs="方正仿宋_GBK"/>
          <w:sz w:val="24"/>
          <w:szCs w:val="24"/>
        </w:rPr>
      </w:pPr>
    </w:p>
    <w:p w14:paraId="50432F2E">
      <w:pPr>
        <w:tabs>
          <w:tab w:val="left" w:pos="6300"/>
        </w:tabs>
        <w:snapToGrid w:val="0"/>
        <w:spacing w:line="500" w:lineRule="exact"/>
        <w:ind w:firstLine="570"/>
        <w:rPr>
          <w:rFonts w:hint="eastAsia" w:ascii="方正仿宋_GBK" w:hAnsi="方正仿宋_GBK" w:eastAsia="方正仿宋_GBK" w:cs="方正仿宋_GBK"/>
          <w:sz w:val="24"/>
          <w:szCs w:val="24"/>
        </w:rPr>
      </w:pPr>
    </w:p>
    <w:p w14:paraId="0A0A8FB0">
      <w:pPr>
        <w:tabs>
          <w:tab w:val="left" w:pos="6300"/>
        </w:tabs>
        <w:snapToGrid w:val="0"/>
        <w:spacing w:line="500" w:lineRule="exact"/>
        <w:ind w:firstLine="570"/>
        <w:rPr>
          <w:rFonts w:hint="eastAsia" w:ascii="方正仿宋_GBK" w:hAnsi="方正仿宋_GBK" w:eastAsia="方正仿宋_GBK" w:cs="方正仿宋_GBK"/>
          <w:sz w:val="24"/>
          <w:szCs w:val="24"/>
        </w:rPr>
      </w:pPr>
    </w:p>
    <w:p w14:paraId="317CF103">
      <w:pPr>
        <w:snapToGrid w:val="0"/>
        <w:spacing w:line="360" w:lineRule="auto"/>
        <w:ind w:firstLine="48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szCs w:val="24"/>
        </w:rPr>
        <w:br w:type="page"/>
      </w:r>
      <w:bookmarkStart w:id="486" w:name="_Toc11147"/>
      <w:bookmarkStart w:id="487" w:name="_Toc32161"/>
      <w:r>
        <w:rPr>
          <w:rFonts w:hint="eastAsia" w:ascii="方正仿宋_GBK" w:hAnsi="方正仿宋_GBK" w:eastAsia="方正仿宋_GBK" w:cs="方正仿宋_GBK"/>
          <w:sz w:val="28"/>
          <w:szCs w:val="28"/>
        </w:rPr>
        <w:t>（二）法定代表人身份证明书（格式）</w:t>
      </w:r>
      <w:bookmarkEnd w:id="486"/>
      <w:bookmarkEnd w:id="487"/>
    </w:p>
    <w:p w14:paraId="18DEA2C9">
      <w:pPr>
        <w:tabs>
          <w:tab w:val="left" w:pos="6300"/>
        </w:tabs>
        <w:snapToGrid w:val="0"/>
        <w:spacing w:line="500" w:lineRule="exact"/>
        <w:ind w:firstLine="570"/>
        <w:rPr>
          <w:rFonts w:hint="eastAsia" w:ascii="方正仿宋_GBK" w:hAnsi="方正仿宋_GBK" w:eastAsia="方正仿宋_GBK" w:cs="方正仿宋_GBK"/>
          <w:sz w:val="28"/>
          <w:szCs w:val="28"/>
        </w:rPr>
      </w:pPr>
    </w:p>
    <w:p w14:paraId="6958B8E3">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u w:val="single"/>
        </w:rPr>
        <w:t xml:space="preserve">                                                </w:t>
      </w:r>
    </w:p>
    <w:p w14:paraId="4909792B">
      <w:pPr>
        <w:tabs>
          <w:tab w:val="left" w:pos="6300"/>
        </w:tabs>
        <w:snapToGrid w:val="0"/>
        <w:spacing w:line="500" w:lineRule="exact"/>
        <w:ind w:firstLine="570"/>
        <w:rPr>
          <w:rFonts w:hint="eastAsia" w:ascii="方正仿宋_GBK" w:hAnsi="方正仿宋_GBK" w:eastAsia="方正仿宋_GBK" w:cs="方正仿宋_GBK"/>
          <w:sz w:val="28"/>
          <w:szCs w:val="28"/>
        </w:rPr>
      </w:pPr>
    </w:p>
    <w:p w14:paraId="3956E9AD">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（比选人）：</w:t>
      </w:r>
    </w:p>
    <w:p w14:paraId="250B7269">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（参选人名称）任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（职务名称）职务，是（参选人名称）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的法定代表人。</w:t>
      </w:r>
    </w:p>
    <w:p w14:paraId="6EE2DC21">
      <w:pPr>
        <w:tabs>
          <w:tab w:val="left" w:pos="6300"/>
        </w:tabs>
        <w:snapToGrid w:val="0"/>
        <w:spacing w:line="500" w:lineRule="exact"/>
        <w:ind w:firstLine="570"/>
        <w:rPr>
          <w:rFonts w:hint="eastAsia" w:ascii="方正仿宋_GBK" w:hAnsi="方正仿宋_GBK" w:eastAsia="方正仿宋_GBK" w:cs="方正仿宋_GBK"/>
          <w:sz w:val="28"/>
          <w:szCs w:val="28"/>
        </w:rPr>
      </w:pPr>
    </w:p>
    <w:p w14:paraId="7AF7B4A2">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14:paraId="5E2BF5EE">
      <w:pPr>
        <w:tabs>
          <w:tab w:val="left" w:pos="6300"/>
        </w:tabs>
        <w:snapToGrid w:val="0"/>
        <w:spacing w:line="500" w:lineRule="exact"/>
        <w:ind w:firstLine="570"/>
        <w:rPr>
          <w:rFonts w:hint="eastAsia" w:ascii="方正仿宋_GBK" w:hAnsi="方正仿宋_GBK" w:eastAsia="方正仿宋_GBK" w:cs="方正仿宋_GBK"/>
          <w:sz w:val="28"/>
          <w:szCs w:val="28"/>
        </w:rPr>
      </w:pPr>
    </w:p>
    <w:p w14:paraId="7A796481">
      <w:pPr>
        <w:tabs>
          <w:tab w:val="left" w:pos="6300"/>
        </w:tabs>
        <w:snapToGrid w:val="0"/>
        <w:spacing w:line="500" w:lineRule="exact"/>
        <w:ind w:firstLine="570"/>
        <w:rPr>
          <w:rFonts w:hint="eastAsia" w:ascii="方正仿宋_GBK" w:hAnsi="方正仿宋_GBK" w:eastAsia="方正仿宋_GBK" w:cs="方正仿宋_GBK"/>
          <w:sz w:val="28"/>
          <w:szCs w:val="28"/>
        </w:rPr>
      </w:pPr>
    </w:p>
    <w:p w14:paraId="4923D278">
      <w:pPr>
        <w:tabs>
          <w:tab w:val="left" w:pos="6300"/>
        </w:tabs>
        <w:snapToGrid w:val="0"/>
        <w:spacing w:line="500" w:lineRule="exact"/>
        <w:ind w:firstLine="570"/>
        <w:rPr>
          <w:rFonts w:hint="eastAsia" w:ascii="方正仿宋_GBK" w:hAnsi="方正仿宋_GBK" w:eastAsia="方正仿宋_GBK" w:cs="方正仿宋_GBK"/>
          <w:sz w:val="28"/>
          <w:szCs w:val="28"/>
        </w:rPr>
      </w:pPr>
    </w:p>
    <w:p w14:paraId="666E0031">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（参选人公章）</w:t>
      </w:r>
    </w:p>
    <w:p w14:paraId="59C565DB">
      <w:pPr>
        <w:tabs>
          <w:tab w:val="left" w:pos="6300"/>
        </w:tabs>
        <w:snapToGrid w:val="0"/>
        <w:spacing w:line="500" w:lineRule="exact"/>
        <w:ind w:firstLine="570"/>
        <w:rPr>
          <w:rFonts w:hint="eastAsia" w:ascii="方正仿宋_GBK" w:hAnsi="方正仿宋_GBK" w:eastAsia="方正仿宋_GBK" w:cs="方正仿宋_GBK"/>
          <w:sz w:val="28"/>
          <w:szCs w:val="28"/>
        </w:rPr>
      </w:pPr>
    </w:p>
    <w:p w14:paraId="31CCA42D">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14:paraId="08CFE236">
      <w:pPr>
        <w:tabs>
          <w:tab w:val="left" w:pos="6300"/>
        </w:tabs>
        <w:snapToGrid w:val="0"/>
        <w:spacing w:line="500" w:lineRule="exact"/>
        <w:ind w:firstLine="570"/>
        <w:rPr>
          <w:rFonts w:hint="eastAsia" w:ascii="方正仿宋_GBK" w:hAnsi="方正仿宋_GBK" w:eastAsia="方正仿宋_GBK" w:cs="方正仿宋_GBK"/>
          <w:sz w:val="28"/>
          <w:szCs w:val="28"/>
        </w:rPr>
      </w:pPr>
    </w:p>
    <w:p w14:paraId="6454CD44">
      <w:pPr>
        <w:tabs>
          <w:tab w:val="left" w:pos="6300"/>
        </w:tabs>
        <w:snapToGrid w:val="0"/>
        <w:spacing w:line="50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（附：法定代表人身份证正反面复印件）</w:t>
      </w:r>
    </w:p>
    <w:p w14:paraId="3B1898A4">
      <w:pPr>
        <w:tabs>
          <w:tab w:val="left" w:pos="6300"/>
        </w:tabs>
        <w:snapToGrid w:val="0"/>
        <w:spacing w:line="500" w:lineRule="exact"/>
        <w:rPr>
          <w:rFonts w:hint="eastAsia" w:ascii="方正仿宋_GBK" w:hAnsi="方正仿宋_GBK" w:eastAsia="方正仿宋_GBK" w:cs="方正仿宋_GBK"/>
          <w:sz w:val="28"/>
          <w:szCs w:val="28"/>
        </w:rPr>
      </w:pPr>
    </w:p>
    <w:p w14:paraId="6BE3EE14">
      <w:pPr>
        <w:tabs>
          <w:tab w:val="left" w:pos="6300"/>
        </w:tabs>
        <w:snapToGrid w:val="0"/>
        <w:spacing w:line="500" w:lineRule="exact"/>
        <w:rPr>
          <w:rFonts w:hint="eastAsia" w:ascii="方正仿宋_GBK" w:hAnsi="方正仿宋_GBK" w:eastAsia="方正仿宋_GBK" w:cs="方正仿宋_GBK"/>
          <w:sz w:val="24"/>
          <w:szCs w:val="24"/>
        </w:rPr>
      </w:pPr>
    </w:p>
    <w:p w14:paraId="70A571B6">
      <w:pPr>
        <w:tabs>
          <w:tab w:val="left" w:pos="6300"/>
        </w:tabs>
        <w:snapToGrid w:val="0"/>
        <w:spacing w:line="500" w:lineRule="exact"/>
        <w:rPr>
          <w:rFonts w:hint="eastAsia" w:ascii="方正仿宋_GBK" w:hAnsi="方正仿宋_GBK" w:eastAsia="方正仿宋_GBK" w:cs="方正仿宋_GBK"/>
          <w:sz w:val="24"/>
          <w:szCs w:val="24"/>
        </w:rPr>
      </w:pPr>
    </w:p>
    <w:p w14:paraId="1675B547">
      <w:pPr>
        <w:tabs>
          <w:tab w:val="left" w:pos="6300"/>
        </w:tabs>
        <w:snapToGrid w:val="0"/>
        <w:spacing w:line="500" w:lineRule="exact"/>
        <w:rPr>
          <w:rFonts w:hint="eastAsia" w:ascii="方正仿宋_GBK" w:hAnsi="方正仿宋_GBK" w:eastAsia="方正仿宋_GBK" w:cs="方正仿宋_GBK"/>
          <w:sz w:val="24"/>
          <w:szCs w:val="24"/>
        </w:rPr>
      </w:pPr>
    </w:p>
    <w:p w14:paraId="4BC6ED5C">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1、法定代表人身份证明原件装入参选文件一并递交。另外须准备一份原件在开标现场出具。</w:t>
      </w:r>
    </w:p>
    <w:p w14:paraId="0BE4B632">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2、法定代表人身份证明需按上述格式填写完整，不可缺少内容。在此基础上增加内容的不影响其有效性。</w:t>
      </w:r>
    </w:p>
    <w:p w14:paraId="7191EDC5">
      <w:pPr>
        <w:snapToGrid w:val="0"/>
        <w:spacing w:line="360" w:lineRule="auto"/>
        <w:outlineLvl w:val="1"/>
        <w:rPr>
          <w:rFonts w:hint="eastAsia" w:ascii="仿宋" w:hAnsi="仿宋" w:eastAsia="仿宋" w:cs="仿宋"/>
        </w:rPr>
      </w:pPr>
      <w:bookmarkStart w:id="488" w:name="_Toc4111"/>
      <w:bookmarkStart w:id="489" w:name="_Toc12058"/>
      <w:r>
        <w:rPr>
          <w:rFonts w:hint="eastAsia" w:ascii="方正仿宋_GBK" w:hAnsi="方正仿宋_GBK" w:eastAsia="方正仿宋_GBK" w:cs="方正仿宋_GBK"/>
          <w:sz w:val="24"/>
          <w:szCs w:val="24"/>
        </w:rPr>
        <w:br w:type="column"/>
      </w:r>
      <w:r>
        <w:rPr>
          <w:rFonts w:hint="eastAsia" w:ascii="方正仿宋_GBK" w:hAnsi="方正仿宋_GBK" w:eastAsia="方正仿宋_GBK" w:cs="方正仿宋_GBK"/>
          <w:sz w:val="28"/>
          <w:szCs w:val="28"/>
        </w:rPr>
        <w:t>（三）法定代表人授权委托书（格式）</w:t>
      </w:r>
      <w:bookmarkEnd w:id="488"/>
      <w:bookmarkEnd w:id="489"/>
    </w:p>
    <w:p w14:paraId="7BE21BDA">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70"/>
        <w:textAlignment w:val="auto"/>
        <w:rPr>
          <w:rFonts w:hint="eastAsia" w:ascii="仿宋" w:hAnsi="仿宋" w:eastAsia="仿宋" w:cs="仿宋"/>
          <w:sz w:val="24"/>
        </w:rPr>
      </w:pPr>
      <w:r>
        <w:rPr>
          <w:rFonts w:hint="eastAsia" w:ascii="仿宋" w:hAnsi="仿宋" w:eastAsia="仿宋" w:cs="仿宋"/>
          <w:sz w:val="24"/>
        </w:rPr>
        <w:t xml:space="preserve">    </w:t>
      </w:r>
    </w:p>
    <w:p w14:paraId="6FC791D6">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5866DCD6">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70"/>
        <w:textAlignment w:val="auto"/>
        <w:rPr>
          <w:rFonts w:hint="eastAsia" w:ascii="仿宋" w:hAnsi="仿宋" w:eastAsia="仿宋" w:cs="仿宋"/>
          <w:sz w:val="24"/>
        </w:rPr>
      </w:pPr>
    </w:p>
    <w:p w14:paraId="76887E8B">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（比选人）：</w:t>
      </w:r>
    </w:p>
    <w:p w14:paraId="3D599ED5">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（参选人法定代表人名称）是</w:t>
      </w:r>
      <w:r>
        <w:rPr>
          <w:rFonts w:hint="eastAsia" w:ascii="仿宋" w:hAnsi="仿宋" w:eastAsia="仿宋" w:cs="仿宋"/>
          <w:sz w:val="24"/>
          <w:u w:val="single"/>
        </w:rPr>
        <w:t xml:space="preserve">                    </w:t>
      </w:r>
      <w:r>
        <w:rPr>
          <w:rFonts w:hint="eastAsia" w:ascii="仿宋" w:hAnsi="仿宋" w:eastAsia="仿宋" w:cs="仿宋"/>
          <w:sz w:val="24"/>
        </w:rPr>
        <w:t>（参选人名称）的法定代表人，特授权</w:t>
      </w:r>
      <w:r>
        <w:rPr>
          <w:rFonts w:hint="eastAsia" w:ascii="仿宋" w:hAnsi="仿宋" w:eastAsia="仿宋" w:cs="仿宋"/>
          <w:sz w:val="24"/>
          <w:u w:val="single"/>
        </w:rPr>
        <w:t xml:space="preserve">          </w:t>
      </w:r>
      <w:r>
        <w:rPr>
          <w:rFonts w:hint="eastAsia" w:ascii="仿宋" w:hAnsi="仿宋" w:eastAsia="仿宋" w:cs="仿宋"/>
          <w:sz w:val="24"/>
        </w:rPr>
        <w:t>（被授权人姓名及身份证代码）电话</w:t>
      </w:r>
      <w:r>
        <w:rPr>
          <w:rFonts w:hint="eastAsia" w:ascii="仿宋" w:hAnsi="仿宋" w:eastAsia="仿宋" w:cs="仿宋"/>
          <w:sz w:val="24"/>
          <w:u w:val="single"/>
        </w:rPr>
        <w:t xml:space="preserve">         </w:t>
      </w:r>
      <w:r>
        <w:rPr>
          <w:rFonts w:hint="eastAsia" w:ascii="仿宋" w:hAnsi="仿宋" w:eastAsia="仿宋" w:cs="仿宋"/>
          <w:sz w:val="24"/>
        </w:rPr>
        <w:t>代表我单位全权办理上述项目的比选、签约等具体工作，并签署全部有关文件、协议及合同。</w:t>
      </w:r>
    </w:p>
    <w:p w14:paraId="7E423DDB">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我单位对被授权人的签字负全部责任。</w:t>
      </w:r>
    </w:p>
    <w:p w14:paraId="19247F6D">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在撤消授权的书面通知以前，本授权书一直有效。被授权人在授权书有效期内签署的所有文件不因授权的撤消而失效。</w:t>
      </w:r>
    </w:p>
    <w:p w14:paraId="7EC5449A">
      <w:pPr>
        <w:keepNext w:val="0"/>
        <w:keepLines w:val="0"/>
        <w:pageBreakBefore w:val="0"/>
        <w:widowControl w:val="0"/>
        <w:tabs>
          <w:tab w:val="left" w:pos="6300"/>
        </w:tabs>
        <w:kinsoku/>
        <w:wordWrap/>
        <w:overflowPunct/>
        <w:topLinePunct w:val="0"/>
        <w:autoSpaceDE/>
        <w:autoSpaceDN/>
        <w:bidi w:val="0"/>
        <w:adjustRightInd/>
        <w:snapToGrid w:val="0"/>
        <w:spacing w:line="460" w:lineRule="exact"/>
        <w:textAlignment w:val="auto"/>
        <w:rPr>
          <w:rFonts w:hint="eastAsia" w:ascii="仿宋" w:hAnsi="仿宋" w:eastAsia="仿宋" w:cs="仿宋"/>
          <w:sz w:val="24"/>
        </w:rPr>
      </w:pPr>
    </w:p>
    <w:p w14:paraId="1F783FC1">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70"/>
        <w:textAlignment w:val="auto"/>
        <w:rPr>
          <w:rFonts w:hint="eastAsia" w:ascii="仿宋" w:hAnsi="仿宋" w:eastAsia="仿宋" w:cs="仿宋"/>
          <w:sz w:val="24"/>
        </w:rPr>
      </w:pPr>
      <w:r>
        <w:rPr>
          <w:rFonts w:hint="eastAsia" w:ascii="仿宋" w:hAnsi="仿宋" w:eastAsia="仿宋" w:cs="仿宋"/>
          <w:sz w:val="24"/>
        </w:rPr>
        <w:t>被授权人：                                 参选人法定代表人：</w:t>
      </w:r>
    </w:p>
    <w:p w14:paraId="3CD89E27">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70"/>
        <w:textAlignment w:val="auto"/>
        <w:rPr>
          <w:rFonts w:hint="eastAsia" w:ascii="仿宋" w:hAnsi="仿宋" w:eastAsia="仿宋" w:cs="仿宋"/>
          <w:sz w:val="24"/>
        </w:rPr>
      </w:pPr>
      <w:r>
        <w:rPr>
          <w:rFonts w:hint="eastAsia" w:ascii="仿宋" w:hAnsi="仿宋" w:eastAsia="仿宋" w:cs="仿宋"/>
          <w:sz w:val="24"/>
        </w:rPr>
        <w:t>（签字或盖章）                                （签字或盖章）</w:t>
      </w:r>
    </w:p>
    <w:p w14:paraId="56052BA1">
      <w:pPr>
        <w:keepNext w:val="0"/>
        <w:keepLines w:val="0"/>
        <w:pageBreakBefore w:val="0"/>
        <w:widowControl w:val="0"/>
        <w:tabs>
          <w:tab w:val="left" w:pos="6300"/>
        </w:tabs>
        <w:kinsoku/>
        <w:wordWrap/>
        <w:overflowPunct/>
        <w:topLinePunct w:val="0"/>
        <w:autoSpaceDE/>
        <w:autoSpaceDN/>
        <w:bidi w:val="0"/>
        <w:adjustRightInd/>
        <w:snapToGrid w:val="0"/>
        <w:spacing w:line="460" w:lineRule="exact"/>
        <w:textAlignment w:val="auto"/>
        <w:rPr>
          <w:rFonts w:hint="eastAsia" w:ascii="仿宋" w:hAnsi="仿宋" w:eastAsia="仿宋" w:cs="仿宋"/>
          <w:sz w:val="24"/>
        </w:rPr>
      </w:pPr>
    </w:p>
    <w:p w14:paraId="7891999F">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70"/>
        <w:textAlignment w:val="auto"/>
        <w:outlineLvl w:val="2"/>
        <w:rPr>
          <w:rFonts w:hint="eastAsia" w:ascii="仿宋" w:hAnsi="仿宋" w:eastAsia="仿宋" w:cs="仿宋"/>
          <w:sz w:val="24"/>
        </w:rPr>
      </w:pPr>
      <w:bookmarkStart w:id="490" w:name="_Toc18455"/>
      <w:bookmarkStart w:id="491" w:name="_Toc3562"/>
      <w:r>
        <w:rPr>
          <w:rFonts w:hint="eastAsia" w:ascii="仿宋" w:hAnsi="仿宋" w:eastAsia="仿宋" w:cs="仿宋"/>
          <w:sz w:val="24"/>
        </w:rPr>
        <w:t>（附：被授权人身份证正反面复印件）</w:t>
      </w:r>
      <w:bookmarkEnd w:id="490"/>
      <w:bookmarkEnd w:id="491"/>
    </w:p>
    <w:p w14:paraId="75196969">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70"/>
        <w:textAlignment w:val="auto"/>
        <w:rPr>
          <w:rFonts w:hint="eastAsia" w:ascii="仿宋" w:hAnsi="仿宋" w:eastAsia="仿宋" w:cs="仿宋"/>
          <w:sz w:val="24"/>
        </w:rPr>
      </w:pPr>
      <w:r>
        <w:rPr>
          <w:rFonts w:hint="eastAsia" w:ascii="仿宋" w:hAnsi="仿宋" w:eastAsia="仿宋" w:cs="仿宋"/>
          <w:sz w:val="24"/>
        </w:rPr>
        <w:t xml:space="preserve">                                          </w:t>
      </w:r>
    </w:p>
    <w:p w14:paraId="49231A57">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70"/>
        <w:textAlignment w:val="auto"/>
        <w:rPr>
          <w:rFonts w:hint="eastAsia" w:ascii="仿宋" w:hAnsi="仿宋" w:eastAsia="仿宋" w:cs="仿宋"/>
          <w:sz w:val="24"/>
        </w:rPr>
      </w:pPr>
    </w:p>
    <w:p w14:paraId="163D23F5">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70"/>
        <w:textAlignment w:val="auto"/>
        <w:rPr>
          <w:rFonts w:hint="eastAsia" w:ascii="仿宋" w:hAnsi="仿宋" w:eastAsia="仿宋" w:cs="仿宋"/>
          <w:sz w:val="24"/>
        </w:rPr>
      </w:pPr>
    </w:p>
    <w:p w14:paraId="233845DD">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right="480" w:firstLine="570"/>
        <w:jc w:val="right"/>
        <w:textAlignment w:val="auto"/>
        <w:rPr>
          <w:rFonts w:hint="eastAsia" w:ascii="仿宋" w:hAnsi="仿宋" w:eastAsia="仿宋" w:cs="仿宋"/>
          <w:sz w:val="24"/>
        </w:rPr>
      </w:pPr>
      <w:r>
        <w:rPr>
          <w:rFonts w:hint="eastAsia" w:ascii="仿宋" w:hAnsi="仿宋" w:eastAsia="仿宋" w:cs="仿宋"/>
          <w:sz w:val="24"/>
        </w:rPr>
        <w:t>（参选人公章）</w:t>
      </w:r>
    </w:p>
    <w:p w14:paraId="5FC42127">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right="480" w:firstLine="570"/>
        <w:jc w:val="right"/>
        <w:textAlignment w:val="auto"/>
        <w:rPr>
          <w:rFonts w:hint="eastAsia" w:ascii="仿宋" w:hAnsi="仿宋" w:eastAsia="仿宋" w:cs="仿宋"/>
          <w:sz w:val="24"/>
        </w:rPr>
      </w:pPr>
      <w:r>
        <w:rPr>
          <w:rFonts w:hint="eastAsia" w:ascii="仿宋" w:hAnsi="仿宋" w:eastAsia="仿宋" w:cs="仿宋"/>
          <w:sz w:val="24"/>
        </w:rPr>
        <w:t>年   月   日</w:t>
      </w:r>
    </w:p>
    <w:p w14:paraId="17ADCE15">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right="480" w:firstLine="480" w:firstLineChars="200"/>
        <w:jc w:val="left"/>
        <w:textAlignment w:val="auto"/>
        <w:rPr>
          <w:rFonts w:hint="eastAsia" w:ascii="仿宋" w:hAnsi="仿宋" w:eastAsia="仿宋" w:cs="仿宋"/>
          <w:sz w:val="24"/>
        </w:rPr>
      </w:pPr>
      <w:r>
        <w:rPr>
          <w:rFonts w:hint="eastAsia" w:ascii="仿宋" w:hAnsi="仿宋" w:eastAsia="仿宋" w:cs="仿宋"/>
          <w:sz w:val="24"/>
        </w:rPr>
        <w:t>注： 1、法定代表人参加投标活动并签署文件的不需要授权委托书，只需提供法定代表人身份证明；非法定代表人参加投标活动及签署文件的除提供法定代表人身份证明外还须提供授权委托书。</w:t>
      </w:r>
    </w:p>
    <w:p w14:paraId="061D2580">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right="480" w:firstLine="480" w:firstLineChars="200"/>
        <w:jc w:val="left"/>
        <w:textAlignment w:val="auto"/>
        <w:rPr>
          <w:rFonts w:hint="eastAsia" w:ascii="仿宋" w:hAnsi="仿宋" w:eastAsia="仿宋" w:cs="仿宋"/>
          <w:sz w:val="24"/>
        </w:rPr>
      </w:pPr>
      <w:r>
        <w:rPr>
          <w:rFonts w:hint="eastAsia" w:ascii="仿宋" w:hAnsi="仿宋" w:eastAsia="仿宋" w:cs="仿宋"/>
          <w:sz w:val="24"/>
        </w:rPr>
        <w:t>2.授权委托书需按上述格式填写完整，不可缺少内容。在此基础上增加内容的不影响其有效性。</w:t>
      </w:r>
    </w:p>
    <w:p w14:paraId="4891320B">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3.法定代表人身份证明及授权委托书原件装入参选文件一并递交。另外须准备一份原件在开标现场出具。</w:t>
      </w:r>
    </w:p>
    <w:p w14:paraId="12D44BC4">
      <w:pPr>
        <w:widowControl w:val="0"/>
        <w:spacing w:after="120" w:line="360" w:lineRule="auto"/>
        <w:ind w:firstLine="0"/>
        <w:jc w:val="both"/>
        <w:rPr>
          <w:rFonts w:hint="eastAsia" w:ascii="仿宋" w:hAnsi="仿宋" w:eastAsia="仿宋" w:cs="仿宋"/>
          <w:kern w:val="2"/>
          <w:sz w:val="24"/>
          <w:szCs w:val="28"/>
          <w:lang w:val="en-US" w:eastAsia="zh-CN" w:bidi="ar-SA"/>
        </w:rPr>
      </w:pPr>
    </w:p>
    <w:p w14:paraId="666A9F64">
      <w:pPr>
        <w:snapToGrid w:val="0"/>
        <w:spacing w:line="360" w:lineRule="auto"/>
        <w:outlineLvl w:val="1"/>
        <w:rPr>
          <w:rFonts w:hint="eastAsia" w:ascii="方正仿宋_GBK" w:hAnsi="方正仿宋_GBK" w:eastAsia="方正仿宋_GBK" w:cs="方正仿宋_GBK"/>
          <w:sz w:val="28"/>
          <w:szCs w:val="28"/>
        </w:rPr>
      </w:pPr>
      <w:bookmarkStart w:id="492" w:name="_Toc8148"/>
      <w:bookmarkStart w:id="493" w:name="_Toc26073"/>
      <w:r>
        <w:rPr>
          <w:rFonts w:hint="eastAsia" w:ascii="方正仿宋_GBK" w:hAnsi="方正仿宋_GBK" w:eastAsia="方正仿宋_GBK" w:cs="方正仿宋_GBK"/>
          <w:sz w:val="28"/>
          <w:szCs w:val="28"/>
        </w:rPr>
        <w:t>（四）书面声明</w:t>
      </w:r>
      <w:bookmarkEnd w:id="492"/>
      <w:bookmarkEnd w:id="493"/>
    </w:p>
    <w:p w14:paraId="7EC3B5AA">
      <w:pPr>
        <w:tabs>
          <w:tab w:val="left" w:pos="6300"/>
        </w:tabs>
        <w:snapToGrid w:val="0"/>
        <w:spacing w:line="500" w:lineRule="exact"/>
        <w:ind w:firstLine="570"/>
        <w:rPr>
          <w:rFonts w:hint="eastAsia" w:ascii="仿宋" w:hAnsi="仿宋" w:eastAsia="仿宋" w:cs="仿宋"/>
          <w:sz w:val="24"/>
        </w:rPr>
      </w:pPr>
    </w:p>
    <w:p w14:paraId="5E5E9D68">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5979B322">
      <w:pPr>
        <w:tabs>
          <w:tab w:val="left" w:pos="6300"/>
        </w:tabs>
        <w:snapToGrid w:val="0"/>
        <w:spacing w:line="500" w:lineRule="exact"/>
        <w:ind w:firstLine="570"/>
        <w:rPr>
          <w:rFonts w:hint="eastAsia" w:ascii="仿宋" w:hAnsi="仿宋" w:eastAsia="仿宋" w:cs="仿宋"/>
          <w:sz w:val="24"/>
        </w:rPr>
      </w:pPr>
    </w:p>
    <w:p w14:paraId="0D2D4A6B">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（比选人）：</w:t>
      </w:r>
    </w:p>
    <w:p w14:paraId="24C98363">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（参选人名称）郑重声明：</w:t>
      </w:r>
    </w:p>
    <w:p w14:paraId="330A0174">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1.我方具有良好的商业信誉和健全的财务会计制度，具有履行合同所必需的设备和专业技术能力，有依法缴纳税收和社会保障资金的良好记录。</w:t>
      </w:r>
    </w:p>
    <w:p w14:paraId="68D81EF7">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2.我方未列入在信用中国网站（www.creditchina.gov.cn）“失信被执行人”、“重大税收违法案件当事人名单”中，也未列入中国政府采购网（www.ccgp.gov.cn）“政府采购严重违法失信行为记录名单”中。</w:t>
      </w:r>
    </w:p>
    <w:p w14:paraId="3AE4E41A">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3.我方在比选项目评审（评标）环节结束后，随时接受比选人、比选代理机构的检查验证，配合提供相关证明材料。</w:t>
      </w:r>
    </w:p>
    <w:p w14:paraId="5D691E8D">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我方对以上声明负全部法律责任。</w:t>
      </w:r>
    </w:p>
    <w:p w14:paraId="5EA1761A">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特此声明。</w:t>
      </w:r>
    </w:p>
    <w:p w14:paraId="056B9575">
      <w:pPr>
        <w:tabs>
          <w:tab w:val="left" w:pos="6300"/>
        </w:tabs>
        <w:snapToGrid w:val="0"/>
        <w:spacing w:line="500" w:lineRule="exact"/>
        <w:ind w:firstLine="570"/>
        <w:rPr>
          <w:rFonts w:hint="eastAsia" w:ascii="仿宋" w:hAnsi="仿宋" w:eastAsia="仿宋" w:cs="仿宋"/>
          <w:sz w:val="24"/>
        </w:rPr>
      </w:pPr>
    </w:p>
    <w:p w14:paraId="20AFAE09">
      <w:pPr>
        <w:tabs>
          <w:tab w:val="left" w:pos="6300"/>
        </w:tabs>
        <w:snapToGrid w:val="0"/>
        <w:spacing w:line="500" w:lineRule="exact"/>
        <w:ind w:firstLine="570"/>
        <w:rPr>
          <w:rFonts w:hint="eastAsia" w:ascii="仿宋" w:hAnsi="仿宋" w:eastAsia="仿宋" w:cs="仿宋"/>
          <w:sz w:val="24"/>
        </w:rPr>
      </w:pPr>
    </w:p>
    <w:p w14:paraId="42C568E9">
      <w:pPr>
        <w:tabs>
          <w:tab w:val="left" w:pos="6300"/>
        </w:tabs>
        <w:snapToGrid w:val="0"/>
        <w:spacing w:line="500" w:lineRule="exact"/>
        <w:ind w:firstLine="570"/>
        <w:rPr>
          <w:rFonts w:hint="eastAsia" w:ascii="仿宋" w:hAnsi="仿宋" w:eastAsia="仿宋" w:cs="仿宋"/>
          <w:sz w:val="24"/>
        </w:rPr>
      </w:pPr>
    </w:p>
    <w:p w14:paraId="663A9235">
      <w:pPr>
        <w:tabs>
          <w:tab w:val="left" w:pos="6300"/>
        </w:tabs>
        <w:snapToGrid w:val="0"/>
        <w:spacing w:line="500" w:lineRule="exact"/>
        <w:ind w:right="424" w:firstLine="570"/>
        <w:jc w:val="center"/>
        <w:rPr>
          <w:rFonts w:hint="eastAsia" w:ascii="仿宋" w:hAnsi="仿宋" w:eastAsia="仿宋" w:cs="仿宋"/>
          <w:sz w:val="24"/>
        </w:rPr>
      </w:pPr>
      <w:r>
        <w:rPr>
          <w:rFonts w:hint="eastAsia" w:ascii="仿宋" w:hAnsi="仿宋" w:eastAsia="仿宋" w:cs="仿宋"/>
          <w:sz w:val="24"/>
        </w:rPr>
        <w:t xml:space="preserve">                                              （参选人公章）</w:t>
      </w:r>
    </w:p>
    <w:p w14:paraId="0DEBEA4B">
      <w:pPr>
        <w:tabs>
          <w:tab w:val="left" w:pos="6300"/>
        </w:tabs>
        <w:snapToGrid w:val="0"/>
        <w:spacing w:line="500" w:lineRule="exact"/>
        <w:ind w:right="480" w:firstLine="570"/>
        <w:jc w:val="center"/>
        <w:rPr>
          <w:rFonts w:hint="eastAsia" w:ascii="仿宋" w:hAnsi="仿宋" w:eastAsia="仿宋" w:cs="仿宋"/>
          <w:sz w:val="24"/>
        </w:rPr>
      </w:pPr>
      <w:r>
        <w:rPr>
          <w:rFonts w:hint="eastAsia" w:ascii="仿宋" w:hAnsi="仿宋" w:eastAsia="仿宋" w:cs="仿宋"/>
          <w:sz w:val="24"/>
        </w:rPr>
        <w:t xml:space="preserve">                                               年   月   日</w:t>
      </w:r>
    </w:p>
    <w:p w14:paraId="300CDBEA">
      <w:pPr>
        <w:numPr>
          <w:ilvl w:val="0"/>
          <w:numId w:val="0"/>
        </w:numPr>
        <w:snapToGrid w:val="0"/>
        <w:spacing w:line="560" w:lineRule="exact"/>
        <w:rPr>
          <w:rFonts w:hint="eastAsia" w:ascii="仿宋" w:hAnsi="仿宋" w:eastAsia="仿宋" w:cs="仿宋"/>
          <w:sz w:val="24"/>
          <w:szCs w:val="24"/>
        </w:rPr>
      </w:pPr>
      <w:bookmarkStart w:id="494" w:name="_Toc8321"/>
      <w:r>
        <w:rPr>
          <w:rFonts w:hint="eastAsia" w:ascii="仿宋" w:hAnsi="仿宋" w:eastAsia="仿宋" w:cs="仿宋"/>
          <w:sz w:val="24"/>
        </w:rPr>
        <w:t>参加本次采购活动前三年内，在经营活动中没有重大违法记录</w:t>
      </w:r>
      <w:r>
        <w:rPr>
          <w:rFonts w:hint="eastAsia" w:ascii="仿宋" w:hAnsi="仿宋" w:eastAsia="仿宋" w:cs="仿宋"/>
          <w:sz w:val="24"/>
          <w:szCs w:val="24"/>
        </w:rPr>
        <w:t>。（提供承诺，格式自拟，同时提供国家企业信用信息公示系统网站中未列入经营异常名录信息的网页截图）</w:t>
      </w:r>
    </w:p>
    <w:p w14:paraId="344C6A1A">
      <w:pPr>
        <w:snapToGrid w:val="0"/>
        <w:spacing w:line="560" w:lineRule="exact"/>
        <w:rPr>
          <w:rFonts w:hint="eastAsia" w:ascii="仿宋" w:hAnsi="仿宋" w:eastAsia="仿宋" w:cs="仿宋"/>
          <w:bCs/>
          <w:sz w:val="24"/>
          <w:szCs w:val="24"/>
        </w:rPr>
      </w:pPr>
    </w:p>
    <w:p w14:paraId="3517DAD5">
      <w:pPr>
        <w:snapToGrid w:val="0"/>
        <w:spacing w:line="560" w:lineRule="exact"/>
        <w:rPr>
          <w:rFonts w:hint="eastAsia" w:ascii="仿宋" w:hAnsi="仿宋" w:eastAsia="仿宋" w:cs="仿宋"/>
          <w:bCs/>
          <w:sz w:val="24"/>
          <w:szCs w:val="24"/>
        </w:rPr>
      </w:pPr>
    </w:p>
    <w:p w14:paraId="1FFF9FE6">
      <w:pPr>
        <w:snapToGrid w:val="0"/>
        <w:spacing w:line="560" w:lineRule="exact"/>
        <w:rPr>
          <w:rFonts w:hint="eastAsia" w:ascii="仿宋" w:hAnsi="仿宋" w:eastAsia="仿宋" w:cs="仿宋"/>
          <w:bCs/>
          <w:sz w:val="24"/>
          <w:szCs w:val="24"/>
        </w:rPr>
      </w:pPr>
    </w:p>
    <w:bookmarkEnd w:id="348"/>
    <w:bookmarkEnd w:id="349"/>
    <w:bookmarkEnd w:id="350"/>
    <w:bookmarkEnd w:id="351"/>
    <w:bookmarkEnd w:id="352"/>
    <w:bookmarkEnd w:id="353"/>
    <w:bookmarkEnd w:id="354"/>
    <w:bookmarkEnd w:id="494"/>
    <w:p w14:paraId="465B2080">
      <w:pPr>
        <w:jc w:val="left"/>
        <w:outlineLvl w:val="0"/>
        <w:rPr>
          <w:rFonts w:hint="eastAsia" w:ascii="仿宋" w:hAnsi="仿宋" w:eastAsia="仿宋" w:cs="仿宋"/>
          <w:b/>
          <w:bCs/>
          <w:sz w:val="24"/>
          <w:szCs w:val="24"/>
        </w:rPr>
      </w:pPr>
      <w:bookmarkStart w:id="495" w:name="_Toc19743"/>
      <w:bookmarkStart w:id="496" w:name="_Toc5268"/>
      <w:bookmarkStart w:id="497" w:name="_Toc4274"/>
      <w:bookmarkStart w:id="498" w:name="_Toc20017"/>
      <w:bookmarkStart w:id="499" w:name="_Toc18272"/>
      <w:bookmarkStart w:id="500" w:name="_Toc15012"/>
      <w:bookmarkStart w:id="501" w:name="_Toc271"/>
    </w:p>
    <w:p w14:paraId="4189899F">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五、其他与项目有关的资料</w:t>
      </w:r>
      <w:bookmarkEnd w:id="495"/>
      <w:bookmarkEnd w:id="496"/>
      <w:bookmarkEnd w:id="497"/>
      <w:bookmarkEnd w:id="498"/>
      <w:bookmarkEnd w:id="499"/>
      <w:bookmarkEnd w:id="500"/>
      <w:bookmarkEnd w:id="501"/>
    </w:p>
    <w:p w14:paraId="18998E87">
      <w:pPr>
        <w:pStyle w:val="4"/>
        <w:rPr>
          <w:rFonts w:hint="eastAsia" w:ascii="仿宋" w:hAnsi="仿宋" w:eastAsia="仿宋" w:cs="仿宋"/>
        </w:rPr>
      </w:pPr>
    </w:p>
    <w:p w14:paraId="5DE247E9">
      <w:pPr>
        <w:pStyle w:val="4"/>
        <w:rPr>
          <w:rFonts w:hint="eastAsia" w:ascii="仿宋" w:hAnsi="仿宋" w:eastAsia="仿宋" w:cs="仿宋"/>
        </w:rPr>
      </w:pPr>
    </w:p>
    <w:p w14:paraId="14615FE8">
      <w:pPr>
        <w:pStyle w:val="4"/>
        <w:rPr>
          <w:rFonts w:hint="eastAsia" w:ascii="仿宋" w:hAnsi="仿宋" w:eastAsia="仿宋" w:cs="仿宋"/>
        </w:rPr>
      </w:pPr>
    </w:p>
    <w:p w14:paraId="1A96FF82">
      <w:pPr>
        <w:pStyle w:val="4"/>
        <w:rPr>
          <w:rFonts w:hint="eastAsia" w:ascii="仿宋" w:hAnsi="仿宋" w:eastAsia="仿宋" w:cs="仿宋"/>
        </w:rPr>
      </w:pPr>
    </w:p>
    <w:p w14:paraId="5424417A">
      <w:pPr>
        <w:pStyle w:val="4"/>
        <w:rPr>
          <w:rFonts w:hint="eastAsia" w:ascii="仿宋" w:hAnsi="仿宋" w:eastAsia="仿宋" w:cs="仿宋"/>
        </w:rPr>
      </w:pPr>
    </w:p>
    <w:p w14:paraId="16B060DF">
      <w:pPr>
        <w:pStyle w:val="4"/>
        <w:rPr>
          <w:rFonts w:hint="eastAsia" w:ascii="仿宋" w:hAnsi="仿宋" w:eastAsia="仿宋" w:cs="仿宋"/>
        </w:rPr>
      </w:pPr>
    </w:p>
    <w:p w14:paraId="206E81C2">
      <w:pPr>
        <w:pStyle w:val="4"/>
        <w:rPr>
          <w:rFonts w:hint="eastAsia" w:ascii="仿宋" w:hAnsi="仿宋" w:eastAsia="仿宋" w:cs="仿宋"/>
        </w:rPr>
      </w:pPr>
    </w:p>
    <w:p w14:paraId="32992339">
      <w:pPr>
        <w:pStyle w:val="4"/>
        <w:rPr>
          <w:rFonts w:hint="eastAsia" w:ascii="仿宋" w:hAnsi="仿宋" w:eastAsia="仿宋" w:cs="仿宋"/>
        </w:rPr>
      </w:pPr>
    </w:p>
    <w:p w14:paraId="165A77F1">
      <w:pPr>
        <w:pStyle w:val="4"/>
        <w:rPr>
          <w:rFonts w:hint="eastAsia" w:ascii="仿宋" w:hAnsi="仿宋" w:eastAsia="仿宋" w:cs="仿宋"/>
        </w:rPr>
      </w:pPr>
    </w:p>
    <w:p w14:paraId="71A50491">
      <w:pPr>
        <w:keepNext w:val="0"/>
        <w:keepLines w:val="0"/>
        <w:pageBreakBefore w:val="0"/>
        <w:widowControl w:val="0"/>
        <w:kinsoku/>
        <w:wordWrap/>
        <w:overflowPunct/>
        <w:topLinePunct w:val="0"/>
        <w:autoSpaceDE/>
        <w:autoSpaceDN/>
        <w:bidi w:val="0"/>
        <w:adjustRightInd w:val="0"/>
        <w:snapToGrid/>
        <w:spacing w:line="536" w:lineRule="exact"/>
        <w:ind w:right="0" w:rightChars="0"/>
        <w:jc w:val="left"/>
        <w:textAlignment w:val="auto"/>
        <w:outlineLvl w:val="9"/>
        <w:rPr>
          <w:rFonts w:hint="eastAsia" w:ascii="方正仿宋_GBK" w:hAnsi="方正仿宋_GBK" w:eastAsia="方正仿宋_GBK" w:cs="方正仿宋_GBK"/>
          <w:sz w:val="32"/>
          <w:szCs w:val="32"/>
          <w:lang w:val="en-US" w:eastAsia="zh-CN"/>
        </w:rPr>
      </w:pPr>
    </w:p>
    <w:p w14:paraId="75B4FEBF"/>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D4CF1">
    <w:pPr>
      <w:widowControl w:val="0"/>
      <w:tabs>
        <w:tab w:val="center" w:pos="4153"/>
        <w:tab w:val="right" w:pos="8306"/>
      </w:tabs>
      <w:snapToGrid w:val="0"/>
      <w:jc w:val="both"/>
      <w:rPr>
        <w:rFonts w:ascii="Times New Roman" w:hAnsi="Times New Roman" w:eastAsia="宋体" w:cs="Times New Roman"/>
        <w:b/>
        <w:kern w:val="2"/>
        <w:sz w:val="21"/>
        <w:szCs w:val="20"/>
        <w:lang w:val="en-US" w:eastAsia="zh-CN" w:bidi="ar-SA"/>
      </w:rPr>
    </w:pPr>
    <w:r>
      <w:rPr>
        <w:rFonts w:ascii="Times New Roman" w:hAnsi="Times New Roman" w:eastAsia="宋体" w:cs="Times New Roman"/>
        <w:b/>
        <w:kern w:val="2"/>
        <w:sz w:val="21"/>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104140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79B4329">
                          <w:pPr>
                            <w:widowControl w:val="0"/>
                            <w:tabs>
                              <w:tab w:val="center" w:pos="4153"/>
                              <w:tab w:val="right" w:pos="8306"/>
                            </w:tabs>
                            <w:snapToGrid w:val="0"/>
                            <w:jc w:val="both"/>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fldChar w:fldCharType="begin"/>
                          </w:r>
                          <w:r>
                            <w:rPr>
                              <w:rFonts w:hint="eastAsia" w:ascii="宋体" w:hAnsi="宋体" w:eastAsia="宋体" w:cs="宋体"/>
                              <w:b w:val="0"/>
                              <w:bCs/>
                              <w:kern w:val="2"/>
                              <w:sz w:val="28"/>
                              <w:szCs w:val="28"/>
                              <w:lang w:val="en-US" w:eastAsia="zh-CN" w:bidi="ar-SA"/>
                            </w:rPr>
                            <w:instrText xml:space="preserve"> PAGE  \* MERGEFORMAT </w:instrText>
                          </w:r>
                          <w:r>
                            <w:rPr>
                              <w:rFonts w:hint="eastAsia" w:ascii="宋体" w:hAnsi="宋体" w:eastAsia="宋体" w:cs="宋体"/>
                              <w:b w:val="0"/>
                              <w:bCs/>
                              <w:kern w:val="2"/>
                              <w:sz w:val="28"/>
                              <w:szCs w:val="28"/>
                              <w:lang w:val="en-US" w:eastAsia="zh-CN" w:bidi="ar-SA"/>
                            </w:rPr>
                            <w:fldChar w:fldCharType="separate"/>
                          </w:r>
                          <w:r>
                            <w:rPr>
                              <w:rFonts w:hint="eastAsia" w:ascii="宋体" w:hAnsi="宋体" w:eastAsia="宋体" w:cs="宋体"/>
                              <w:b w:val="0"/>
                              <w:bCs/>
                              <w:kern w:val="2"/>
                              <w:sz w:val="28"/>
                              <w:szCs w:val="28"/>
                              <w:lang w:val="en-US" w:eastAsia="zh-CN" w:bidi="ar-SA"/>
                            </w:rPr>
                            <w:t>1</w:t>
                          </w:r>
                          <w:r>
                            <w:rPr>
                              <w:rFonts w:hint="eastAsia" w:ascii="宋体" w:hAnsi="宋体" w:eastAsia="宋体" w:cs="宋体"/>
                              <w:b w:val="0"/>
                              <w:bCs/>
                              <w:kern w:val="2"/>
                              <w:sz w:val="28"/>
                              <w:szCs w:val="2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8.2pt;height:144pt;width:144pt;mso-position-horizontal:outside;mso-position-horizontal-relative:margin;mso-wrap-style:none;z-index:251659264;mso-width-relative:page;mso-height-relative:page;" filled="f" stroked="f" coordsize="21600,21600" o:gfxdata="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&#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xN2WtQAAAAHAQAADwAAAAAAAAABACAAAAAiAAAA&#10;ZHJzL2Rvd25yZXYueG1sUEsBAhQAFAAAAAgAh07iQNJASfbSAQAAogMAAA4AAAAAAAAAAQAgAAAA&#10;IwEAAGRycy9lMm9Eb2MueG1sUEsFBgAAAAAGAAYAWQEAAGcFAAAAAA==&#10;">
              <v:fill on="f" focussize="0,0"/>
              <v:stroke on="f" weight="0.5pt"/>
              <v:imagedata o:title=""/>
              <o:lock v:ext="edit" aspectratio="f"/>
              <v:textbox inset="0mm,0mm,0mm,0mm" style="mso-fit-shape-to-text:t;">
                <w:txbxContent>
                  <w:p w14:paraId="279B4329">
                    <w:pPr>
                      <w:widowControl w:val="0"/>
                      <w:tabs>
                        <w:tab w:val="center" w:pos="4153"/>
                        <w:tab w:val="right" w:pos="8306"/>
                      </w:tabs>
                      <w:snapToGrid w:val="0"/>
                      <w:jc w:val="both"/>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fldChar w:fldCharType="begin"/>
                    </w:r>
                    <w:r>
                      <w:rPr>
                        <w:rFonts w:hint="eastAsia" w:ascii="宋体" w:hAnsi="宋体" w:eastAsia="宋体" w:cs="宋体"/>
                        <w:b w:val="0"/>
                        <w:bCs/>
                        <w:kern w:val="2"/>
                        <w:sz w:val="28"/>
                        <w:szCs w:val="28"/>
                        <w:lang w:val="en-US" w:eastAsia="zh-CN" w:bidi="ar-SA"/>
                      </w:rPr>
                      <w:instrText xml:space="preserve"> PAGE  \* MERGEFORMAT </w:instrText>
                    </w:r>
                    <w:r>
                      <w:rPr>
                        <w:rFonts w:hint="eastAsia" w:ascii="宋体" w:hAnsi="宋体" w:eastAsia="宋体" w:cs="宋体"/>
                        <w:b w:val="0"/>
                        <w:bCs/>
                        <w:kern w:val="2"/>
                        <w:sz w:val="28"/>
                        <w:szCs w:val="28"/>
                        <w:lang w:val="en-US" w:eastAsia="zh-CN" w:bidi="ar-SA"/>
                      </w:rPr>
                      <w:fldChar w:fldCharType="separate"/>
                    </w:r>
                    <w:r>
                      <w:rPr>
                        <w:rFonts w:hint="eastAsia" w:ascii="宋体" w:hAnsi="宋体" w:eastAsia="宋体" w:cs="宋体"/>
                        <w:b w:val="0"/>
                        <w:bCs/>
                        <w:kern w:val="2"/>
                        <w:sz w:val="28"/>
                        <w:szCs w:val="28"/>
                        <w:lang w:val="en-US" w:eastAsia="zh-CN" w:bidi="ar-SA"/>
                      </w:rPr>
                      <w:t>1</w:t>
                    </w:r>
                    <w:r>
                      <w:rPr>
                        <w:rFonts w:hint="eastAsia" w:ascii="宋体" w:hAnsi="宋体" w:eastAsia="宋体" w:cs="宋体"/>
                        <w:b w:val="0"/>
                        <w:bCs/>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A85F">
    <w:pPr>
      <w:pStyle w:val="7"/>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104140</wp:posOffset>
              </wp:positionV>
              <wp:extent cx="1828800" cy="3790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379095"/>
                      </a:xfrm>
                      <a:prstGeom prst="rect">
                        <a:avLst/>
                      </a:prstGeom>
                      <a:noFill/>
                      <a:ln>
                        <a:noFill/>
                      </a:ln>
                    </wps:spPr>
                    <wps:txbx>
                      <w:txbxContent>
                        <w:p w14:paraId="7FC2228C">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8.2pt;height:29.85pt;width:144pt;mso-position-horizontal:outside;mso-position-horizontal-relative:margin;mso-wrap-style:none;z-index:251660288;mso-width-relative:page;mso-height-relative:page;" filled="f" stroked="f" coordsize="21600,21600" o:gfxdata="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HG1AXTAAAABgEAAA8AAAAAAAAAAQAgAAAAIgAAAGRycy9kb3ducmV2LnhtbFBL&#10;AQIUABQAAAAIAIdO4kCT/mqlwgEAAH4DAAAOAAAAAAAAAAEAIAAAACIBAABkcnMvZTJvRG9jLnht&#10;bFBLBQYAAAAABgAGAFkBAABWBQAAAAA=&#10;">
              <v:fill on="f" focussize="0,0"/>
              <v:stroke on="f"/>
              <v:imagedata o:title=""/>
              <o:lock v:ext="edit" aspectratio="f"/>
              <v:textbox inset="0mm,0mm,0mm,0mm">
                <w:txbxContent>
                  <w:p w14:paraId="7FC2228C">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99F7">
    <w:pPr>
      <w:pStyle w:val="7"/>
      <w:jc w:val="center"/>
      <w:rPr>
        <w:rFonts w:ascii="Times New Roman" w:hAnsi="Times New Roman" w:eastAsia="宋体" w:cs="Times New Roman"/>
        <w:b/>
        <w:bCs/>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104140</wp:posOffset>
              </wp:positionV>
              <wp:extent cx="474345" cy="7023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74345" cy="702310"/>
                      </a:xfrm>
                      <a:prstGeom prst="rect">
                        <a:avLst/>
                      </a:prstGeom>
                      <a:noFill/>
                      <a:ln>
                        <a:noFill/>
                      </a:ln>
                    </wps:spPr>
                    <wps:txbx>
                      <w:txbxContent>
                        <w:p w14:paraId="37585F61">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8.2pt;height:55.3pt;width:37.35pt;mso-position-horizontal:outside;mso-position-horizontal-relative:margin;z-index:251661312;mso-width-relative:page;mso-height-relative:page;" filled="f" stroked="f" coordsize="21600,21600" o:gfxdata="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F5Oa1QAAAAYBAAAPAAAAAAAAAAEAIAAAACIAAABkcnMvZG93bnJldi54bWxQSwECFAAU&#10;AAAACACHTuJAnTZfJrsBAABxAwAADgAAAAAAAAABACAAAAAkAQAAZHJzL2Uyb0RvYy54bWxQSwUG&#10;AAAAAAYABgBZAQAAUQUAAAAA&#10;">
              <v:fill on="f" focussize="0,0"/>
              <v:stroke on="f"/>
              <v:imagedata o:title=""/>
              <o:lock v:ext="edit" aspectratio="f"/>
              <v:textbox inset="0mm,0mm,0mm,0mm">
                <w:txbxContent>
                  <w:p w14:paraId="37585F61">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942CF">
    <w:pPr>
      <w:snapToGrid w:val="0"/>
      <w:jc w:val="center"/>
      <w:rPr>
        <w:rFonts w:ascii="Times New Roman" w:hAnsi="Times New Roman" w:eastAsia="宋体" w:cs="Times New Roman"/>
        <w:sz w:val="18"/>
      </w:rPr>
    </w:pPr>
    <w:r>
      <w:rPr>
        <w:rFonts w:ascii="Times New Roman" w:hAnsi="Times New Roman" w:eastAsia="宋体" w:cs="Times New Roman"/>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104140</wp:posOffset>
              </wp:positionV>
              <wp:extent cx="610870" cy="342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10870" cy="342900"/>
                      </a:xfrm>
                      <a:prstGeom prst="rect">
                        <a:avLst/>
                      </a:prstGeom>
                      <a:noFill/>
                      <a:ln>
                        <a:noFill/>
                      </a:ln>
                    </wps:spPr>
                    <wps:txbx>
                      <w:txbxContent>
                        <w:p w14:paraId="3A6211F2">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8.2pt;height:27pt;width:48.1pt;mso-position-horizontal:outside;mso-position-horizontal-relative:margin;z-index:251662336;mso-width-relative:page;mso-height-relative:page;" filled="f" stroked="f" coordsize="21600,21600" o:gfxdata="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wGq9o1QAAAAUBAAAPAAAAAAAAAAEAIAAAACIAAABkcnMvZG93bnJldi54bWxQSwECFAAU&#10;AAAACACHTuJADYm2K7sBAABxAwAADgAAAAAAAAABACAAAAAkAQAAZHJzL2Uyb0RvYy54bWxQSwUG&#10;AAAAAAYABgBZAQAAUQUAAAAA&#10;">
              <v:fill on="f" focussize="0,0"/>
              <v:stroke on="f"/>
              <v:imagedata o:title=""/>
              <o:lock v:ext="edit" aspectratio="f"/>
              <v:textbox inset="0mm,0mm,0mm,0mm">
                <w:txbxContent>
                  <w:p w14:paraId="3A6211F2">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441FD">
    <w:pPr>
      <w:pStyle w:val="7"/>
      <w:jc w:val="center"/>
      <w:rPr>
        <w:rFonts w:ascii="Times New Roman" w:hAnsi="Times New Roman" w:eastAsia="宋体" w:cs="Times New Roman"/>
        <w:b/>
        <w:sz w:val="24"/>
        <w:szCs w:val="24"/>
      </w:rPr>
    </w:pPr>
    <w:r>
      <w:rPr>
        <w:rFonts w:ascii="Times New Roman" w:hAnsi="Times New Roman" w:eastAsia="宋体" w:cs="Times New Roman"/>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104140</wp:posOffset>
              </wp:positionV>
              <wp:extent cx="638175" cy="3333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38175" cy="333375"/>
                      </a:xfrm>
                      <a:prstGeom prst="rect">
                        <a:avLst/>
                      </a:prstGeom>
                      <a:noFill/>
                      <a:ln>
                        <a:noFill/>
                      </a:ln>
                    </wps:spPr>
                    <wps:txbx>
                      <w:txbxContent>
                        <w:p w14:paraId="491EF36C">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8.2pt;height:26.25pt;width:50.25pt;mso-position-horizontal:outside;mso-position-horizontal-relative:margin;z-index:251663360;mso-width-relative:page;mso-height-relative:page;" filled="f" stroked="f" coordsize="21600,21600" o:gfxdata="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gpsH9UAAAAGAQAADwAAAAAAAAABACAAAAAiAAAAZHJzL2Rvd25yZXYueG1sUEsBAhQAFAAA&#10;AAgAh07iQBlFrMO5AQAAcQMAAA4AAAAAAAAAAQAgAAAAJAEAAGRycy9lMm9Eb2MueG1sUEsFBgAA&#10;AAAGAAYAWQEAAE8FAAAAAA==&#10;">
              <v:fill on="f" focussize="0,0"/>
              <v:stroke on="f"/>
              <v:imagedata o:title=""/>
              <o:lock v:ext="edit" aspectratio="f"/>
              <v:textbox inset="0mm,0mm,0mm,0mm">
                <w:txbxContent>
                  <w:p w14:paraId="491EF36C">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83018">
    <w:pPr>
      <w:pStyle w:val="8"/>
      <w:pBdr>
        <w:bottom w:val="none" w:color="auto" w:sz="0" w:space="1"/>
      </w:pBdr>
      <w:jc w:val="left"/>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FC90">
    <w:pPr>
      <w:pStyle w:val="8"/>
      <w:pBdr>
        <w:bottom w:val="none" w:color="auto" w:sz="0" w:space="1"/>
      </w:pBdr>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A0206"/>
    <w:multiLevelType w:val="singleLevel"/>
    <w:tmpl w:val="83BA0206"/>
    <w:lvl w:ilvl="0" w:tentative="0">
      <w:start w:val="1"/>
      <w:numFmt w:val="chineseCounting"/>
      <w:suff w:val="nothing"/>
      <w:lvlText w:val="（%1）"/>
      <w:lvlJc w:val="left"/>
      <w:rPr>
        <w:rFonts w:hint="eastAsia"/>
      </w:rPr>
    </w:lvl>
  </w:abstractNum>
  <w:abstractNum w:abstractNumId="1">
    <w:nsid w:val="B9D9EEA6"/>
    <w:multiLevelType w:val="singleLevel"/>
    <w:tmpl w:val="B9D9EEA6"/>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B51AC"/>
    <w:rsid w:val="062C6A55"/>
    <w:rsid w:val="1F35247C"/>
    <w:rsid w:val="3EAF7261"/>
    <w:rsid w:val="579B51AC"/>
    <w:rsid w:val="67B331D4"/>
    <w:rsid w:val="69D364AE"/>
    <w:rsid w:val="726359AB"/>
    <w:rsid w:val="7D127BE7"/>
    <w:rsid w:val="7FB87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3"/>
    <w:next w:val="1"/>
    <w:qFormat/>
    <w:uiPriority w:val="9"/>
    <w:pPr>
      <w:keepNext/>
      <w:keepLines/>
      <w:widowControl w:val="0"/>
      <w:spacing w:before="260" w:after="260" w:line="416" w:lineRule="auto"/>
      <w:jc w:val="both"/>
      <w:outlineLvl w:val="2"/>
    </w:pPr>
    <w:rPr>
      <w:rFonts w:ascii="Times New Roman" w:hAnsi="Times New Roman" w:eastAsia="宋体" w:cs="Times New Roman"/>
      <w:b/>
      <w:bCs/>
      <w:kern w:val="0"/>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next w:val="5"/>
    <w:qFormat/>
    <w:uiPriority w:val="0"/>
    <w:pPr>
      <w:widowControl w:val="0"/>
      <w:spacing w:after="120"/>
      <w:jc w:val="both"/>
    </w:pPr>
    <w:rPr>
      <w:rFonts w:ascii="Times New Roman" w:hAnsi="Times New Roman" w:eastAsia="宋体" w:cs="Times New Roman"/>
      <w:kern w:val="2"/>
      <w:sz w:val="28"/>
      <w:szCs w:val="28"/>
      <w:lang w:val="en-US" w:eastAsia="zh-CN" w:bidi="ar-SA"/>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Date"/>
    <w:next w:val="1"/>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7">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styleId="8">
    <w:name w:val="header"/>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en-US" w:eastAsia="zh-CN" w:bidi="ar-SA"/>
    </w:rPr>
  </w:style>
  <w:style w:type="paragraph" w:customStyle="1" w:styleId="11">
    <w:name w:val="电建正文"/>
    <w:qFormat/>
    <w:uiPriority w:val="0"/>
    <w:pPr>
      <w:widowControl/>
      <w:tabs>
        <w:tab w:val="left" w:pos="720"/>
      </w:tabs>
      <w:overflowPunct w:val="0"/>
      <w:autoSpaceDE w:val="0"/>
      <w:autoSpaceDN w:val="0"/>
      <w:spacing w:before="80" w:after="80" w:line="360" w:lineRule="auto"/>
      <w:ind w:left="0" w:firstLine="200" w:firstLineChars="200"/>
      <w:jc w:val="left"/>
    </w:pPr>
    <w:rPr>
      <w:rFonts w:ascii="Tahoma" w:hAnsi="Tahoma" w:eastAsia="宋体" w:cs="Times New Roman"/>
      <w:kern w:val="0"/>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9879</Words>
  <Characters>10220</Characters>
  <Lines>0</Lines>
  <Paragraphs>0</Paragraphs>
  <TotalTime>19</TotalTime>
  <ScaleCrop>false</ScaleCrop>
  <LinksUpToDate>false</LinksUpToDate>
  <CharactersWithSpaces>10945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2025-06-20T03:21:00Z</dcterms:created>
  <dc:creator>潞潞</dc:creator>
  <cp:lastModifiedBy>潞潞</cp:lastModifiedBy>
  <dcterms:modified xsi:type="dcterms:W3CDTF">2025-06-30T03:55:40Z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572A6EF95C8344528A36766D226C22E3_11</vt:lpwstr>
  </property>
  <property fmtid="{D5CDD505-2E9C-101B-9397-08002B2CF9AE}" pid="4" name="KSOTemplateDocerSaveRecord">
    <vt:lpwstr>eyJoZGlkIjoiY2ZkMjM5MzZkODIwNzg1Zjg0NmI2ZjlkZDZkNjU2NjAiLCJ1c2VySWQiOiI3Njk0OTA5MzMifQ==</vt:lpwstr>
  </property>
</Properties>
</file>