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29DE">
      <w:pPr>
        <w:jc w:val="center"/>
        <w:rPr>
          <w:rStyle w:val="7"/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  <w:t>重庆市荣昌区人民医院睾酮测定检测试剂等耗材采购</w:t>
      </w:r>
    </w:p>
    <w:p w14:paraId="2F0AF332">
      <w:pPr>
        <w:jc w:val="center"/>
        <w:rPr>
          <w:rStyle w:val="7"/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  <w:t>更正公告</w:t>
      </w:r>
    </w:p>
    <w:p w14:paraId="0CA87E66">
      <w:pPr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各潜在供应商：</w:t>
      </w:r>
    </w:p>
    <w:p w14:paraId="242A6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现将“重庆市荣昌区人民医院睾酮测定检测试剂等耗材采购”的更正公告发布如下：</w:t>
      </w:r>
    </w:p>
    <w:p w14:paraId="57B7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变更事项一：</w:t>
      </w:r>
    </w:p>
    <w:p w14:paraId="76CD3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删除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第二篇   询价项目技术（质量）需求   一、技术规格及质量要求 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938"/>
        <w:gridCol w:w="1473"/>
        <w:gridCol w:w="1340"/>
        <w:gridCol w:w="4089"/>
      </w:tblGrid>
      <w:tr w14:paraId="1F05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9" w:type="dxa"/>
            <w:shd w:val="clear" w:color="auto" w:fill="auto"/>
            <w:noWrap w:val="0"/>
            <w:vAlign w:val="center"/>
          </w:tcPr>
          <w:p w14:paraId="78B04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 w14:paraId="3D8DD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耗材名称</w:t>
            </w:r>
          </w:p>
        </w:tc>
        <w:tc>
          <w:tcPr>
            <w:tcW w:w="1473" w:type="dxa"/>
            <w:shd w:val="clear" w:color="auto" w:fill="auto"/>
            <w:noWrap w:val="0"/>
            <w:vAlign w:val="center"/>
          </w:tcPr>
          <w:p w14:paraId="71C3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单位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33E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单价限价（元）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D43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6" w:firstLineChars="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要求</w:t>
            </w:r>
          </w:p>
        </w:tc>
      </w:tr>
      <w:tr w14:paraId="7744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9" w:type="dxa"/>
            <w:noWrap w:val="0"/>
            <w:vAlign w:val="center"/>
          </w:tcPr>
          <w:p w14:paraId="7627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1938" w:type="dxa"/>
            <w:noWrap w:val="0"/>
            <w:vAlign w:val="center"/>
          </w:tcPr>
          <w:p w14:paraId="33C6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活化部分凝血活酶时间(APTT)测定试剂盒（鞣花酸凝固法）</w:t>
            </w:r>
          </w:p>
        </w:tc>
        <w:tc>
          <w:tcPr>
            <w:tcW w:w="1473" w:type="dxa"/>
            <w:noWrap w:val="0"/>
            <w:vAlign w:val="center"/>
          </w:tcPr>
          <w:p w14:paraId="1B86CF5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1340" w:type="dxa"/>
            <w:noWrap w:val="0"/>
            <w:vAlign w:val="center"/>
          </w:tcPr>
          <w:p w14:paraId="53FF36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5.82</w:t>
            </w:r>
          </w:p>
        </w:tc>
        <w:tc>
          <w:tcPr>
            <w:tcW w:w="4089" w:type="dxa"/>
            <w:noWrap w:val="0"/>
            <w:vAlign w:val="center"/>
          </w:tcPr>
          <w:p w14:paraId="5D55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适配希森美康CS5100，希森美康CN6000凝血仪， 太阳up5500凝血仪。</w:t>
            </w:r>
          </w:p>
        </w:tc>
      </w:tr>
    </w:tbl>
    <w:p w14:paraId="69F94275">
      <w:pPr>
        <w:numPr>
          <w:ilvl w:val="0"/>
          <w:numId w:val="0"/>
        </w:numPr>
        <w:spacing w:line="400" w:lineRule="exact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</w:p>
    <w:p w14:paraId="396A4DBD">
      <w:pPr>
        <w:numPr>
          <w:ilvl w:val="0"/>
          <w:numId w:val="0"/>
        </w:numPr>
        <w:spacing w:line="400" w:lineRule="exact"/>
        <w:rPr>
          <w:rFonts w:hint="eastAsia" w:ascii="方正仿宋_GBK" w:hAnsi="宋体" w:eastAsia="方正仿宋_GBK" w:cs="Times New Roman"/>
          <w:b/>
          <w:bCs/>
          <w:color w:val="auto"/>
          <w:sz w:val="24"/>
          <w:szCs w:val="24"/>
          <w:lang w:val="en-US" w:eastAsia="zh-CN"/>
        </w:rPr>
      </w:pPr>
    </w:p>
    <w:p w14:paraId="746274A7">
      <w:pPr>
        <w:numPr>
          <w:ilvl w:val="0"/>
          <w:numId w:val="0"/>
        </w:numPr>
        <w:spacing w:line="400" w:lineRule="exact"/>
        <w:rPr>
          <w:rFonts w:hint="eastAsia" w:ascii="方正仿宋_GBK" w:hAnsi="宋体" w:eastAsia="方正仿宋_GBK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/>
          <w:bCs/>
          <w:color w:val="auto"/>
          <w:sz w:val="24"/>
          <w:szCs w:val="24"/>
          <w:lang w:val="en-US" w:eastAsia="zh-CN"/>
        </w:rPr>
        <w:t>变更事项二：</w:t>
      </w:r>
    </w:p>
    <w:p w14:paraId="28F759EF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1、询价文件提供期限：2025年10月22日至2025年10月30日18：00时。</w:t>
      </w:r>
    </w:p>
    <w:p w14:paraId="260493B2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2、响应文件递交时间2025年10月31日北京时间 14: 00 。</w:t>
      </w:r>
    </w:p>
    <w:p w14:paraId="0A21A690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3、询价开始时间：2025年10月31日北京时间14: 30 。</w:t>
      </w:r>
    </w:p>
    <w:p w14:paraId="36DDF5E4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4、保证金到账截止时间：同询价开始时间。</w:t>
      </w:r>
    </w:p>
    <w:p w14:paraId="610A1A08">
      <w:pPr>
        <w:spacing w:line="400" w:lineRule="exact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</w:p>
    <w:p w14:paraId="52D79A26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本通知为采购文件组成部分，具有同等法律效力，若采购文件及之前发布的通知与本通知不一致时，一律以本通知为准。请各潜在供应商自行在网上下载本通知相关内容，无论下载与否，均视为知晓其全部内容。</w:t>
      </w:r>
    </w:p>
    <w:p w14:paraId="68EC9337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 xml:space="preserve">             </w:t>
      </w:r>
    </w:p>
    <w:p w14:paraId="1C0828FA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</w:p>
    <w:p w14:paraId="6FAB40BB">
      <w:pPr>
        <w:spacing w:line="400" w:lineRule="exact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</w:p>
    <w:p w14:paraId="28671EB2">
      <w:pPr>
        <w:spacing w:line="400" w:lineRule="exact"/>
        <w:ind w:firstLine="3120" w:firstLineChars="13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采购人：重庆市荣昌区人民医院</w:t>
      </w:r>
    </w:p>
    <w:p w14:paraId="5E68F6B5">
      <w:pPr>
        <w:spacing w:line="400" w:lineRule="exact"/>
        <w:ind w:firstLine="2640" w:firstLineChars="11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采购代理机构：重庆正华工程管理咨询有限公司</w:t>
      </w:r>
    </w:p>
    <w:p w14:paraId="11260422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</w:pPr>
    </w:p>
    <w:p w14:paraId="7E0173BC">
      <w:pPr>
        <w:spacing w:line="400" w:lineRule="exact"/>
        <w:ind w:firstLine="4560" w:firstLineChars="1900"/>
        <w:rPr>
          <w:rStyle w:val="7"/>
          <w:rFonts w:hint="default" w:ascii="方正仿宋_GBK" w:hAnsi="宋体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宋体" w:eastAsia="方正仿宋_GBK" w:cs="Times New Roman"/>
          <w:bCs w:val="0"/>
          <w:color w:val="auto"/>
          <w:sz w:val="24"/>
          <w:szCs w:val="24"/>
          <w:lang w:val="en-US" w:eastAsia="zh-CN"/>
        </w:rPr>
        <w:t>2025年10月27日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75BED"/>
    <w:rsid w:val="024937CF"/>
    <w:rsid w:val="097E7AC3"/>
    <w:rsid w:val="0F0202AB"/>
    <w:rsid w:val="0F1113DA"/>
    <w:rsid w:val="100A0FE0"/>
    <w:rsid w:val="110805BA"/>
    <w:rsid w:val="1FB9154D"/>
    <w:rsid w:val="27391076"/>
    <w:rsid w:val="2FD74E59"/>
    <w:rsid w:val="31E247E4"/>
    <w:rsid w:val="34871673"/>
    <w:rsid w:val="350A3514"/>
    <w:rsid w:val="36A31605"/>
    <w:rsid w:val="379F4F25"/>
    <w:rsid w:val="39C6627B"/>
    <w:rsid w:val="46045C96"/>
    <w:rsid w:val="467D4684"/>
    <w:rsid w:val="47CC58C3"/>
    <w:rsid w:val="48D63EE0"/>
    <w:rsid w:val="4AA8187D"/>
    <w:rsid w:val="4BBB3FA1"/>
    <w:rsid w:val="521F207E"/>
    <w:rsid w:val="54EC66FE"/>
    <w:rsid w:val="560721BC"/>
    <w:rsid w:val="5C870281"/>
    <w:rsid w:val="644840CB"/>
    <w:rsid w:val="68C22347"/>
    <w:rsid w:val="70001283"/>
    <w:rsid w:val="73F41B79"/>
    <w:rsid w:val="78212811"/>
    <w:rsid w:val="78475BED"/>
    <w:rsid w:val="792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semiHidden/>
    <w:qFormat/>
    <w:uiPriority w:val="0"/>
    <w:rPr>
      <w:rFonts w:ascii="Verdana" w:hAnsi="Verdana" w:eastAsia="仿宋_GB2312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776</Characters>
  <Lines>0</Lines>
  <Paragraphs>0</Paragraphs>
  <TotalTime>5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2025-10-14T23:53:00Z</dcterms:created>
  <dc:creator>随遇而安</dc:creator>
  <cp:lastModifiedBy>蜜.语</cp:lastModifiedBy>
  <cp:lastPrinted>2025-10-15T00:13:00Z</cp:lastPrinted>
  <dcterms:modified xsi:type="dcterms:W3CDTF">2025-10-27T03:15:18Z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4E5D7909EBDA4B8DA86F0DB345051E34_13</vt:lpwstr>
  </property>
  <property fmtid="{D5CDD505-2E9C-101B-9397-08002B2CF9AE}" pid="4" name="KSOTemplateDocerSaveRecord">
    <vt:lpwstr>eyJoZGlkIjoiNDg5NzU0NTQxYmRmODdkMTI0NDJiNzljNDg4NzU3ZjYiLCJ1c2VySWQiOiI1MTI2MzI1MTkifQ==</vt:lpwstr>
  </property>
</Properties>
</file>