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C41E6">
      <w:pPr>
        <w:jc w:val="center"/>
        <w:rPr>
          <w:rFonts w:ascii="宋体" w:hAnsi="宋体"/>
          <w:b/>
          <w:color w:val="auto"/>
          <w:sz w:val="44"/>
          <w:szCs w:val="44"/>
          <w:highlight w:val="none"/>
        </w:rPr>
      </w:pPr>
      <w:bookmarkStart w:id="0" w:name="_Toc287620665"/>
    </w:p>
    <w:p w14:paraId="7DB5178C">
      <w:pPr>
        <w:spacing w:line="360" w:lineRule="auto"/>
        <w:jc w:val="center"/>
        <w:rPr>
          <w:rFonts w:hint="eastAsia" w:ascii="宋体" w:hAnsi="宋体" w:eastAsia="宋体"/>
          <w:b/>
          <w:bCs/>
          <w:color w:val="auto"/>
          <w:kern w:val="0"/>
          <w:sz w:val="32"/>
          <w:szCs w:val="32"/>
          <w:highlight w:val="none"/>
          <w:lang w:eastAsia="zh-CN"/>
        </w:rPr>
      </w:pPr>
      <w:r>
        <w:rPr>
          <w:rFonts w:hint="eastAsia" w:ascii="宋体" w:hAnsi="宋体"/>
          <w:b/>
          <w:bCs/>
          <w:color w:val="auto"/>
          <w:kern w:val="0"/>
          <w:sz w:val="32"/>
          <w:szCs w:val="32"/>
          <w:highlight w:val="none"/>
          <w:u w:val="single"/>
        </w:rPr>
        <w:t>南岸区弹子石片区老旧街区基础设施更新改造项目道路空洞检测</w:t>
      </w:r>
      <w:r>
        <w:rPr>
          <w:rFonts w:hint="eastAsia" w:ascii="宋体" w:hAnsi="宋体"/>
          <w:b/>
          <w:bCs/>
          <w:color w:val="auto"/>
          <w:kern w:val="0"/>
          <w:sz w:val="32"/>
          <w:szCs w:val="32"/>
          <w:highlight w:val="none"/>
          <w:u w:val="single"/>
          <w:lang w:eastAsia="zh-CN"/>
        </w:rPr>
        <w:t>（</w:t>
      </w:r>
      <w:r>
        <w:rPr>
          <w:rFonts w:hint="eastAsia" w:ascii="宋体" w:hAnsi="宋体"/>
          <w:b/>
          <w:bCs/>
          <w:color w:val="auto"/>
          <w:kern w:val="0"/>
          <w:sz w:val="32"/>
          <w:szCs w:val="32"/>
          <w:highlight w:val="none"/>
          <w:u w:val="single"/>
          <w:lang w:val="en-US" w:eastAsia="zh-CN"/>
        </w:rPr>
        <w:t>第二次</w:t>
      </w:r>
      <w:r>
        <w:rPr>
          <w:rFonts w:hint="eastAsia" w:ascii="宋体" w:hAnsi="宋体"/>
          <w:b/>
          <w:bCs/>
          <w:color w:val="auto"/>
          <w:kern w:val="0"/>
          <w:sz w:val="32"/>
          <w:szCs w:val="32"/>
          <w:highlight w:val="none"/>
          <w:u w:val="single"/>
          <w:lang w:eastAsia="zh-CN"/>
        </w:rPr>
        <w:t>）</w:t>
      </w:r>
    </w:p>
    <w:p w14:paraId="493C8FD1">
      <w:pPr>
        <w:autoSpaceDE w:val="0"/>
        <w:autoSpaceDN w:val="0"/>
        <w:adjustRightInd w:val="0"/>
        <w:snapToGrid w:val="0"/>
        <w:spacing w:line="360" w:lineRule="auto"/>
        <w:jc w:val="left"/>
        <w:rPr>
          <w:rFonts w:ascii="宋体" w:hAnsi="宋体"/>
          <w:color w:val="auto"/>
          <w:kern w:val="0"/>
          <w:sz w:val="20"/>
          <w:szCs w:val="20"/>
          <w:highlight w:val="none"/>
        </w:rPr>
      </w:pPr>
    </w:p>
    <w:p w14:paraId="2A23486F">
      <w:pPr>
        <w:autoSpaceDE w:val="0"/>
        <w:autoSpaceDN w:val="0"/>
        <w:adjustRightInd w:val="0"/>
        <w:snapToGrid w:val="0"/>
        <w:spacing w:line="360" w:lineRule="auto"/>
        <w:jc w:val="left"/>
        <w:rPr>
          <w:rFonts w:ascii="宋体" w:hAnsi="宋体"/>
          <w:color w:val="auto"/>
          <w:kern w:val="0"/>
          <w:sz w:val="20"/>
          <w:szCs w:val="20"/>
          <w:highlight w:val="none"/>
        </w:rPr>
      </w:pPr>
    </w:p>
    <w:p w14:paraId="5DA7254E">
      <w:pPr>
        <w:autoSpaceDE w:val="0"/>
        <w:autoSpaceDN w:val="0"/>
        <w:adjustRightInd w:val="0"/>
        <w:snapToGrid w:val="0"/>
        <w:spacing w:line="360" w:lineRule="auto"/>
        <w:jc w:val="left"/>
        <w:rPr>
          <w:rFonts w:ascii="宋体" w:hAnsi="宋体"/>
          <w:color w:val="auto"/>
          <w:kern w:val="0"/>
          <w:sz w:val="20"/>
          <w:szCs w:val="20"/>
          <w:highlight w:val="none"/>
        </w:rPr>
      </w:pPr>
    </w:p>
    <w:p w14:paraId="0564B576">
      <w:pPr>
        <w:autoSpaceDE w:val="0"/>
        <w:autoSpaceDN w:val="0"/>
        <w:adjustRightInd w:val="0"/>
        <w:snapToGrid w:val="0"/>
        <w:spacing w:line="360" w:lineRule="auto"/>
        <w:jc w:val="left"/>
        <w:rPr>
          <w:rFonts w:ascii="宋体" w:hAnsi="宋体"/>
          <w:color w:val="auto"/>
          <w:kern w:val="0"/>
          <w:sz w:val="20"/>
          <w:szCs w:val="20"/>
          <w:highlight w:val="none"/>
        </w:rPr>
      </w:pPr>
    </w:p>
    <w:p w14:paraId="4D94E309">
      <w:pPr>
        <w:autoSpaceDE w:val="0"/>
        <w:autoSpaceDN w:val="0"/>
        <w:adjustRightInd w:val="0"/>
        <w:snapToGrid w:val="0"/>
        <w:spacing w:line="360" w:lineRule="auto"/>
        <w:jc w:val="left"/>
        <w:rPr>
          <w:rFonts w:ascii="宋体" w:hAnsi="宋体"/>
          <w:color w:val="auto"/>
          <w:kern w:val="0"/>
          <w:sz w:val="20"/>
          <w:szCs w:val="20"/>
          <w:highlight w:val="none"/>
        </w:rPr>
      </w:pPr>
    </w:p>
    <w:p w14:paraId="7CED8D78">
      <w:pPr>
        <w:autoSpaceDE w:val="0"/>
        <w:autoSpaceDN w:val="0"/>
        <w:adjustRightInd w:val="0"/>
        <w:snapToGrid w:val="0"/>
        <w:spacing w:line="360" w:lineRule="auto"/>
        <w:jc w:val="left"/>
        <w:rPr>
          <w:rFonts w:ascii="宋体" w:hAnsi="宋体"/>
          <w:color w:val="auto"/>
          <w:kern w:val="0"/>
          <w:sz w:val="20"/>
          <w:szCs w:val="20"/>
          <w:highlight w:val="none"/>
        </w:rPr>
      </w:pPr>
    </w:p>
    <w:p w14:paraId="0EE1D807">
      <w:pPr>
        <w:autoSpaceDE w:val="0"/>
        <w:autoSpaceDN w:val="0"/>
        <w:adjustRightInd w:val="0"/>
        <w:snapToGrid w:val="0"/>
        <w:spacing w:line="360" w:lineRule="auto"/>
        <w:jc w:val="center"/>
        <w:rPr>
          <w:rFonts w:ascii="宋体" w:hAnsi="宋体"/>
          <w:color w:val="auto"/>
          <w:kern w:val="0"/>
          <w:sz w:val="72"/>
          <w:szCs w:val="72"/>
          <w:highlight w:val="none"/>
        </w:rPr>
      </w:pPr>
      <w:r>
        <w:rPr>
          <w:rStyle w:val="314"/>
          <w:rFonts w:hint="eastAsia" w:ascii="宋体" w:hAnsi="宋体" w:cs="宋体"/>
          <w:b/>
          <w:bCs/>
          <w:color w:val="auto"/>
          <w:spacing w:val="80"/>
          <w:sz w:val="84"/>
          <w:szCs w:val="84"/>
          <w:highlight w:val="none"/>
        </w:rPr>
        <w:t>竞争性比选文件</w:t>
      </w:r>
    </w:p>
    <w:p w14:paraId="3ECEAE35">
      <w:pPr>
        <w:autoSpaceDE w:val="0"/>
        <w:autoSpaceDN w:val="0"/>
        <w:adjustRightInd w:val="0"/>
        <w:snapToGrid w:val="0"/>
        <w:spacing w:line="360" w:lineRule="auto"/>
        <w:jc w:val="left"/>
        <w:rPr>
          <w:rFonts w:ascii="宋体" w:hAnsi="宋体"/>
          <w:color w:val="auto"/>
          <w:kern w:val="0"/>
          <w:sz w:val="10"/>
          <w:szCs w:val="10"/>
          <w:highlight w:val="none"/>
        </w:rPr>
      </w:pPr>
    </w:p>
    <w:p w14:paraId="63ECFB2F">
      <w:pPr>
        <w:autoSpaceDE w:val="0"/>
        <w:autoSpaceDN w:val="0"/>
        <w:adjustRightInd w:val="0"/>
        <w:snapToGrid w:val="0"/>
        <w:spacing w:line="360" w:lineRule="auto"/>
        <w:jc w:val="left"/>
        <w:rPr>
          <w:rFonts w:ascii="宋体" w:hAnsi="宋体"/>
          <w:color w:val="auto"/>
          <w:kern w:val="0"/>
          <w:sz w:val="20"/>
          <w:szCs w:val="20"/>
          <w:highlight w:val="none"/>
        </w:rPr>
      </w:pPr>
    </w:p>
    <w:p w14:paraId="1A11DE3A">
      <w:pPr>
        <w:autoSpaceDE w:val="0"/>
        <w:autoSpaceDN w:val="0"/>
        <w:adjustRightInd w:val="0"/>
        <w:snapToGrid w:val="0"/>
        <w:spacing w:line="360" w:lineRule="auto"/>
        <w:jc w:val="left"/>
        <w:rPr>
          <w:rFonts w:ascii="宋体" w:hAnsi="宋体"/>
          <w:color w:val="auto"/>
          <w:kern w:val="0"/>
          <w:sz w:val="20"/>
          <w:szCs w:val="20"/>
          <w:highlight w:val="none"/>
        </w:rPr>
      </w:pPr>
    </w:p>
    <w:p w14:paraId="5F526DE0">
      <w:pPr>
        <w:autoSpaceDE w:val="0"/>
        <w:autoSpaceDN w:val="0"/>
        <w:adjustRightInd w:val="0"/>
        <w:snapToGrid w:val="0"/>
        <w:spacing w:line="360" w:lineRule="auto"/>
        <w:jc w:val="left"/>
        <w:rPr>
          <w:rFonts w:ascii="宋体" w:hAnsi="宋体"/>
          <w:color w:val="auto"/>
          <w:kern w:val="0"/>
          <w:sz w:val="20"/>
          <w:szCs w:val="20"/>
          <w:highlight w:val="none"/>
        </w:rPr>
      </w:pPr>
    </w:p>
    <w:p w14:paraId="740FA975">
      <w:pPr>
        <w:autoSpaceDE w:val="0"/>
        <w:autoSpaceDN w:val="0"/>
        <w:adjustRightInd w:val="0"/>
        <w:snapToGrid w:val="0"/>
        <w:spacing w:line="360" w:lineRule="auto"/>
        <w:jc w:val="left"/>
        <w:rPr>
          <w:rFonts w:ascii="宋体" w:hAnsi="宋体"/>
          <w:color w:val="auto"/>
          <w:kern w:val="0"/>
          <w:sz w:val="20"/>
          <w:szCs w:val="20"/>
          <w:highlight w:val="none"/>
        </w:rPr>
      </w:pPr>
    </w:p>
    <w:p w14:paraId="7E2D1F1E">
      <w:pPr>
        <w:autoSpaceDE w:val="0"/>
        <w:autoSpaceDN w:val="0"/>
        <w:adjustRightInd w:val="0"/>
        <w:snapToGrid w:val="0"/>
        <w:spacing w:line="360" w:lineRule="auto"/>
        <w:jc w:val="left"/>
        <w:rPr>
          <w:rFonts w:ascii="宋体" w:hAnsi="宋体"/>
          <w:color w:val="auto"/>
          <w:kern w:val="0"/>
          <w:sz w:val="20"/>
          <w:szCs w:val="20"/>
          <w:highlight w:val="none"/>
        </w:rPr>
      </w:pPr>
    </w:p>
    <w:p w14:paraId="325E055E">
      <w:pPr>
        <w:autoSpaceDE w:val="0"/>
        <w:autoSpaceDN w:val="0"/>
        <w:adjustRightInd w:val="0"/>
        <w:snapToGrid w:val="0"/>
        <w:spacing w:line="360" w:lineRule="auto"/>
        <w:jc w:val="left"/>
        <w:rPr>
          <w:rFonts w:ascii="宋体" w:hAnsi="宋体"/>
          <w:color w:val="auto"/>
          <w:kern w:val="0"/>
          <w:sz w:val="20"/>
          <w:szCs w:val="20"/>
          <w:highlight w:val="none"/>
        </w:rPr>
      </w:pPr>
    </w:p>
    <w:p w14:paraId="1B867702">
      <w:pPr>
        <w:autoSpaceDE w:val="0"/>
        <w:autoSpaceDN w:val="0"/>
        <w:adjustRightInd w:val="0"/>
        <w:snapToGrid w:val="0"/>
        <w:spacing w:line="360" w:lineRule="auto"/>
        <w:jc w:val="left"/>
        <w:rPr>
          <w:rFonts w:ascii="宋体" w:hAnsi="宋体"/>
          <w:color w:val="auto"/>
          <w:kern w:val="0"/>
          <w:sz w:val="20"/>
          <w:szCs w:val="20"/>
          <w:highlight w:val="none"/>
        </w:rPr>
      </w:pPr>
    </w:p>
    <w:p w14:paraId="724EA357">
      <w:pPr>
        <w:autoSpaceDE w:val="0"/>
        <w:autoSpaceDN w:val="0"/>
        <w:adjustRightInd w:val="0"/>
        <w:snapToGrid w:val="0"/>
        <w:spacing w:line="360" w:lineRule="auto"/>
        <w:rPr>
          <w:rFonts w:ascii="宋体" w:hAnsi="宋体"/>
          <w:color w:val="auto"/>
          <w:kern w:val="0"/>
          <w:sz w:val="20"/>
          <w:szCs w:val="20"/>
          <w:highlight w:val="none"/>
        </w:rPr>
      </w:pPr>
    </w:p>
    <w:p w14:paraId="4BFD1477">
      <w:pPr>
        <w:autoSpaceDE w:val="0"/>
        <w:autoSpaceDN w:val="0"/>
        <w:adjustRightInd w:val="0"/>
        <w:snapToGrid w:val="0"/>
        <w:spacing w:line="360" w:lineRule="auto"/>
        <w:jc w:val="left"/>
        <w:rPr>
          <w:rFonts w:ascii="宋体" w:hAnsi="宋体"/>
          <w:color w:val="auto"/>
          <w:kern w:val="0"/>
          <w:sz w:val="20"/>
          <w:szCs w:val="20"/>
          <w:highlight w:val="none"/>
        </w:rPr>
      </w:pPr>
    </w:p>
    <w:p w14:paraId="2F06EE71">
      <w:pPr>
        <w:autoSpaceDE w:val="0"/>
        <w:autoSpaceDN w:val="0"/>
        <w:adjustRightInd w:val="0"/>
        <w:snapToGrid w:val="0"/>
        <w:spacing w:line="360" w:lineRule="auto"/>
        <w:rPr>
          <w:rFonts w:ascii="宋体" w:hAnsi="宋体"/>
          <w:color w:val="auto"/>
          <w:kern w:val="0"/>
          <w:sz w:val="20"/>
          <w:szCs w:val="20"/>
          <w:highlight w:val="none"/>
        </w:rPr>
      </w:pPr>
    </w:p>
    <w:p w14:paraId="2ADAB131">
      <w:pPr>
        <w:autoSpaceDE w:val="0"/>
        <w:autoSpaceDN w:val="0"/>
        <w:adjustRightInd w:val="0"/>
        <w:snapToGrid w:val="0"/>
        <w:spacing w:line="360" w:lineRule="auto"/>
        <w:rPr>
          <w:rFonts w:ascii="宋体" w:hAnsi="宋体"/>
          <w:color w:val="auto"/>
          <w:kern w:val="0"/>
          <w:sz w:val="20"/>
          <w:szCs w:val="20"/>
          <w:highlight w:val="none"/>
        </w:rPr>
      </w:pPr>
    </w:p>
    <w:p w14:paraId="42C89F72">
      <w:pPr>
        <w:autoSpaceDE w:val="0"/>
        <w:autoSpaceDN w:val="0"/>
        <w:adjustRightInd w:val="0"/>
        <w:snapToGrid w:val="0"/>
        <w:spacing w:line="360" w:lineRule="auto"/>
        <w:rPr>
          <w:rFonts w:ascii="宋体" w:hAnsi="宋体"/>
          <w:color w:val="auto"/>
          <w:kern w:val="0"/>
          <w:sz w:val="20"/>
          <w:szCs w:val="20"/>
          <w:highlight w:val="none"/>
        </w:rPr>
      </w:pPr>
    </w:p>
    <w:p w14:paraId="39B5FF87">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宋体"/>
          <w:b/>
          <w:bCs/>
          <w:color w:val="auto"/>
          <w:spacing w:val="20"/>
          <w:sz w:val="30"/>
          <w:szCs w:val="30"/>
          <w:highlight w:val="none"/>
        </w:rPr>
        <w:t>比选人：</w:t>
      </w:r>
      <w:r>
        <w:rPr>
          <w:rFonts w:hint="eastAsia" w:ascii="宋体" w:hAnsi="宋体" w:cs="宋体"/>
          <w:b/>
          <w:bCs/>
          <w:color w:val="auto"/>
          <w:sz w:val="30"/>
          <w:szCs w:val="30"/>
          <w:highlight w:val="none"/>
          <w:u w:val="single"/>
          <w:lang w:eastAsia="zh-CN"/>
        </w:rPr>
        <w:t>重庆市南岸城市更新建设发展有限公司</w:t>
      </w:r>
      <w:r>
        <w:rPr>
          <w:rFonts w:hint="eastAsia" w:ascii="宋体" w:hAnsi="宋体" w:cs="宋体"/>
          <w:b/>
          <w:bCs/>
          <w:color w:val="auto"/>
          <w:sz w:val="30"/>
          <w:szCs w:val="30"/>
          <w:highlight w:val="none"/>
          <w:u w:val="single"/>
        </w:rPr>
        <w:t>（</w:t>
      </w:r>
      <w:r>
        <w:rPr>
          <w:rFonts w:ascii="宋体" w:hAnsi="宋体"/>
          <w:b/>
          <w:color w:val="auto"/>
          <w:w w:val="99"/>
          <w:kern w:val="0"/>
          <w:sz w:val="28"/>
          <w:szCs w:val="28"/>
          <w:highlight w:val="none"/>
        </w:rPr>
        <w:t>盖单位法人章）</w:t>
      </w:r>
    </w:p>
    <w:p w14:paraId="2AEA3066">
      <w:pPr>
        <w:tabs>
          <w:tab w:val="left" w:pos="6252"/>
        </w:tabs>
        <w:autoSpaceDE w:val="0"/>
        <w:autoSpaceDN w:val="0"/>
        <w:adjustRightInd w:val="0"/>
        <w:snapToGrid w:val="0"/>
        <w:spacing w:line="360" w:lineRule="auto"/>
        <w:ind w:firstLine="297" w:firstLineChars="100"/>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rPr>
        <w:t>比选代理机构</w:t>
      </w:r>
      <w:r>
        <w:rPr>
          <w:rFonts w:ascii="宋体" w:hAnsi="宋体"/>
          <w:b/>
          <w:color w:val="auto"/>
          <w:spacing w:val="8"/>
          <w:kern w:val="0"/>
          <w:sz w:val="28"/>
          <w:szCs w:val="28"/>
          <w:highlight w:val="none"/>
        </w:rPr>
        <w:t>：</w:t>
      </w:r>
      <w:r>
        <w:rPr>
          <w:rFonts w:hint="eastAsia" w:ascii="宋体" w:hAnsi="宋体" w:cs="宋体"/>
          <w:b/>
          <w:bCs/>
          <w:color w:val="auto"/>
          <w:sz w:val="30"/>
          <w:szCs w:val="30"/>
          <w:highlight w:val="none"/>
          <w:u w:val="single"/>
        </w:rPr>
        <w:t xml:space="preserve">中资（重庆）工程咨询有限公司  </w:t>
      </w:r>
      <w:r>
        <w:rPr>
          <w:rFonts w:ascii="宋体" w:hAnsi="宋体"/>
          <w:b/>
          <w:color w:val="auto"/>
          <w:w w:val="99"/>
          <w:kern w:val="0"/>
          <w:sz w:val="28"/>
          <w:szCs w:val="28"/>
          <w:highlight w:val="none"/>
        </w:rPr>
        <w:t>（盖单位法人章）</w:t>
      </w:r>
    </w:p>
    <w:p w14:paraId="3C2284FA">
      <w:pPr>
        <w:autoSpaceDE w:val="0"/>
        <w:autoSpaceDN w:val="0"/>
        <w:adjustRightInd w:val="0"/>
        <w:snapToGrid w:val="0"/>
        <w:spacing w:line="360" w:lineRule="auto"/>
        <w:jc w:val="center"/>
        <w:rPr>
          <w:rFonts w:ascii="宋体" w:hAnsi="宋体"/>
          <w:b/>
          <w:color w:val="auto"/>
          <w:kern w:val="0"/>
          <w:sz w:val="20"/>
          <w:szCs w:val="20"/>
          <w:highlight w:val="none"/>
        </w:rPr>
      </w:pPr>
    </w:p>
    <w:p w14:paraId="09B815DA">
      <w:pPr>
        <w:autoSpaceDE w:val="0"/>
        <w:autoSpaceDN w:val="0"/>
        <w:adjustRightInd w:val="0"/>
        <w:snapToGrid w:val="0"/>
        <w:spacing w:line="360" w:lineRule="auto"/>
        <w:jc w:val="center"/>
        <w:rPr>
          <w:rFonts w:ascii="宋体" w:hAnsi="宋体"/>
          <w:b/>
          <w:color w:val="auto"/>
          <w:kern w:val="0"/>
          <w:sz w:val="28"/>
          <w:szCs w:val="28"/>
          <w:highlight w:val="none"/>
        </w:rPr>
      </w:pPr>
    </w:p>
    <w:p w14:paraId="58A20F1B">
      <w:pPr>
        <w:autoSpaceDE w:val="0"/>
        <w:autoSpaceDN w:val="0"/>
        <w:adjustRightInd w:val="0"/>
        <w:snapToGrid w:val="0"/>
        <w:spacing w:line="360" w:lineRule="auto"/>
        <w:rPr>
          <w:rFonts w:ascii="宋体" w:hAnsi="宋体"/>
          <w:b/>
          <w:color w:val="auto"/>
          <w:kern w:val="0"/>
          <w:sz w:val="20"/>
          <w:szCs w:val="20"/>
          <w:highlight w:val="none"/>
        </w:rPr>
      </w:pPr>
    </w:p>
    <w:p w14:paraId="3E59E13C">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621766"/>
      <w:bookmarkStart w:id="2" w:name="_Toc536797277"/>
      <w:bookmarkStart w:id="3" w:name="_Toc13210649"/>
      <w:bookmarkStart w:id="4" w:name="_Toc536796736"/>
      <w:bookmarkStart w:id="5" w:name="_Toc509218549"/>
      <w:r>
        <w:rPr>
          <w:rFonts w:hint="eastAsia" w:ascii="宋体" w:hAnsi="宋体"/>
          <w:b/>
          <w:color w:val="auto"/>
          <w:spacing w:val="8"/>
          <w:kern w:val="0"/>
          <w:sz w:val="28"/>
          <w:szCs w:val="28"/>
          <w:highlight w:val="none"/>
          <w:u w:val="single"/>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6</w:t>
      </w:r>
      <w:r>
        <w:rPr>
          <w:rFonts w:ascii="宋体" w:hAnsi="宋体"/>
          <w:b/>
          <w:color w:val="auto"/>
          <w:spacing w:val="8"/>
          <w:kern w:val="0"/>
          <w:sz w:val="28"/>
          <w:szCs w:val="28"/>
          <w:highlight w:val="none"/>
        </w:rPr>
        <w:t>月</w:t>
      </w:r>
      <w:bookmarkEnd w:id="1"/>
      <w:bookmarkEnd w:id="2"/>
      <w:bookmarkEnd w:id="3"/>
      <w:bookmarkEnd w:id="4"/>
      <w:bookmarkEnd w:id="5"/>
    </w:p>
    <w:p w14:paraId="2DD66D65">
      <w:pPr>
        <w:pStyle w:val="3"/>
        <w:spacing w:line="360" w:lineRule="auto"/>
        <w:jc w:val="center"/>
        <w:rPr>
          <w:rFonts w:ascii="宋体" w:hAnsi="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14:paraId="2C373F4A">
      <w:pPr>
        <w:pStyle w:val="119"/>
        <w:jc w:val="center"/>
        <w:rPr>
          <w:rFonts w:ascii="宋体" w:hAnsi="宋体"/>
          <w:color w:val="auto"/>
          <w:sz w:val="44"/>
          <w:szCs w:val="44"/>
          <w:highlight w:val="none"/>
        </w:rPr>
      </w:pPr>
      <w:bookmarkStart w:id="6" w:name="_Toc28843"/>
      <w:bookmarkStart w:id="7" w:name="_Toc5767"/>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5FE5D536">
      <w:pPr>
        <w:pStyle w:val="31"/>
        <w:tabs>
          <w:tab w:val="right" w:leader="dot" w:pos="9459"/>
        </w:tabs>
        <w:rPr>
          <w:rFonts w:ascii="Calibri" w:hAnsi="Calibri"/>
          <w:caps w:val="0"/>
          <w:color w:val="auto"/>
          <w:sz w:val="21"/>
          <w:szCs w:val="2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"_Toc57905810"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一</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_Toc57905810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8BF9F88">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"_Toc57905811" </w:instrText>
      </w:r>
      <w:r>
        <w:rPr>
          <w:color w:val="auto"/>
          <w:highlight w:val="none"/>
        </w:rPr>
        <w:fldChar w:fldCharType="separate"/>
      </w:r>
      <w:r>
        <w:rPr>
          <w:rStyle w:val="54"/>
          <w:rFonts w:hint="eastAsia" w:ascii="宋体" w:hAnsi="宋体"/>
          <w:snapToGrid w:val="0"/>
          <w:color w:val="auto"/>
          <w:kern w:val="0"/>
          <w:highlight w:val="none"/>
        </w:rPr>
        <w:t>第一章</w:t>
      </w:r>
      <w:r>
        <w:rPr>
          <w:rStyle w:val="54"/>
          <w:rFonts w:ascii="宋体" w:hAnsi="宋体"/>
          <w:snapToGrid w:val="0"/>
          <w:color w:val="auto"/>
          <w:kern w:val="0"/>
          <w:highlight w:val="none"/>
        </w:rPr>
        <w:t xml:space="preserve">  </w:t>
      </w:r>
      <w:r>
        <w:rPr>
          <w:rStyle w:val="54"/>
          <w:rFonts w:hint="eastAsia" w:ascii="宋体" w:hAnsi="宋体"/>
          <w:snapToGrid w:val="0"/>
          <w:color w:val="auto"/>
          <w:kern w:val="0"/>
          <w:highlight w:val="none"/>
        </w:rPr>
        <w:t>招标公告</w:t>
      </w:r>
      <w:r>
        <w:rPr>
          <w:color w:val="auto"/>
          <w:highlight w:val="none"/>
        </w:rPr>
        <w:tab/>
      </w:r>
      <w:r>
        <w:rPr>
          <w:color w:val="auto"/>
          <w:highlight w:val="none"/>
        </w:rPr>
        <w:fldChar w:fldCharType="begin"/>
      </w:r>
      <w:r>
        <w:rPr>
          <w:color w:val="auto"/>
          <w:highlight w:val="none"/>
        </w:rPr>
        <w:instrText xml:space="preserve"> PAGEREF _Toc57905811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DD652A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"_Toc57905812"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_Toc57905812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B4E9C0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"_Toc57905813"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项目概况与比选范围</w:t>
      </w:r>
      <w:r>
        <w:rPr>
          <w:color w:val="auto"/>
          <w:highlight w:val="none"/>
        </w:rPr>
        <w:tab/>
      </w:r>
      <w:r>
        <w:rPr>
          <w:color w:val="auto"/>
          <w:highlight w:val="none"/>
        </w:rPr>
        <w:fldChar w:fldCharType="begin"/>
      </w:r>
      <w:r>
        <w:rPr>
          <w:color w:val="auto"/>
          <w:highlight w:val="none"/>
        </w:rPr>
        <w:instrText xml:space="preserve"> PAGEREF _Toc57905813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246089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"_Toc57905814"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竞选人资格要求</w:t>
      </w:r>
      <w:r>
        <w:rPr>
          <w:color w:val="auto"/>
          <w:highlight w:val="none"/>
        </w:rPr>
        <w:tab/>
      </w:r>
      <w:r>
        <w:rPr>
          <w:color w:val="auto"/>
          <w:highlight w:val="none"/>
        </w:rPr>
        <w:fldChar w:fldCharType="begin"/>
      </w:r>
      <w:r>
        <w:rPr>
          <w:color w:val="auto"/>
          <w:highlight w:val="none"/>
        </w:rPr>
        <w:instrText xml:space="preserve"> PAGEREF _Toc57905814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5810C0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"_Toc57905815" </w:instrText>
      </w:r>
      <w:r>
        <w:rPr>
          <w:color w:val="auto"/>
          <w:highlight w:val="none"/>
        </w:rPr>
        <w:fldChar w:fldCharType="separate"/>
      </w:r>
      <w:r>
        <w:rPr>
          <w:rStyle w:val="54"/>
          <w:rFonts w:ascii="宋体" w:hAnsi="宋体"/>
          <w:snapToGrid w:val="0"/>
          <w:color w:val="auto"/>
          <w:highlight w:val="none"/>
        </w:rPr>
        <w:t xml:space="preserve">4.  </w:t>
      </w:r>
      <w:r>
        <w:rPr>
          <w:rStyle w:val="54"/>
          <w:rFonts w:hint="eastAsia" w:ascii="宋体" w:hAnsi="宋体"/>
          <w:snapToGrid w:val="0"/>
          <w:color w:val="auto"/>
          <w:highlight w:val="none"/>
        </w:rPr>
        <w:t>竞选文件的获取</w:t>
      </w:r>
      <w:r>
        <w:rPr>
          <w:color w:val="auto"/>
          <w:highlight w:val="none"/>
        </w:rPr>
        <w:tab/>
      </w:r>
      <w:r>
        <w:rPr>
          <w:color w:val="auto"/>
          <w:highlight w:val="none"/>
        </w:rPr>
        <w:fldChar w:fldCharType="begin"/>
      </w:r>
      <w:r>
        <w:rPr>
          <w:color w:val="auto"/>
          <w:highlight w:val="none"/>
        </w:rPr>
        <w:instrText xml:space="preserve"> PAGEREF _Toc57905815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FB74DD2">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"_Toc57905816" </w:instrText>
      </w:r>
      <w:r>
        <w:rPr>
          <w:color w:val="auto"/>
          <w:highlight w:val="none"/>
        </w:rPr>
        <w:fldChar w:fldCharType="separate"/>
      </w:r>
      <w:r>
        <w:rPr>
          <w:rStyle w:val="54"/>
          <w:rFonts w:ascii="宋体" w:hAnsi="宋体"/>
          <w:snapToGrid w:val="0"/>
          <w:color w:val="auto"/>
          <w:highlight w:val="none"/>
        </w:rPr>
        <w:t xml:space="preserve">5.  </w:t>
      </w:r>
      <w:r>
        <w:rPr>
          <w:rStyle w:val="54"/>
          <w:rFonts w:hint="eastAsia" w:ascii="宋体" w:hAnsi="宋体"/>
          <w:snapToGrid w:val="0"/>
          <w:color w:val="auto"/>
          <w:highlight w:val="none"/>
        </w:rPr>
        <w:t>竞选文件的递交</w:t>
      </w:r>
      <w:r>
        <w:rPr>
          <w:color w:val="auto"/>
          <w:highlight w:val="none"/>
        </w:rPr>
        <w:tab/>
      </w:r>
      <w:r>
        <w:rPr>
          <w:color w:val="auto"/>
          <w:highlight w:val="none"/>
        </w:rPr>
        <w:fldChar w:fldCharType="begin"/>
      </w:r>
      <w:r>
        <w:rPr>
          <w:color w:val="auto"/>
          <w:highlight w:val="none"/>
        </w:rPr>
        <w:instrText xml:space="preserve"> PAGEREF _Toc57905816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0C74AF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"_Toc57905817" </w:instrText>
      </w:r>
      <w:r>
        <w:rPr>
          <w:color w:val="auto"/>
          <w:highlight w:val="none"/>
        </w:rPr>
        <w:fldChar w:fldCharType="separate"/>
      </w:r>
      <w:r>
        <w:rPr>
          <w:rStyle w:val="54"/>
          <w:rFonts w:ascii="宋体" w:hAnsi="宋体"/>
          <w:snapToGrid w:val="0"/>
          <w:color w:val="auto"/>
          <w:highlight w:val="none"/>
        </w:rPr>
        <w:t xml:space="preserve">6.  </w:t>
      </w:r>
      <w:r>
        <w:rPr>
          <w:rStyle w:val="54"/>
          <w:rFonts w:hint="eastAsia" w:ascii="宋体" w:hAnsi="宋体"/>
          <w:snapToGrid w:val="0"/>
          <w:color w:val="auto"/>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_Toc57905817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78224A4">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"_Toc57905818" </w:instrText>
      </w:r>
      <w:r>
        <w:rPr>
          <w:color w:val="auto"/>
          <w:highlight w:val="none"/>
        </w:rPr>
        <w:fldChar w:fldCharType="separate"/>
      </w:r>
      <w:r>
        <w:rPr>
          <w:rStyle w:val="54"/>
          <w:rFonts w:ascii="宋体" w:hAnsi="宋体"/>
          <w:snapToGrid w:val="0"/>
          <w:color w:val="auto"/>
          <w:highlight w:val="none"/>
        </w:rPr>
        <w:t xml:space="preserve">7.  </w:t>
      </w:r>
      <w:r>
        <w:rPr>
          <w:rStyle w:val="54"/>
          <w:rFonts w:hint="eastAsia" w:ascii="宋体" w:hAnsi="宋体"/>
          <w:snapToGrid w:val="0"/>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_Toc57905818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D722864">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"_Toc57905828" </w:instrText>
      </w:r>
      <w:r>
        <w:rPr>
          <w:color w:val="auto"/>
          <w:highlight w:val="none"/>
        </w:rPr>
        <w:fldChar w:fldCharType="separate"/>
      </w:r>
      <w:r>
        <w:rPr>
          <w:rStyle w:val="54"/>
          <w:rFonts w:hint="eastAsia" w:ascii="宋体" w:hAnsi="宋体"/>
          <w:snapToGrid w:val="0"/>
          <w:color w:val="auto"/>
          <w:kern w:val="0"/>
          <w:highlight w:val="none"/>
        </w:rPr>
        <w:t>第二章</w:t>
      </w:r>
      <w:r>
        <w:rPr>
          <w:rStyle w:val="54"/>
          <w:rFonts w:ascii="宋体" w:hAnsi="宋体"/>
          <w:snapToGrid w:val="0"/>
          <w:color w:val="auto"/>
          <w:kern w:val="0"/>
          <w:highlight w:val="none"/>
        </w:rPr>
        <w:t xml:space="preserve">  </w:t>
      </w:r>
      <w:r>
        <w:rPr>
          <w:rStyle w:val="54"/>
          <w:rFonts w:hint="eastAsia" w:ascii="宋体" w:hAnsi="宋体"/>
          <w:snapToGrid w:val="0"/>
          <w:color w:val="auto"/>
          <w:kern w:val="0"/>
          <w:highlight w:val="none"/>
        </w:rPr>
        <w:t>竞选人须知</w:t>
      </w:r>
      <w:r>
        <w:rPr>
          <w:color w:val="auto"/>
          <w:highlight w:val="none"/>
        </w:rPr>
        <w:tab/>
      </w:r>
      <w:r>
        <w:rPr>
          <w:color w:val="auto"/>
          <w:highlight w:val="none"/>
        </w:rPr>
        <w:fldChar w:fldCharType="begin"/>
      </w:r>
      <w:r>
        <w:rPr>
          <w:color w:val="auto"/>
          <w:highlight w:val="none"/>
        </w:rPr>
        <w:instrText xml:space="preserve"> PAGEREF _Toc57905828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10967B6">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"_Toc57905829" </w:instrText>
      </w:r>
      <w:r>
        <w:rPr>
          <w:color w:val="auto"/>
          <w:highlight w:val="none"/>
        </w:rPr>
        <w:fldChar w:fldCharType="separate"/>
      </w:r>
      <w:r>
        <w:rPr>
          <w:rStyle w:val="54"/>
          <w:rFonts w:hint="eastAsia" w:ascii="宋体" w:hAnsi="宋体"/>
          <w:color w:val="auto"/>
          <w:highlight w:val="none"/>
        </w:rPr>
        <w:t>竞选人须知前附表</w:t>
      </w:r>
      <w:r>
        <w:rPr>
          <w:color w:val="auto"/>
          <w:highlight w:val="none"/>
        </w:rPr>
        <w:tab/>
      </w:r>
      <w:r>
        <w:rPr>
          <w:color w:val="auto"/>
          <w:highlight w:val="none"/>
        </w:rPr>
        <w:fldChar w:fldCharType="begin"/>
      </w:r>
      <w:r>
        <w:rPr>
          <w:color w:val="auto"/>
          <w:highlight w:val="none"/>
        </w:rPr>
        <w:instrText xml:space="preserve"> PAGEREF _Toc57905829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D88254F">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"_Toc57905830"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_Toc57905830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C152D67">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"_Toc57905831" </w:instrText>
      </w:r>
      <w:r>
        <w:rPr>
          <w:color w:val="auto"/>
          <w:highlight w:val="none"/>
        </w:rPr>
        <w:fldChar w:fldCharType="separate"/>
      </w:r>
      <w:r>
        <w:rPr>
          <w:rStyle w:val="54"/>
          <w:rFonts w:ascii="宋体" w:hAnsi="宋体"/>
          <w:i w:val="0"/>
          <w:snapToGrid w:val="0"/>
          <w:color w:val="auto"/>
          <w:highlight w:val="none"/>
        </w:rPr>
        <w:t xml:space="preserve">1.1  </w:t>
      </w:r>
      <w:r>
        <w:rPr>
          <w:rStyle w:val="54"/>
          <w:rFonts w:hint="eastAsia" w:ascii="宋体" w:hAnsi="宋体"/>
          <w:i w:val="0"/>
          <w:snapToGrid w:val="0"/>
          <w:color w:val="auto"/>
          <w:highlight w:val="none"/>
        </w:rPr>
        <w:t>项目概况</w:t>
      </w:r>
      <w:r>
        <w:rPr>
          <w:i w:val="0"/>
          <w:color w:val="auto"/>
          <w:highlight w:val="none"/>
        </w:rPr>
        <w:tab/>
      </w:r>
      <w:r>
        <w:rPr>
          <w:i w:val="0"/>
          <w:color w:val="auto"/>
          <w:highlight w:val="none"/>
        </w:rPr>
        <w:fldChar w:fldCharType="begin"/>
      </w:r>
      <w:r>
        <w:rPr>
          <w:i w:val="0"/>
          <w:color w:val="auto"/>
          <w:highlight w:val="none"/>
        </w:rPr>
        <w:instrText xml:space="preserve"> PAGEREF _Toc57905831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6DC5C9B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"_Toc57905832" </w:instrText>
      </w:r>
      <w:r>
        <w:rPr>
          <w:color w:val="auto"/>
          <w:highlight w:val="none"/>
        </w:rPr>
        <w:fldChar w:fldCharType="separate"/>
      </w:r>
      <w:r>
        <w:rPr>
          <w:rStyle w:val="54"/>
          <w:rFonts w:ascii="宋体" w:hAnsi="宋体"/>
          <w:i w:val="0"/>
          <w:snapToGrid w:val="0"/>
          <w:color w:val="auto"/>
          <w:highlight w:val="none"/>
        </w:rPr>
        <w:t xml:space="preserve">1.2  </w:t>
      </w:r>
      <w:r>
        <w:rPr>
          <w:rStyle w:val="54"/>
          <w:rFonts w:hint="eastAsia" w:ascii="宋体" w:hAnsi="宋体"/>
          <w:i w:val="0"/>
          <w:snapToGrid w:val="0"/>
          <w:color w:val="auto"/>
          <w:highlight w:val="none"/>
        </w:rPr>
        <w:t>资金来源和落实情况</w:t>
      </w:r>
      <w:r>
        <w:rPr>
          <w:i w:val="0"/>
          <w:color w:val="auto"/>
          <w:highlight w:val="none"/>
        </w:rPr>
        <w:tab/>
      </w:r>
      <w:r>
        <w:rPr>
          <w:i w:val="0"/>
          <w:color w:val="auto"/>
          <w:highlight w:val="none"/>
        </w:rPr>
        <w:fldChar w:fldCharType="begin"/>
      </w:r>
      <w:r>
        <w:rPr>
          <w:i w:val="0"/>
          <w:color w:val="auto"/>
          <w:highlight w:val="none"/>
        </w:rPr>
        <w:instrText xml:space="preserve"> PAGEREF _Toc57905832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3F4F681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"_Toc57905833" </w:instrText>
      </w:r>
      <w:r>
        <w:rPr>
          <w:color w:val="auto"/>
          <w:highlight w:val="none"/>
        </w:rPr>
        <w:fldChar w:fldCharType="separate"/>
      </w:r>
      <w:r>
        <w:rPr>
          <w:rStyle w:val="54"/>
          <w:rFonts w:ascii="宋体" w:hAnsi="宋体"/>
          <w:i w:val="0"/>
          <w:snapToGrid w:val="0"/>
          <w:color w:val="auto"/>
          <w:highlight w:val="none"/>
        </w:rPr>
        <w:t xml:space="preserve">1.3  </w:t>
      </w:r>
      <w:r>
        <w:rPr>
          <w:rStyle w:val="54"/>
          <w:rFonts w:hint="eastAsia" w:ascii="宋体" w:hAnsi="宋体"/>
          <w:i w:val="0"/>
          <w:snapToGrid w:val="0"/>
          <w:color w:val="auto"/>
          <w:highlight w:val="none"/>
        </w:rPr>
        <w:t>比选范围、计划工期和质量要求</w:t>
      </w:r>
      <w:r>
        <w:rPr>
          <w:i w:val="0"/>
          <w:color w:val="auto"/>
          <w:highlight w:val="none"/>
        </w:rPr>
        <w:tab/>
      </w:r>
      <w:r>
        <w:rPr>
          <w:i w:val="0"/>
          <w:color w:val="auto"/>
          <w:highlight w:val="none"/>
        </w:rPr>
        <w:fldChar w:fldCharType="begin"/>
      </w:r>
      <w:r>
        <w:rPr>
          <w:i w:val="0"/>
          <w:color w:val="auto"/>
          <w:highlight w:val="none"/>
        </w:rPr>
        <w:instrText xml:space="preserve"> PAGEREF _Toc57905833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111EB8E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"_Toc57905834" </w:instrText>
      </w:r>
      <w:r>
        <w:rPr>
          <w:color w:val="auto"/>
          <w:highlight w:val="none"/>
        </w:rPr>
        <w:fldChar w:fldCharType="separate"/>
      </w:r>
      <w:r>
        <w:rPr>
          <w:rStyle w:val="54"/>
          <w:rFonts w:ascii="宋体" w:hAnsi="宋体"/>
          <w:i w:val="0"/>
          <w:snapToGrid w:val="0"/>
          <w:color w:val="auto"/>
          <w:highlight w:val="none"/>
        </w:rPr>
        <w:t xml:space="preserve">1.4A  </w:t>
      </w:r>
      <w:r>
        <w:rPr>
          <w:rStyle w:val="54"/>
          <w:rFonts w:hint="eastAsia" w:ascii="宋体" w:hAnsi="宋体"/>
          <w:i w:val="0"/>
          <w:snapToGrid w:val="0"/>
          <w:color w:val="auto"/>
          <w:highlight w:val="none"/>
        </w:rPr>
        <w:t>竞选人资格要求（适用于已进行资格预审的）</w:t>
      </w:r>
      <w:r>
        <w:rPr>
          <w:i w:val="0"/>
          <w:color w:val="auto"/>
          <w:highlight w:val="none"/>
        </w:rPr>
        <w:tab/>
      </w:r>
      <w:r>
        <w:rPr>
          <w:i w:val="0"/>
          <w:color w:val="auto"/>
          <w:highlight w:val="none"/>
        </w:rPr>
        <w:fldChar w:fldCharType="begin"/>
      </w:r>
      <w:r>
        <w:rPr>
          <w:i w:val="0"/>
          <w:color w:val="auto"/>
          <w:highlight w:val="none"/>
        </w:rPr>
        <w:instrText xml:space="preserve"> PAGEREF _Toc57905834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3B84FA6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"_Toc57905835" </w:instrText>
      </w:r>
      <w:r>
        <w:rPr>
          <w:color w:val="auto"/>
          <w:highlight w:val="none"/>
        </w:rPr>
        <w:fldChar w:fldCharType="separate"/>
      </w:r>
      <w:r>
        <w:rPr>
          <w:rStyle w:val="54"/>
          <w:rFonts w:ascii="宋体" w:hAnsi="宋体"/>
          <w:i w:val="0"/>
          <w:snapToGrid w:val="0"/>
          <w:color w:val="auto"/>
          <w:highlight w:val="none"/>
        </w:rPr>
        <w:t xml:space="preserve">1.4B  </w:t>
      </w:r>
      <w:r>
        <w:rPr>
          <w:rStyle w:val="54"/>
          <w:rFonts w:hint="eastAsia" w:ascii="宋体" w:hAnsi="宋体"/>
          <w:i w:val="0"/>
          <w:snapToGrid w:val="0"/>
          <w:color w:val="auto"/>
          <w:highlight w:val="none"/>
        </w:rPr>
        <w:t>竞选人资格要求（适用于未进行资格预审的）</w:t>
      </w:r>
      <w:r>
        <w:rPr>
          <w:i w:val="0"/>
          <w:color w:val="auto"/>
          <w:highlight w:val="none"/>
        </w:rPr>
        <w:tab/>
      </w:r>
      <w:r>
        <w:rPr>
          <w:i w:val="0"/>
          <w:color w:val="auto"/>
          <w:highlight w:val="none"/>
        </w:rPr>
        <w:fldChar w:fldCharType="begin"/>
      </w:r>
      <w:r>
        <w:rPr>
          <w:i w:val="0"/>
          <w:color w:val="auto"/>
          <w:highlight w:val="none"/>
        </w:rPr>
        <w:instrText xml:space="preserve"> PAGEREF _Toc57905835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62B08E7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"_Toc57905836" </w:instrText>
      </w:r>
      <w:r>
        <w:rPr>
          <w:color w:val="auto"/>
          <w:highlight w:val="none"/>
        </w:rPr>
        <w:fldChar w:fldCharType="separate"/>
      </w:r>
      <w:r>
        <w:rPr>
          <w:rStyle w:val="54"/>
          <w:rFonts w:ascii="宋体" w:hAnsi="宋体"/>
          <w:i w:val="0"/>
          <w:snapToGrid w:val="0"/>
          <w:color w:val="auto"/>
          <w:highlight w:val="none"/>
        </w:rPr>
        <w:t xml:space="preserve">1.5  </w:t>
      </w:r>
      <w:r>
        <w:rPr>
          <w:rStyle w:val="54"/>
          <w:rFonts w:hint="eastAsia" w:ascii="宋体" w:hAnsi="宋体"/>
          <w:i w:val="0"/>
          <w:snapToGrid w:val="0"/>
          <w:color w:val="auto"/>
          <w:highlight w:val="none"/>
        </w:rPr>
        <w:t>费用承担</w:t>
      </w:r>
      <w:r>
        <w:rPr>
          <w:i w:val="0"/>
          <w:color w:val="auto"/>
          <w:highlight w:val="none"/>
        </w:rPr>
        <w:tab/>
      </w:r>
      <w:r>
        <w:rPr>
          <w:i w:val="0"/>
          <w:color w:val="auto"/>
          <w:highlight w:val="none"/>
        </w:rPr>
        <w:fldChar w:fldCharType="begin"/>
      </w:r>
      <w:r>
        <w:rPr>
          <w:i w:val="0"/>
          <w:color w:val="auto"/>
          <w:highlight w:val="none"/>
        </w:rPr>
        <w:instrText xml:space="preserve"> PAGEREF _Toc57905836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6B3789B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"_Toc57905837" </w:instrText>
      </w:r>
      <w:r>
        <w:rPr>
          <w:color w:val="auto"/>
          <w:highlight w:val="none"/>
        </w:rPr>
        <w:fldChar w:fldCharType="separate"/>
      </w:r>
      <w:r>
        <w:rPr>
          <w:rStyle w:val="54"/>
          <w:rFonts w:ascii="宋体" w:hAnsi="宋体"/>
          <w:i w:val="0"/>
          <w:snapToGrid w:val="0"/>
          <w:color w:val="auto"/>
          <w:highlight w:val="none"/>
        </w:rPr>
        <w:t xml:space="preserve">1.6  </w:t>
      </w:r>
      <w:r>
        <w:rPr>
          <w:rStyle w:val="54"/>
          <w:rFonts w:hint="eastAsia" w:ascii="宋体" w:hAnsi="宋体"/>
          <w:i w:val="0"/>
          <w:snapToGrid w:val="0"/>
          <w:color w:val="auto"/>
          <w:highlight w:val="none"/>
        </w:rPr>
        <w:t>保密</w:t>
      </w:r>
      <w:r>
        <w:rPr>
          <w:i w:val="0"/>
          <w:color w:val="auto"/>
          <w:highlight w:val="none"/>
        </w:rPr>
        <w:tab/>
      </w:r>
      <w:r>
        <w:rPr>
          <w:i w:val="0"/>
          <w:color w:val="auto"/>
          <w:highlight w:val="none"/>
        </w:rPr>
        <w:fldChar w:fldCharType="begin"/>
      </w:r>
      <w:r>
        <w:rPr>
          <w:i w:val="0"/>
          <w:color w:val="auto"/>
          <w:highlight w:val="none"/>
        </w:rPr>
        <w:instrText xml:space="preserve"> PAGEREF _Toc57905837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6F68CE5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"_Toc57905838" </w:instrText>
      </w:r>
      <w:r>
        <w:rPr>
          <w:color w:val="auto"/>
          <w:highlight w:val="none"/>
        </w:rPr>
        <w:fldChar w:fldCharType="separate"/>
      </w:r>
      <w:r>
        <w:rPr>
          <w:rStyle w:val="54"/>
          <w:rFonts w:ascii="宋体" w:hAnsi="宋体"/>
          <w:i w:val="0"/>
          <w:snapToGrid w:val="0"/>
          <w:color w:val="auto"/>
          <w:highlight w:val="none"/>
        </w:rPr>
        <w:t xml:space="preserve">1.7  </w:t>
      </w:r>
      <w:r>
        <w:rPr>
          <w:rStyle w:val="54"/>
          <w:rFonts w:hint="eastAsia" w:ascii="宋体" w:hAnsi="宋体"/>
          <w:i w:val="0"/>
          <w:snapToGrid w:val="0"/>
          <w:color w:val="auto"/>
          <w:highlight w:val="none"/>
        </w:rPr>
        <w:t>语言文字</w:t>
      </w:r>
      <w:r>
        <w:rPr>
          <w:i w:val="0"/>
          <w:color w:val="auto"/>
          <w:highlight w:val="none"/>
        </w:rPr>
        <w:tab/>
      </w:r>
      <w:r>
        <w:rPr>
          <w:i w:val="0"/>
          <w:color w:val="auto"/>
          <w:highlight w:val="none"/>
        </w:rPr>
        <w:fldChar w:fldCharType="begin"/>
      </w:r>
      <w:r>
        <w:rPr>
          <w:i w:val="0"/>
          <w:color w:val="auto"/>
          <w:highlight w:val="none"/>
        </w:rPr>
        <w:instrText xml:space="preserve"> PAGEREF _Toc57905838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5614854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"_Toc57905839" </w:instrText>
      </w:r>
      <w:r>
        <w:rPr>
          <w:color w:val="auto"/>
          <w:highlight w:val="none"/>
        </w:rPr>
        <w:fldChar w:fldCharType="separate"/>
      </w:r>
      <w:r>
        <w:rPr>
          <w:rStyle w:val="54"/>
          <w:rFonts w:ascii="宋体" w:hAnsi="宋体"/>
          <w:i w:val="0"/>
          <w:snapToGrid w:val="0"/>
          <w:color w:val="auto"/>
          <w:highlight w:val="none"/>
        </w:rPr>
        <w:t xml:space="preserve">1.8  </w:t>
      </w:r>
      <w:r>
        <w:rPr>
          <w:rStyle w:val="54"/>
          <w:rFonts w:hint="eastAsia" w:ascii="宋体" w:hAnsi="宋体"/>
          <w:i w:val="0"/>
          <w:snapToGrid w:val="0"/>
          <w:color w:val="auto"/>
          <w:highlight w:val="none"/>
        </w:rPr>
        <w:t>计量单位</w:t>
      </w:r>
      <w:r>
        <w:rPr>
          <w:i w:val="0"/>
          <w:color w:val="auto"/>
          <w:highlight w:val="none"/>
        </w:rPr>
        <w:tab/>
      </w:r>
      <w:r>
        <w:rPr>
          <w:i w:val="0"/>
          <w:color w:val="auto"/>
          <w:highlight w:val="none"/>
        </w:rPr>
        <w:fldChar w:fldCharType="begin"/>
      </w:r>
      <w:r>
        <w:rPr>
          <w:i w:val="0"/>
          <w:color w:val="auto"/>
          <w:highlight w:val="none"/>
        </w:rPr>
        <w:instrText xml:space="preserve"> PAGEREF _Toc57905839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3FF420A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"_Toc57905840" </w:instrText>
      </w:r>
      <w:r>
        <w:rPr>
          <w:color w:val="auto"/>
          <w:highlight w:val="none"/>
        </w:rPr>
        <w:fldChar w:fldCharType="separate"/>
      </w:r>
      <w:r>
        <w:rPr>
          <w:rStyle w:val="54"/>
          <w:rFonts w:ascii="宋体" w:hAnsi="宋体"/>
          <w:i w:val="0"/>
          <w:snapToGrid w:val="0"/>
          <w:color w:val="auto"/>
          <w:highlight w:val="none"/>
        </w:rPr>
        <w:t xml:space="preserve">1.9  </w:t>
      </w:r>
      <w:r>
        <w:rPr>
          <w:rStyle w:val="54"/>
          <w:rFonts w:hint="eastAsia" w:ascii="宋体" w:hAnsi="宋体"/>
          <w:i w:val="0"/>
          <w:snapToGrid w:val="0"/>
          <w:color w:val="auto"/>
          <w:highlight w:val="none"/>
        </w:rPr>
        <w:t>踏勘现场</w:t>
      </w:r>
      <w:r>
        <w:rPr>
          <w:i w:val="0"/>
          <w:color w:val="auto"/>
          <w:highlight w:val="none"/>
        </w:rPr>
        <w:tab/>
      </w:r>
      <w:r>
        <w:rPr>
          <w:i w:val="0"/>
          <w:color w:val="auto"/>
          <w:highlight w:val="none"/>
        </w:rPr>
        <w:fldChar w:fldCharType="begin"/>
      </w:r>
      <w:r>
        <w:rPr>
          <w:i w:val="0"/>
          <w:color w:val="auto"/>
          <w:highlight w:val="none"/>
        </w:rPr>
        <w:instrText xml:space="preserve"> PAGEREF _Toc57905840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376745D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"_Toc57905841" </w:instrText>
      </w:r>
      <w:r>
        <w:rPr>
          <w:color w:val="auto"/>
          <w:highlight w:val="none"/>
        </w:rPr>
        <w:fldChar w:fldCharType="separate"/>
      </w:r>
      <w:r>
        <w:rPr>
          <w:rStyle w:val="54"/>
          <w:rFonts w:ascii="宋体" w:hAnsi="宋体"/>
          <w:i w:val="0"/>
          <w:snapToGrid w:val="0"/>
          <w:color w:val="auto"/>
          <w:highlight w:val="none"/>
        </w:rPr>
        <w:t xml:space="preserve">1.10  </w:t>
      </w:r>
      <w:r>
        <w:rPr>
          <w:rStyle w:val="54"/>
          <w:rFonts w:hint="eastAsia" w:ascii="宋体" w:hAnsi="宋体"/>
          <w:i w:val="0"/>
          <w:snapToGrid w:val="0"/>
          <w:color w:val="auto"/>
          <w:highlight w:val="none"/>
        </w:rPr>
        <w:t>投标预备会</w:t>
      </w:r>
      <w:r>
        <w:rPr>
          <w:i w:val="0"/>
          <w:color w:val="auto"/>
          <w:highlight w:val="none"/>
        </w:rPr>
        <w:tab/>
      </w:r>
      <w:r>
        <w:rPr>
          <w:i w:val="0"/>
          <w:color w:val="auto"/>
          <w:highlight w:val="none"/>
        </w:rPr>
        <w:fldChar w:fldCharType="begin"/>
      </w:r>
      <w:r>
        <w:rPr>
          <w:i w:val="0"/>
          <w:color w:val="auto"/>
          <w:highlight w:val="none"/>
        </w:rPr>
        <w:instrText xml:space="preserve"> PAGEREF _Toc57905841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3711CBF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"_Toc57905842" </w:instrText>
      </w:r>
      <w:r>
        <w:rPr>
          <w:color w:val="auto"/>
          <w:highlight w:val="none"/>
        </w:rPr>
        <w:fldChar w:fldCharType="separate"/>
      </w:r>
      <w:r>
        <w:rPr>
          <w:rStyle w:val="54"/>
          <w:rFonts w:ascii="宋体" w:hAnsi="宋体"/>
          <w:i w:val="0"/>
          <w:snapToGrid w:val="0"/>
          <w:color w:val="auto"/>
          <w:highlight w:val="none"/>
        </w:rPr>
        <w:t xml:space="preserve">1.11  </w:t>
      </w:r>
      <w:r>
        <w:rPr>
          <w:rStyle w:val="54"/>
          <w:rFonts w:hint="eastAsia" w:ascii="宋体" w:hAnsi="宋体"/>
          <w:i w:val="0"/>
          <w:snapToGrid w:val="0"/>
          <w:color w:val="auto"/>
          <w:highlight w:val="none"/>
        </w:rPr>
        <w:t>分包</w:t>
      </w:r>
      <w:r>
        <w:rPr>
          <w:i w:val="0"/>
          <w:color w:val="auto"/>
          <w:highlight w:val="none"/>
        </w:rPr>
        <w:tab/>
      </w:r>
      <w:r>
        <w:rPr>
          <w:i w:val="0"/>
          <w:color w:val="auto"/>
          <w:highlight w:val="none"/>
        </w:rPr>
        <w:fldChar w:fldCharType="begin"/>
      </w:r>
      <w:r>
        <w:rPr>
          <w:i w:val="0"/>
          <w:color w:val="auto"/>
          <w:highlight w:val="none"/>
        </w:rPr>
        <w:instrText xml:space="preserve"> PAGEREF _Toc57905842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215CC8D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"_Toc57905843" </w:instrText>
      </w:r>
      <w:r>
        <w:rPr>
          <w:color w:val="auto"/>
          <w:highlight w:val="none"/>
        </w:rPr>
        <w:fldChar w:fldCharType="separate"/>
      </w:r>
      <w:r>
        <w:rPr>
          <w:rStyle w:val="54"/>
          <w:rFonts w:ascii="宋体" w:hAnsi="宋体"/>
          <w:i w:val="0"/>
          <w:snapToGrid w:val="0"/>
          <w:color w:val="auto"/>
          <w:highlight w:val="none"/>
        </w:rPr>
        <w:t xml:space="preserve">1.12  </w:t>
      </w:r>
      <w:r>
        <w:rPr>
          <w:rStyle w:val="54"/>
          <w:rFonts w:hint="eastAsia" w:ascii="宋体" w:hAnsi="宋体"/>
          <w:i w:val="0"/>
          <w:snapToGrid w:val="0"/>
          <w:color w:val="auto"/>
          <w:highlight w:val="none"/>
        </w:rPr>
        <w:t>偏离</w:t>
      </w:r>
      <w:r>
        <w:rPr>
          <w:i w:val="0"/>
          <w:color w:val="auto"/>
          <w:highlight w:val="none"/>
        </w:rPr>
        <w:tab/>
      </w:r>
      <w:r>
        <w:rPr>
          <w:i w:val="0"/>
          <w:color w:val="auto"/>
          <w:highlight w:val="none"/>
        </w:rPr>
        <w:fldChar w:fldCharType="begin"/>
      </w:r>
      <w:r>
        <w:rPr>
          <w:i w:val="0"/>
          <w:color w:val="auto"/>
          <w:highlight w:val="none"/>
        </w:rPr>
        <w:instrText xml:space="preserve"> PAGEREF _Toc57905843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25D8592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"_Toc57905844"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竞选文件</w:t>
      </w:r>
      <w:r>
        <w:rPr>
          <w:color w:val="auto"/>
          <w:highlight w:val="none"/>
        </w:rPr>
        <w:tab/>
      </w:r>
      <w:r>
        <w:rPr>
          <w:color w:val="auto"/>
          <w:highlight w:val="none"/>
        </w:rPr>
        <w:fldChar w:fldCharType="begin"/>
      </w:r>
      <w:r>
        <w:rPr>
          <w:color w:val="auto"/>
          <w:highlight w:val="none"/>
        </w:rPr>
        <w:instrText xml:space="preserve"> PAGEREF _Toc57905844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0448EC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"_Toc57905845" </w:instrText>
      </w:r>
      <w:r>
        <w:rPr>
          <w:color w:val="auto"/>
          <w:highlight w:val="none"/>
        </w:rPr>
        <w:fldChar w:fldCharType="separate"/>
      </w:r>
      <w:r>
        <w:rPr>
          <w:rStyle w:val="54"/>
          <w:rFonts w:ascii="宋体" w:hAnsi="宋体"/>
          <w:i w:val="0"/>
          <w:snapToGrid w:val="0"/>
          <w:color w:val="auto"/>
          <w:highlight w:val="none"/>
        </w:rPr>
        <w:t xml:space="preserve">2.1  </w:t>
      </w:r>
      <w:r>
        <w:rPr>
          <w:rStyle w:val="54"/>
          <w:rFonts w:hint="eastAsia" w:ascii="宋体" w:hAnsi="宋体"/>
          <w:i w:val="0"/>
          <w:snapToGrid w:val="0"/>
          <w:color w:val="auto"/>
          <w:highlight w:val="none"/>
        </w:rPr>
        <w:t>竞选文件的组成</w:t>
      </w:r>
      <w:r>
        <w:rPr>
          <w:i w:val="0"/>
          <w:color w:val="auto"/>
          <w:highlight w:val="none"/>
        </w:rPr>
        <w:tab/>
      </w:r>
      <w:r>
        <w:rPr>
          <w:i w:val="0"/>
          <w:color w:val="auto"/>
          <w:highlight w:val="none"/>
        </w:rPr>
        <w:fldChar w:fldCharType="begin"/>
      </w:r>
      <w:r>
        <w:rPr>
          <w:i w:val="0"/>
          <w:color w:val="auto"/>
          <w:highlight w:val="none"/>
        </w:rPr>
        <w:instrText xml:space="preserve"> PAGEREF _Toc57905845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3EF90C6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"_Toc57905846" </w:instrText>
      </w:r>
      <w:r>
        <w:rPr>
          <w:color w:val="auto"/>
          <w:highlight w:val="none"/>
        </w:rPr>
        <w:fldChar w:fldCharType="separate"/>
      </w:r>
      <w:r>
        <w:rPr>
          <w:rStyle w:val="54"/>
          <w:rFonts w:ascii="宋体" w:hAnsi="宋体"/>
          <w:i w:val="0"/>
          <w:snapToGrid w:val="0"/>
          <w:color w:val="auto"/>
          <w:highlight w:val="none"/>
        </w:rPr>
        <w:t xml:space="preserve">2.2  </w:t>
      </w:r>
      <w:r>
        <w:rPr>
          <w:rStyle w:val="54"/>
          <w:rFonts w:hint="eastAsia" w:ascii="宋体" w:hAnsi="宋体"/>
          <w:i w:val="0"/>
          <w:snapToGrid w:val="0"/>
          <w:color w:val="auto"/>
          <w:highlight w:val="none"/>
        </w:rPr>
        <w:t>竞选文件的澄清</w:t>
      </w:r>
      <w:r>
        <w:rPr>
          <w:i w:val="0"/>
          <w:color w:val="auto"/>
          <w:highlight w:val="none"/>
        </w:rPr>
        <w:tab/>
      </w:r>
      <w:r>
        <w:rPr>
          <w:i w:val="0"/>
          <w:color w:val="auto"/>
          <w:highlight w:val="none"/>
        </w:rPr>
        <w:fldChar w:fldCharType="begin"/>
      </w:r>
      <w:r>
        <w:rPr>
          <w:i w:val="0"/>
          <w:color w:val="auto"/>
          <w:highlight w:val="none"/>
        </w:rPr>
        <w:instrText xml:space="preserve"> PAGEREF _Toc57905846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6FF89D9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"_Toc57905847" </w:instrText>
      </w:r>
      <w:r>
        <w:rPr>
          <w:color w:val="auto"/>
          <w:highlight w:val="none"/>
        </w:rPr>
        <w:fldChar w:fldCharType="separate"/>
      </w:r>
      <w:r>
        <w:rPr>
          <w:rStyle w:val="54"/>
          <w:rFonts w:ascii="宋体" w:hAnsi="宋体"/>
          <w:i w:val="0"/>
          <w:snapToGrid w:val="0"/>
          <w:color w:val="auto"/>
          <w:highlight w:val="none"/>
        </w:rPr>
        <w:t xml:space="preserve">2.3  </w:t>
      </w:r>
      <w:r>
        <w:rPr>
          <w:rStyle w:val="54"/>
          <w:rFonts w:hint="eastAsia" w:ascii="宋体" w:hAnsi="宋体"/>
          <w:i w:val="0"/>
          <w:snapToGrid w:val="0"/>
          <w:color w:val="auto"/>
          <w:highlight w:val="none"/>
        </w:rPr>
        <w:t>竞选文件的修改</w:t>
      </w:r>
      <w:r>
        <w:rPr>
          <w:i w:val="0"/>
          <w:color w:val="auto"/>
          <w:highlight w:val="none"/>
        </w:rPr>
        <w:tab/>
      </w:r>
      <w:r>
        <w:rPr>
          <w:i w:val="0"/>
          <w:color w:val="auto"/>
          <w:highlight w:val="none"/>
        </w:rPr>
        <w:fldChar w:fldCharType="begin"/>
      </w:r>
      <w:r>
        <w:rPr>
          <w:i w:val="0"/>
          <w:color w:val="auto"/>
          <w:highlight w:val="none"/>
        </w:rPr>
        <w:instrText xml:space="preserve"> PAGEREF _Toc57905847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5DA2FD4D">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"_Toc57905848"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竞选文件</w:t>
      </w:r>
      <w:r>
        <w:rPr>
          <w:color w:val="auto"/>
          <w:highlight w:val="none"/>
        </w:rPr>
        <w:tab/>
      </w:r>
      <w:r>
        <w:rPr>
          <w:color w:val="auto"/>
          <w:highlight w:val="none"/>
        </w:rPr>
        <w:fldChar w:fldCharType="begin"/>
      </w:r>
      <w:r>
        <w:rPr>
          <w:color w:val="auto"/>
          <w:highlight w:val="none"/>
        </w:rPr>
        <w:instrText xml:space="preserve"> PAGEREF _Toc57905848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F567AC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"_Toc57905849" </w:instrText>
      </w:r>
      <w:r>
        <w:rPr>
          <w:color w:val="auto"/>
          <w:highlight w:val="none"/>
        </w:rPr>
        <w:fldChar w:fldCharType="separate"/>
      </w:r>
      <w:r>
        <w:rPr>
          <w:rStyle w:val="54"/>
          <w:rFonts w:ascii="宋体" w:hAnsi="宋体"/>
          <w:i w:val="0"/>
          <w:snapToGrid w:val="0"/>
          <w:color w:val="auto"/>
          <w:highlight w:val="none"/>
        </w:rPr>
        <w:t xml:space="preserve">3.1  </w:t>
      </w:r>
      <w:r>
        <w:rPr>
          <w:rStyle w:val="54"/>
          <w:rFonts w:hint="eastAsia" w:ascii="宋体" w:hAnsi="宋体"/>
          <w:i w:val="0"/>
          <w:snapToGrid w:val="0"/>
          <w:color w:val="auto"/>
          <w:highlight w:val="none"/>
        </w:rPr>
        <w:t>竞选文件的组成</w:t>
      </w:r>
      <w:r>
        <w:rPr>
          <w:i w:val="0"/>
          <w:color w:val="auto"/>
          <w:highlight w:val="none"/>
        </w:rPr>
        <w:tab/>
      </w:r>
      <w:r>
        <w:rPr>
          <w:i w:val="0"/>
          <w:color w:val="auto"/>
          <w:highlight w:val="none"/>
        </w:rPr>
        <w:fldChar w:fldCharType="begin"/>
      </w:r>
      <w:r>
        <w:rPr>
          <w:i w:val="0"/>
          <w:color w:val="auto"/>
          <w:highlight w:val="none"/>
        </w:rPr>
        <w:instrText xml:space="preserve"> PAGEREF _Toc57905849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4E5980D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"_Toc57905850" </w:instrText>
      </w:r>
      <w:r>
        <w:rPr>
          <w:color w:val="auto"/>
          <w:highlight w:val="none"/>
        </w:rPr>
        <w:fldChar w:fldCharType="separate"/>
      </w:r>
      <w:r>
        <w:rPr>
          <w:rStyle w:val="54"/>
          <w:rFonts w:ascii="宋体" w:hAnsi="宋体"/>
          <w:i w:val="0"/>
          <w:snapToGrid w:val="0"/>
          <w:color w:val="auto"/>
          <w:highlight w:val="none"/>
        </w:rPr>
        <w:t xml:space="preserve">3.2  </w:t>
      </w:r>
      <w:r>
        <w:rPr>
          <w:rStyle w:val="54"/>
          <w:rFonts w:hint="eastAsia" w:ascii="宋体" w:hAnsi="宋体"/>
          <w:i w:val="0"/>
          <w:snapToGrid w:val="0"/>
          <w:color w:val="auto"/>
          <w:highlight w:val="none"/>
        </w:rPr>
        <w:t>投标报价</w:t>
      </w:r>
      <w:r>
        <w:rPr>
          <w:i w:val="0"/>
          <w:color w:val="auto"/>
          <w:highlight w:val="none"/>
        </w:rPr>
        <w:tab/>
      </w:r>
      <w:r>
        <w:rPr>
          <w:i w:val="0"/>
          <w:color w:val="auto"/>
          <w:highlight w:val="none"/>
        </w:rPr>
        <w:fldChar w:fldCharType="begin"/>
      </w:r>
      <w:r>
        <w:rPr>
          <w:i w:val="0"/>
          <w:color w:val="auto"/>
          <w:highlight w:val="none"/>
        </w:rPr>
        <w:instrText xml:space="preserve"> PAGEREF _Toc57905850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37D78C6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"_Toc57905851" </w:instrText>
      </w:r>
      <w:r>
        <w:rPr>
          <w:color w:val="auto"/>
          <w:highlight w:val="none"/>
        </w:rPr>
        <w:fldChar w:fldCharType="separate"/>
      </w:r>
      <w:r>
        <w:rPr>
          <w:rStyle w:val="54"/>
          <w:rFonts w:ascii="宋体" w:hAnsi="宋体"/>
          <w:i w:val="0"/>
          <w:snapToGrid w:val="0"/>
          <w:color w:val="auto"/>
          <w:highlight w:val="none"/>
        </w:rPr>
        <w:t xml:space="preserve">3.3  </w:t>
      </w:r>
      <w:r>
        <w:rPr>
          <w:rStyle w:val="54"/>
          <w:rFonts w:hint="eastAsia" w:ascii="宋体" w:hAnsi="宋体"/>
          <w:i w:val="0"/>
          <w:snapToGrid w:val="0"/>
          <w:color w:val="auto"/>
          <w:highlight w:val="none"/>
        </w:rPr>
        <w:t>投标有效期</w:t>
      </w:r>
      <w:r>
        <w:rPr>
          <w:i w:val="0"/>
          <w:color w:val="auto"/>
          <w:highlight w:val="none"/>
        </w:rPr>
        <w:tab/>
      </w:r>
      <w:r>
        <w:rPr>
          <w:i w:val="0"/>
          <w:color w:val="auto"/>
          <w:highlight w:val="none"/>
        </w:rPr>
        <w:fldChar w:fldCharType="begin"/>
      </w:r>
      <w:r>
        <w:rPr>
          <w:i w:val="0"/>
          <w:color w:val="auto"/>
          <w:highlight w:val="none"/>
        </w:rPr>
        <w:instrText xml:space="preserve"> PAGEREF _Toc57905851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1F3364E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"_Toc57905852" </w:instrText>
      </w:r>
      <w:r>
        <w:rPr>
          <w:color w:val="auto"/>
          <w:highlight w:val="none"/>
        </w:rPr>
        <w:fldChar w:fldCharType="separate"/>
      </w:r>
      <w:r>
        <w:rPr>
          <w:rStyle w:val="54"/>
          <w:rFonts w:ascii="宋体" w:hAnsi="宋体"/>
          <w:i w:val="0"/>
          <w:snapToGrid w:val="0"/>
          <w:color w:val="auto"/>
          <w:highlight w:val="none"/>
        </w:rPr>
        <w:t xml:space="preserve">3.4  </w:t>
      </w:r>
      <w:r>
        <w:rPr>
          <w:rStyle w:val="54"/>
          <w:rFonts w:hint="eastAsia" w:ascii="宋体" w:hAnsi="宋体"/>
          <w:i w:val="0"/>
          <w:snapToGrid w:val="0"/>
          <w:color w:val="auto"/>
          <w:highlight w:val="none"/>
        </w:rPr>
        <w:t>投标保证金</w:t>
      </w:r>
      <w:r>
        <w:rPr>
          <w:i w:val="0"/>
          <w:color w:val="auto"/>
          <w:highlight w:val="none"/>
        </w:rPr>
        <w:tab/>
      </w:r>
      <w:r>
        <w:rPr>
          <w:i w:val="0"/>
          <w:color w:val="auto"/>
          <w:highlight w:val="none"/>
        </w:rPr>
        <w:fldChar w:fldCharType="begin"/>
      </w:r>
      <w:r>
        <w:rPr>
          <w:i w:val="0"/>
          <w:color w:val="auto"/>
          <w:highlight w:val="none"/>
        </w:rPr>
        <w:instrText xml:space="preserve"> PAGEREF _Toc57905852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15B7025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"_Toc57905853" </w:instrText>
      </w:r>
      <w:r>
        <w:rPr>
          <w:color w:val="auto"/>
          <w:highlight w:val="none"/>
        </w:rPr>
        <w:fldChar w:fldCharType="separate"/>
      </w:r>
      <w:r>
        <w:rPr>
          <w:rStyle w:val="54"/>
          <w:rFonts w:ascii="宋体" w:hAnsi="宋体"/>
          <w:i w:val="0"/>
          <w:snapToGrid w:val="0"/>
          <w:color w:val="auto"/>
          <w:highlight w:val="none"/>
        </w:rPr>
        <w:t xml:space="preserve">3.5A  </w:t>
      </w:r>
      <w:r>
        <w:rPr>
          <w:rStyle w:val="54"/>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_Toc57905853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2F58B11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"_Toc57905854" </w:instrText>
      </w:r>
      <w:r>
        <w:rPr>
          <w:color w:val="auto"/>
          <w:highlight w:val="none"/>
        </w:rPr>
        <w:fldChar w:fldCharType="separate"/>
      </w:r>
      <w:r>
        <w:rPr>
          <w:rStyle w:val="54"/>
          <w:rFonts w:ascii="宋体" w:hAnsi="宋体"/>
          <w:i w:val="0"/>
          <w:snapToGrid w:val="0"/>
          <w:color w:val="auto"/>
          <w:highlight w:val="none"/>
        </w:rPr>
        <w:t xml:space="preserve">3.5B  </w:t>
      </w:r>
      <w:r>
        <w:rPr>
          <w:rStyle w:val="54"/>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_Toc57905854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32DC65C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"_Toc57905855" </w:instrText>
      </w:r>
      <w:r>
        <w:rPr>
          <w:color w:val="auto"/>
          <w:highlight w:val="none"/>
        </w:rPr>
        <w:fldChar w:fldCharType="separate"/>
      </w:r>
      <w:r>
        <w:rPr>
          <w:rStyle w:val="54"/>
          <w:rFonts w:ascii="宋体" w:hAnsi="宋体"/>
          <w:i w:val="0"/>
          <w:snapToGrid w:val="0"/>
          <w:color w:val="auto"/>
          <w:highlight w:val="none"/>
        </w:rPr>
        <w:t xml:space="preserve">3.6  </w:t>
      </w:r>
      <w:r>
        <w:rPr>
          <w:rStyle w:val="54"/>
          <w:rFonts w:hint="eastAsia" w:ascii="宋体" w:hAnsi="宋体"/>
          <w:i w:val="0"/>
          <w:snapToGrid w:val="0"/>
          <w:color w:val="auto"/>
          <w:highlight w:val="none"/>
        </w:rPr>
        <w:t>备选投标方案</w:t>
      </w:r>
      <w:r>
        <w:rPr>
          <w:i w:val="0"/>
          <w:color w:val="auto"/>
          <w:highlight w:val="none"/>
        </w:rPr>
        <w:tab/>
      </w:r>
      <w:r>
        <w:rPr>
          <w:i w:val="0"/>
          <w:color w:val="auto"/>
          <w:highlight w:val="none"/>
        </w:rPr>
        <w:fldChar w:fldCharType="begin"/>
      </w:r>
      <w:r>
        <w:rPr>
          <w:i w:val="0"/>
          <w:color w:val="auto"/>
          <w:highlight w:val="none"/>
        </w:rPr>
        <w:instrText xml:space="preserve"> PAGEREF _Toc57905855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1A624E1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"_Toc57905856" </w:instrText>
      </w:r>
      <w:r>
        <w:rPr>
          <w:color w:val="auto"/>
          <w:highlight w:val="none"/>
        </w:rPr>
        <w:fldChar w:fldCharType="separate"/>
      </w:r>
      <w:r>
        <w:rPr>
          <w:rStyle w:val="54"/>
          <w:rFonts w:ascii="宋体" w:hAnsi="宋体"/>
          <w:i w:val="0"/>
          <w:snapToGrid w:val="0"/>
          <w:color w:val="auto"/>
          <w:highlight w:val="none"/>
        </w:rPr>
        <w:t xml:space="preserve">3.7  </w:t>
      </w:r>
      <w:r>
        <w:rPr>
          <w:rStyle w:val="54"/>
          <w:rFonts w:hint="eastAsia" w:ascii="宋体" w:hAnsi="宋体"/>
          <w:i w:val="0"/>
          <w:snapToGrid w:val="0"/>
          <w:color w:val="auto"/>
          <w:highlight w:val="none"/>
        </w:rPr>
        <w:t>竞选文件的编制</w:t>
      </w:r>
      <w:r>
        <w:rPr>
          <w:i w:val="0"/>
          <w:color w:val="auto"/>
          <w:highlight w:val="none"/>
        </w:rPr>
        <w:tab/>
      </w:r>
      <w:r>
        <w:rPr>
          <w:i w:val="0"/>
          <w:color w:val="auto"/>
          <w:highlight w:val="none"/>
        </w:rPr>
        <w:fldChar w:fldCharType="begin"/>
      </w:r>
      <w:r>
        <w:rPr>
          <w:i w:val="0"/>
          <w:color w:val="auto"/>
          <w:highlight w:val="none"/>
        </w:rPr>
        <w:instrText xml:space="preserve"> PAGEREF _Toc57905856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77575882">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"_Toc57905857" </w:instrText>
      </w:r>
      <w:r>
        <w:rPr>
          <w:color w:val="auto"/>
          <w:highlight w:val="none"/>
        </w:rPr>
        <w:fldChar w:fldCharType="separate"/>
      </w:r>
      <w:r>
        <w:rPr>
          <w:rStyle w:val="54"/>
          <w:rFonts w:ascii="宋体" w:hAnsi="宋体"/>
          <w:snapToGrid w:val="0"/>
          <w:color w:val="auto"/>
          <w:highlight w:val="none"/>
        </w:rPr>
        <w:t xml:space="preserve">4.  </w:t>
      </w:r>
      <w:r>
        <w:rPr>
          <w:rStyle w:val="54"/>
          <w:rFonts w:hint="eastAsia" w:ascii="宋体" w:hAnsi="宋体"/>
          <w:snapToGrid w:val="0"/>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_Toc57905857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2EDA66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"_Toc57905858" </w:instrText>
      </w:r>
      <w:r>
        <w:rPr>
          <w:color w:val="auto"/>
          <w:highlight w:val="none"/>
        </w:rPr>
        <w:fldChar w:fldCharType="separate"/>
      </w:r>
      <w:r>
        <w:rPr>
          <w:rStyle w:val="54"/>
          <w:rFonts w:ascii="宋体" w:hAnsi="宋体"/>
          <w:i w:val="0"/>
          <w:snapToGrid w:val="0"/>
          <w:color w:val="auto"/>
          <w:highlight w:val="none"/>
        </w:rPr>
        <w:t xml:space="preserve">4.1  </w:t>
      </w:r>
      <w:r>
        <w:rPr>
          <w:rStyle w:val="54"/>
          <w:rFonts w:hint="eastAsia" w:ascii="宋体" w:hAnsi="宋体"/>
          <w:i w:val="0"/>
          <w:snapToGrid w:val="0"/>
          <w:color w:val="auto"/>
          <w:highlight w:val="none"/>
        </w:rPr>
        <w:t>竞选文件的密封和标记</w:t>
      </w:r>
      <w:r>
        <w:rPr>
          <w:i w:val="0"/>
          <w:color w:val="auto"/>
          <w:highlight w:val="none"/>
        </w:rPr>
        <w:tab/>
      </w:r>
      <w:r>
        <w:rPr>
          <w:i w:val="0"/>
          <w:color w:val="auto"/>
          <w:highlight w:val="none"/>
        </w:rPr>
        <w:fldChar w:fldCharType="begin"/>
      </w:r>
      <w:r>
        <w:rPr>
          <w:i w:val="0"/>
          <w:color w:val="auto"/>
          <w:highlight w:val="none"/>
        </w:rPr>
        <w:instrText xml:space="preserve"> PAGEREF _Toc57905858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44CAEB1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"_Toc57905859" </w:instrText>
      </w:r>
      <w:r>
        <w:rPr>
          <w:color w:val="auto"/>
          <w:highlight w:val="none"/>
        </w:rPr>
        <w:fldChar w:fldCharType="separate"/>
      </w:r>
      <w:r>
        <w:rPr>
          <w:rStyle w:val="54"/>
          <w:rFonts w:ascii="宋体" w:hAnsi="宋体"/>
          <w:i w:val="0"/>
          <w:snapToGrid w:val="0"/>
          <w:color w:val="auto"/>
          <w:highlight w:val="none"/>
        </w:rPr>
        <w:t xml:space="preserve">4.2  </w:t>
      </w:r>
      <w:r>
        <w:rPr>
          <w:rStyle w:val="54"/>
          <w:rFonts w:hint="eastAsia" w:ascii="宋体" w:hAnsi="宋体"/>
          <w:i w:val="0"/>
          <w:snapToGrid w:val="0"/>
          <w:color w:val="auto"/>
          <w:highlight w:val="none"/>
        </w:rPr>
        <w:t>竞选文件的递交</w:t>
      </w:r>
      <w:r>
        <w:rPr>
          <w:i w:val="0"/>
          <w:color w:val="auto"/>
          <w:highlight w:val="none"/>
        </w:rPr>
        <w:tab/>
      </w:r>
      <w:r>
        <w:rPr>
          <w:i w:val="0"/>
          <w:color w:val="auto"/>
          <w:highlight w:val="none"/>
        </w:rPr>
        <w:fldChar w:fldCharType="begin"/>
      </w:r>
      <w:r>
        <w:rPr>
          <w:i w:val="0"/>
          <w:color w:val="auto"/>
          <w:highlight w:val="none"/>
        </w:rPr>
        <w:instrText xml:space="preserve"> PAGEREF _Toc57905859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8C6EC2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"_Toc57905860" </w:instrText>
      </w:r>
      <w:r>
        <w:rPr>
          <w:color w:val="auto"/>
          <w:highlight w:val="none"/>
        </w:rPr>
        <w:fldChar w:fldCharType="separate"/>
      </w:r>
      <w:r>
        <w:rPr>
          <w:rStyle w:val="54"/>
          <w:rFonts w:ascii="宋体" w:hAnsi="宋体"/>
          <w:i w:val="0"/>
          <w:snapToGrid w:val="0"/>
          <w:color w:val="auto"/>
          <w:highlight w:val="none"/>
        </w:rPr>
        <w:t xml:space="preserve">4.3  </w:t>
      </w:r>
      <w:r>
        <w:rPr>
          <w:rStyle w:val="54"/>
          <w:rFonts w:hint="eastAsia" w:ascii="宋体" w:hAnsi="宋体"/>
          <w:i w:val="0"/>
          <w:snapToGrid w:val="0"/>
          <w:color w:val="auto"/>
          <w:highlight w:val="none"/>
        </w:rPr>
        <w:t>竞选文件的修改与撤回</w:t>
      </w:r>
      <w:r>
        <w:rPr>
          <w:i w:val="0"/>
          <w:color w:val="auto"/>
          <w:highlight w:val="none"/>
        </w:rPr>
        <w:tab/>
      </w:r>
      <w:r>
        <w:rPr>
          <w:i w:val="0"/>
          <w:color w:val="auto"/>
          <w:highlight w:val="none"/>
        </w:rPr>
        <w:fldChar w:fldCharType="begin"/>
      </w:r>
      <w:r>
        <w:rPr>
          <w:i w:val="0"/>
          <w:color w:val="auto"/>
          <w:highlight w:val="none"/>
        </w:rPr>
        <w:instrText xml:space="preserve"> PAGEREF _Toc57905860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0818D8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"_Toc57905861" </w:instrText>
      </w:r>
      <w:r>
        <w:rPr>
          <w:color w:val="auto"/>
          <w:highlight w:val="none"/>
        </w:rPr>
        <w:fldChar w:fldCharType="separate"/>
      </w:r>
      <w:r>
        <w:rPr>
          <w:rStyle w:val="54"/>
          <w:rFonts w:ascii="宋体" w:hAnsi="宋体"/>
          <w:snapToGrid w:val="0"/>
          <w:color w:val="auto"/>
          <w:highlight w:val="none"/>
        </w:rPr>
        <w:t xml:space="preserve">5.  </w:t>
      </w:r>
      <w:r>
        <w:rPr>
          <w:rStyle w:val="54"/>
          <w:rFonts w:hint="eastAsia" w:ascii="宋体" w:hAnsi="宋体"/>
          <w:snapToGrid w:val="0"/>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_Toc57905861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0C9B05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"_Toc57905862" </w:instrText>
      </w:r>
      <w:r>
        <w:rPr>
          <w:color w:val="auto"/>
          <w:highlight w:val="none"/>
        </w:rPr>
        <w:fldChar w:fldCharType="separate"/>
      </w:r>
      <w:r>
        <w:rPr>
          <w:rStyle w:val="54"/>
          <w:rFonts w:ascii="宋体" w:hAnsi="宋体"/>
          <w:i w:val="0"/>
          <w:snapToGrid w:val="0"/>
          <w:color w:val="auto"/>
          <w:highlight w:val="none"/>
        </w:rPr>
        <w:t xml:space="preserve">5.1  </w:t>
      </w:r>
      <w:r>
        <w:rPr>
          <w:rStyle w:val="54"/>
          <w:rFonts w:hint="eastAsia" w:ascii="宋体" w:hAnsi="宋体"/>
          <w:i w:val="0"/>
          <w:snapToGrid w:val="0"/>
          <w:color w:val="auto"/>
          <w:highlight w:val="none"/>
        </w:rPr>
        <w:t>开标时间和地点</w:t>
      </w:r>
      <w:r>
        <w:rPr>
          <w:i w:val="0"/>
          <w:color w:val="auto"/>
          <w:highlight w:val="none"/>
        </w:rPr>
        <w:tab/>
      </w:r>
      <w:r>
        <w:rPr>
          <w:i w:val="0"/>
          <w:color w:val="auto"/>
          <w:highlight w:val="none"/>
        </w:rPr>
        <w:fldChar w:fldCharType="begin"/>
      </w:r>
      <w:r>
        <w:rPr>
          <w:i w:val="0"/>
          <w:color w:val="auto"/>
          <w:highlight w:val="none"/>
        </w:rPr>
        <w:instrText xml:space="preserve"> PAGEREF _Toc57905862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FAF243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"_Toc57905863" </w:instrText>
      </w:r>
      <w:r>
        <w:rPr>
          <w:color w:val="auto"/>
          <w:highlight w:val="none"/>
        </w:rPr>
        <w:fldChar w:fldCharType="separate"/>
      </w:r>
      <w:r>
        <w:rPr>
          <w:rStyle w:val="54"/>
          <w:rFonts w:ascii="宋体" w:hAnsi="宋体"/>
          <w:i w:val="0"/>
          <w:snapToGrid w:val="0"/>
          <w:color w:val="auto"/>
          <w:highlight w:val="none"/>
        </w:rPr>
        <w:t xml:space="preserve">5.2  </w:t>
      </w:r>
      <w:r>
        <w:rPr>
          <w:rStyle w:val="54"/>
          <w:rFonts w:hint="eastAsia" w:ascii="宋体" w:hAnsi="宋体"/>
          <w:i w:val="0"/>
          <w:snapToGrid w:val="0"/>
          <w:color w:val="auto"/>
          <w:highlight w:val="none"/>
        </w:rPr>
        <w:t>开标程序</w:t>
      </w:r>
      <w:r>
        <w:rPr>
          <w:i w:val="0"/>
          <w:color w:val="auto"/>
          <w:highlight w:val="none"/>
        </w:rPr>
        <w:tab/>
      </w:r>
      <w:r>
        <w:rPr>
          <w:i w:val="0"/>
          <w:color w:val="auto"/>
          <w:highlight w:val="none"/>
        </w:rPr>
        <w:fldChar w:fldCharType="begin"/>
      </w:r>
      <w:r>
        <w:rPr>
          <w:i w:val="0"/>
          <w:color w:val="auto"/>
          <w:highlight w:val="none"/>
        </w:rPr>
        <w:instrText xml:space="preserve"> PAGEREF _Toc57905863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6F2476D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"_Toc57905864" </w:instrText>
      </w:r>
      <w:r>
        <w:rPr>
          <w:color w:val="auto"/>
          <w:highlight w:val="none"/>
        </w:rPr>
        <w:fldChar w:fldCharType="separate"/>
      </w:r>
      <w:r>
        <w:rPr>
          <w:rStyle w:val="54"/>
          <w:rFonts w:ascii="宋体" w:hAnsi="宋体"/>
          <w:i w:val="0"/>
          <w:snapToGrid w:val="0"/>
          <w:color w:val="auto"/>
          <w:highlight w:val="none"/>
        </w:rPr>
        <w:t xml:space="preserve">5.3  </w:t>
      </w:r>
      <w:r>
        <w:rPr>
          <w:rStyle w:val="54"/>
          <w:rFonts w:hint="eastAsia" w:ascii="宋体" w:hAnsi="宋体"/>
          <w:i w:val="0"/>
          <w:snapToGrid w:val="0"/>
          <w:color w:val="auto"/>
          <w:highlight w:val="none"/>
        </w:rPr>
        <w:t>开标异议</w:t>
      </w:r>
      <w:r>
        <w:rPr>
          <w:i w:val="0"/>
          <w:color w:val="auto"/>
          <w:highlight w:val="none"/>
        </w:rPr>
        <w:tab/>
      </w:r>
      <w:r>
        <w:rPr>
          <w:i w:val="0"/>
          <w:color w:val="auto"/>
          <w:highlight w:val="none"/>
        </w:rPr>
        <w:fldChar w:fldCharType="begin"/>
      </w:r>
      <w:r>
        <w:rPr>
          <w:i w:val="0"/>
          <w:color w:val="auto"/>
          <w:highlight w:val="none"/>
        </w:rPr>
        <w:instrText xml:space="preserve"> PAGEREF _Toc57905864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8CF28FD">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"_Toc57905865" </w:instrText>
      </w:r>
      <w:r>
        <w:rPr>
          <w:color w:val="auto"/>
          <w:highlight w:val="none"/>
        </w:rPr>
        <w:fldChar w:fldCharType="separate"/>
      </w:r>
      <w:r>
        <w:rPr>
          <w:rStyle w:val="54"/>
          <w:rFonts w:ascii="宋体" w:hAnsi="宋体"/>
          <w:snapToGrid w:val="0"/>
          <w:color w:val="auto"/>
          <w:highlight w:val="none"/>
        </w:rPr>
        <w:t xml:space="preserve">6.  </w:t>
      </w:r>
      <w:r>
        <w:rPr>
          <w:rStyle w:val="54"/>
          <w:rFonts w:hint="eastAsia" w:ascii="宋体" w:hAnsi="宋体"/>
          <w:snapToGrid w:val="0"/>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_Toc57905865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87978F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"_Toc57905866" </w:instrText>
      </w:r>
      <w:r>
        <w:rPr>
          <w:color w:val="auto"/>
          <w:highlight w:val="none"/>
        </w:rPr>
        <w:fldChar w:fldCharType="separate"/>
      </w:r>
      <w:r>
        <w:rPr>
          <w:rStyle w:val="54"/>
          <w:rFonts w:ascii="宋体" w:hAnsi="宋体"/>
          <w:i w:val="0"/>
          <w:snapToGrid w:val="0"/>
          <w:color w:val="auto"/>
          <w:highlight w:val="none"/>
        </w:rPr>
        <w:t xml:space="preserve">6.1  </w:t>
      </w:r>
      <w:r>
        <w:rPr>
          <w:rStyle w:val="54"/>
          <w:rFonts w:hint="eastAsia" w:ascii="宋体" w:hAnsi="宋体"/>
          <w:i w:val="0"/>
          <w:snapToGrid w:val="0"/>
          <w:color w:val="auto"/>
          <w:highlight w:val="none"/>
        </w:rPr>
        <w:t>评标委员会</w:t>
      </w:r>
      <w:r>
        <w:rPr>
          <w:i w:val="0"/>
          <w:color w:val="auto"/>
          <w:highlight w:val="none"/>
        </w:rPr>
        <w:tab/>
      </w:r>
      <w:r>
        <w:rPr>
          <w:i w:val="0"/>
          <w:color w:val="auto"/>
          <w:highlight w:val="none"/>
        </w:rPr>
        <w:fldChar w:fldCharType="begin"/>
      </w:r>
      <w:r>
        <w:rPr>
          <w:i w:val="0"/>
          <w:color w:val="auto"/>
          <w:highlight w:val="none"/>
        </w:rPr>
        <w:instrText xml:space="preserve"> PAGEREF _Toc57905866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3C98584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"_Toc57905867" </w:instrText>
      </w:r>
      <w:r>
        <w:rPr>
          <w:color w:val="auto"/>
          <w:highlight w:val="none"/>
        </w:rPr>
        <w:fldChar w:fldCharType="separate"/>
      </w:r>
      <w:r>
        <w:rPr>
          <w:rStyle w:val="54"/>
          <w:rFonts w:ascii="宋体" w:hAnsi="宋体"/>
          <w:i w:val="0"/>
          <w:snapToGrid w:val="0"/>
          <w:color w:val="auto"/>
          <w:highlight w:val="none"/>
        </w:rPr>
        <w:t xml:space="preserve">6.2  </w:t>
      </w:r>
      <w:r>
        <w:rPr>
          <w:rStyle w:val="54"/>
          <w:rFonts w:hint="eastAsia" w:ascii="宋体" w:hAnsi="宋体"/>
          <w:i w:val="0"/>
          <w:snapToGrid w:val="0"/>
          <w:color w:val="auto"/>
          <w:highlight w:val="none"/>
        </w:rPr>
        <w:t>评标原则</w:t>
      </w:r>
      <w:r>
        <w:rPr>
          <w:i w:val="0"/>
          <w:color w:val="auto"/>
          <w:highlight w:val="none"/>
        </w:rPr>
        <w:tab/>
      </w:r>
      <w:r>
        <w:rPr>
          <w:i w:val="0"/>
          <w:color w:val="auto"/>
          <w:highlight w:val="none"/>
        </w:rPr>
        <w:fldChar w:fldCharType="begin"/>
      </w:r>
      <w:r>
        <w:rPr>
          <w:i w:val="0"/>
          <w:color w:val="auto"/>
          <w:highlight w:val="none"/>
        </w:rPr>
        <w:instrText xml:space="preserve"> PAGEREF _Toc57905867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4C154C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"_Toc57905868" </w:instrText>
      </w:r>
      <w:r>
        <w:rPr>
          <w:color w:val="auto"/>
          <w:highlight w:val="none"/>
        </w:rPr>
        <w:fldChar w:fldCharType="separate"/>
      </w:r>
      <w:r>
        <w:rPr>
          <w:rStyle w:val="54"/>
          <w:rFonts w:ascii="宋体" w:hAnsi="宋体"/>
          <w:i w:val="0"/>
          <w:snapToGrid w:val="0"/>
          <w:color w:val="auto"/>
          <w:highlight w:val="none"/>
        </w:rPr>
        <w:t xml:space="preserve">6.3  </w:t>
      </w:r>
      <w:r>
        <w:rPr>
          <w:rStyle w:val="54"/>
          <w:rFonts w:hint="eastAsia" w:ascii="宋体" w:hAnsi="宋体"/>
          <w:i w:val="0"/>
          <w:snapToGrid w:val="0"/>
          <w:color w:val="auto"/>
          <w:highlight w:val="none"/>
        </w:rPr>
        <w:t>评标</w:t>
      </w:r>
      <w:r>
        <w:rPr>
          <w:i w:val="0"/>
          <w:color w:val="auto"/>
          <w:highlight w:val="none"/>
        </w:rPr>
        <w:tab/>
      </w:r>
      <w:r>
        <w:rPr>
          <w:i w:val="0"/>
          <w:color w:val="auto"/>
          <w:highlight w:val="none"/>
        </w:rPr>
        <w:fldChar w:fldCharType="begin"/>
      </w:r>
      <w:r>
        <w:rPr>
          <w:i w:val="0"/>
          <w:color w:val="auto"/>
          <w:highlight w:val="none"/>
        </w:rPr>
        <w:instrText xml:space="preserve"> PAGEREF _Toc57905868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4FB7B383">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"_Toc57905869" </w:instrText>
      </w:r>
      <w:r>
        <w:rPr>
          <w:color w:val="auto"/>
          <w:highlight w:val="none"/>
        </w:rPr>
        <w:fldChar w:fldCharType="separate"/>
      </w:r>
      <w:r>
        <w:rPr>
          <w:rStyle w:val="54"/>
          <w:rFonts w:ascii="宋体" w:hAnsi="宋体"/>
          <w:snapToGrid w:val="0"/>
          <w:color w:val="auto"/>
          <w:highlight w:val="none"/>
        </w:rPr>
        <w:t xml:space="preserve">7.  </w:t>
      </w:r>
      <w:r>
        <w:rPr>
          <w:rStyle w:val="54"/>
          <w:rFonts w:hint="eastAsia" w:ascii="宋体" w:hAnsi="宋体"/>
          <w:snapToGrid w:val="0"/>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_Toc57905869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0785C0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"_Toc57905870" </w:instrText>
      </w:r>
      <w:r>
        <w:rPr>
          <w:color w:val="auto"/>
          <w:highlight w:val="none"/>
        </w:rPr>
        <w:fldChar w:fldCharType="separate"/>
      </w:r>
      <w:r>
        <w:rPr>
          <w:rStyle w:val="54"/>
          <w:rFonts w:ascii="宋体" w:hAnsi="宋体"/>
          <w:i w:val="0"/>
          <w:snapToGrid w:val="0"/>
          <w:color w:val="auto"/>
          <w:highlight w:val="none"/>
        </w:rPr>
        <w:t xml:space="preserve">7.1  </w:t>
      </w:r>
      <w:r>
        <w:rPr>
          <w:rStyle w:val="54"/>
          <w:rFonts w:hint="eastAsia" w:ascii="宋体" w:hAnsi="宋体"/>
          <w:i w:val="0"/>
          <w:snapToGrid w:val="0"/>
          <w:color w:val="auto"/>
          <w:highlight w:val="none"/>
        </w:rPr>
        <w:t>定标方式</w:t>
      </w:r>
      <w:r>
        <w:rPr>
          <w:i w:val="0"/>
          <w:color w:val="auto"/>
          <w:highlight w:val="none"/>
        </w:rPr>
        <w:tab/>
      </w:r>
      <w:r>
        <w:rPr>
          <w:i w:val="0"/>
          <w:color w:val="auto"/>
          <w:highlight w:val="none"/>
        </w:rPr>
        <w:fldChar w:fldCharType="begin"/>
      </w:r>
      <w:r>
        <w:rPr>
          <w:i w:val="0"/>
          <w:color w:val="auto"/>
          <w:highlight w:val="none"/>
        </w:rPr>
        <w:instrText xml:space="preserve"> PAGEREF _Toc57905870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77DB46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"_Toc57905871" </w:instrText>
      </w:r>
      <w:r>
        <w:rPr>
          <w:color w:val="auto"/>
          <w:highlight w:val="none"/>
        </w:rPr>
        <w:fldChar w:fldCharType="separate"/>
      </w:r>
      <w:r>
        <w:rPr>
          <w:rStyle w:val="54"/>
          <w:rFonts w:ascii="宋体" w:hAnsi="宋体"/>
          <w:i w:val="0"/>
          <w:snapToGrid w:val="0"/>
          <w:color w:val="auto"/>
          <w:highlight w:val="none"/>
        </w:rPr>
        <w:t xml:space="preserve">7.2  </w:t>
      </w:r>
      <w:r>
        <w:rPr>
          <w:rStyle w:val="54"/>
          <w:rFonts w:hint="eastAsia" w:ascii="宋体" w:hAnsi="宋体"/>
          <w:i w:val="0"/>
          <w:snapToGrid w:val="0"/>
          <w:color w:val="auto"/>
          <w:highlight w:val="none"/>
        </w:rPr>
        <w:t>中标公示及中标通知</w:t>
      </w:r>
      <w:r>
        <w:rPr>
          <w:i w:val="0"/>
          <w:color w:val="auto"/>
          <w:highlight w:val="none"/>
        </w:rPr>
        <w:tab/>
      </w:r>
      <w:r>
        <w:rPr>
          <w:i w:val="0"/>
          <w:color w:val="auto"/>
          <w:highlight w:val="none"/>
        </w:rPr>
        <w:fldChar w:fldCharType="begin"/>
      </w:r>
      <w:r>
        <w:rPr>
          <w:i w:val="0"/>
          <w:color w:val="auto"/>
          <w:highlight w:val="none"/>
        </w:rPr>
        <w:instrText xml:space="preserve"> PAGEREF _Toc57905871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5575D71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"_Toc57905872" </w:instrText>
      </w:r>
      <w:r>
        <w:rPr>
          <w:color w:val="auto"/>
          <w:highlight w:val="none"/>
        </w:rPr>
        <w:fldChar w:fldCharType="separate"/>
      </w:r>
      <w:r>
        <w:rPr>
          <w:rStyle w:val="54"/>
          <w:rFonts w:ascii="宋体" w:hAnsi="宋体"/>
          <w:i w:val="0"/>
          <w:snapToGrid w:val="0"/>
          <w:color w:val="auto"/>
          <w:highlight w:val="none"/>
        </w:rPr>
        <w:t xml:space="preserve">7.3  </w:t>
      </w:r>
      <w:r>
        <w:rPr>
          <w:rStyle w:val="54"/>
          <w:rFonts w:hint="eastAsia" w:ascii="宋体" w:hAnsi="宋体"/>
          <w:i w:val="0"/>
          <w:snapToGrid w:val="0"/>
          <w:color w:val="auto"/>
          <w:highlight w:val="none"/>
        </w:rPr>
        <w:t>履约担保</w:t>
      </w:r>
      <w:r>
        <w:rPr>
          <w:i w:val="0"/>
          <w:color w:val="auto"/>
          <w:highlight w:val="none"/>
        </w:rPr>
        <w:tab/>
      </w:r>
      <w:r>
        <w:rPr>
          <w:i w:val="0"/>
          <w:color w:val="auto"/>
          <w:highlight w:val="none"/>
        </w:rPr>
        <w:fldChar w:fldCharType="begin"/>
      </w:r>
      <w:r>
        <w:rPr>
          <w:i w:val="0"/>
          <w:color w:val="auto"/>
          <w:highlight w:val="none"/>
        </w:rPr>
        <w:instrText xml:space="preserve"> PAGEREF _Toc57905872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6F1965F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"_Toc57905873" </w:instrText>
      </w:r>
      <w:r>
        <w:rPr>
          <w:color w:val="auto"/>
          <w:highlight w:val="none"/>
        </w:rPr>
        <w:fldChar w:fldCharType="separate"/>
      </w:r>
      <w:r>
        <w:rPr>
          <w:rStyle w:val="54"/>
          <w:rFonts w:ascii="宋体" w:hAnsi="宋体"/>
          <w:i w:val="0"/>
          <w:snapToGrid w:val="0"/>
          <w:color w:val="auto"/>
          <w:highlight w:val="none"/>
        </w:rPr>
        <w:t xml:space="preserve">7.4  </w:t>
      </w:r>
      <w:r>
        <w:rPr>
          <w:rStyle w:val="54"/>
          <w:rFonts w:hint="eastAsia" w:ascii="宋体" w:hAnsi="宋体"/>
          <w:i w:val="0"/>
          <w:snapToGrid w:val="0"/>
          <w:color w:val="auto"/>
          <w:highlight w:val="none"/>
        </w:rPr>
        <w:t>签订合同</w:t>
      </w:r>
      <w:r>
        <w:rPr>
          <w:i w:val="0"/>
          <w:color w:val="auto"/>
          <w:highlight w:val="none"/>
        </w:rPr>
        <w:tab/>
      </w:r>
      <w:r>
        <w:rPr>
          <w:i w:val="0"/>
          <w:color w:val="auto"/>
          <w:highlight w:val="none"/>
        </w:rPr>
        <w:fldChar w:fldCharType="begin"/>
      </w:r>
      <w:r>
        <w:rPr>
          <w:i w:val="0"/>
          <w:color w:val="auto"/>
          <w:highlight w:val="none"/>
        </w:rPr>
        <w:instrText xml:space="preserve"> PAGEREF _Toc57905873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2DA94D7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"_Toc57905874" </w:instrText>
      </w:r>
      <w:r>
        <w:rPr>
          <w:color w:val="auto"/>
          <w:highlight w:val="none"/>
        </w:rPr>
        <w:fldChar w:fldCharType="separate"/>
      </w:r>
      <w:r>
        <w:rPr>
          <w:rStyle w:val="54"/>
          <w:rFonts w:ascii="宋体" w:hAnsi="宋体"/>
          <w:snapToGrid w:val="0"/>
          <w:color w:val="auto"/>
          <w:highlight w:val="none"/>
        </w:rPr>
        <w:t xml:space="preserve">8.  </w:t>
      </w:r>
      <w:r>
        <w:rPr>
          <w:rStyle w:val="54"/>
          <w:rFonts w:hint="eastAsia" w:ascii="宋体" w:hAnsi="宋体"/>
          <w:snapToGrid w:val="0"/>
          <w:color w:val="auto"/>
          <w:highlight w:val="none"/>
        </w:rPr>
        <w:t>重新招标和不再招标</w:t>
      </w:r>
      <w:r>
        <w:rPr>
          <w:color w:val="auto"/>
          <w:highlight w:val="none"/>
        </w:rPr>
        <w:tab/>
      </w:r>
      <w:r>
        <w:rPr>
          <w:color w:val="auto"/>
          <w:highlight w:val="none"/>
        </w:rPr>
        <w:fldChar w:fldCharType="begin"/>
      </w:r>
      <w:r>
        <w:rPr>
          <w:color w:val="auto"/>
          <w:highlight w:val="none"/>
        </w:rPr>
        <w:instrText xml:space="preserve"> PAGEREF _Toc57905874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A4C819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"_Toc57905875" </w:instrText>
      </w:r>
      <w:r>
        <w:rPr>
          <w:color w:val="auto"/>
          <w:highlight w:val="none"/>
        </w:rPr>
        <w:fldChar w:fldCharType="separate"/>
      </w:r>
      <w:r>
        <w:rPr>
          <w:rStyle w:val="54"/>
          <w:rFonts w:ascii="宋体" w:hAnsi="宋体"/>
          <w:i w:val="0"/>
          <w:snapToGrid w:val="0"/>
          <w:color w:val="auto"/>
          <w:highlight w:val="none"/>
        </w:rPr>
        <w:t xml:space="preserve">8.1  </w:t>
      </w:r>
      <w:r>
        <w:rPr>
          <w:rStyle w:val="54"/>
          <w:rFonts w:hint="eastAsia" w:ascii="宋体" w:hAnsi="宋体"/>
          <w:i w:val="0"/>
          <w:snapToGrid w:val="0"/>
          <w:color w:val="auto"/>
          <w:highlight w:val="none"/>
        </w:rPr>
        <w:t>重新招标</w:t>
      </w:r>
      <w:r>
        <w:rPr>
          <w:i w:val="0"/>
          <w:color w:val="auto"/>
          <w:highlight w:val="none"/>
        </w:rPr>
        <w:tab/>
      </w:r>
      <w:r>
        <w:rPr>
          <w:i w:val="0"/>
          <w:color w:val="auto"/>
          <w:highlight w:val="none"/>
        </w:rPr>
        <w:fldChar w:fldCharType="begin"/>
      </w:r>
      <w:r>
        <w:rPr>
          <w:i w:val="0"/>
          <w:color w:val="auto"/>
          <w:highlight w:val="none"/>
        </w:rPr>
        <w:instrText xml:space="preserve"> PAGEREF _Toc57905875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414151E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"_Toc57905876" </w:instrText>
      </w:r>
      <w:r>
        <w:rPr>
          <w:color w:val="auto"/>
          <w:highlight w:val="none"/>
        </w:rPr>
        <w:fldChar w:fldCharType="separate"/>
      </w:r>
      <w:r>
        <w:rPr>
          <w:rStyle w:val="54"/>
          <w:rFonts w:ascii="宋体" w:hAnsi="宋体"/>
          <w:i w:val="0"/>
          <w:snapToGrid w:val="0"/>
          <w:color w:val="auto"/>
          <w:highlight w:val="none"/>
        </w:rPr>
        <w:t xml:space="preserve">8.2  </w:t>
      </w:r>
      <w:r>
        <w:rPr>
          <w:rStyle w:val="54"/>
          <w:rFonts w:hint="eastAsia" w:ascii="宋体" w:hAnsi="宋体"/>
          <w:i w:val="0"/>
          <w:snapToGrid w:val="0"/>
          <w:color w:val="auto"/>
          <w:highlight w:val="none"/>
        </w:rPr>
        <w:t>二次招标和不再招标</w:t>
      </w:r>
      <w:r>
        <w:rPr>
          <w:i w:val="0"/>
          <w:color w:val="auto"/>
          <w:highlight w:val="none"/>
        </w:rPr>
        <w:tab/>
      </w:r>
      <w:r>
        <w:rPr>
          <w:i w:val="0"/>
          <w:color w:val="auto"/>
          <w:highlight w:val="none"/>
        </w:rPr>
        <w:fldChar w:fldCharType="begin"/>
      </w:r>
      <w:r>
        <w:rPr>
          <w:i w:val="0"/>
          <w:color w:val="auto"/>
          <w:highlight w:val="none"/>
        </w:rPr>
        <w:instrText xml:space="preserve"> PAGEREF _Toc57905876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57507B2B">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"_Toc57905877" </w:instrText>
      </w:r>
      <w:r>
        <w:rPr>
          <w:color w:val="auto"/>
          <w:highlight w:val="none"/>
        </w:rPr>
        <w:fldChar w:fldCharType="separate"/>
      </w:r>
      <w:r>
        <w:rPr>
          <w:rStyle w:val="54"/>
          <w:rFonts w:ascii="宋体" w:hAnsi="宋体"/>
          <w:snapToGrid w:val="0"/>
          <w:color w:val="auto"/>
          <w:highlight w:val="none"/>
        </w:rPr>
        <w:t xml:space="preserve">9.  </w:t>
      </w:r>
      <w:r>
        <w:rPr>
          <w:rStyle w:val="54"/>
          <w:rFonts w:hint="eastAsia" w:ascii="宋体" w:hAnsi="宋体"/>
          <w:snapToGrid w:val="0"/>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_Toc57905877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0EFF04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"_Toc57905878" </w:instrText>
      </w:r>
      <w:r>
        <w:rPr>
          <w:color w:val="auto"/>
          <w:highlight w:val="none"/>
        </w:rPr>
        <w:fldChar w:fldCharType="separate"/>
      </w:r>
      <w:r>
        <w:rPr>
          <w:rStyle w:val="54"/>
          <w:rFonts w:ascii="宋体" w:hAnsi="宋体"/>
          <w:i w:val="0"/>
          <w:snapToGrid w:val="0"/>
          <w:color w:val="auto"/>
          <w:highlight w:val="none"/>
        </w:rPr>
        <w:t xml:space="preserve">9.1  </w:t>
      </w:r>
      <w:r>
        <w:rPr>
          <w:rStyle w:val="54"/>
          <w:rFonts w:hint="eastAsia" w:ascii="宋体" w:hAnsi="宋体"/>
          <w:i w:val="0"/>
          <w:snapToGrid w:val="0"/>
          <w:color w:val="auto"/>
          <w:highlight w:val="none"/>
        </w:rPr>
        <w:t>对比选人的纪律要求</w:t>
      </w:r>
      <w:r>
        <w:rPr>
          <w:i w:val="0"/>
          <w:color w:val="auto"/>
          <w:highlight w:val="none"/>
        </w:rPr>
        <w:tab/>
      </w:r>
      <w:r>
        <w:rPr>
          <w:i w:val="0"/>
          <w:color w:val="auto"/>
          <w:highlight w:val="none"/>
        </w:rPr>
        <w:fldChar w:fldCharType="begin"/>
      </w:r>
      <w:r>
        <w:rPr>
          <w:i w:val="0"/>
          <w:color w:val="auto"/>
          <w:highlight w:val="none"/>
        </w:rPr>
        <w:instrText xml:space="preserve"> PAGEREF _Toc57905878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76E3D48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"_Toc57905879" </w:instrText>
      </w:r>
      <w:r>
        <w:rPr>
          <w:color w:val="auto"/>
          <w:highlight w:val="none"/>
        </w:rPr>
        <w:fldChar w:fldCharType="separate"/>
      </w:r>
      <w:r>
        <w:rPr>
          <w:rStyle w:val="54"/>
          <w:rFonts w:ascii="宋体" w:hAnsi="宋体"/>
          <w:i w:val="0"/>
          <w:snapToGrid w:val="0"/>
          <w:color w:val="auto"/>
          <w:highlight w:val="none"/>
        </w:rPr>
        <w:t xml:space="preserve">9.2  </w:t>
      </w:r>
      <w:r>
        <w:rPr>
          <w:rStyle w:val="54"/>
          <w:rFonts w:hint="eastAsia" w:ascii="宋体" w:hAnsi="宋体"/>
          <w:i w:val="0"/>
          <w:snapToGrid w:val="0"/>
          <w:color w:val="auto"/>
          <w:highlight w:val="none"/>
        </w:rPr>
        <w:t>对竞选人的纪律要求</w:t>
      </w:r>
      <w:r>
        <w:rPr>
          <w:i w:val="0"/>
          <w:color w:val="auto"/>
          <w:highlight w:val="none"/>
        </w:rPr>
        <w:tab/>
      </w:r>
      <w:r>
        <w:rPr>
          <w:i w:val="0"/>
          <w:color w:val="auto"/>
          <w:highlight w:val="none"/>
        </w:rPr>
        <w:fldChar w:fldCharType="begin"/>
      </w:r>
      <w:r>
        <w:rPr>
          <w:i w:val="0"/>
          <w:color w:val="auto"/>
          <w:highlight w:val="none"/>
        </w:rPr>
        <w:instrText xml:space="preserve"> PAGEREF _Toc57905879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756016B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"_Toc57905880" </w:instrText>
      </w:r>
      <w:r>
        <w:rPr>
          <w:color w:val="auto"/>
          <w:highlight w:val="none"/>
        </w:rPr>
        <w:fldChar w:fldCharType="separate"/>
      </w:r>
      <w:r>
        <w:rPr>
          <w:rStyle w:val="54"/>
          <w:rFonts w:ascii="宋体" w:hAnsi="宋体"/>
          <w:i w:val="0"/>
          <w:snapToGrid w:val="0"/>
          <w:color w:val="auto"/>
          <w:highlight w:val="none"/>
        </w:rPr>
        <w:t xml:space="preserve">9.3  </w:t>
      </w:r>
      <w:r>
        <w:rPr>
          <w:rStyle w:val="54"/>
          <w:rFonts w:hint="eastAsia" w:ascii="宋体" w:hAnsi="宋体"/>
          <w:i w:val="0"/>
          <w:snapToGrid w:val="0"/>
          <w:color w:val="auto"/>
          <w:highlight w:val="none"/>
        </w:rPr>
        <w:t>对评标委员会成员的纪律要求</w:t>
      </w:r>
      <w:r>
        <w:rPr>
          <w:i w:val="0"/>
          <w:color w:val="auto"/>
          <w:highlight w:val="none"/>
        </w:rPr>
        <w:tab/>
      </w:r>
      <w:r>
        <w:rPr>
          <w:i w:val="0"/>
          <w:color w:val="auto"/>
          <w:highlight w:val="none"/>
        </w:rPr>
        <w:fldChar w:fldCharType="begin"/>
      </w:r>
      <w:r>
        <w:rPr>
          <w:i w:val="0"/>
          <w:color w:val="auto"/>
          <w:highlight w:val="none"/>
        </w:rPr>
        <w:instrText xml:space="preserve"> PAGEREF _Toc57905880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7E206DB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"_Toc57905881" </w:instrText>
      </w:r>
      <w:r>
        <w:rPr>
          <w:color w:val="auto"/>
          <w:highlight w:val="none"/>
        </w:rPr>
        <w:fldChar w:fldCharType="separate"/>
      </w:r>
      <w:r>
        <w:rPr>
          <w:rStyle w:val="54"/>
          <w:rFonts w:ascii="宋体" w:hAnsi="宋体"/>
          <w:i w:val="0"/>
          <w:snapToGrid w:val="0"/>
          <w:color w:val="auto"/>
          <w:highlight w:val="none"/>
        </w:rPr>
        <w:t xml:space="preserve">9.4  </w:t>
      </w:r>
      <w:r>
        <w:rPr>
          <w:rStyle w:val="54"/>
          <w:rFonts w:hint="eastAsia" w:ascii="宋体" w:hAnsi="宋体"/>
          <w:i w:val="0"/>
          <w:snapToGrid w:val="0"/>
          <w:color w:val="auto"/>
          <w:highlight w:val="none"/>
        </w:rPr>
        <w:t>对与评标活动有关的工作人员的纪律要求</w:t>
      </w:r>
      <w:r>
        <w:rPr>
          <w:i w:val="0"/>
          <w:color w:val="auto"/>
          <w:highlight w:val="none"/>
        </w:rPr>
        <w:tab/>
      </w:r>
      <w:r>
        <w:rPr>
          <w:i w:val="0"/>
          <w:color w:val="auto"/>
          <w:highlight w:val="none"/>
        </w:rPr>
        <w:fldChar w:fldCharType="begin"/>
      </w:r>
      <w:r>
        <w:rPr>
          <w:i w:val="0"/>
          <w:color w:val="auto"/>
          <w:highlight w:val="none"/>
        </w:rPr>
        <w:instrText xml:space="preserve"> PAGEREF _Toc57905881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16906C6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"_Toc57905882" </w:instrText>
      </w:r>
      <w:r>
        <w:rPr>
          <w:color w:val="auto"/>
          <w:highlight w:val="none"/>
        </w:rPr>
        <w:fldChar w:fldCharType="separate"/>
      </w:r>
      <w:r>
        <w:rPr>
          <w:rStyle w:val="54"/>
          <w:rFonts w:ascii="宋体" w:hAnsi="宋体"/>
          <w:i w:val="0"/>
          <w:snapToGrid w:val="0"/>
          <w:color w:val="auto"/>
          <w:highlight w:val="none"/>
        </w:rPr>
        <w:t xml:space="preserve">9.5  </w:t>
      </w:r>
      <w:r>
        <w:rPr>
          <w:rStyle w:val="54"/>
          <w:rFonts w:hint="eastAsia" w:ascii="宋体" w:hAnsi="宋体"/>
          <w:i w:val="0"/>
          <w:snapToGrid w:val="0"/>
          <w:color w:val="auto"/>
          <w:highlight w:val="none"/>
        </w:rPr>
        <w:t>投诉</w:t>
      </w:r>
      <w:r>
        <w:rPr>
          <w:i w:val="0"/>
          <w:color w:val="auto"/>
          <w:highlight w:val="none"/>
        </w:rPr>
        <w:tab/>
      </w:r>
      <w:r>
        <w:rPr>
          <w:i w:val="0"/>
          <w:color w:val="auto"/>
          <w:highlight w:val="none"/>
        </w:rPr>
        <w:fldChar w:fldCharType="begin"/>
      </w:r>
      <w:r>
        <w:rPr>
          <w:i w:val="0"/>
          <w:color w:val="auto"/>
          <w:highlight w:val="none"/>
        </w:rPr>
        <w:instrText xml:space="preserve"> PAGEREF _Toc57905882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4440F0D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"_Toc57905883" </w:instrText>
      </w:r>
      <w:r>
        <w:rPr>
          <w:color w:val="auto"/>
          <w:highlight w:val="none"/>
        </w:rPr>
        <w:fldChar w:fldCharType="separate"/>
      </w:r>
      <w:r>
        <w:rPr>
          <w:rStyle w:val="54"/>
          <w:rFonts w:ascii="宋体" w:hAnsi="宋体"/>
          <w:snapToGrid w:val="0"/>
          <w:color w:val="auto"/>
          <w:highlight w:val="none"/>
        </w:rPr>
        <w:t xml:space="preserve">10. </w:t>
      </w:r>
      <w:r>
        <w:rPr>
          <w:rStyle w:val="54"/>
          <w:rFonts w:hint="eastAsia" w:ascii="宋体" w:hAnsi="宋体"/>
          <w:snapToGrid w:val="0"/>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_Toc57905883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4AFF6033">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"_Toc57905895" </w:instrText>
      </w:r>
      <w:r>
        <w:rPr>
          <w:color w:val="auto"/>
          <w:highlight w:val="none"/>
        </w:rPr>
        <w:fldChar w:fldCharType="separate"/>
      </w:r>
      <w:r>
        <w:rPr>
          <w:rStyle w:val="54"/>
          <w:rFonts w:hint="eastAsia" w:ascii="宋体" w:hAnsi="宋体"/>
          <w:color w:val="auto"/>
          <w:highlight w:val="none"/>
        </w:rPr>
        <w:t>第三章</w:t>
      </w:r>
      <w:r>
        <w:rPr>
          <w:rStyle w:val="54"/>
          <w:rFonts w:ascii="宋体" w:hAnsi="宋体"/>
          <w:color w:val="auto"/>
          <w:highlight w:val="none"/>
        </w:rPr>
        <w:t xml:space="preserve">  </w:t>
      </w:r>
      <w:r>
        <w:rPr>
          <w:rStyle w:val="54"/>
          <w:rFonts w:hint="eastAsia" w:ascii="宋体" w:hAnsi="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_Toc57905895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469DC6F">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"_Toc57905896" </w:instrText>
      </w:r>
      <w:r>
        <w:rPr>
          <w:color w:val="auto"/>
          <w:highlight w:val="none"/>
        </w:rPr>
        <w:fldChar w:fldCharType="separate"/>
      </w:r>
      <w:r>
        <w:rPr>
          <w:rStyle w:val="54"/>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_Toc57905896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6A0964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"_Toc57905897"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_Toc57905897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4EA64E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"_Toc57905898"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_Toc57905898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30E30E3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"_Toc57905899" </w:instrText>
      </w:r>
      <w:r>
        <w:rPr>
          <w:color w:val="auto"/>
          <w:highlight w:val="none"/>
        </w:rPr>
        <w:fldChar w:fldCharType="separate"/>
      </w:r>
      <w:r>
        <w:rPr>
          <w:rStyle w:val="54"/>
          <w:rFonts w:ascii="宋体" w:hAnsi="宋体"/>
          <w:i w:val="0"/>
          <w:snapToGrid w:val="0"/>
          <w:color w:val="auto"/>
          <w:highlight w:val="none"/>
        </w:rPr>
        <w:t xml:space="preserve">2.1  </w:t>
      </w:r>
      <w:r>
        <w:rPr>
          <w:rStyle w:val="54"/>
          <w:rFonts w:hint="eastAsia" w:ascii="宋体" w:hAnsi="宋体"/>
          <w:i w:val="0"/>
          <w:snapToGrid w:val="0"/>
          <w:color w:val="auto"/>
          <w:highlight w:val="none"/>
        </w:rPr>
        <w:t>初步评审标准</w:t>
      </w:r>
      <w:r>
        <w:rPr>
          <w:i w:val="0"/>
          <w:color w:val="auto"/>
          <w:highlight w:val="none"/>
        </w:rPr>
        <w:tab/>
      </w:r>
      <w:r>
        <w:rPr>
          <w:i w:val="0"/>
          <w:color w:val="auto"/>
          <w:highlight w:val="none"/>
        </w:rPr>
        <w:fldChar w:fldCharType="begin"/>
      </w:r>
      <w:r>
        <w:rPr>
          <w:i w:val="0"/>
          <w:color w:val="auto"/>
          <w:highlight w:val="none"/>
        </w:rPr>
        <w:instrText xml:space="preserve"> PAGEREF _Toc57905899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38DE39E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"_Toc57905900" </w:instrText>
      </w:r>
      <w:r>
        <w:rPr>
          <w:color w:val="auto"/>
          <w:highlight w:val="none"/>
        </w:rPr>
        <w:fldChar w:fldCharType="separate"/>
      </w:r>
      <w:r>
        <w:rPr>
          <w:rStyle w:val="54"/>
          <w:rFonts w:ascii="宋体" w:hAnsi="宋体"/>
          <w:i w:val="0"/>
          <w:snapToGrid w:val="0"/>
          <w:color w:val="auto"/>
          <w:highlight w:val="none"/>
        </w:rPr>
        <w:t xml:space="preserve">2.2  </w:t>
      </w:r>
      <w:r>
        <w:rPr>
          <w:rStyle w:val="54"/>
          <w:rFonts w:hint="eastAsia" w:ascii="宋体" w:hAnsi="宋体"/>
          <w:i w:val="0"/>
          <w:snapToGrid w:val="0"/>
          <w:color w:val="auto"/>
          <w:highlight w:val="none"/>
        </w:rPr>
        <w:t>分值构成与评分标准</w:t>
      </w:r>
      <w:r>
        <w:rPr>
          <w:i w:val="0"/>
          <w:color w:val="auto"/>
          <w:highlight w:val="none"/>
        </w:rPr>
        <w:tab/>
      </w:r>
      <w:r>
        <w:rPr>
          <w:i w:val="0"/>
          <w:color w:val="auto"/>
          <w:highlight w:val="none"/>
        </w:rPr>
        <w:fldChar w:fldCharType="begin"/>
      </w:r>
      <w:r>
        <w:rPr>
          <w:i w:val="0"/>
          <w:color w:val="auto"/>
          <w:highlight w:val="none"/>
        </w:rPr>
        <w:instrText xml:space="preserve"> PAGEREF _Toc57905900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15A46D8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"_Toc57905901"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_Toc57905901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6F6950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"_Toc57905902" </w:instrText>
      </w:r>
      <w:r>
        <w:rPr>
          <w:color w:val="auto"/>
          <w:highlight w:val="none"/>
        </w:rPr>
        <w:fldChar w:fldCharType="separate"/>
      </w:r>
      <w:r>
        <w:rPr>
          <w:rStyle w:val="54"/>
          <w:rFonts w:ascii="宋体" w:hAnsi="宋体"/>
          <w:i w:val="0"/>
          <w:snapToGrid w:val="0"/>
          <w:color w:val="auto"/>
          <w:highlight w:val="none"/>
        </w:rPr>
        <w:t xml:space="preserve">3.1  </w:t>
      </w:r>
      <w:r>
        <w:rPr>
          <w:rStyle w:val="54"/>
          <w:rFonts w:hint="eastAsia" w:ascii="宋体" w:hAnsi="宋体"/>
          <w:i w:val="0"/>
          <w:snapToGrid w:val="0"/>
          <w:color w:val="auto"/>
          <w:highlight w:val="none"/>
        </w:rPr>
        <w:t>初步评审</w:t>
      </w:r>
      <w:r>
        <w:rPr>
          <w:i w:val="0"/>
          <w:color w:val="auto"/>
          <w:highlight w:val="none"/>
        </w:rPr>
        <w:tab/>
      </w:r>
      <w:r>
        <w:rPr>
          <w:i w:val="0"/>
          <w:color w:val="auto"/>
          <w:highlight w:val="none"/>
        </w:rPr>
        <w:fldChar w:fldCharType="begin"/>
      </w:r>
      <w:r>
        <w:rPr>
          <w:i w:val="0"/>
          <w:color w:val="auto"/>
          <w:highlight w:val="none"/>
        </w:rPr>
        <w:instrText xml:space="preserve"> PAGEREF _Toc57905902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406D15D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"_Toc57905903" </w:instrText>
      </w:r>
      <w:r>
        <w:rPr>
          <w:color w:val="auto"/>
          <w:highlight w:val="none"/>
        </w:rPr>
        <w:fldChar w:fldCharType="separate"/>
      </w:r>
      <w:r>
        <w:rPr>
          <w:rStyle w:val="54"/>
          <w:rFonts w:ascii="宋体" w:hAnsi="宋体"/>
          <w:i w:val="0"/>
          <w:snapToGrid w:val="0"/>
          <w:color w:val="auto"/>
          <w:highlight w:val="none"/>
        </w:rPr>
        <w:t xml:space="preserve">3.2  </w:t>
      </w:r>
      <w:r>
        <w:rPr>
          <w:rStyle w:val="54"/>
          <w:rFonts w:hint="eastAsia" w:ascii="宋体" w:hAnsi="宋体"/>
          <w:i w:val="0"/>
          <w:snapToGrid w:val="0"/>
          <w:color w:val="auto"/>
          <w:highlight w:val="none"/>
        </w:rPr>
        <w:t>详细评审</w:t>
      </w:r>
      <w:r>
        <w:rPr>
          <w:i w:val="0"/>
          <w:color w:val="auto"/>
          <w:highlight w:val="none"/>
        </w:rPr>
        <w:tab/>
      </w:r>
      <w:r>
        <w:rPr>
          <w:i w:val="0"/>
          <w:color w:val="auto"/>
          <w:highlight w:val="none"/>
        </w:rPr>
        <w:fldChar w:fldCharType="begin"/>
      </w:r>
      <w:r>
        <w:rPr>
          <w:i w:val="0"/>
          <w:color w:val="auto"/>
          <w:highlight w:val="none"/>
        </w:rPr>
        <w:instrText xml:space="preserve"> PAGEREF _Toc57905903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1B5E85C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"_Toc57905904" </w:instrText>
      </w:r>
      <w:r>
        <w:rPr>
          <w:color w:val="auto"/>
          <w:highlight w:val="none"/>
        </w:rPr>
        <w:fldChar w:fldCharType="separate"/>
      </w:r>
      <w:r>
        <w:rPr>
          <w:rStyle w:val="54"/>
          <w:rFonts w:ascii="宋体" w:hAnsi="宋体"/>
          <w:i w:val="0"/>
          <w:snapToGrid w:val="0"/>
          <w:color w:val="auto"/>
          <w:highlight w:val="none"/>
        </w:rPr>
        <w:t xml:space="preserve">3.3  </w:t>
      </w:r>
      <w:r>
        <w:rPr>
          <w:rStyle w:val="54"/>
          <w:rFonts w:hint="eastAsia" w:ascii="宋体" w:hAnsi="宋体"/>
          <w:i w:val="0"/>
          <w:snapToGrid w:val="0"/>
          <w:color w:val="auto"/>
          <w:highlight w:val="none"/>
        </w:rPr>
        <w:t>竞选文件的澄清和补正</w:t>
      </w:r>
      <w:r>
        <w:rPr>
          <w:i w:val="0"/>
          <w:color w:val="auto"/>
          <w:highlight w:val="none"/>
        </w:rPr>
        <w:tab/>
      </w:r>
      <w:r>
        <w:rPr>
          <w:i w:val="0"/>
          <w:color w:val="auto"/>
          <w:highlight w:val="none"/>
        </w:rPr>
        <w:fldChar w:fldCharType="begin"/>
      </w:r>
      <w:r>
        <w:rPr>
          <w:i w:val="0"/>
          <w:color w:val="auto"/>
          <w:highlight w:val="none"/>
        </w:rPr>
        <w:instrText xml:space="preserve"> PAGEREF _Toc57905904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74C2615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"_Toc57905905" </w:instrText>
      </w:r>
      <w:r>
        <w:rPr>
          <w:color w:val="auto"/>
          <w:highlight w:val="none"/>
        </w:rPr>
        <w:fldChar w:fldCharType="separate"/>
      </w:r>
      <w:r>
        <w:rPr>
          <w:rStyle w:val="54"/>
          <w:rFonts w:ascii="宋体" w:hAnsi="宋体"/>
          <w:i w:val="0"/>
          <w:snapToGrid w:val="0"/>
          <w:color w:val="auto"/>
          <w:highlight w:val="none"/>
        </w:rPr>
        <w:t xml:space="preserve">3.4  </w:t>
      </w:r>
      <w:r>
        <w:rPr>
          <w:rStyle w:val="54"/>
          <w:rFonts w:hint="eastAsia" w:ascii="宋体" w:hAnsi="宋体"/>
          <w:i w:val="0"/>
          <w:snapToGrid w:val="0"/>
          <w:color w:val="auto"/>
          <w:highlight w:val="none"/>
        </w:rPr>
        <w:t>评标结果</w:t>
      </w:r>
      <w:r>
        <w:rPr>
          <w:i w:val="0"/>
          <w:color w:val="auto"/>
          <w:highlight w:val="none"/>
        </w:rPr>
        <w:tab/>
      </w:r>
      <w:r>
        <w:rPr>
          <w:i w:val="0"/>
          <w:color w:val="auto"/>
          <w:highlight w:val="none"/>
        </w:rPr>
        <w:fldChar w:fldCharType="begin"/>
      </w:r>
      <w:r>
        <w:rPr>
          <w:i w:val="0"/>
          <w:color w:val="auto"/>
          <w:highlight w:val="none"/>
        </w:rPr>
        <w:instrText xml:space="preserve"> PAGEREF _Toc57905905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2D59A0C3">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"_Toc57905906" </w:instrText>
      </w:r>
      <w:r>
        <w:rPr>
          <w:color w:val="auto"/>
          <w:highlight w:val="none"/>
        </w:rPr>
        <w:fldChar w:fldCharType="separate"/>
      </w:r>
      <w:r>
        <w:rPr>
          <w:rStyle w:val="54"/>
          <w:rFonts w:hint="eastAsia" w:ascii="宋体" w:hAnsi="宋体"/>
          <w:color w:val="auto"/>
          <w:kern w:val="0"/>
          <w:highlight w:val="none"/>
        </w:rPr>
        <w:t>第四章</w:t>
      </w:r>
      <w:r>
        <w:rPr>
          <w:rStyle w:val="54"/>
          <w:rFonts w:ascii="宋体" w:hAnsi="宋体"/>
          <w:color w:val="auto"/>
          <w:kern w:val="0"/>
          <w:highlight w:val="none"/>
        </w:rPr>
        <w:t xml:space="preserve">  </w:t>
      </w:r>
      <w:r>
        <w:rPr>
          <w:rStyle w:val="54"/>
          <w:rFonts w:hint="eastAsia" w:ascii="宋体" w:hAnsi="宋体"/>
          <w:color w:val="auto"/>
          <w:kern w:val="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_Toc57905906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177078AC">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"_Toc57905911"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二</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rFonts w:hint="eastAsia"/>
          <w:color w:val="auto"/>
          <w:highlight w:val="none"/>
        </w:rPr>
        <w:t>4</w:t>
      </w:r>
      <w:r>
        <w:rPr>
          <w:rFonts w:hint="eastAsia"/>
          <w:color w:val="auto"/>
          <w:highlight w:val="none"/>
        </w:rPr>
        <w:fldChar w:fldCharType="end"/>
      </w:r>
      <w:r>
        <w:rPr>
          <w:rFonts w:hint="eastAsia"/>
          <w:color w:val="auto"/>
          <w:highlight w:val="none"/>
        </w:rPr>
        <w:t>5</w:t>
      </w:r>
    </w:p>
    <w:p w14:paraId="32546AB0">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"_Toc57905914" </w:instrText>
      </w:r>
      <w:r>
        <w:rPr>
          <w:color w:val="auto"/>
          <w:highlight w:val="none"/>
        </w:rPr>
        <w:fldChar w:fldCharType="separate"/>
      </w:r>
      <w:r>
        <w:rPr>
          <w:rStyle w:val="54"/>
          <w:rFonts w:hint="eastAsia" w:ascii="宋体" w:hAnsi="宋体"/>
          <w:color w:val="auto"/>
          <w:highlight w:val="none"/>
        </w:rPr>
        <w:t>第五章</w:t>
      </w:r>
      <w:r>
        <w:rPr>
          <w:rStyle w:val="54"/>
          <w:rFonts w:ascii="宋体" w:hAnsi="宋体"/>
          <w:color w:val="auto"/>
          <w:highlight w:val="none"/>
        </w:rPr>
        <w:t xml:space="preserve">  </w:t>
      </w:r>
      <w:r>
        <w:rPr>
          <w:rStyle w:val="54"/>
          <w:rFonts w:hint="eastAsia"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_Toc57905914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4E0D8FB3">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"_Toc57905915"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三</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_Toc57905915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21AB96C7">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"_Toc57905916" </w:instrText>
      </w:r>
      <w:r>
        <w:rPr>
          <w:color w:val="auto"/>
          <w:highlight w:val="none"/>
        </w:rPr>
        <w:fldChar w:fldCharType="separate"/>
      </w:r>
      <w:r>
        <w:rPr>
          <w:rStyle w:val="54"/>
          <w:rFonts w:hint="eastAsia" w:ascii="宋体" w:hAnsi="宋体"/>
          <w:color w:val="auto"/>
          <w:highlight w:val="none"/>
        </w:rPr>
        <w:t>第六章</w:t>
      </w:r>
      <w:r>
        <w:rPr>
          <w:rStyle w:val="54"/>
          <w:rFonts w:ascii="宋体" w:hAnsi="宋体"/>
          <w:color w:val="auto"/>
          <w:highlight w:val="none"/>
        </w:rPr>
        <w:t xml:space="preserve">  </w:t>
      </w:r>
      <w:r>
        <w:rPr>
          <w:rStyle w:val="54"/>
          <w:rFonts w:hint="eastAsia" w:ascii="宋体" w:hAnsi="宋体"/>
          <w:color w:val="auto"/>
          <w:highlight w:val="none"/>
        </w:rPr>
        <w:t>竞选文件格式</w:t>
      </w:r>
      <w:r>
        <w:rPr>
          <w:color w:val="auto"/>
          <w:highlight w:val="none"/>
        </w:rPr>
        <w:tab/>
      </w:r>
      <w:r>
        <w:rPr>
          <w:color w:val="auto"/>
          <w:highlight w:val="none"/>
        </w:rPr>
        <w:fldChar w:fldCharType="begin"/>
      </w:r>
      <w:r>
        <w:rPr>
          <w:color w:val="auto"/>
          <w:highlight w:val="none"/>
        </w:rPr>
        <w:instrText xml:space="preserve"> PAGEREF _Toc57905916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3B17088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"_Toc57905918" </w:instrText>
      </w:r>
      <w:r>
        <w:rPr>
          <w:color w:val="auto"/>
          <w:highlight w:val="none"/>
        </w:rPr>
        <w:fldChar w:fldCharType="separate"/>
      </w:r>
      <w:r>
        <w:rPr>
          <w:rStyle w:val="54"/>
          <w:rFonts w:hint="eastAsia" w:ascii="宋体" w:hAnsi="宋体"/>
          <w:color w:val="auto"/>
          <w:highlight w:val="none"/>
        </w:rPr>
        <w:t>一、投标函部分</w:t>
      </w:r>
      <w:r>
        <w:rPr>
          <w:color w:val="auto"/>
          <w:highlight w:val="none"/>
        </w:rPr>
        <w:tab/>
      </w:r>
      <w:r>
        <w:rPr>
          <w:color w:val="auto"/>
          <w:highlight w:val="none"/>
        </w:rPr>
        <w:fldChar w:fldCharType="begin"/>
      </w:r>
      <w:r>
        <w:rPr>
          <w:color w:val="auto"/>
          <w:highlight w:val="none"/>
        </w:rPr>
        <w:instrText xml:space="preserve"> PAGEREF _Toc57905918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520A15E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"_Toc57905919" </w:instrText>
      </w:r>
      <w:r>
        <w:rPr>
          <w:color w:val="auto"/>
          <w:highlight w:val="none"/>
        </w:rPr>
        <w:fldChar w:fldCharType="separate"/>
      </w:r>
      <w:r>
        <w:rPr>
          <w:rStyle w:val="54"/>
          <w:rFonts w:hint="eastAsia"/>
          <w:i w:val="0"/>
          <w:color w:val="auto"/>
          <w:highlight w:val="none"/>
        </w:rPr>
        <w:t>（一）投标函</w:t>
      </w:r>
      <w:r>
        <w:rPr>
          <w:i w:val="0"/>
          <w:color w:val="auto"/>
          <w:highlight w:val="none"/>
        </w:rPr>
        <w:tab/>
      </w:r>
      <w:r>
        <w:rPr>
          <w:i w:val="0"/>
          <w:color w:val="auto"/>
          <w:highlight w:val="none"/>
        </w:rPr>
        <w:fldChar w:fldCharType="begin"/>
      </w:r>
      <w:r>
        <w:rPr>
          <w:i w:val="0"/>
          <w:color w:val="auto"/>
          <w:highlight w:val="none"/>
        </w:rPr>
        <w:instrText xml:space="preserve"> PAGEREF _Toc57905919 \h </w:instrText>
      </w:r>
      <w:r>
        <w:rPr>
          <w:i w:val="0"/>
          <w:color w:val="auto"/>
          <w:highlight w:val="none"/>
        </w:rPr>
        <w:fldChar w:fldCharType="separate"/>
      </w:r>
      <w:r>
        <w:rPr>
          <w:i w:val="0"/>
          <w:color w:val="auto"/>
          <w:highlight w:val="none"/>
        </w:rPr>
        <w:t>53</w:t>
      </w:r>
      <w:r>
        <w:rPr>
          <w:i w:val="0"/>
          <w:color w:val="auto"/>
          <w:highlight w:val="none"/>
        </w:rPr>
        <w:fldChar w:fldCharType="end"/>
      </w:r>
      <w:r>
        <w:rPr>
          <w:i w:val="0"/>
          <w:color w:val="auto"/>
          <w:highlight w:val="none"/>
        </w:rPr>
        <w:fldChar w:fldCharType="end"/>
      </w:r>
    </w:p>
    <w:p w14:paraId="1E41EEA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"_Toc57905921" </w:instrText>
      </w:r>
      <w:r>
        <w:rPr>
          <w:color w:val="auto"/>
          <w:highlight w:val="none"/>
        </w:rPr>
        <w:fldChar w:fldCharType="separate"/>
      </w:r>
      <w:r>
        <w:rPr>
          <w:rStyle w:val="54"/>
          <w:rFonts w:hint="eastAsia"/>
          <w:i w:val="0"/>
          <w:color w:val="auto"/>
          <w:highlight w:val="none"/>
        </w:rPr>
        <w:t>（二）法定代表人身份证明或附有法定代表人身份证明的授权委托书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_Toc57905921 \h </w:instrText>
      </w:r>
      <w:r>
        <w:rPr>
          <w:i w:val="0"/>
          <w:color w:val="auto"/>
          <w:highlight w:val="none"/>
        </w:rPr>
        <w:fldChar w:fldCharType="separate"/>
      </w:r>
      <w:r>
        <w:rPr>
          <w:i w:val="0"/>
          <w:color w:val="auto"/>
          <w:highlight w:val="none"/>
        </w:rPr>
        <w:t>54</w:t>
      </w:r>
      <w:r>
        <w:rPr>
          <w:i w:val="0"/>
          <w:color w:val="auto"/>
          <w:highlight w:val="none"/>
        </w:rPr>
        <w:fldChar w:fldCharType="end"/>
      </w:r>
      <w:r>
        <w:rPr>
          <w:i w:val="0"/>
          <w:color w:val="auto"/>
          <w:highlight w:val="none"/>
        </w:rPr>
        <w:fldChar w:fldCharType="end"/>
      </w:r>
    </w:p>
    <w:p w14:paraId="20FD2E84">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"_Toc57905926" </w:instrText>
      </w:r>
      <w:r>
        <w:rPr>
          <w:color w:val="auto"/>
          <w:highlight w:val="none"/>
        </w:rPr>
        <w:fldChar w:fldCharType="separate"/>
      </w:r>
      <w:r>
        <w:rPr>
          <w:rStyle w:val="54"/>
          <w:rFonts w:hint="eastAsia" w:ascii="宋体" w:hAnsi="宋体"/>
          <w:color w:val="auto"/>
          <w:highlight w:val="none"/>
        </w:rPr>
        <w:t>二、技术部分</w:t>
      </w:r>
      <w:r>
        <w:rPr>
          <w:color w:val="auto"/>
          <w:highlight w:val="none"/>
        </w:rPr>
        <w:tab/>
      </w:r>
      <w:r>
        <w:rPr>
          <w:color w:val="auto"/>
          <w:highlight w:val="none"/>
        </w:rPr>
        <w:fldChar w:fldCharType="begin"/>
      </w:r>
      <w:r>
        <w:rPr>
          <w:color w:val="auto"/>
          <w:highlight w:val="none"/>
        </w:rPr>
        <w:instrText xml:space="preserve"> PAGEREF _Toc57905926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74AD1B46">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"_Toc57905928" </w:instrText>
      </w:r>
      <w:r>
        <w:rPr>
          <w:color w:val="auto"/>
          <w:highlight w:val="none"/>
        </w:rPr>
        <w:fldChar w:fldCharType="separate"/>
      </w:r>
      <w:r>
        <w:rPr>
          <w:rStyle w:val="54"/>
          <w:rFonts w:hint="eastAsia" w:ascii="宋体" w:hAnsi="宋体"/>
          <w:color w:val="auto"/>
          <w:highlight w:val="none"/>
        </w:rPr>
        <w:t>三、资格审查部分</w:t>
      </w:r>
      <w:r>
        <w:rPr>
          <w:color w:val="auto"/>
          <w:highlight w:val="none"/>
        </w:rPr>
        <w:tab/>
      </w:r>
      <w:r>
        <w:rPr>
          <w:color w:val="auto"/>
          <w:highlight w:val="none"/>
        </w:rPr>
        <w:fldChar w:fldCharType="begin"/>
      </w:r>
      <w:r>
        <w:rPr>
          <w:color w:val="auto"/>
          <w:highlight w:val="none"/>
        </w:rPr>
        <w:instrText xml:space="preserve"> PAGEREF _Toc57905928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3FB2FE2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"_Toc57905929" </w:instrText>
      </w:r>
      <w:r>
        <w:rPr>
          <w:color w:val="auto"/>
          <w:highlight w:val="none"/>
        </w:rPr>
        <w:fldChar w:fldCharType="separate"/>
      </w:r>
      <w:r>
        <w:rPr>
          <w:rStyle w:val="54"/>
          <w:rFonts w:hint="eastAsia"/>
          <w:i w:val="0"/>
          <w:color w:val="auto"/>
          <w:highlight w:val="none"/>
        </w:rPr>
        <w:t>（一）法定代表人身份证明或附有法定代表人身份证明的授权委托书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_Toc57905929 \h </w:instrText>
      </w:r>
      <w:r>
        <w:rPr>
          <w:i w:val="0"/>
          <w:color w:val="auto"/>
          <w:highlight w:val="none"/>
        </w:rPr>
        <w:fldChar w:fldCharType="separate"/>
      </w:r>
      <w:r>
        <w:rPr>
          <w:i w:val="0"/>
          <w:color w:val="auto"/>
          <w:highlight w:val="none"/>
        </w:rPr>
        <w:t>62</w:t>
      </w:r>
      <w:r>
        <w:rPr>
          <w:i w:val="0"/>
          <w:color w:val="auto"/>
          <w:highlight w:val="none"/>
        </w:rPr>
        <w:fldChar w:fldCharType="end"/>
      </w:r>
      <w:r>
        <w:rPr>
          <w:i w:val="0"/>
          <w:color w:val="auto"/>
          <w:highlight w:val="none"/>
        </w:rPr>
        <w:fldChar w:fldCharType="end"/>
      </w:r>
    </w:p>
    <w:p w14:paraId="6B4939E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"_Toc57905931" </w:instrText>
      </w:r>
      <w:r>
        <w:rPr>
          <w:color w:val="auto"/>
          <w:highlight w:val="none"/>
        </w:rPr>
        <w:fldChar w:fldCharType="separate"/>
      </w:r>
      <w:r>
        <w:rPr>
          <w:rStyle w:val="54"/>
          <w:rFonts w:hint="eastAsia" w:ascii="宋体" w:hAnsi="宋体"/>
          <w:i w:val="0"/>
          <w:color w:val="auto"/>
          <w:highlight w:val="none"/>
        </w:rPr>
        <w:t>（二）竞选人基本情况表</w:t>
      </w:r>
      <w:r>
        <w:rPr>
          <w:i w:val="0"/>
          <w:color w:val="auto"/>
          <w:highlight w:val="none"/>
        </w:rPr>
        <w:tab/>
      </w:r>
      <w:r>
        <w:rPr>
          <w:i w:val="0"/>
          <w:color w:val="auto"/>
          <w:highlight w:val="none"/>
        </w:rPr>
        <w:fldChar w:fldCharType="begin"/>
      </w:r>
      <w:r>
        <w:rPr>
          <w:i w:val="0"/>
          <w:color w:val="auto"/>
          <w:highlight w:val="none"/>
        </w:rPr>
        <w:instrText xml:space="preserve"> PAGEREF _Toc57905931 \h </w:instrText>
      </w:r>
      <w:r>
        <w:rPr>
          <w:i w:val="0"/>
          <w:color w:val="auto"/>
          <w:highlight w:val="none"/>
        </w:rPr>
        <w:fldChar w:fldCharType="separate"/>
      </w:r>
      <w:r>
        <w:rPr>
          <w:i w:val="0"/>
          <w:color w:val="auto"/>
          <w:highlight w:val="none"/>
        </w:rPr>
        <w:t>64</w:t>
      </w:r>
      <w:r>
        <w:rPr>
          <w:i w:val="0"/>
          <w:color w:val="auto"/>
          <w:highlight w:val="none"/>
        </w:rPr>
        <w:fldChar w:fldCharType="end"/>
      </w:r>
      <w:r>
        <w:rPr>
          <w:i w:val="0"/>
          <w:color w:val="auto"/>
          <w:highlight w:val="none"/>
        </w:rPr>
        <w:fldChar w:fldCharType="end"/>
      </w:r>
    </w:p>
    <w:p w14:paraId="4B2939C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"_Toc57905932" </w:instrText>
      </w:r>
      <w:r>
        <w:rPr>
          <w:color w:val="auto"/>
          <w:highlight w:val="none"/>
        </w:rPr>
        <w:fldChar w:fldCharType="separate"/>
      </w:r>
      <w:r>
        <w:rPr>
          <w:rStyle w:val="54"/>
          <w:rFonts w:hint="eastAsia" w:ascii="宋体" w:hAnsi="宋体"/>
          <w:i w:val="0"/>
          <w:color w:val="auto"/>
          <w:highlight w:val="none"/>
        </w:rPr>
        <w:t>（三）项目管理机构</w:t>
      </w:r>
      <w:r>
        <w:rPr>
          <w:i w:val="0"/>
          <w:color w:val="auto"/>
          <w:highlight w:val="none"/>
        </w:rPr>
        <w:tab/>
      </w:r>
      <w:r>
        <w:rPr>
          <w:i w:val="0"/>
          <w:color w:val="auto"/>
          <w:highlight w:val="none"/>
        </w:rPr>
        <w:fldChar w:fldCharType="begin"/>
      </w:r>
      <w:r>
        <w:rPr>
          <w:i w:val="0"/>
          <w:color w:val="auto"/>
          <w:highlight w:val="none"/>
        </w:rPr>
        <w:instrText xml:space="preserve"> PAGEREF _Toc57905932 \h </w:instrText>
      </w:r>
      <w:r>
        <w:rPr>
          <w:i w:val="0"/>
          <w:color w:val="auto"/>
          <w:highlight w:val="none"/>
        </w:rPr>
        <w:fldChar w:fldCharType="separate"/>
      </w:r>
      <w:r>
        <w:rPr>
          <w:i w:val="0"/>
          <w:color w:val="auto"/>
          <w:highlight w:val="none"/>
        </w:rPr>
        <w:t>65</w:t>
      </w:r>
      <w:r>
        <w:rPr>
          <w:i w:val="0"/>
          <w:color w:val="auto"/>
          <w:highlight w:val="none"/>
        </w:rPr>
        <w:fldChar w:fldCharType="end"/>
      </w:r>
      <w:r>
        <w:rPr>
          <w:i w:val="0"/>
          <w:color w:val="auto"/>
          <w:highlight w:val="none"/>
        </w:rPr>
        <w:fldChar w:fldCharType="end"/>
      </w:r>
    </w:p>
    <w:p w14:paraId="0B402CB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"_Toc57905935" </w:instrText>
      </w:r>
      <w:r>
        <w:rPr>
          <w:color w:val="auto"/>
          <w:highlight w:val="none"/>
        </w:rPr>
        <w:fldChar w:fldCharType="separate"/>
      </w:r>
      <w:r>
        <w:rPr>
          <w:rStyle w:val="54"/>
          <w:rFonts w:hint="eastAsia" w:ascii="宋体" w:hAnsi="宋体"/>
          <w:i w:val="0"/>
          <w:color w:val="auto"/>
          <w:highlight w:val="none"/>
        </w:rPr>
        <w:t>（四）承诺</w:t>
      </w:r>
      <w:r>
        <w:rPr>
          <w:i w:val="0"/>
          <w:color w:val="auto"/>
          <w:highlight w:val="none"/>
        </w:rPr>
        <w:tab/>
      </w:r>
      <w:r>
        <w:rPr>
          <w:i w:val="0"/>
          <w:color w:val="auto"/>
          <w:highlight w:val="none"/>
        </w:rPr>
        <w:fldChar w:fldCharType="begin"/>
      </w:r>
      <w:r>
        <w:rPr>
          <w:i w:val="0"/>
          <w:color w:val="auto"/>
          <w:highlight w:val="none"/>
        </w:rPr>
        <w:instrText xml:space="preserve"> PAGEREF _Toc57905935 \h </w:instrText>
      </w:r>
      <w:r>
        <w:rPr>
          <w:i w:val="0"/>
          <w:color w:val="auto"/>
          <w:highlight w:val="none"/>
        </w:rPr>
        <w:fldChar w:fldCharType="separate"/>
      </w:r>
      <w:r>
        <w:rPr>
          <w:i w:val="0"/>
          <w:color w:val="auto"/>
          <w:highlight w:val="none"/>
        </w:rPr>
        <w:t>67</w:t>
      </w:r>
      <w:r>
        <w:rPr>
          <w:i w:val="0"/>
          <w:color w:val="auto"/>
          <w:highlight w:val="none"/>
        </w:rPr>
        <w:fldChar w:fldCharType="end"/>
      </w:r>
      <w:r>
        <w:rPr>
          <w:i w:val="0"/>
          <w:color w:val="auto"/>
          <w:highlight w:val="none"/>
        </w:rPr>
        <w:fldChar w:fldCharType="end"/>
      </w:r>
    </w:p>
    <w:p w14:paraId="095EDE9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"_Toc57905936" </w:instrText>
      </w:r>
      <w:r>
        <w:rPr>
          <w:color w:val="auto"/>
          <w:highlight w:val="none"/>
        </w:rPr>
        <w:fldChar w:fldCharType="separate"/>
      </w:r>
      <w:r>
        <w:rPr>
          <w:rStyle w:val="54"/>
          <w:rFonts w:hint="eastAsia" w:ascii="宋体" w:hAnsi="宋体"/>
          <w:i w:val="0"/>
          <w:color w:val="auto"/>
          <w:highlight w:val="none"/>
        </w:rPr>
        <w:t>（五）其他资料</w:t>
      </w:r>
      <w:r>
        <w:rPr>
          <w:i w:val="0"/>
          <w:color w:val="auto"/>
          <w:highlight w:val="none"/>
        </w:rPr>
        <w:tab/>
      </w:r>
      <w:r>
        <w:rPr>
          <w:i w:val="0"/>
          <w:color w:val="auto"/>
          <w:highlight w:val="none"/>
        </w:rPr>
        <w:fldChar w:fldCharType="begin"/>
      </w:r>
      <w:r>
        <w:rPr>
          <w:i w:val="0"/>
          <w:color w:val="auto"/>
          <w:highlight w:val="none"/>
        </w:rPr>
        <w:instrText xml:space="preserve"> PAGEREF _Toc57905936 \h </w:instrText>
      </w:r>
      <w:r>
        <w:rPr>
          <w:i w:val="0"/>
          <w:color w:val="auto"/>
          <w:highlight w:val="none"/>
        </w:rPr>
        <w:fldChar w:fldCharType="separate"/>
      </w:r>
      <w:r>
        <w:rPr>
          <w:i w:val="0"/>
          <w:color w:val="auto"/>
          <w:highlight w:val="none"/>
        </w:rPr>
        <w:t>68</w:t>
      </w:r>
      <w:r>
        <w:rPr>
          <w:i w:val="0"/>
          <w:color w:val="auto"/>
          <w:highlight w:val="none"/>
        </w:rPr>
        <w:fldChar w:fldCharType="end"/>
      </w:r>
      <w:r>
        <w:rPr>
          <w:i w:val="0"/>
          <w:color w:val="auto"/>
          <w:highlight w:val="none"/>
        </w:rPr>
        <w:fldChar w:fldCharType="end"/>
      </w:r>
    </w:p>
    <w:p w14:paraId="7A6CF486">
      <w:pPr>
        <w:rPr>
          <w:rFonts w:ascii="宋体" w:hAnsi="宋体"/>
          <w:color w:val="auto"/>
          <w:highlight w:val="none"/>
        </w:rPr>
      </w:pPr>
      <w:r>
        <w:rPr>
          <w:rFonts w:ascii="宋体" w:hAnsi="宋体"/>
          <w:bCs/>
          <w:color w:val="auto"/>
          <w:szCs w:val="20"/>
          <w:highlight w:val="none"/>
          <w:lang w:val="zh-CN"/>
        </w:rPr>
        <w:fldChar w:fldCharType="end"/>
      </w:r>
    </w:p>
    <w:bookmarkEnd w:id="0"/>
    <w:p w14:paraId="0ACA787C">
      <w:pPr>
        <w:spacing w:line="20" w:lineRule="exact"/>
        <w:rPr>
          <w:rFonts w:ascii="宋体" w:hAnsi="宋体"/>
          <w:color w:val="auto"/>
          <w:highlight w:val="none"/>
        </w:rPr>
      </w:pPr>
      <w:bookmarkStart w:id="8" w:name="_Toc430530414"/>
    </w:p>
    <w:p w14:paraId="56265EA0">
      <w:pPr>
        <w:spacing w:line="20" w:lineRule="exact"/>
        <w:jc w:val="left"/>
        <w:rPr>
          <w:rFonts w:ascii="宋体" w:hAnsi="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14:paraId="1EE16B2F">
      <w:pPr>
        <w:spacing w:line="360" w:lineRule="auto"/>
        <w:rPr>
          <w:rFonts w:ascii="宋体" w:hAnsi="宋体"/>
          <w:color w:val="auto"/>
          <w:highlight w:val="none"/>
        </w:rPr>
      </w:pPr>
    </w:p>
    <w:p w14:paraId="7263BF9E">
      <w:pPr>
        <w:pStyle w:val="3"/>
        <w:spacing w:before="0" w:after="0" w:line="480" w:lineRule="auto"/>
        <w:jc w:val="center"/>
        <w:rPr>
          <w:rFonts w:ascii="宋体" w:hAnsi="宋体"/>
          <w:color w:val="auto"/>
          <w:sz w:val="52"/>
          <w:szCs w:val="52"/>
          <w:highlight w:val="none"/>
        </w:rPr>
      </w:pPr>
      <w:bookmarkStart w:id="9" w:name="_Toc57905810"/>
      <w:bookmarkStart w:id="10" w:name="_Toc509218690"/>
      <w:bookmarkStart w:id="11" w:name="_Toc9936"/>
      <w:r>
        <w:rPr>
          <w:rFonts w:hint="eastAsia" w:ascii="宋体" w:hAnsi="宋体"/>
          <w:color w:val="auto"/>
          <w:sz w:val="52"/>
          <w:szCs w:val="52"/>
          <w:highlight w:val="none"/>
        </w:rPr>
        <w:t>第 一 卷</w:t>
      </w:r>
      <w:bookmarkEnd w:id="9"/>
      <w:bookmarkEnd w:id="10"/>
      <w:bookmarkEnd w:id="11"/>
    </w:p>
    <w:p w14:paraId="073CC1AF">
      <w:pPr>
        <w:spacing w:line="200" w:lineRule="exact"/>
        <w:rPr>
          <w:rFonts w:ascii="宋体" w:hAnsi="宋体"/>
          <w:color w:val="auto"/>
          <w:highlight w:val="none"/>
        </w:rPr>
      </w:pPr>
      <w:r>
        <w:rPr>
          <w:rFonts w:ascii="宋体" w:hAnsi="宋体"/>
          <w:color w:val="auto"/>
          <w:highlight w:val="none"/>
        </w:rPr>
        <w:br w:type="page"/>
      </w:r>
    </w:p>
    <w:p w14:paraId="1988516E">
      <w:pPr>
        <w:pStyle w:val="3"/>
        <w:spacing w:line="360" w:lineRule="auto"/>
        <w:jc w:val="center"/>
        <w:rPr>
          <w:rFonts w:ascii="宋体" w:hAnsi="宋体"/>
          <w:snapToGrid w:val="0"/>
          <w:color w:val="auto"/>
          <w:kern w:val="0"/>
          <w:highlight w:val="none"/>
        </w:rPr>
      </w:pPr>
      <w:bookmarkStart w:id="12" w:name="_Toc12819"/>
      <w:bookmarkStart w:id="13" w:name="_Toc277082535"/>
      <w:bookmarkStart w:id="14" w:name="_Toc430530415"/>
      <w:bookmarkStart w:id="15" w:name="_Toc287620666"/>
      <w:bookmarkStart w:id="16" w:name="_Toc509218691"/>
      <w:bookmarkStart w:id="17" w:name="_Toc224103298"/>
      <w:bookmarkStart w:id="18" w:name="_Toc287607727"/>
      <w:bookmarkStart w:id="19" w:name="_Toc57905811"/>
      <w:r>
        <w:rPr>
          <w:rFonts w:ascii="宋体" w:hAnsi="宋体"/>
          <w:snapToGrid w:val="0"/>
          <w:color w:val="auto"/>
          <w:kern w:val="0"/>
          <w:highlight w:val="none"/>
        </w:rPr>
        <w:t>第一章  招标公告</w:t>
      </w:r>
      <w:bookmarkEnd w:id="12"/>
      <w:bookmarkEnd w:id="13"/>
      <w:bookmarkEnd w:id="14"/>
      <w:bookmarkEnd w:id="15"/>
      <w:bookmarkEnd w:id="16"/>
      <w:bookmarkEnd w:id="17"/>
      <w:bookmarkEnd w:id="18"/>
      <w:bookmarkEnd w:id="19"/>
    </w:p>
    <w:p w14:paraId="616199F2">
      <w:pPr>
        <w:autoSpaceDE w:val="0"/>
        <w:autoSpaceDN w:val="0"/>
        <w:adjustRightInd w:val="0"/>
        <w:snapToGrid w:val="0"/>
        <w:spacing w:line="360" w:lineRule="auto"/>
        <w:jc w:val="center"/>
        <w:rPr>
          <w:rFonts w:hint="eastAsia" w:ascii="宋体" w:hAnsi="宋体" w:eastAsia="宋体"/>
          <w:snapToGrid w:val="0"/>
          <w:color w:val="auto"/>
          <w:w w:val="99"/>
          <w:kern w:val="0"/>
          <w:sz w:val="28"/>
          <w:szCs w:val="28"/>
          <w:highlight w:val="none"/>
          <w:u w:val="single"/>
          <w:lang w:eastAsia="zh-CN"/>
        </w:rPr>
      </w:pPr>
      <w:r>
        <w:rPr>
          <w:rFonts w:hint="eastAsia" w:ascii="宋体" w:hAnsi="宋体"/>
          <w:snapToGrid w:val="0"/>
          <w:color w:val="auto"/>
          <w:w w:val="99"/>
          <w:kern w:val="0"/>
          <w:sz w:val="28"/>
          <w:szCs w:val="28"/>
          <w:highlight w:val="none"/>
          <w:u w:val="single"/>
        </w:rPr>
        <w:t>南岸区弹子石片区老旧街区基础设施更新改造项目道路空洞检测</w:t>
      </w:r>
      <w:r>
        <w:rPr>
          <w:rFonts w:hint="eastAsia" w:ascii="宋体" w:hAnsi="宋体"/>
          <w:snapToGrid w:val="0"/>
          <w:color w:val="auto"/>
          <w:w w:val="99"/>
          <w:kern w:val="0"/>
          <w:sz w:val="28"/>
          <w:szCs w:val="28"/>
          <w:highlight w:val="none"/>
          <w:u w:val="single"/>
          <w:lang w:eastAsia="zh-CN"/>
        </w:rPr>
        <w:t>（</w:t>
      </w:r>
      <w:r>
        <w:rPr>
          <w:rFonts w:hint="eastAsia" w:ascii="宋体" w:hAnsi="宋体"/>
          <w:snapToGrid w:val="0"/>
          <w:color w:val="auto"/>
          <w:w w:val="99"/>
          <w:kern w:val="0"/>
          <w:sz w:val="28"/>
          <w:szCs w:val="28"/>
          <w:highlight w:val="none"/>
          <w:u w:val="single"/>
          <w:lang w:val="en-US" w:eastAsia="zh-CN"/>
        </w:rPr>
        <w:t>第二次</w:t>
      </w:r>
      <w:r>
        <w:rPr>
          <w:rFonts w:hint="eastAsia" w:ascii="宋体" w:hAnsi="宋体"/>
          <w:snapToGrid w:val="0"/>
          <w:color w:val="auto"/>
          <w:w w:val="99"/>
          <w:kern w:val="0"/>
          <w:sz w:val="28"/>
          <w:szCs w:val="28"/>
          <w:highlight w:val="none"/>
          <w:u w:val="single"/>
          <w:lang w:eastAsia="zh-CN"/>
        </w:rPr>
        <w:t>）</w:t>
      </w:r>
    </w:p>
    <w:p w14:paraId="2881014F">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w w:val="99"/>
          <w:kern w:val="0"/>
          <w:sz w:val="28"/>
          <w:szCs w:val="28"/>
          <w:highlight w:val="none"/>
        </w:rPr>
        <w:t>竞争性比选公告</w:t>
      </w:r>
    </w:p>
    <w:p w14:paraId="0C9F8794">
      <w:pPr>
        <w:pStyle w:val="4"/>
        <w:spacing w:before="100" w:after="100" w:line="460" w:lineRule="exact"/>
        <w:rPr>
          <w:rFonts w:ascii="宋体" w:hAnsi="宋体"/>
          <w:snapToGrid w:val="0"/>
          <w:color w:val="auto"/>
          <w:sz w:val="28"/>
          <w:szCs w:val="28"/>
          <w:highlight w:val="none"/>
        </w:rPr>
      </w:pPr>
      <w:bookmarkStart w:id="20" w:name="_Toc287607728"/>
      <w:bookmarkStart w:id="21" w:name="_Toc27491"/>
      <w:bookmarkStart w:id="22" w:name="_Toc200359238"/>
      <w:bookmarkStart w:id="23" w:name="_Toc200359427"/>
      <w:bookmarkStart w:id="24" w:name="_Toc57905812"/>
      <w:bookmarkStart w:id="25" w:name="_Toc509218692"/>
      <w:bookmarkStart w:id="26" w:name="_Toc430530416"/>
      <w:bookmarkStart w:id="27" w:name="_Toc224103299"/>
      <w:bookmarkStart w:id="28" w:name="_Toc287620667"/>
      <w:bookmarkStart w:id="29" w:name="_Toc277082536"/>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0"/>
      <w:bookmarkEnd w:id="21"/>
      <w:bookmarkEnd w:id="22"/>
      <w:bookmarkEnd w:id="23"/>
      <w:bookmarkEnd w:id="24"/>
      <w:bookmarkEnd w:id="25"/>
      <w:bookmarkEnd w:id="26"/>
      <w:bookmarkEnd w:id="27"/>
      <w:bookmarkEnd w:id="28"/>
      <w:bookmarkEnd w:id="29"/>
    </w:p>
    <w:p w14:paraId="100513C6">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本比选项目</w:t>
      </w:r>
      <w:r>
        <w:rPr>
          <w:rFonts w:hint="eastAsia" w:ascii="宋体" w:hAnsi="宋体"/>
          <w:color w:val="auto"/>
          <w:szCs w:val="21"/>
          <w:highlight w:val="none"/>
          <w:u w:val="single"/>
        </w:rPr>
        <w:t>南岸区弹子石片区老旧街区基础设施更新改造项目道路空洞检测</w:t>
      </w:r>
      <w:r>
        <w:rPr>
          <w:rFonts w:hint="eastAsia" w:ascii="宋体" w:hAnsi="宋体"/>
          <w:color w:val="auto"/>
          <w:szCs w:val="21"/>
          <w:highlight w:val="none"/>
        </w:rPr>
        <w:t>已</w:t>
      </w:r>
      <w:r>
        <w:rPr>
          <w:rFonts w:ascii="宋体" w:hAnsi="宋体"/>
          <w:snapToGrid w:val="0"/>
          <w:color w:val="auto"/>
          <w:kern w:val="0"/>
          <w:szCs w:val="21"/>
          <w:highlight w:val="none"/>
        </w:rPr>
        <w:t>批准建设</w:t>
      </w:r>
      <w:r>
        <w:rPr>
          <w:rFonts w:hint="eastAsia" w:ascii="宋体" w:hAnsi="宋体"/>
          <w:color w:val="auto"/>
          <w:szCs w:val="21"/>
          <w:highlight w:val="none"/>
        </w:rPr>
        <w:t>,比选人为</w:t>
      </w:r>
      <w:r>
        <w:rPr>
          <w:rFonts w:hint="eastAsia" w:ascii="宋体" w:hAnsi="宋体"/>
          <w:color w:val="auto"/>
          <w:szCs w:val="21"/>
          <w:highlight w:val="none"/>
          <w:u w:val="single"/>
          <w:lang w:eastAsia="zh-CN"/>
        </w:rPr>
        <w:t>重庆市南岸城市更新建设发展有限公司</w:t>
      </w:r>
      <w:r>
        <w:rPr>
          <w:rFonts w:hint="eastAsia" w:ascii="宋体" w:hAnsi="宋体"/>
          <w:color w:val="auto"/>
          <w:szCs w:val="21"/>
          <w:highlight w:val="none"/>
        </w:rPr>
        <w:t>。建设资金来自</w:t>
      </w:r>
      <w:r>
        <w:rPr>
          <w:rFonts w:hint="eastAsia" w:ascii="宋体" w:hAnsi="宋体"/>
          <w:color w:val="auto"/>
          <w:szCs w:val="21"/>
          <w:highlight w:val="none"/>
          <w:u w:val="single"/>
        </w:rPr>
        <w:t>国有资金</w:t>
      </w:r>
      <w:r>
        <w:rPr>
          <w:rFonts w:hint="eastAsia" w:ascii="宋体" w:hAnsi="宋体"/>
          <w:color w:val="auto"/>
          <w:szCs w:val="21"/>
          <w:highlight w:val="none"/>
        </w:rPr>
        <w:t>，项目出资比例为</w:t>
      </w:r>
      <w:r>
        <w:rPr>
          <w:rFonts w:hint="eastAsia" w:ascii="宋体" w:hAnsi="宋体"/>
          <w:color w:val="auto"/>
          <w:szCs w:val="21"/>
          <w:highlight w:val="none"/>
          <w:u w:val="single"/>
        </w:rPr>
        <w:t>100%</w:t>
      </w:r>
      <w:r>
        <w:rPr>
          <w:rFonts w:hint="eastAsia" w:ascii="宋体" w:hAnsi="宋体"/>
          <w:color w:val="auto"/>
          <w:szCs w:val="21"/>
          <w:highlight w:val="none"/>
        </w:rPr>
        <w:t>，项目已具备比选条件，现对该项目进行公开比选，特邀请有兴趣的潜在竞选人参与竞争性比选。</w:t>
      </w:r>
    </w:p>
    <w:p w14:paraId="2EA48D44">
      <w:pPr>
        <w:pStyle w:val="4"/>
        <w:spacing w:before="100" w:after="100" w:line="460" w:lineRule="exact"/>
        <w:rPr>
          <w:rFonts w:ascii="宋体" w:hAnsi="宋体"/>
          <w:snapToGrid w:val="0"/>
          <w:color w:val="auto"/>
          <w:sz w:val="28"/>
          <w:szCs w:val="28"/>
          <w:highlight w:val="none"/>
        </w:rPr>
      </w:pPr>
      <w:bookmarkStart w:id="30" w:name="_Toc16344"/>
      <w:bookmarkStart w:id="31" w:name="_Toc287620668"/>
      <w:bookmarkStart w:id="32" w:name="_Toc430530417"/>
      <w:bookmarkStart w:id="33" w:name="_Toc200359428"/>
      <w:bookmarkStart w:id="34" w:name="_Toc200359239"/>
      <w:bookmarkStart w:id="35" w:name="_Toc509218693"/>
      <w:bookmarkStart w:id="36" w:name="_Toc224103300"/>
      <w:bookmarkStart w:id="37" w:name="_Toc57905813"/>
      <w:bookmarkStart w:id="38" w:name="_Toc287607729"/>
      <w:bookmarkStart w:id="39" w:name="_Toc27708253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bookmarkEnd w:id="30"/>
      <w:bookmarkEnd w:id="31"/>
      <w:bookmarkEnd w:id="32"/>
      <w:bookmarkEnd w:id="33"/>
      <w:bookmarkEnd w:id="34"/>
      <w:bookmarkEnd w:id="35"/>
      <w:bookmarkEnd w:id="36"/>
      <w:bookmarkEnd w:id="37"/>
      <w:bookmarkEnd w:id="38"/>
      <w:bookmarkEnd w:id="39"/>
      <w:r>
        <w:rPr>
          <w:rFonts w:hint="eastAsia" w:ascii="宋体" w:hAnsi="宋体"/>
          <w:snapToGrid w:val="0"/>
          <w:color w:val="auto"/>
          <w:sz w:val="28"/>
          <w:szCs w:val="28"/>
          <w:highlight w:val="none"/>
        </w:rPr>
        <w:t>比选范围</w:t>
      </w:r>
    </w:p>
    <w:p w14:paraId="57BDC9E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color w:val="auto"/>
          <w:szCs w:val="21"/>
          <w:highlight w:val="none"/>
          <w:u w:val="single"/>
        </w:rPr>
        <w:t>南岸区弹子石片区；</w:t>
      </w:r>
    </w:p>
    <w:p w14:paraId="6FC98B6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对</w:t>
      </w:r>
      <w:r>
        <w:rPr>
          <w:rFonts w:hint="eastAsia" w:ascii="宋体" w:hAnsi="宋体"/>
          <w:color w:val="auto"/>
          <w:szCs w:val="21"/>
          <w:highlight w:val="none"/>
          <w:u w:val="single"/>
        </w:rPr>
        <w:t>弹子石片区</w:t>
      </w:r>
      <w:r>
        <w:rPr>
          <w:rFonts w:hint="eastAsia" w:ascii="宋体" w:hAnsi="宋体"/>
          <w:snapToGrid w:val="0"/>
          <w:color w:val="auto"/>
          <w:kern w:val="0"/>
          <w:szCs w:val="21"/>
          <w:highlight w:val="none"/>
          <w:u w:val="single"/>
        </w:rPr>
        <w:t>腾黄路、BK线、瑞祥路、腾龙大道等48条道路进行空洞检测；</w:t>
      </w:r>
    </w:p>
    <w:p w14:paraId="5612846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cs="宋体"/>
          <w:color w:val="auto"/>
          <w:szCs w:val="21"/>
          <w:highlight w:val="none"/>
          <w:u w:val="single"/>
        </w:rPr>
        <w:t>907611.70</w:t>
      </w:r>
      <w:r>
        <w:rPr>
          <w:rFonts w:hint="eastAsia" w:ascii="宋体" w:hAnsi="宋体"/>
          <w:snapToGrid w:val="0"/>
          <w:color w:val="auto"/>
          <w:kern w:val="0"/>
          <w:szCs w:val="21"/>
          <w:highlight w:val="none"/>
        </w:rPr>
        <w:t>元</w:t>
      </w:r>
    </w:p>
    <w:p w14:paraId="22A86BDB">
      <w:pPr>
        <w:spacing w:line="420" w:lineRule="exact"/>
        <w:ind w:firstLine="420" w:firstLineChars="200"/>
        <w:textAlignment w:val="baseline"/>
        <w:rPr>
          <w:rFonts w:ascii="宋体" w:hAnsi="宋体" w:cs="MingLiU"/>
          <w:snapToGrid w:val="0"/>
          <w:color w:val="auto"/>
          <w:kern w:val="0"/>
          <w:szCs w:val="21"/>
          <w:highlight w:val="none"/>
        </w:rPr>
      </w:pPr>
      <w:r>
        <w:rPr>
          <w:rFonts w:hint="eastAsia" w:ascii="宋体" w:hAnsi="宋体"/>
          <w:snapToGrid w:val="0"/>
          <w:color w:val="auto"/>
          <w:kern w:val="0"/>
          <w:szCs w:val="21"/>
          <w:highlight w:val="none"/>
        </w:rPr>
        <w:t>2.4 比选范围：</w:t>
      </w:r>
      <w:r>
        <w:rPr>
          <w:rFonts w:hint="eastAsia" w:ascii="宋体" w:hAnsi="宋体"/>
          <w:color w:val="auto"/>
          <w:szCs w:val="21"/>
          <w:highlight w:val="none"/>
          <w:u w:val="single"/>
        </w:rPr>
        <w:t>根据国家、地方、行业和甲方的规定完成工程所需的全部检测类项目（包括不限于检测及评估等），并按照工程进度需求出具相应的检测报告。</w:t>
      </w:r>
    </w:p>
    <w:p w14:paraId="6EA6DBE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2.5 </w:t>
      </w:r>
      <w:r>
        <w:rPr>
          <w:color w:val="auto"/>
          <w:spacing w:val="-3"/>
          <w:szCs w:val="21"/>
          <w:highlight w:val="none"/>
        </w:rPr>
        <w:t>服务期限</w:t>
      </w:r>
      <w:r>
        <w:rPr>
          <w:rFonts w:hint="eastAsia" w:ascii="宋体" w:hAnsi="宋体"/>
          <w:snapToGrid w:val="0"/>
          <w:color w:val="auto"/>
          <w:kern w:val="0"/>
          <w:szCs w:val="21"/>
          <w:highlight w:val="none"/>
        </w:rPr>
        <w:t>：</w:t>
      </w:r>
      <w:r>
        <w:rPr>
          <w:rFonts w:hint="eastAsia"/>
          <w:color w:val="auto"/>
          <w:szCs w:val="21"/>
          <w:highlight w:val="none"/>
          <w:u w:val="single"/>
        </w:rPr>
        <w:t>合同签订后60天内完成全部检测工作。</w:t>
      </w:r>
    </w:p>
    <w:p w14:paraId="733D54CC">
      <w:pPr>
        <w:pStyle w:val="4"/>
        <w:spacing w:before="100" w:after="100" w:line="460" w:lineRule="exact"/>
        <w:rPr>
          <w:rFonts w:ascii="宋体" w:hAnsi="宋体"/>
          <w:snapToGrid w:val="0"/>
          <w:color w:val="auto"/>
          <w:sz w:val="28"/>
          <w:szCs w:val="28"/>
          <w:highlight w:val="none"/>
        </w:rPr>
      </w:pPr>
      <w:bookmarkStart w:id="40" w:name="_Toc224103301"/>
      <w:bookmarkStart w:id="41" w:name="_Toc509218694"/>
      <w:bookmarkStart w:id="42" w:name="_Toc19513"/>
      <w:bookmarkStart w:id="43" w:name="_Toc200359429"/>
      <w:bookmarkStart w:id="44" w:name="_Toc430530418"/>
      <w:bookmarkStart w:id="45" w:name="_Toc200359240"/>
      <w:bookmarkStart w:id="46" w:name="_Toc277082538"/>
      <w:bookmarkStart w:id="47" w:name="_Toc57905814"/>
      <w:bookmarkStart w:id="48" w:name="_Toc287620669"/>
      <w:bookmarkStart w:id="49" w:name="_Toc287607730"/>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竞选人</w:t>
      </w:r>
      <w:r>
        <w:rPr>
          <w:rFonts w:ascii="宋体" w:hAnsi="宋体"/>
          <w:snapToGrid w:val="0"/>
          <w:color w:val="auto"/>
          <w:sz w:val="28"/>
          <w:szCs w:val="28"/>
          <w:highlight w:val="none"/>
        </w:rPr>
        <w:t>资格要求</w:t>
      </w:r>
      <w:bookmarkEnd w:id="40"/>
      <w:bookmarkEnd w:id="41"/>
      <w:bookmarkEnd w:id="42"/>
      <w:bookmarkEnd w:id="43"/>
      <w:bookmarkEnd w:id="44"/>
      <w:bookmarkEnd w:id="45"/>
      <w:bookmarkEnd w:id="46"/>
      <w:bookmarkEnd w:id="47"/>
      <w:bookmarkEnd w:id="48"/>
      <w:bookmarkEnd w:id="49"/>
    </w:p>
    <w:p w14:paraId="09BB04E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1156242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本次招标要求竞选人应具备</w:t>
      </w:r>
      <w:bookmarkStart w:id="821" w:name="_GoBack"/>
      <w:bookmarkEnd w:id="821"/>
      <w:r>
        <w:rPr>
          <w:rFonts w:hint="eastAsia" w:ascii="宋体" w:hAnsi="宋体"/>
          <w:snapToGrid w:val="0"/>
          <w:color w:val="auto"/>
          <w:kern w:val="0"/>
          <w:szCs w:val="21"/>
          <w:highlight w:val="none"/>
        </w:rPr>
        <w:t>以下资质条件</w:t>
      </w:r>
      <w:r>
        <w:rPr>
          <w:rFonts w:hint="eastAsia" w:ascii="宋体" w:hAnsi="宋体"/>
          <w:snapToGrid w:val="0"/>
          <w:color w:val="auto"/>
          <w:kern w:val="0"/>
          <w:szCs w:val="21"/>
          <w:highlight w:val="none"/>
          <w:lang w:val="en-US" w:eastAsia="zh-CN"/>
        </w:rPr>
        <w:t>之一</w:t>
      </w:r>
      <w:r>
        <w:rPr>
          <w:rFonts w:hint="eastAsia" w:ascii="宋体" w:hAnsi="宋体"/>
          <w:snapToGrid w:val="0"/>
          <w:color w:val="auto"/>
          <w:kern w:val="0"/>
          <w:szCs w:val="21"/>
          <w:highlight w:val="none"/>
        </w:rPr>
        <w:t>：</w:t>
      </w:r>
    </w:p>
    <w:p w14:paraId="1DD4E2C9">
      <w:pPr>
        <w:autoSpaceDE w:val="0"/>
        <w:autoSpaceDN w:val="0"/>
        <w:spacing w:line="360" w:lineRule="auto"/>
        <w:ind w:left="10" w:leftChars="5"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pacing w:val="-1"/>
          <w:sz w:val="22"/>
          <w:szCs w:val="22"/>
          <w:highlight w:val="none"/>
        </w:rPr>
        <w:t>具有市</w:t>
      </w:r>
      <w:r>
        <w:rPr>
          <w:rFonts w:ascii="宋体" w:hAnsi="宋体" w:cs="宋体"/>
          <w:color w:val="auto"/>
          <w:sz w:val="22"/>
          <w:szCs w:val="22"/>
          <w:highlight w:val="none"/>
        </w:rPr>
        <w:t>场监督管理部门颁发的有效的检验检测机构资质认定证书(CMA)</w:t>
      </w:r>
      <w:r>
        <w:rPr>
          <w:rFonts w:hint="eastAsia" w:ascii="宋体" w:hAnsi="宋体" w:cs="宋体"/>
          <w:color w:val="auto"/>
          <w:sz w:val="22"/>
          <w:szCs w:val="22"/>
          <w:highlight w:val="none"/>
        </w:rPr>
        <w:t>；</w:t>
      </w:r>
    </w:p>
    <w:p w14:paraId="4B2BDE39">
      <w:pPr>
        <w:tabs>
          <w:tab w:val="left" w:pos="3840"/>
          <w:tab w:val="left" w:pos="5300"/>
        </w:tabs>
        <w:autoSpaceDE w:val="0"/>
        <w:autoSpaceDN w:val="0"/>
        <w:adjustRightInd w:val="0"/>
        <w:snapToGrid w:val="0"/>
        <w:spacing w:line="460" w:lineRule="exact"/>
        <w:ind w:firstLine="440" w:firstLineChars="200"/>
        <w:jc w:val="left"/>
        <w:rPr>
          <w:rFonts w:ascii="宋体" w:hAnsi="宋体"/>
          <w:snapToGrid w:val="0"/>
          <w:color w:val="auto"/>
          <w:kern w:val="0"/>
          <w:szCs w:val="21"/>
          <w:highlight w:val="none"/>
        </w:rPr>
      </w:pPr>
      <w:r>
        <w:rPr>
          <w:rFonts w:hint="eastAsia" w:ascii="宋体" w:hAnsi="宋体" w:cs="宋体"/>
          <w:color w:val="auto"/>
          <w:sz w:val="22"/>
          <w:szCs w:val="22"/>
          <w:highlight w:val="none"/>
        </w:rPr>
        <w:t>（2）具有</w:t>
      </w:r>
      <w:r>
        <w:rPr>
          <w:rFonts w:ascii="宋体" w:hAnsi="宋体" w:cs="宋体"/>
          <w:color w:val="auto"/>
          <w:spacing w:val="-1"/>
          <w:sz w:val="22"/>
          <w:szCs w:val="22"/>
          <w:highlight w:val="none"/>
        </w:rPr>
        <w:t>建设行</w:t>
      </w:r>
      <w:r>
        <w:rPr>
          <w:rFonts w:ascii="宋体" w:hAnsi="宋体" w:cs="宋体"/>
          <w:color w:val="auto"/>
          <w:sz w:val="22"/>
          <w:szCs w:val="22"/>
          <w:highlight w:val="none"/>
        </w:rPr>
        <w:t>政主管部门颁发的有效的工程勘察岩土工程专业乙级(含)以上资质或者工</w:t>
      </w:r>
      <w:r>
        <w:rPr>
          <w:rFonts w:ascii="宋体" w:hAnsi="宋体" w:cs="宋体"/>
          <w:color w:val="auto"/>
          <w:spacing w:val="-1"/>
          <w:sz w:val="22"/>
          <w:szCs w:val="22"/>
          <w:highlight w:val="none"/>
        </w:rPr>
        <w:t>程勘察岩土工程</w:t>
      </w:r>
      <w:r>
        <w:rPr>
          <w:rFonts w:ascii="宋体" w:hAnsi="宋体" w:cs="宋体"/>
          <w:color w:val="auto"/>
          <w:sz w:val="22"/>
          <w:szCs w:val="22"/>
          <w:highlight w:val="none"/>
        </w:rPr>
        <w:t>专业(岩土工程物探测试检测监测)乙级(含)以上资质</w:t>
      </w:r>
      <w:r>
        <w:rPr>
          <w:rFonts w:hint="eastAsia" w:ascii="宋体" w:hAnsi="宋体" w:cs="宋体"/>
          <w:color w:val="auto"/>
          <w:sz w:val="22"/>
          <w:szCs w:val="22"/>
          <w:highlight w:val="none"/>
        </w:rPr>
        <w:t>。</w:t>
      </w:r>
    </w:p>
    <w:p w14:paraId="7F13766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3.1.2 竞选人还应在人员、设备、资金等方面具有相应的施工能力，详见竞选文件第二章竞选人须知前附表第1.4.1项内容。</w:t>
      </w:r>
    </w:p>
    <w:p w14:paraId="47045B88">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u w:val="single"/>
        </w:rPr>
        <w:t>不接受</w:t>
      </w:r>
      <w:r>
        <w:rPr>
          <w:rFonts w:ascii="宋体" w:hAnsi="宋体"/>
          <w:snapToGrid w:val="0"/>
          <w:color w:val="auto"/>
          <w:kern w:val="0"/>
          <w:szCs w:val="21"/>
          <w:highlight w:val="none"/>
        </w:rPr>
        <w:t>联合体投标。</w:t>
      </w:r>
    </w:p>
    <w:p w14:paraId="51345912">
      <w:pPr>
        <w:pStyle w:val="4"/>
        <w:spacing w:before="100" w:after="100" w:line="460" w:lineRule="exact"/>
        <w:rPr>
          <w:rFonts w:ascii="宋体" w:hAnsi="宋体"/>
          <w:snapToGrid w:val="0"/>
          <w:color w:val="auto"/>
          <w:sz w:val="28"/>
          <w:szCs w:val="28"/>
          <w:highlight w:val="none"/>
        </w:rPr>
      </w:pPr>
      <w:bookmarkStart w:id="50" w:name="_Toc509218695"/>
      <w:bookmarkStart w:id="51" w:name="_Toc200359241"/>
      <w:bookmarkStart w:id="52" w:name="_Toc10508"/>
      <w:bookmarkStart w:id="53" w:name="_Toc287620670"/>
      <w:bookmarkStart w:id="54" w:name="_Toc277082539"/>
      <w:bookmarkStart w:id="55" w:name="_Toc57905815"/>
      <w:bookmarkStart w:id="56" w:name="_Toc224103302"/>
      <w:bookmarkStart w:id="57" w:name="_Toc200359430"/>
      <w:bookmarkStart w:id="58" w:name="_Toc430530419"/>
      <w:bookmarkStart w:id="59" w:name="_Toc287607731"/>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的获取</w:t>
      </w:r>
      <w:bookmarkEnd w:id="50"/>
      <w:bookmarkEnd w:id="51"/>
      <w:bookmarkEnd w:id="52"/>
      <w:bookmarkEnd w:id="53"/>
      <w:bookmarkEnd w:id="54"/>
      <w:bookmarkEnd w:id="55"/>
      <w:bookmarkEnd w:id="56"/>
      <w:bookmarkEnd w:id="57"/>
      <w:bookmarkEnd w:id="58"/>
      <w:bookmarkEnd w:id="59"/>
    </w:p>
    <w:p w14:paraId="3DACAA59">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 xml:space="preserve">4.1 </w:t>
      </w:r>
      <w:r>
        <w:rPr>
          <w:rFonts w:hint="eastAsia" w:ascii="宋体" w:hAnsi="宋体" w:cs="宋体"/>
          <w:snapToGrid w:val="0"/>
          <w:color w:val="auto"/>
          <w:kern w:val="0"/>
          <w:szCs w:val="21"/>
          <w:highlight w:val="none"/>
        </w:rPr>
        <w:t>凡有意参加比选的比选申请人在行采家（https://www.gec123.com/）上获取竞争性比选文件以及补遗等开标前公布的所有项目资料，无论比选申请人领取或下载与否，均视为已知晓所有比选内容，并在</w:t>
      </w:r>
      <w:r>
        <w:rPr>
          <w:rFonts w:hint="eastAsia" w:ascii="宋体" w:hAnsi="宋体" w:cs="宋体"/>
          <w:snapToGrid w:val="0"/>
          <w:color w:val="auto"/>
          <w:kern w:val="0"/>
          <w:szCs w:val="21"/>
          <w:highlight w:val="none"/>
          <w:u w:val="single"/>
        </w:rPr>
        <w:t xml:space="preserve"> 2025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6</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12</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日下午</w:t>
      </w:r>
      <w:r>
        <w:rPr>
          <w:rFonts w:hint="eastAsia" w:ascii="宋体" w:hAnsi="宋体" w:cs="宋体"/>
          <w:snapToGrid w:val="0"/>
          <w:color w:val="auto"/>
          <w:kern w:val="0"/>
          <w:szCs w:val="21"/>
          <w:highlight w:val="none"/>
          <w:u w:val="single"/>
        </w:rPr>
        <w:t>17：00时前</w:t>
      </w:r>
      <w:r>
        <w:rPr>
          <w:rFonts w:hint="eastAsia" w:ascii="宋体" w:hAnsi="宋体" w:cs="宋体"/>
          <w:snapToGrid w:val="0"/>
          <w:color w:val="auto"/>
          <w:kern w:val="0"/>
          <w:szCs w:val="21"/>
          <w:highlight w:val="none"/>
        </w:rPr>
        <w:t>持单位授权委托书至中资（重庆）工程咨询有限公司（地址：重庆市沙坪坝区龙湖光年2号楼14层）递交《登记表》（加盖投人公章）报名或《登记表》（加盖投人公章）的扫描件发至邮箱（</w:t>
      </w:r>
      <w:r>
        <w:rPr>
          <w:rFonts w:ascii="宋体" w:hAnsi="宋体" w:cs="宋体"/>
          <w:snapToGrid w:val="0"/>
          <w:color w:val="auto"/>
          <w:kern w:val="0"/>
          <w:szCs w:val="21"/>
          <w:highlight w:val="none"/>
        </w:rPr>
        <w:t>1944310</w:t>
      </w:r>
      <w:r>
        <w:rPr>
          <w:rFonts w:hint="eastAsia" w:ascii="宋体" w:hAnsi="宋体" w:cs="宋体"/>
          <w:snapToGrid w:val="0"/>
          <w:color w:val="auto"/>
          <w:kern w:val="0"/>
          <w:szCs w:val="21"/>
          <w:highlight w:val="none"/>
        </w:rPr>
        <w:t>@qq.com）报名。</w:t>
      </w:r>
    </w:p>
    <w:p w14:paraId="1000EAB1">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 本次竞争性比选不采用邮寄等方式报名。</w:t>
      </w:r>
    </w:p>
    <w:p w14:paraId="432511F9">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 比选文件每套售价</w:t>
      </w:r>
      <w:r>
        <w:rPr>
          <w:rFonts w:cs="宋体" w:asciiTheme="minorEastAsia" w:hAnsiTheme="minorEastAsia" w:eastAsiaTheme="minorEastAsia"/>
          <w:snapToGrid w:val="0"/>
          <w:color w:val="auto"/>
          <w:kern w:val="0"/>
          <w:szCs w:val="21"/>
          <w:highlight w:val="none"/>
        </w:rPr>
        <w:t>5</w:t>
      </w:r>
      <w:r>
        <w:rPr>
          <w:rFonts w:hint="eastAsia" w:cs="宋体" w:asciiTheme="minorEastAsia" w:hAnsiTheme="minorEastAsia" w:eastAsiaTheme="minorEastAsia"/>
          <w:snapToGrid w:val="0"/>
          <w:color w:val="auto"/>
          <w:kern w:val="0"/>
          <w:szCs w:val="21"/>
          <w:highlight w:val="none"/>
        </w:rPr>
        <w:t>00元/份，在递交比选文件时支付给代理机构，售后不退。</w:t>
      </w:r>
    </w:p>
    <w:p w14:paraId="7ED00118">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 比选申请人须满足以下要件，其比选申请文件才被接受：</w:t>
      </w:r>
    </w:p>
    <w:p w14:paraId="00D574A5">
      <w:pPr>
        <w:autoSpaceDE w:val="0"/>
        <w:autoSpaceDN w:val="0"/>
        <w:adjustRightInd w:val="0"/>
        <w:snapToGrid w:val="0"/>
        <w:spacing w:line="46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4.4.1  按时递交了比选申请文件；</w:t>
      </w:r>
    </w:p>
    <w:p w14:paraId="4F6029DB">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4.4.2  按时报名并签到。</w:t>
      </w:r>
    </w:p>
    <w:p w14:paraId="60EF63BA">
      <w:pPr>
        <w:pStyle w:val="4"/>
        <w:spacing w:before="100" w:after="100" w:line="460" w:lineRule="exact"/>
        <w:rPr>
          <w:rFonts w:ascii="宋体" w:hAnsi="宋体"/>
          <w:snapToGrid w:val="0"/>
          <w:color w:val="auto"/>
          <w:sz w:val="28"/>
          <w:szCs w:val="28"/>
          <w:highlight w:val="none"/>
        </w:rPr>
      </w:pPr>
      <w:bookmarkStart w:id="60" w:name="_Toc277082540"/>
      <w:bookmarkStart w:id="61" w:name="_Toc200359431"/>
      <w:bookmarkStart w:id="62" w:name="_Toc509218696"/>
      <w:bookmarkStart w:id="63" w:name="_Toc28449"/>
      <w:bookmarkStart w:id="64" w:name="_Toc430530420"/>
      <w:bookmarkStart w:id="65" w:name="_Toc224103303"/>
      <w:bookmarkStart w:id="66" w:name="_Toc287620671"/>
      <w:bookmarkStart w:id="67" w:name="_Toc287607732"/>
      <w:bookmarkStart w:id="68" w:name="_Toc200359242"/>
      <w:bookmarkStart w:id="69" w:name="_Toc57905816"/>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的递交</w:t>
      </w:r>
      <w:bookmarkEnd w:id="60"/>
      <w:bookmarkEnd w:id="61"/>
      <w:bookmarkEnd w:id="62"/>
      <w:bookmarkEnd w:id="63"/>
      <w:bookmarkEnd w:id="64"/>
      <w:bookmarkEnd w:id="65"/>
      <w:bookmarkEnd w:id="66"/>
      <w:bookmarkEnd w:id="67"/>
      <w:bookmarkEnd w:id="68"/>
      <w:bookmarkEnd w:id="69"/>
    </w:p>
    <w:p w14:paraId="5D3C484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递交的截止时间（</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，下同）为</w:t>
      </w:r>
      <w:r>
        <w:rPr>
          <w:rFonts w:hint="eastAsia" w:ascii="宋体" w:hAnsi="宋体"/>
          <w:snapToGrid w:val="0"/>
          <w:color w:val="auto"/>
          <w:kern w:val="0"/>
          <w:szCs w:val="21"/>
          <w:highlight w:val="none"/>
          <w:u w:val="single"/>
        </w:rPr>
        <w:t xml:space="preserve"> 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6</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13</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14</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30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Theme="minorEastAsia" w:hAnsiTheme="minorEastAsia" w:eastAsiaTheme="minorEastAsia"/>
          <w:snapToGrid w:val="0"/>
          <w:color w:val="auto"/>
          <w:kern w:val="0"/>
          <w:szCs w:val="21"/>
          <w:highlight w:val="none"/>
          <w:u w:val="single"/>
        </w:rPr>
        <w:t>重庆市南岸区行政服务中心B区3号楼2012室</w:t>
      </w:r>
      <w:r>
        <w:rPr>
          <w:rFonts w:ascii="宋体" w:hAnsi="宋体"/>
          <w:snapToGrid w:val="0"/>
          <w:color w:val="auto"/>
          <w:kern w:val="0"/>
          <w:szCs w:val="21"/>
          <w:highlight w:val="none"/>
        </w:rPr>
        <w:t>。</w:t>
      </w:r>
    </w:p>
    <w:p w14:paraId="2FB5394A">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r>
        <w:rPr>
          <w:rFonts w:hint="eastAsia" w:ascii="宋体" w:hAnsi="宋体"/>
          <w:snapToGrid w:val="0"/>
          <w:color w:val="auto"/>
          <w:kern w:val="0"/>
          <w:szCs w:val="21"/>
          <w:highlight w:val="none"/>
        </w:rPr>
        <w:t xml:space="preserve"> </w:t>
      </w:r>
    </w:p>
    <w:p w14:paraId="442C6840">
      <w:pPr>
        <w:pStyle w:val="4"/>
        <w:spacing w:before="100" w:after="100" w:line="460" w:lineRule="exact"/>
        <w:rPr>
          <w:rFonts w:ascii="宋体" w:hAnsi="宋体"/>
          <w:snapToGrid w:val="0"/>
          <w:color w:val="auto"/>
          <w:sz w:val="28"/>
          <w:szCs w:val="28"/>
          <w:highlight w:val="none"/>
        </w:rPr>
      </w:pPr>
      <w:bookmarkStart w:id="70" w:name="_Toc277082541"/>
      <w:bookmarkStart w:id="71" w:name="_Toc57905817"/>
      <w:bookmarkStart w:id="72" w:name="_Toc287620672"/>
      <w:bookmarkStart w:id="73" w:name="_Toc430530421"/>
      <w:bookmarkStart w:id="74" w:name="_Toc200359243"/>
      <w:bookmarkStart w:id="75" w:name="_Toc224103304"/>
      <w:bookmarkStart w:id="76" w:name="_Toc8166"/>
      <w:bookmarkStart w:id="77" w:name="_Toc287607733"/>
      <w:bookmarkStart w:id="78" w:name="_Toc509218697"/>
      <w:bookmarkStart w:id="79" w:name="_Toc200359432"/>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0"/>
      <w:bookmarkEnd w:id="71"/>
      <w:bookmarkEnd w:id="72"/>
      <w:bookmarkEnd w:id="73"/>
      <w:bookmarkEnd w:id="74"/>
      <w:bookmarkEnd w:id="75"/>
      <w:bookmarkEnd w:id="76"/>
      <w:bookmarkEnd w:id="77"/>
      <w:bookmarkEnd w:id="78"/>
      <w:bookmarkEnd w:id="79"/>
    </w:p>
    <w:p w14:paraId="3B0C9784">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行采家（http://www.gec123.com）</w:t>
      </w:r>
      <w:r>
        <w:rPr>
          <w:rFonts w:hint="eastAsia" w:ascii="宋体" w:hAnsi="宋体" w:cs="宋体"/>
          <w:snapToGrid w:val="0"/>
          <w:color w:val="auto"/>
          <w:kern w:val="0"/>
          <w:szCs w:val="21"/>
          <w:highlight w:val="none"/>
          <w:u w:val="single"/>
          <w:lang w:eastAsia="zh-CN"/>
        </w:rPr>
        <w:t>、中国招标投标公共服务平台 （http://www.cebpubservice.com）</w:t>
      </w:r>
      <w:r>
        <w:rPr>
          <w:rFonts w:ascii="宋体" w:hAnsi="宋体"/>
          <w:snapToGrid w:val="0"/>
          <w:color w:val="auto"/>
          <w:kern w:val="0"/>
          <w:szCs w:val="21"/>
          <w:highlight w:val="none"/>
        </w:rPr>
        <w:t>上发布。</w:t>
      </w:r>
    </w:p>
    <w:p w14:paraId="653F0451">
      <w:pPr>
        <w:pStyle w:val="4"/>
        <w:spacing w:before="100" w:after="100" w:line="460" w:lineRule="exact"/>
        <w:rPr>
          <w:rFonts w:ascii="宋体" w:hAnsi="宋体"/>
          <w:snapToGrid w:val="0"/>
          <w:color w:val="auto"/>
          <w:sz w:val="28"/>
          <w:szCs w:val="28"/>
          <w:highlight w:val="none"/>
        </w:rPr>
      </w:pPr>
      <w:bookmarkStart w:id="80" w:name="_Toc14240"/>
      <w:bookmarkStart w:id="81" w:name="_Toc31352"/>
      <w:bookmarkStart w:id="82" w:name="_Toc277082542"/>
      <w:bookmarkStart w:id="83" w:name="_Toc224103305"/>
      <w:bookmarkStart w:id="84" w:name="_Toc287620673"/>
      <w:bookmarkStart w:id="85" w:name="_Toc509218698"/>
      <w:bookmarkStart w:id="86" w:name="_Toc57905818"/>
      <w:bookmarkStart w:id="87" w:name="_Toc430530422"/>
      <w:bookmarkStart w:id="88" w:name="_Toc287607734"/>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0"/>
      <w:bookmarkEnd w:id="81"/>
      <w:bookmarkStart w:id="89" w:name="_Toc589"/>
      <w:r>
        <w:rPr>
          <w:rFonts w:ascii="宋体" w:hAnsi="宋体"/>
          <w:snapToGrid w:val="0"/>
          <w:color w:val="auto"/>
          <w:sz w:val="28"/>
          <w:szCs w:val="28"/>
          <w:highlight w:val="none"/>
        </w:rPr>
        <w:t>联系方式</w:t>
      </w:r>
      <w:bookmarkEnd w:id="82"/>
      <w:bookmarkEnd w:id="83"/>
      <w:bookmarkEnd w:id="84"/>
      <w:bookmarkEnd w:id="85"/>
      <w:bookmarkEnd w:id="86"/>
      <w:bookmarkEnd w:id="87"/>
      <w:bookmarkEnd w:id="88"/>
      <w:bookmarkEnd w:id="89"/>
    </w:p>
    <w:p w14:paraId="20939982">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比选人：</w:t>
      </w:r>
      <w:r>
        <w:rPr>
          <w:rFonts w:hint="eastAsia" w:ascii="宋体" w:hAnsi="宋体"/>
          <w:color w:val="auto"/>
          <w:szCs w:val="21"/>
          <w:highlight w:val="none"/>
          <w:lang w:eastAsia="zh-CN"/>
        </w:rPr>
        <w:t>重庆市南岸城市更新建设发展有限公司</w:t>
      </w:r>
      <w:r>
        <w:rPr>
          <w:rFonts w:hint="eastAsia" w:ascii="宋体" w:hAnsi="宋体"/>
          <w:color w:val="auto"/>
          <w:szCs w:val="21"/>
          <w:highlight w:val="none"/>
        </w:rPr>
        <w:t xml:space="preserve">      </w:t>
      </w:r>
    </w:p>
    <w:p w14:paraId="46AC299E">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地址：</w:t>
      </w:r>
      <w:r>
        <w:rPr>
          <w:rFonts w:hint="eastAsia" w:asciiTheme="minorEastAsia" w:hAnsiTheme="minorEastAsia" w:eastAsiaTheme="minorEastAsia"/>
          <w:color w:val="auto"/>
          <w:highlight w:val="none"/>
        </w:rPr>
        <w:t>重庆市南岸区行政中心B区三号楼</w:t>
      </w:r>
      <w:r>
        <w:rPr>
          <w:rFonts w:hint="eastAsia" w:ascii="宋体" w:hAnsi="宋体"/>
          <w:color w:val="auto"/>
          <w:szCs w:val="21"/>
          <w:highlight w:val="none"/>
        </w:rPr>
        <w:t xml:space="preserve">                        </w:t>
      </w:r>
    </w:p>
    <w:p w14:paraId="12528484">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联系人：</w:t>
      </w:r>
      <w:r>
        <w:rPr>
          <w:rFonts w:hint="eastAsia" w:cs="宋体" w:asciiTheme="minorEastAsia" w:hAnsiTheme="minorEastAsia" w:eastAsiaTheme="minorEastAsia"/>
          <w:color w:val="auto"/>
          <w:highlight w:val="none"/>
        </w:rPr>
        <w:t>李老师</w:t>
      </w:r>
      <w:r>
        <w:rPr>
          <w:rFonts w:hint="eastAsia" w:ascii="宋体" w:hAnsi="宋体"/>
          <w:color w:val="auto"/>
          <w:szCs w:val="21"/>
          <w:highlight w:val="none"/>
        </w:rPr>
        <w:t xml:space="preserve">                                           </w:t>
      </w:r>
    </w:p>
    <w:p w14:paraId="0D99DACE">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电  话：</w:t>
      </w:r>
      <w:r>
        <w:rPr>
          <w:rFonts w:hint="eastAsia" w:cs="宋体" w:asciiTheme="minorEastAsia" w:hAnsiTheme="minorEastAsia" w:eastAsiaTheme="minorEastAsia"/>
          <w:color w:val="auto"/>
          <w:highlight w:val="none"/>
        </w:rPr>
        <w:t>023-62905607</w:t>
      </w:r>
    </w:p>
    <w:p w14:paraId="1F58DAF4">
      <w:pPr>
        <w:pStyle w:val="18"/>
        <w:spacing w:line="420" w:lineRule="exact"/>
        <w:rPr>
          <w:color w:val="auto"/>
          <w:szCs w:val="21"/>
          <w:highlight w:val="none"/>
        </w:rPr>
      </w:pPr>
    </w:p>
    <w:p w14:paraId="12BC3A74">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比选代理机构：中资（重庆）工程咨询有限公司</w:t>
      </w:r>
    </w:p>
    <w:p w14:paraId="13B9F091">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宋体"/>
          <w:snapToGrid w:val="0"/>
          <w:color w:val="auto"/>
          <w:kern w:val="0"/>
          <w:szCs w:val="21"/>
          <w:highlight w:val="none"/>
        </w:rPr>
        <w:t>重庆市沙坪坝区龙湖光年2号楼14层</w:t>
      </w:r>
    </w:p>
    <w:p w14:paraId="3A7E9B9B">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联系人：冉老师  </w:t>
      </w:r>
    </w:p>
    <w:p w14:paraId="73357958">
      <w:pPr>
        <w:autoSpaceDE w:val="0"/>
        <w:autoSpaceDN w:val="0"/>
        <w:adjustRightInd w:val="0"/>
        <w:snapToGrid w:val="0"/>
        <w:spacing w:line="440" w:lineRule="exact"/>
        <w:ind w:firstLine="420" w:firstLineChars="200"/>
        <w:rPr>
          <w:rFonts w:ascii="宋体" w:hAnsi="宋体"/>
          <w:snapToGrid w:val="0"/>
          <w:color w:val="auto"/>
          <w:kern w:val="0"/>
          <w:sz w:val="20"/>
          <w:szCs w:val="20"/>
          <w:highlight w:val="none"/>
        </w:rPr>
      </w:pPr>
      <w:r>
        <w:rPr>
          <w:rFonts w:hint="eastAsia" w:ascii="宋体" w:hAnsi="宋体"/>
          <w:color w:val="auto"/>
          <w:szCs w:val="21"/>
          <w:highlight w:val="none"/>
        </w:rPr>
        <w:t xml:space="preserve">电  话：18680861765 </w:t>
      </w:r>
      <w:r>
        <w:rPr>
          <w:rFonts w:hint="eastAsia" w:ascii="宋体" w:hAnsi="宋体"/>
          <w:snapToGrid w:val="0"/>
          <w:color w:val="auto"/>
          <w:kern w:val="0"/>
          <w:szCs w:val="21"/>
          <w:highlight w:val="none"/>
        </w:rPr>
        <w:t xml:space="preserve">  </w:t>
      </w:r>
    </w:p>
    <w:p w14:paraId="3BA0B149">
      <w:pPr>
        <w:pStyle w:val="3"/>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0" w:name="_Toc224103306"/>
      <w:bookmarkStart w:id="91" w:name="_Toc287620674"/>
      <w:bookmarkStart w:id="92" w:name="_Toc287607735"/>
      <w:bookmarkStart w:id="93" w:name="_Toc430530423"/>
    </w:p>
    <w:bookmarkEnd w:id="90"/>
    <w:bookmarkEnd w:id="91"/>
    <w:bookmarkEnd w:id="92"/>
    <w:bookmarkEnd w:id="93"/>
    <w:p w14:paraId="60868C26">
      <w:pPr>
        <w:pStyle w:val="3"/>
        <w:spacing w:line="360" w:lineRule="auto"/>
        <w:jc w:val="center"/>
        <w:rPr>
          <w:rFonts w:ascii="宋体" w:hAnsi="宋体"/>
          <w:bCs w:val="0"/>
          <w:snapToGrid w:val="0"/>
          <w:color w:val="auto"/>
          <w:kern w:val="0"/>
          <w:highlight w:val="none"/>
        </w:rPr>
      </w:pPr>
      <w:bookmarkStart w:id="94" w:name="_Toc32148"/>
      <w:bookmarkStart w:id="95" w:name="_Toc430530432"/>
      <w:bookmarkStart w:id="96" w:name="_Toc287620683"/>
      <w:bookmarkStart w:id="97" w:name="_Toc287607744"/>
      <w:bookmarkStart w:id="98" w:name="_Toc224103315"/>
      <w:bookmarkStart w:id="99" w:name="_Toc57905828"/>
      <w:r>
        <w:rPr>
          <w:rFonts w:ascii="宋体" w:hAnsi="宋体"/>
          <w:snapToGrid w:val="0"/>
          <w:color w:val="auto"/>
          <w:kern w:val="0"/>
          <w:highlight w:val="none"/>
        </w:rPr>
        <w:t xml:space="preserve">第二章  </w:t>
      </w:r>
      <w:r>
        <w:rPr>
          <w:rFonts w:hint="eastAsia" w:ascii="宋体" w:hAnsi="宋体"/>
          <w:snapToGrid w:val="0"/>
          <w:color w:val="auto"/>
          <w:kern w:val="0"/>
          <w:highlight w:val="none"/>
        </w:rPr>
        <w:t>竞选人</w:t>
      </w:r>
      <w:r>
        <w:rPr>
          <w:rFonts w:ascii="宋体" w:hAnsi="宋体"/>
          <w:snapToGrid w:val="0"/>
          <w:color w:val="auto"/>
          <w:kern w:val="0"/>
          <w:highlight w:val="none"/>
        </w:rPr>
        <w:t>须知</w:t>
      </w:r>
      <w:bookmarkEnd w:id="94"/>
      <w:bookmarkEnd w:id="95"/>
      <w:bookmarkEnd w:id="96"/>
      <w:bookmarkEnd w:id="97"/>
      <w:bookmarkEnd w:id="98"/>
      <w:bookmarkEnd w:id="99"/>
      <w:bookmarkStart w:id="100" w:name="_Toc277082551"/>
      <w:bookmarkStart w:id="101" w:name="_Toc430530433"/>
      <w:bookmarkStart w:id="102" w:name="_Toc287607745"/>
      <w:bookmarkStart w:id="103" w:name="_Toc224103316"/>
      <w:bookmarkStart w:id="104" w:name="_Toc287620684"/>
    </w:p>
    <w:p w14:paraId="04B04AB8">
      <w:pPr>
        <w:pStyle w:val="4"/>
        <w:spacing w:before="100" w:after="100" w:line="360" w:lineRule="auto"/>
        <w:rPr>
          <w:rFonts w:ascii="宋体" w:hAnsi="宋体"/>
          <w:color w:val="auto"/>
          <w:highlight w:val="none"/>
        </w:rPr>
      </w:pPr>
      <w:bookmarkStart w:id="105" w:name="_Toc57905829"/>
      <w:bookmarkStart w:id="106" w:name="_Toc509218708"/>
      <w:bookmarkStart w:id="107" w:name="_Toc8005"/>
      <w:r>
        <w:rPr>
          <w:rFonts w:hint="eastAsia" w:ascii="宋体" w:hAnsi="宋体"/>
          <w:color w:val="auto"/>
          <w:highlight w:val="none"/>
        </w:rPr>
        <w:t>竞选人须知前附表</w:t>
      </w:r>
      <w:bookmarkEnd w:id="100"/>
      <w:bookmarkEnd w:id="101"/>
      <w:bookmarkEnd w:id="102"/>
      <w:bookmarkEnd w:id="103"/>
      <w:bookmarkEnd w:id="104"/>
      <w:bookmarkEnd w:id="105"/>
      <w:bookmarkEnd w:id="106"/>
      <w:bookmarkEnd w:id="107"/>
    </w:p>
    <w:p w14:paraId="0BAE5E7C">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rPr>
        <w:t>竞选人</w:t>
      </w:r>
      <w:r>
        <w:rPr>
          <w:rFonts w:ascii="宋体" w:hAnsi="宋体"/>
          <w:color w:val="auto"/>
          <w:szCs w:val="21"/>
          <w:highlight w:val="none"/>
        </w:rPr>
        <w:t>须知前附表与正文不一致的地方，以</w:t>
      </w:r>
      <w:r>
        <w:rPr>
          <w:rFonts w:hint="eastAsia" w:ascii="宋体" w:hAnsi="宋体"/>
          <w:color w:val="auto"/>
          <w:szCs w:val="21"/>
          <w:highlight w:val="none"/>
        </w:rPr>
        <w:t>竞选人</w:t>
      </w:r>
      <w:r>
        <w:rPr>
          <w:rFonts w:ascii="宋体" w:hAnsi="宋体"/>
          <w:color w:val="auto"/>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068F9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77954A4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50D67C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519BF93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3CDCA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83E23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C79162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p>
        </w:tc>
        <w:tc>
          <w:tcPr>
            <w:tcW w:w="6490" w:type="dxa"/>
            <w:vAlign w:val="center"/>
          </w:tcPr>
          <w:p w14:paraId="09F6AA28">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s="宋体"/>
                <w:color w:val="auto"/>
                <w:kern w:val="0"/>
                <w:szCs w:val="21"/>
                <w:highlight w:val="none"/>
                <w:lang w:eastAsia="zh-CN"/>
              </w:rPr>
              <w:t>重庆市南岸城市更新建设发展有限公司</w:t>
            </w:r>
          </w:p>
          <w:p w14:paraId="79E5D782">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color w:val="auto"/>
                <w:kern w:val="0"/>
                <w:szCs w:val="21"/>
                <w:highlight w:val="none"/>
              </w:rPr>
              <w:t>重庆市南岸区行政中心B区三号楼</w:t>
            </w:r>
          </w:p>
          <w:p w14:paraId="14295D3E">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rPr>
              <w:t>李</w:t>
            </w:r>
            <w:r>
              <w:rPr>
                <w:rFonts w:hint="eastAsia" w:ascii="宋体" w:hAnsi="宋体" w:cs="宋体"/>
                <w:color w:val="auto"/>
                <w:kern w:val="0"/>
                <w:szCs w:val="21"/>
                <w:highlight w:val="none"/>
              </w:rPr>
              <w:t>老师</w:t>
            </w:r>
          </w:p>
          <w:p w14:paraId="20F88C53">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023-62905607</w:t>
            </w:r>
          </w:p>
        </w:tc>
      </w:tr>
      <w:tr w14:paraId="6BB82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C7EB6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496FE2B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比选代理机构</w:t>
            </w:r>
          </w:p>
        </w:tc>
        <w:tc>
          <w:tcPr>
            <w:tcW w:w="6490" w:type="dxa"/>
            <w:vAlign w:val="center"/>
          </w:tcPr>
          <w:p w14:paraId="3343AE9B">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color w:val="auto"/>
                <w:highlight w:val="none"/>
              </w:rPr>
              <w:fldChar w:fldCharType="begin"/>
            </w:r>
            <w:r>
              <w:rPr>
                <w:color w:val="auto"/>
                <w:highlight w:val="none"/>
              </w:rPr>
              <w:instrText xml:space="preserve"> HYPERLINK "http://183.66.171.75:88/CQCollect/Qy_Query/Zjzxjg/javascript:__doPostBack('DataGrid1$_ctl2$_ctl0','')" </w:instrText>
            </w:r>
            <w:r>
              <w:rPr>
                <w:color w:val="auto"/>
                <w:highlight w:val="none"/>
              </w:rPr>
              <w:fldChar w:fldCharType="separate"/>
            </w:r>
            <w:r>
              <w:rPr>
                <w:rFonts w:hint="eastAsia" w:ascii="宋体" w:hAnsi="宋体"/>
                <w:color w:val="auto"/>
                <w:szCs w:val="21"/>
                <w:highlight w:val="none"/>
              </w:rPr>
              <w:t>中资（重庆）工程咨询有限公司</w:t>
            </w:r>
            <w:r>
              <w:rPr>
                <w:rFonts w:hint="eastAsia" w:ascii="宋体" w:hAnsi="宋体"/>
                <w:color w:val="auto"/>
                <w:szCs w:val="21"/>
                <w:highlight w:val="none"/>
              </w:rPr>
              <w:fldChar w:fldCharType="end"/>
            </w:r>
          </w:p>
          <w:p w14:paraId="421FDB51">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snapToGrid w:val="0"/>
                <w:color w:val="auto"/>
                <w:kern w:val="0"/>
                <w:szCs w:val="21"/>
                <w:highlight w:val="none"/>
              </w:rPr>
              <w:t>重庆市沙坪坝区龙湖光年2号楼14层</w:t>
            </w:r>
          </w:p>
          <w:p w14:paraId="651A726B">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szCs w:val="21"/>
                <w:highlight w:val="none"/>
              </w:rPr>
              <w:t>冉老师</w:t>
            </w:r>
          </w:p>
          <w:p w14:paraId="570CE528">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szCs w:val="21"/>
                <w:highlight w:val="none"/>
              </w:rPr>
              <w:t>18680861765</w:t>
            </w:r>
          </w:p>
        </w:tc>
      </w:tr>
      <w:tr w14:paraId="3CF3D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36A21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165837B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1A35B59E">
            <w:pPr>
              <w:snapToGrid w:val="0"/>
              <w:spacing w:line="400" w:lineRule="exact"/>
              <w:jc w:val="left"/>
              <w:rPr>
                <w:rFonts w:hint="eastAsia" w:ascii="宋体" w:hAnsi="宋体" w:eastAsia="宋体"/>
                <w:color w:val="auto"/>
                <w:szCs w:val="21"/>
                <w:highlight w:val="none"/>
                <w:lang w:eastAsia="zh-CN"/>
              </w:rPr>
            </w:pPr>
            <w:r>
              <w:rPr>
                <w:rFonts w:hint="eastAsia" w:ascii="宋体" w:hAnsi="宋体" w:cs="宋体"/>
                <w:color w:val="auto"/>
                <w:kern w:val="0"/>
                <w:szCs w:val="21"/>
                <w:highlight w:val="none"/>
              </w:rPr>
              <w:t>南岸区弹子石片区老旧街区基础设施更新改造项目道路空洞检测</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第二次</w:t>
            </w:r>
            <w:r>
              <w:rPr>
                <w:rFonts w:hint="eastAsia" w:ascii="宋体" w:hAnsi="宋体" w:cs="宋体"/>
                <w:color w:val="auto"/>
                <w:kern w:val="0"/>
                <w:szCs w:val="21"/>
                <w:highlight w:val="none"/>
                <w:lang w:eastAsia="zh-CN"/>
              </w:rPr>
              <w:t>）</w:t>
            </w:r>
          </w:p>
        </w:tc>
      </w:tr>
      <w:tr w14:paraId="06903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AEE46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7A10291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1D62EEA7">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南岸区弹子石片区</w:t>
            </w:r>
          </w:p>
        </w:tc>
      </w:tr>
      <w:tr w14:paraId="0496D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EF369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81041D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F8A6DC8">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rPr>
              <w:t>对</w:t>
            </w:r>
            <w:r>
              <w:rPr>
                <w:rFonts w:hint="eastAsia" w:ascii="宋体" w:hAnsi="宋体"/>
                <w:color w:val="auto"/>
                <w:szCs w:val="21"/>
                <w:highlight w:val="none"/>
                <w:u w:val="single"/>
              </w:rPr>
              <w:t>弹子石片区</w:t>
            </w:r>
            <w:r>
              <w:rPr>
                <w:rFonts w:hint="eastAsia" w:ascii="宋体" w:hAnsi="宋体"/>
                <w:snapToGrid w:val="0"/>
                <w:color w:val="auto"/>
                <w:kern w:val="0"/>
                <w:szCs w:val="21"/>
                <w:highlight w:val="none"/>
                <w:u w:val="single"/>
              </w:rPr>
              <w:t>腾黄路、BK线、瑞祥路、腾龙大道等48条道路进行空洞检测；</w:t>
            </w:r>
          </w:p>
        </w:tc>
      </w:tr>
      <w:tr w14:paraId="31511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2905D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57D6E81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684B72E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国有资金</w:t>
            </w:r>
          </w:p>
        </w:tc>
      </w:tr>
      <w:tr w14:paraId="2CB37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2B640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00B5546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374DF43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7A7BF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001A7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AAD024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6F76D4E3">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783AB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F01E5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0D6EA65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比选范围</w:t>
            </w:r>
          </w:p>
        </w:tc>
        <w:tc>
          <w:tcPr>
            <w:tcW w:w="6490" w:type="dxa"/>
            <w:vAlign w:val="center"/>
          </w:tcPr>
          <w:p w14:paraId="40E3919A">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u w:val="single"/>
              </w:rPr>
              <w:t>根据国家、地方、行业和甲方的规定完成工程所需的全部检测类项目（包括不限于检测及评估等），并按照工程进度需求出具相应的检测报告。</w:t>
            </w:r>
          </w:p>
        </w:tc>
      </w:tr>
      <w:tr w14:paraId="1C159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9E66B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B3E0F52">
            <w:pPr>
              <w:snapToGrid w:val="0"/>
              <w:spacing w:line="400" w:lineRule="exact"/>
              <w:jc w:val="center"/>
              <w:rPr>
                <w:rFonts w:ascii="宋体" w:hAnsi="宋体"/>
                <w:color w:val="auto"/>
                <w:kern w:val="0"/>
                <w:szCs w:val="21"/>
                <w:highlight w:val="none"/>
              </w:rPr>
            </w:pPr>
            <w:r>
              <w:rPr>
                <w:color w:val="auto"/>
                <w:spacing w:val="-3"/>
                <w:szCs w:val="21"/>
                <w:highlight w:val="none"/>
              </w:rPr>
              <w:t>服务期限</w:t>
            </w:r>
          </w:p>
        </w:tc>
        <w:tc>
          <w:tcPr>
            <w:tcW w:w="6490" w:type="dxa"/>
            <w:vAlign w:val="center"/>
          </w:tcPr>
          <w:p w14:paraId="44FD8E3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合同签订后60天内完成全部检测工作。</w:t>
            </w:r>
          </w:p>
        </w:tc>
      </w:tr>
      <w:tr w14:paraId="3A1D8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BEB1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5BC8DA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3A7D269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符合国家、行业、重庆市相关的技术标准、规范、规程以及设计要求。</w:t>
            </w:r>
          </w:p>
        </w:tc>
      </w:tr>
      <w:tr w14:paraId="2A915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B12050">
            <w:pPr>
              <w:snapToGrid w:val="0"/>
              <w:spacing w:line="400" w:lineRule="exact"/>
              <w:jc w:val="center"/>
              <w:rPr>
                <w:rFonts w:ascii="宋体" w:hAnsi="宋体"/>
                <w:color w:val="auto"/>
                <w:kern w:val="0"/>
                <w:szCs w:val="21"/>
                <w:highlight w:val="none"/>
              </w:rPr>
            </w:pPr>
          </w:p>
          <w:p w14:paraId="74166751">
            <w:pPr>
              <w:snapToGrid w:val="0"/>
              <w:spacing w:line="400" w:lineRule="exact"/>
              <w:jc w:val="center"/>
              <w:rPr>
                <w:rFonts w:ascii="宋体" w:hAnsi="宋体"/>
                <w:color w:val="auto"/>
                <w:kern w:val="0"/>
                <w:szCs w:val="21"/>
                <w:highlight w:val="none"/>
              </w:rPr>
            </w:pPr>
          </w:p>
          <w:p w14:paraId="5C19B58E">
            <w:pPr>
              <w:snapToGrid w:val="0"/>
              <w:spacing w:line="400" w:lineRule="exact"/>
              <w:jc w:val="center"/>
              <w:rPr>
                <w:rFonts w:ascii="宋体" w:hAnsi="宋体"/>
                <w:color w:val="auto"/>
                <w:kern w:val="0"/>
                <w:szCs w:val="21"/>
                <w:highlight w:val="none"/>
              </w:rPr>
            </w:pPr>
          </w:p>
          <w:p w14:paraId="609F51E6">
            <w:pPr>
              <w:snapToGrid w:val="0"/>
              <w:spacing w:line="400" w:lineRule="exact"/>
              <w:jc w:val="center"/>
              <w:rPr>
                <w:rFonts w:ascii="宋体" w:hAnsi="宋体"/>
                <w:color w:val="auto"/>
                <w:kern w:val="0"/>
                <w:szCs w:val="21"/>
                <w:highlight w:val="none"/>
              </w:rPr>
            </w:pPr>
          </w:p>
          <w:p w14:paraId="5C8AE4D8">
            <w:pPr>
              <w:snapToGrid w:val="0"/>
              <w:spacing w:line="400" w:lineRule="exact"/>
              <w:jc w:val="center"/>
              <w:rPr>
                <w:rFonts w:ascii="宋体" w:hAnsi="宋体"/>
                <w:color w:val="auto"/>
                <w:kern w:val="0"/>
                <w:szCs w:val="21"/>
                <w:highlight w:val="none"/>
              </w:rPr>
            </w:pPr>
          </w:p>
          <w:p w14:paraId="0FF1898C">
            <w:pPr>
              <w:snapToGrid w:val="0"/>
              <w:spacing w:line="400" w:lineRule="exact"/>
              <w:jc w:val="center"/>
              <w:rPr>
                <w:rFonts w:ascii="宋体" w:hAnsi="宋体"/>
                <w:color w:val="auto"/>
                <w:kern w:val="0"/>
                <w:szCs w:val="21"/>
                <w:highlight w:val="none"/>
              </w:rPr>
            </w:pPr>
          </w:p>
          <w:p w14:paraId="641E9DC3">
            <w:pPr>
              <w:snapToGrid w:val="0"/>
              <w:spacing w:line="400" w:lineRule="exact"/>
              <w:jc w:val="center"/>
              <w:rPr>
                <w:rFonts w:ascii="宋体" w:hAnsi="宋体"/>
                <w:color w:val="auto"/>
                <w:kern w:val="0"/>
                <w:szCs w:val="21"/>
                <w:highlight w:val="none"/>
              </w:rPr>
            </w:pPr>
          </w:p>
          <w:p w14:paraId="0F51CCE1">
            <w:pPr>
              <w:snapToGrid w:val="0"/>
              <w:spacing w:line="400" w:lineRule="exact"/>
              <w:jc w:val="center"/>
              <w:rPr>
                <w:rFonts w:ascii="宋体" w:hAnsi="宋体"/>
                <w:color w:val="auto"/>
                <w:kern w:val="0"/>
                <w:szCs w:val="21"/>
                <w:highlight w:val="none"/>
              </w:rPr>
            </w:pPr>
          </w:p>
          <w:p w14:paraId="1994F8D5">
            <w:pPr>
              <w:snapToGrid w:val="0"/>
              <w:spacing w:line="400" w:lineRule="exact"/>
              <w:jc w:val="center"/>
              <w:rPr>
                <w:rFonts w:ascii="宋体" w:hAnsi="宋体"/>
                <w:color w:val="auto"/>
                <w:kern w:val="0"/>
                <w:szCs w:val="21"/>
                <w:highlight w:val="none"/>
              </w:rPr>
            </w:pPr>
          </w:p>
          <w:p w14:paraId="69AE8841">
            <w:pPr>
              <w:snapToGrid w:val="0"/>
              <w:spacing w:line="400" w:lineRule="exact"/>
              <w:jc w:val="center"/>
              <w:rPr>
                <w:rFonts w:ascii="宋体" w:hAnsi="宋体"/>
                <w:color w:val="auto"/>
                <w:kern w:val="0"/>
                <w:szCs w:val="21"/>
                <w:highlight w:val="none"/>
              </w:rPr>
            </w:pPr>
          </w:p>
          <w:p w14:paraId="21196780">
            <w:pPr>
              <w:snapToGrid w:val="0"/>
              <w:spacing w:line="400" w:lineRule="exact"/>
              <w:jc w:val="center"/>
              <w:rPr>
                <w:rFonts w:ascii="宋体" w:hAnsi="宋体"/>
                <w:color w:val="auto"/>
                <w:kern w:val="0"/>
                <w:szCs w:val="21"/>
                <w:highlight w:val="none"/>
              </w:rPr>
            </w:pPr>
          </w:p>
          <w:p w14:paraId="1C978791">
            <w:pPr>
              <w:snapToGrid w:val="0"/>
              <w:spacing w:line="400" w:lineRule="exact"/>
              <w:jc w:val="center"/>
              <w:rPr>
                <w:rFonts w:ascii="宋体" w:hAnsi="宋体"/>
                <w:color w:val="auto"/>
                <w:kern w:val="0"/>
                <w:szCs w:val="21"/>
                <w:highlight w:val="none"/>
              </w:rPr>
            </w:pPr>
          </w:p>
          <w:p w14:paraId="192B1C25">
            <w:pPr>
              <w:snapToGrid w:val="0"/>
              <w:spacing w:line="400" w:lineRule="exact"/>
              <w:jc w:val="center"/>
              <w:rPr>
                <w:rFonts w:ascii="宋体" w:hAnsi="宋体"/>
                <w:color w:val="auto"/>
                <w:kern w:val="0"/>
                <w:szCs w:val="21"/>
                <w:highlight w:val="none"/>
              </w:rPr>
            </w:pPr>
          </w:p>
          <w:p w14:paraId="030532F0">
            <w:pPr>
              <w:snapToGrid w:val="0"/>
              <w:spacing w:line="400" w:lineRule="exact"/>
              <w:jc w:val="center"/>
              <w:rPr>
                <w:rFonts w:ascii="宋体" w:hAnsi="宋体"/>
                <w:color w:val="auto"/>
                <w:kern w:val="0"/>
                <w:szCs w:val="21"/>
                <w:highlight w:val="none"/>
              </w:rPr>
            </w:pPr>
          </w:p>
          <w:p w14:paraId="797716AA">
            <w:pPr>
              <w:snapToGrid w:val="0"/>
              <w:spacing w:line="400" w:lineRule="exact"/>
              <w:jc w:val="center"/>
              <w:rPr>
                <w:rFonts w:ascii="宋体" w:hAnsi="宋体"/>
                <w:color w:val="auto"/>
                <w:kern w:val="0"/>
                <w:szCs w:val="21"/>
                <w:highlight w:val="none"/>
              </w:rPr>
            </w:pPr>
          </w:p>
          <w:p w14:paraId="08BE33DA">
            <w:pPr>
              <w:snapToGrid w:val="0"/>
              <w:spacing w:line="400" w:lineRule="exact"/>
              <w:jc w:val="center"/>
              <w:rPr>
                <w:rFonts w:ascii="宋体" w:hAnsi="宋体"/>
                <w:color w:val="auto"/>
                <w:kern w:val="0"/>
                <w:szCs w:val="21"/>
                <w:highlight w:val="none"/>
              </w:rPr>
            </w:pPr>
          </w:p>
          <w:p w14:paraId="69DC8266">
            <w:pPr>
              <w:snapToGrid w:val="0"/>
              <w:spacing w:line="400" w:lineRule="exact"/>
              <w:jc w:val="center"/>
              <w:rPr>
                <w:rFonts w:ascii="宋体" w:hAnsi="宋体"/>
                <w:color w:val="auto"/>
                <w:kern w:val="0"/>
                <w:szCs w:val="21"/>
                <w:highlight w:val="none"/>
              </w:rPr>
            </w:pPr>
          </w:p>
          <w:p w14:paraId="53795D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2004C8E9">
            <w:pPr>
              <w:snapToGrid w:val="0"/>
              <w:spacing w:line="400" w:lineRule="exact"/>
              <w:jc w:val="center"/>
              <w:rPr>
                <w:rFonts w:ascii="宋体" w:hAnsi="宋体"/>
                <w:color w:val="auto"/>
                <w:kern w:val="0"/>
                <w:szCs w:val="21"/>
                <w:highlight w:val="none"/>
              </w:rPr>
            </w:pPr>
          </w:p>
          <w:p w14:paraId="780946C9">
            <w:pPr>
              <w:snapToGrid w:val="0"/>
              <w:spacing w:line="400" w:lineRule="exact"/>
              <w:jc w:val="center"/>
              <w:rPr>
                <w:rFonts w:ascii="宋体" w:hAnsi="宋体"/>
                <w:color w:val="auto"/>
                <w:kern w:val="0"/>
                <w:szCs w:val="21"/>
                <w:highlight w:val="none"/>
              </w:rPr>
            </w:pPr>
          </w:p>
          <w:p w14:paraId="70C36BC0">
            <w:pPr>
              <w:snapToGrid w:val="0"/>
              <w:spacing w:line="400" w:lineRule="exact"/>
              <w:jc w:val="center"/>
              <w:rPr>
                <w:rFonts w:ascii="宋体" w:hAnsi="宋体"/>
                <w:color w:val="auto"/>
                <w:kern w:val="0"/>
                <w:szCs w:val="21"/>
                <w:highlight w:val="none"/>
              </w:rPr>
            </w:pPr>
          </w:p>
          <w:p w14:paraId="79E61DF1">
            <w:pPr>
              <w:snapToGrid w:val="0"/>
              <w:spacing w:line="400" w:lineRule="exact"/>
              <w:jc w:val="center"/>
              <w:rPr>
                <w:rFonts w:ascii="宋体" w:hAnsi="宋体"/>
                <w:color w:val="auto"/>
                <w:kern w:val="0"/>
                <w:szCs w:val="21"/>
                <w:highlight w:val="none"/>
              </w:rPr>
            </w:pPr>
          </w:p>
          <w:p w14:paraId="30AB9B6C">
            <w:pPr>
              <w:snapToGrid w:val="0"/>
              <w:spacing w:line="400" w:lineRule="exact"/>
              <w:jc w:val="center"/>
              <w:rPr>
                <w:rFonts w:ascii="宋体" w:hAnsi="宋体"/>
                <w:color w:val="auto"/>
                <w:kern w:val="0"/>
                <w:szCs w:val="21"/>
                <w:highlight w:val="none"/>
              </w:rPr>
            </w:pPr>
          </w:p>
          <w:p w14:paraId="6EF050C0">
            <w:pPr>
              <w:snapToGrid w:val="0"/>
              <w:spacing w:line="400" w:lineRule="exact"/>
              <w:jc w:val="center"/>
              <w:rPr>
                <w:rFonts w:ascii="宋体" w:hAnsi="宋体"/>
                <w:color w:val="auto"/>
                <w:kern w:val="0"/>
                <w:szCs w:val="21"/>
                <w:highlight w:val="none"/>
              </w:rPr>
            </w:pPr>
          </w:p>
          <w:p w14:paraId="27A54793">
            <w:pPr>
              <w:snapToGrid w:val="0"/>
              <w:spacing w:line="400" w:lineRule="exact"/>
              <w:jc w:val="center"/>
              <w:rPr>
                <w:rFonts w:ascii="宋体" w:hAnsi="宋体"/>
                <w:color w:val="auto"/>
                <w:kern w:val="0"/>
                <w:szCs w:val="21"/>
                <w:highlight w:val="none"/>
              </w:rPr>
            </w:pPr>
          </w:p>
          <w:p w14:paraId="7312AC15">
            <w:pPr>
              <w:snapToGrid w:val="0"/>
              <w:spacing w:line="400" w:lineRule="exact"/>
              <w:jc w:val="center"/>
              <w:rPr>
                <w:rFonts w:ascii="宋体" w:hAnsi="宋体"/>
                <w:color w:val="auto"/>
                <w:kern w:val="0"/>
                <w:szCs w:val="21"/>
                <w:highlight w:val="none"/>
              </w:rPr>
            </w:pPr>
          </w:p>
          <w:p w14:paraId="152F7E40">
            <w:pPr>
              <w:snapToGrid w:val="0"/>
              <w:spacing w:line="400" w:lineRule="exact"/>
              <w:jc w:val="center"/>
              <w:rPr>
                <w:rFonts w:ascii="宋体" w:hAnsi="宋体"/>
                <w:color w:val="auto"/>
                <w:kern w:val="0"/>
                <w:szCs w:val="21"/>
                <w:highlight w:val="none"/>
              </w:rPr>
            </w:pPr>
          </w:p>
          <w:p w14:paraId="23298999">
            <w:pPr>
              <w:snapToGrid w:val="0"/>
              <w:spacing w:line="400" w:lineRule="exact"/>
              <w:jc w:val="center"/>
              <w:rPr>
                <w:rFonts w:ascii="宋体" w:hAnsi="宋体"/>
                <w:color w:val="auto"/>
                <w:kern w:val="0"/>
                <w:szCs w:val="21"/>
                <w:highlight w:val="none"/>
              </w:rPr>
            </w:pPr>
          </w:p>
          <w:p w14:paraId="1666DF04">
            <w:pPr>
              <w:snapToGrid w:val="0"/>
              <w:spacing w:line="400" w:lineRule="exact"/>
              <w:jc w:val="center"/>
              <w:rPr>
                <w:rFonts w:ascii="宋体" w:hAnsi="宋体"/>
                <w:color w:val="auto"/>
                <w:kern w:val="0"/>
                <w:szCs w:val="21"/>
                <w:highlight w:val="none"/>
              </w:rPr>
            </w:pPr>
          </w:p>
          <w:p w14:paraId="4CD57A26">
            <w:pPr>
              <w:snapToGrid w:val="0"/>
              <w:spacing w:line="400" w:lineRule="exact"/>
              <w:jc w:val="center"/>
              <w:rPr>
                <w:rFonts w:ascii="宋体" w:hAnsi="宋体"/>
                <w:color w:val="auto"/>
                <w:kern w:val="0"/>
                <w:szCs w:val="21"/>
                <w:highlight w:val="none"/>
              </w:rPr>
            </w:pPr>
          </w:p>
          <w:p w14:paraId="4CF7D0BE">
            <w:pPr>
              <w:snapToGrid w:val="0"/>
              <w:spacing w:line="400" w:lineRule="exact"/>
              <w:jc w:val="center"/>
              <w:rPr>
                <w:rFonts w:ascii="宋体" w:hAnsi="宋体"/>
                <w:color w:val="auto"/>
                <w:kern w:val="0"/>
                <w:szCs w:val="21"/>
                <w:highlight w:val="none"/>
              </w:rPr>
            </w:pPr>
          </w:p>
          <w:p w14:paraId="3920C302">
            <w:pPr>
              <w:snapToGrid w:val="0"/>
              <w:spacing w:line="400" w:lineRule="exact"/>
              <w:jc w:val="center"/>
              <w:rPr>
                <w:rFonts w:ascii="宋体" w:hAnsi="宋体"/>
                <w:color w:val="auto"/>
                <w:kern w:val="0"/>
                <w:szCs w:val="21"/>
                <w:highlight w:val="none"/>
              </w:rPr>
            </w:pPr>
          </w:p>
          <w:p w14:paraId="72A3D8C3">
            <w:pPr>
              <w:snapToGrid w:val="0"/>
              <w:spacing w:line="400" w:lineRule="exact"/>
              <w:jc w:val="center"/>
              <w:rPr>
                <w:rFonts w:ascii="宋体" w:hAnsi="宋体"/>
                <w:color w:val="auto"/>
                <w:kern w:val="0"/>
                <w:szCs w:val="21"/>
                <w:highlight w:val="none"/>
              </w:rPr>
            </w:pPr>
          </w:p>
          <w:p w14:paraId="6EAF657E">
            <w:pPr>
              <w:snapToGrid w:val="0"/>
              <w:spacing w:line="400" w:lineRule="exact"/>
              <w:jc w:val="center"/>
              <w:rPr>
                <w:rFonts w:ascii="宋体" w:hAnsi="宋体"/>
                <w:color w:val="auto"/>
                <w:kern w:val="0"/>
                <w:szCs w:val="21"/>
                <w:highlight w:val="none"/>
              </w:rPr>
            </w:pPr>
          </w:p>
          <w:p w14:paraId="2C62D751">
            <w:pPr>
              <w:snapToGrid w:val="0"/>
              <w:spacing w:line="400" w:lineRule="exact"/>
              <w:jc w:val="center"/>
              <w:rPr>
                <w:rFonts w:ascii="宋体" w:hAnsi="宋体"/>
                <w:color w:val="auto"/>
                <w:kern w:val="0"/>
                <w:szCs w:val="21"/>
                <w:highlight w:val="none"/>
              </w:rPr>
            </w:pPr>
          </w:p>
          <w:p w14:paraId="460C6AD8">
            <w:pPr>
              <w:snapToGrid w:val="0"/>
              <w:spacing w:line="400" w:lineRule="exact"/>
              <w:jc w:val="center"/>
              <w:rPr>
                <w:rFonts w:ascii="宋体" w:hAnsi="宋体"/>
                <w:color w:val="auto"/>
                <w:kern w:val="0"/>
                <w:szCs w:val="21"/>
                <w:highlight w:val="none"/>
              </w:rPr>
            </w:pPr>
          </w:p>
          <w:p w14:paraId="0C79EEAB">
            <w:pPr>
              <w:snapToGrid w:val="0"/>
              <w:spacing w:line="400" w:lineRule="exact"/>
              <w:jc w:val="center"/>
              <w:rPr>
                <w:rFonts w:ascii="宋体" w:hAnsi="宋体"/>
                <w:color w:val="auto"/>
                <w:kern w:val="0"/>
                <w:szCs w:val="21"/>
                <w:highlight w:val="none"/>
              </w:rPr>
            </w:pPr>
          </w:p>
          <w:p w14:paraId="5209ECBD">
            <w:pPr>
              <w:snapToGrid w:val="0"/>
              <w:spacing w:line="400" w:lineRule="exact"/>
              <w:jc w:val="center"/>
              <w:rPr>
                <w:rFonts w:ascii="宋体" w:hAnsi="宋体"/>
                <w:color w:val="auto"/>
                <w:kern w:val="0"/>
                <w:szCs w:val="21"/>
                <w:highlight w:val="none"/>
              </w:rPr>
            </w:pPr>
          </w:p>
          <w:p w14:paraId="6F8D8664">
            <w:pPr>
              <w:snapToGrid w:val="0"/>
              <w:spacing w:line="400" w:lineRule="exact"/>
              <w:jc w:val="center"/>
              <w:rPr>
                <w:rFonts w:ascii="宋体" w:hAnsi="宋体"/>
                <w:color w:val="auto"/>
                <w:kern w:val="0"/>
                <w:szCs w:val="21"/>
                <w:highlight w:val="none"/>
              </w:rPr>
            </w:pPr>
          </w:p>
          <w:p w14:paraId="4FF07CD6">
            <w:pPr>
              <w:snapToGrid w:val="0"/>
              <w:spacing w:line="400" w:lineRule="exact"/>
              <w:jc w:val="center"/>
              <w:rPr>
                <w:rFonts w:ascii="宋体" w:hAnsi="宋体"/>
                <w:color w:val="auto"/>
                <w:kern w:val="0"/>
                <w:szCs w:val="21"/>
                <w:highlight w:val="none"/>
              </w:rPr>
            </w:pPr>
          </w:p>
          <w:p w14:paraId="1616ACF9">
            <w:pPr>
              <w:snapToGrid w:val="0"/>
              <w:spacing w:line="400" w:lineRule="exact"/>
              <w:jc w:val="center"/>
              <w:rPr>
                <w:rFonts w:ascii="宋体" w:hAnsi="宋体"/>
                <w:color w:val="auto"/>
                <w:kern w:val="0"/>
                <w:szCs w:val="21"/>
                <w:highlight w:val="none"/>
              </w:rPr>
            </w:pPr>
          </w:p>
          <w:p w14:paraId="76088827">
            <w:pPr>
              <w:snapToGrid w:val="0"/>
              <w:spacing w:line="400" w:lineRule="exact"/>
              <w:jc w:val="center"/>
              <w:rPr>
                <w:rFonts w:ascii="宋体" w:hAnsi="宋体"/>
                <w:color w:val="auto"/>
                <w:kern w:val="0"/>
                <w:szCs w:val="21"/>
                <w:highlight w:val="none"/>
              </w:rPr>
            </w:pPr>
          </w:p>
          <w:p w14:paraId="45A62803">
            <w:pPr>
              <w:snapToGrid w:val="0"/>
              <w:spacing w:line="400" w:lineRule="exact"/>
              <w:jc w:val="center"/>
              <w:rPr>
                <w:rFonts w:ascii="宋体" w:hAnsi="宋体"/>
                <w:color w:val="auto"/>
                <w:kern w:val="0"/>
                <w:szCs w:val="21"/>
                <w:highlight w:val="none"/>
              </w:rPr>
            </w:pPr>
          </w:p>
          <w:p w14:paraId="7841665B">
            <w:pPr>
              <w:snapToGrid w:val="0"/>
              <w:spacing w:line="400" w:lineRule="exact"/>
              <w:jc w:val="center"/>
              <w:rPr>
                <w:rFonts w:ascii="宋体" w:hAnsi="宋体"/>
                <w:color w:val="auto"/>
                <w:kern w:val="0"/>
                <w:szCs w:val="21"/>
                <w:highlight w:val="none"/>
              </w:rPr>
            </w:pPr>
          </w:p>
          <w:p w14:paraId="16C0C664">
            <w:pPr>
              <w:snapToGrid w:val="0"/>
              <w:spacing w:line="400" w:lineRule="exact"/>
              <w:jc w:val="center"/>
              <w:rPr>
                <w:rFonts w:ascii="宋体" w:hAnsi="宋体"/>
                <w:color w:val="auto"/>
                <w:kern w:val="0"/>
                <w:szCs w:val="21"/>
                <w:highlight w:val="none"/>
              </w:rPr>
            </w:pPr>
          </w:p>
          <w:p w14:paraId="19075F82">
            <w:pPr>
              <w:snapToGrid w:val="0"/>
              <w:spacing w:line="400" w:lineRule="exact"/>
              <w:jc w:val="center"/>
              <w:rPr>
                <w:rFonts w:ascii="宋体" w:hAnsi="宋体"/>
                <w:color w:val="auto"/>
                <w:kern w:val="0"/>
                <w:szCs w:val="21"/>
                <w:highlight w:val="none"/>
              </w:rPr>
            </w:pPr>
          </w:p>
          <w:p w14:paraId="766F9FB9">
            <w:pPr>
              <w:snapToGrid w:val="0"/>
              <w:spacing w:line="400" w:lineRule="exact"/>
              <w:jc w:val="center"/>
              <w:rPr>
                <w:rFonts w:ascii="宋体" w:hAnsi="宋体"/>
                <w:color w:val="auto"/>
                <w:kern w:val="0"/>
                <w:szCs w:val="21"/>
                <w:highlight w:val="none"/>
              </w:rPr>
            </w:pPr>
          </w:p>
          <w:p w14:paraId="1B7362BA">
            <w:pPr>
              <w:snapToGrid w:val="0"/>
              <w:spacing w:line="400" w:lineRule="exact"/>
              <w:jc w:val="center"/>
              <w:rPr>
                <w:rFonts w:ascii="宋体" w:hAnsi="宋体"/>
                <w:color w:val="auto"/>
                <w:kern w:val="0"/>
                <w:szCs w:val="21"/>
                <w:highlight w:val="none"/>
              </w:rPr>
            </w:pPr>
          </w:p>
          <w:p w14:paraId="0B644FE2">
            <w:pPr>
              <w:snapToGrid w:val="0"/>
              <w:spacing w:line="400" w:lineRule="exact"/>
              <w:jc w:val="center"/>
              <w:rPr>
                <w:rFonts w:ascii="宋体" w:hAnsi="宋体"/>
                <w:color w:val="auto"/>
                <w:kern w:val="0"/>
                <w:szCs w:val="21"/>
                <w:highlight w:val="none"/>
              </w:rPr>
            </w:pPr>
          </w:p>
          <w:p w14:paraId="48C77FB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625F307C">
            <w:pPr>
              <w:snapToGrid w:val="0"/>
              <w:spacing w:line="400" w:lineRule="exact"/>
              <w:jc w:val="center"/>
              <w:rPr>
                <w:rFonts w:ascii="宋体" w:hAnsi="宋体"/>
                <w:color w:val="auto"/>
                <w:kern w:val="0"/>
                <w:szCs w:val="21"/>
                <w:highlight w:val="none"/>
              </w:rPr>
            </w:pPr>
          </w:p>
          <w:p w14:paraId="1AF641D0">
            <w:pPr>
              <w:snapToGrid w:val="0"/>
              <w:spacing w:line="400" w:lineRule="exact"/>
              <w:jc w:val="center"/>
              <w:rPr>
                <w:rFonts w:ascii="宋体" w:hAnsi="宋体"/>
                <w:color w:val="auto"/>
                <w:kern w:val="0"/>
                <w:szCs w:val="21"/>
                <w:highlight w:val="none"/>
              </w:rPr>
            </w:pPr>
          </w:p>
          <w:p w14:paraId="5D16190F">
            <w:pPr>
              <w:snapToGrid w:val="0"/>
              <w:spacing w:line="400" w:lineRule="exact"/>
              <w:jc w:val="center"/>
              <w:rPr>
                <w:rFonts w:ascii="宋体" w:hAnsi="宋体"/>
                <w:color w:val="auto"/>
                <w:kern w:val="0"/>
                <w:szCs w:val="21"/>
                <w:highlight w:val="none"/>
              </w:rPr>
            </w:pPr>
          </w:p>
          <w:p w14:paraId="71ED71E1">
            <w:pPr>
              <w:snapToGrid w:val="0"/>
              <w:spacing w:line="400" w:lineRule="exact"/>
              <w:jc w:val="center"/>
              <w:rPr>
                <w:rFonts w:ascii="宋体" w:hAnsi="宋体"/>
                <w:color w:val="auto"/>
                <w:kern w:val="0"/>
                <w:szCs w:val="21"/>
                <w:highlight w:val="none"/>
              </w:rPr>
            </w:pPr>
          </w:p>
          <w:p w14:paraId="3F1997EB">
            <w:pPr>
              <w:snapToGrid w:val="0"/>
              <w:spacing w:line="400" w:lineRule="exact"/>
              <w:jc w:val="center"/>
              <w:rPr>
                <w:rFonts w:ascii="宋体" w:hAnsi="宋体"/>
                <w:color w:val="auto"/>
                <w:kern w:val="0"/>
                <w:szCs w:val="21"/>
                <w:highlight w:val="none"/>
              </w:rPr>
            </w:pPr>
          </w:p>
          <w:p w14:paraId="7D8EA2B9">
            <w:pPr>
              <w:snapToGrid w:val="0"/>
              <w:spacing w:line="400" w:lineRule="exact"/>
              <w:jc w:val="center"/>
              <w:rPr>
                <w:rFonts w:ascii="宋体" w:hAnsi="宋体"/>
                <w:color w:val="auto"/>
                <w:kern w:val="0"/>
                <w:szCs w:val="21"/>
                <w:highlight w:val="none"/>
              </w:rPr>
            </w:pPr>
          </w:p>
          <w:p w14:paraId="0E1A0989">
            <w:pPr>
              <w:snapToGrid w:val="0"/>
              <w:spacing w:line="400" w:lineRule="exact"/>
              <w:jc w:val="center"/>
              <w:rPr>
                <w:rFonts w:ascii="宋体" w:hAnsi="宋体"/>
                <w:color w:val="auto"/>
                <w:kern w:val="0"/>
                <w:szCs w:val="21"/>
                <w:highlight w:val="none"/>
              </w:rPr>
            </w:pPr>
          </w:p>
        </w:tc>
        <w:tc>
          <w:tcPr>
            <w:tcW w:w="1644" w:type="dxa"/>
            <w:vAlign w:val="center"/>
          </w:tcPr>
          <w:p w14:paraId="105D9C77">
            <w:pPr>
              <w:snapToGrid w:val="0"/>
              <w:spacing w:line="400" w:lineRule="exact"/>
              <w:jc w:val="center"/>
              <w:rPr>
                <w:rFonts w:ascii="宋体" w:hAnsi="宋体"/>
                <w:color w:val="auto"/>
                <w:kern w:val="0"/>
                <w:szCs w:val="21"/>
                <w:highlight w:val="none"/>
              </w:rPr>
            </w:pPr>
          </w:p>
          <w:p w14:paraId="56B70DBD">
            <w:pPr>
              <w:snapToGrid w:val="0"/>
              <w:spacing w:line="400" w:lineRule="exact"/>
              <w:jc w:val="center"/>
              <w:rPr>
                <w:rFonts w:ascii="宋体" w:hAnsi="宋体"/>
                <w:color w:val="auto"/>
                <w:kern w:val="0"/>
                <w:szCs w:val="21"/>
                <w:highlight w:val="none"/>
              </w:rPr>
            </w:pPr>
          </w:p>
          <w:p w14:paraId="604F7376">
            <w:pPr>
              <w:snapToGrid w:val="0"/>
              <w:spacing w:line="400" w:lineRule="exact"/>
              <w:jc w:val="center"/>
              <w:rPr>
                <w:rFonts w:ascii="宋体" w:hAnsi="宋体"/>
                <w:color w:val="auto"/>
                <w:kern w:val="0"/>
                <w:szCs w:val="21"/>
                <w:highlight w:val="none"/>
              </w:rPr>
            </w:pPr>
          </w:p>
          <w:p w14:paraId="02CFDF64">
            <w:pPr>
              <w:snapToGrid w:val="0"/>
              <w:spacing w:line="400" w:lineRule="exact"/>
              <w:jc w:val="center"/>
              <w:rPr>
                <w:rFonts w:ascii="宋体" w:hAnsi="宋体"/>
                <w:color w:val="auto"/>
                <w:kern w:val="0"/>
                <w:szCs w:val="21"/>
                <w:highlight w:val="none"/>
              </w:rPr>
            </w:pPr>
          </w:p>
          <w:p w14:paraId="2A103F0D">
            <w:pPr>
              <w:snapToGrid w:val="0"/>
              <w:spacing w:line="400" w:lineRule="exact"/>
              <w:jc w:val="center"/>
              <w:rPr>
                <w:rFonts w:ascii="宋体" w:hAnsi="宋体"/>
                <w:color w:val="auto"/>
                <w:kern w:val="0"/>
                <w:szCs w:val="21"/>
                <w:highlight w:val="none"/>
              </w:rPr>
            </w:pPr>
          </w:p>
          <w:p w14:paraId="219FFCB4">
            <w:pPr>
              <w:snapToGrid w:val="0"/>
              <w:spacing w:line="400" w:lineRule="exact"/>
              <w:jc w:val="center"/>
              <w:rPr>
                <w:rFonts w:ascii="宋体" w:hAnsi="宋体"/>
                <w:color w:val="auto"/>
                <w:kern w:val="0"/>
                <w:szCs w:val="21"/>
                <w:highlight w:val="none"/>
              </w:rPr>
            </w:pPr>
          </w:p>
          <w:p w14:paraId="156BB74E">
            <w:pPr>
              <w:snapToGrid w:val="0"/>
              <w:spacing w:line="400" w:lineRule="exact"/>
              <w:jc w:val="center"/>
              <w:rPr>
                <w:rFonts w:ascii="宋体" w:hAnsi="宋体"/>
                <w:color w:val="auto"/>
                <w:kern w:val="0"/>
                <w:szCs w:val="21"/>
                <w:highlight w:val="none"/>
              </w:rPr>
            </w:pPr>
          </w:p>
          <w:p w14:paraId="6DBB93A1">
            <w:pPr>
              <w:snapToGrid w:val="0"/>
              <w:spacing w:line="400" w:lineRule="exact"/>
              <w:jc w:val="center"/>
              <w:rPr>
                <w:rFonts w:ascii="宋体" w:hAnsi="宋体"/>
                <w:color w:val="auto"/>
                <w:kern w:val="0"/>
                <w:szCs w:val="21"/>
                <w:highlight w:val="none"/>
              </w:rPr>
            </w:pPr>
          </w:p>
          <w:p w14:paraId="0C700957">
            <w:pPr>
              <w:snapToGrid w:val="0"/>
              <w:spacing w:line="400" w:lineRule="exact"/>
              <w:jc w:val="center"/>
              <w:rPr>
                <w:rFonts w:ascii="宋体" w:hAnsi="宋体"/>
                <w:color w:val="auto"/>
                <w:kern w:val="0"/>
                <w:szCs w:val="21"/>
                <w:highlight w:val="none"/>
              </w:rPr>
            </w:pPr>
          </w:p>
          <w:p w14:paraId="077FB13D">
            <w:pPr>
              <w:snapToGrid w:val="0"/>
              <w:spacing w:line="400" w:lineRule="exact"/>
              <w:jc w:val="center"/>
              <w:rPr>
                <w:rFonts w:ascii="宋体" w:hAnsi="宋体"/>
                <w:color w:val="auto"/>
                <w:kern w:val="0"/>
                <w:szCs w:val="21"/>
                <w:highlight w:val="none"/>
              </w:rPr>
            </w:pPr>
          </w:p>
          <w:p w14:paraId="59C313A3">
            <w:pPr>
              <w:snapToGrid w:val="0"/>
              <w:spacing w:line="400" w:lineRule="exact"/>
              <w:jc w:val="center"/>
              <w:rPr>
                <w:rFonts w:ascii="宋体" w:hAnsi="宋体"/>
                <w:color w:val="auto"/>
                <w:kern w:val="0"/>
                <w:szCs w:val="21"/>
                <w:highlight w:val="none"/>
              </w:rPr>
            </w:pPr>
          </w:p>
          <w:p w14:paraId="3E49D5E9">
            <w:pPr>
              <w:snapToGrid w:val="0"/>
              <w:spacing w:line="400" w:lineRule="exact"/>
              <w:jc w:val="center"/>
              <w:rPr>
                <w:rFonts w:ascii="宋体" w:hAnsi="宋体"/>
                <w:color w:val="auto"/>
                <w:kern w:val="0"/>
                <w:szCs w:val="21"/>
                <w:highlight w:val="none"/>
              </w:rPr>
            </w:pPr>
          </w:p>
          <w:p w14:paraId="4B4556E9">
            <w:pPr>
              <w:snapToGrid w:val="0"/>
              <w:spacing w:line="400" w:lineRule="exact"/>
              <w:jc w:val="center"/>
              <w:rPr>
                <w:rFonts w:ascii="宋体" w:hAnsi="宋体"/>
                <w:color w:val="auto"/>
                <w:kern w:val="0"/>
                <w:szCs w:val="21"/>
                <w:highlight w:val="none"/>
              </w:rPr>
            </w:pPr>
          </w:p>
          <w:p w14:paraId="6D7B1B7C">
            <w:pPr>
              <w:snapToGrid w:val="0"/>
              <w:spacing w:line="400" w:lineRule="exact"/>
              <w:jc w:val="center"/>
              <w:rPr>
                <w:rFonts w:ascii="宋体" w:hAnsi="宋体"/>
                <w:color w:val="auto"/>
                <w:kern w:val="0"/>
                <w:szCs w:val="21"/>
                <w:highlight w:val="none"/>
              </w:rPr>
            </w:pPr>
          </w:p>
          <w:p w14:paraId="774A10E2">
            <w:pPr>
              <w:snapToGrid w:val="0"/>
              <w:spacing w:line="400" w:lineRule="exact"/>
              <w:jc w:val="center"/>
              <w:rPr>
                <w:rFonts w:ascii="宋体" w:hAnsi="宋体"/>
                <w:color w:val="auto"/>
                <w:kern w:val="0"/>
                <w:szCs w:val="21"/>
                <w:highlight w:val="none"/>
              </w:rPr>
            </w:pPr>
          </w:p>
          <w:p w14:paraId="14653E17">
            <w:pPr>
              <w:snapToGrid w:val="0"/>
              <w:spacing w:line="400" w:lineRule="exact"/>
              <w:jc w:val="center"/>
              <w:rPr>
                <w:rFonts w:ascii="宋体" w:hAnsi="宋体"/>
                <w:color w:val="auto"/>
                <w:kern w:val="0"/>
                <w:szCs w:val="21"/>
                <w:highlight w:val="none"/>
              </w:rPr>
            </w:pPr>
          </w:p>
          <w:p w14:paraId="30CAF7F9">
            <w:pPr>
              <w:snapToGrid w:val="0"/>
              <w:spacing w:line="400" w:lineRule="exact"/>
              <w:jc w:val="center"/>
              <w:rPr>
                <w:rFonts w:ascii="宋体" w:hAnsi="宋体"/>
                <w:color w:val="auto"/>
                <w:kern w:val="0"/>
                <w:szCs w:val="21"/>
                <w:highlight w:val="none"/>
              </w:rPr>
            </w:pPr>
          </w:p>
          <w:p w14:paraId="33445DB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0A9364F6">
            <w:pPr>
              <w:snapToGrid w:val="0"/>
              <w:spacing w:line="400" w:lineRule="exact"/>
              <w:jc w:val="center"/>
              <w:rPr>
                <w:rFonts w:ascii="宋体" w:hAnsi="宋体"/>
                <w:color w:val="auto"/>
                <w:kern w:val="0"/>
                <w:szCs w:val="21"/>
                <w:highlight w:val="none"/>
              </w:rPr>
            </w:pPr>
          </w:p>
          <w:p w14:paraId="637FD447">
            <w:pPr>
              <w:snapToGrid w:val="0"/>
              <w:spacing w:line="400" w:lineRule="exact"/>
              <w:jc w:val="center"/>
              <w:rPr>
                <w:rFonts w:ascii="宋体" w:hAnsi="宋体"/>
                <w:color w:val="auto"/>
                <w:kern w:val="0"/>
                <w:szCs w:val="21"/>
                <w:highlight w:val="none"/>
              </w:rPr>
            </w:pPr>
          </w:p>
          <w:p w14:paraId="391E4925">
            <w:pPr>
              <w:snapToGrid w:val="0"/>
              <w:spacing w:line="400" w:lineRule="exact"/>
              <w:jc w:val="center"/>
              <w:rPr>
                <w:rFonts w:ascii="宋体" w:hAnsi="宋体"/>
                <w:color w:val="auto"/>
                <w:kern w:val="0"/>
                <w:szCs w:val="21"/>
                <w:highlight w:val="none"/>
              </w:rPr>
            </w:pPr>
          </w:p>
          <w:p w14:paraId="4CDB7473">
            <w:pPr>
              <w:snapToGrid w:val="0"/>
              <w:spacing w:line="400" w:lineRule="exact"/>
              <w:jc w:val="center"/>
              <w:rPr>
                <w:rFonts w:ascii="宋体" w:hAnsi="宋体"/>
                <w:color w:val="auto"/>
                <w:kern w:val="0"/>
                <w:szCs w:val="21"/>
                <w:highlight w:val="none"/>
              </w:rPr>
            </w:pPr>
          </w:p>
          <w:p w14:paraId="6FD30AD8">
            <w:pPr>
              <w:snapToGrid w:val="0"/>
              <w:spacing w:line="400" w:lineRule="exact"/>
              <w:jc w:val="center"/>
              <w:rPr>
                <w:rFonts w:ascii="宋体" w:hAnsi="宋体"/>
                <w:color w:val="auto"/>
                <w:kern w:val="0"/>
                <w:szCs w:val="21"/>
                <w:highlight w:val="none"/>
              </w:rPr>
            </w:pPr>
          </w:p>
          <w:p w14:paraId="4FCD82F5">
            <w:pPr>
              <w:snapToGrid w:val="0"/>
              <w:spacing w:line="400" w:lineRule="exact"/>
              <w:jc w:val="center"/>
              <w:rPr>
                <w:rFonts w:ascii="宋体" w:hAnsi="宋体"/>
                <w:color w:val="auto"/>
                <w:kern w:val="0"/>
                <w:szCs w:val="21"/>
                <w:highlight w:val="none"/>
              </w:rPr>
            </w:pPr>
          </w:p>
          <w:p w14:paraId="2B1579FB">
            <w:pPr>
              <w:snapToGrid w:val="0"/>
              <w:spacing w:line="400" w:lineRule="exact"/>
              <w:jc w:val="center"/>
              <w:rPr>
                <w:rFonts w:ascii="宋体" w:hAnsi="宋体"/>
                <w:color w:val="auto"/>
                <w:kern w:val="0"/>
                <w:szCs w:val="21"/>
                <w:highlight w:val="none"/>
              </w:rPr>
            </w:pPr>
          </w:p>
          <w:p w14:paraId="1B719020">
            <w:pPr>
              <w:snapToGrid w:val="0"/>
              <w:spacing w:line="400" w:lineRule="exact"/>
              <w:jc w:val="center"/>
              <w:rPr>
                <w:rFonts w:ascii="宋体" w:hAnsi="宋体"/>
                <w:color w:val="auto"/>
                <w:kern w:val="0"/>
                <w:szCs w:val="21"/>
                <w:highlight w:val="none"/>
              </w:rPr>
            </w:pPr>
          </w:p>
          <w:p w14:paraId="1D07D8DE">
            <w:pPr>
              <w:snapToGrid w:val="0"/>
              <w:spacing w:line="400" w:lineRule="exact"/>
              <w:jc w:val="center"/>
              <w:rPr>
                <w:rFonts w:ascii="宋体" w:hAnsi="宋体"/>
                <w:color w:val="auto"/>
                <w:kern w:val="0"/>
                <w:szCs w:val="21"/>
                <w:highlight w:val="none"/>
              </w:rPr>
            </w:pPr>
          </w:p>
          <w:p w14:paraId="0396752E">
            <w:pPr>
              <w:snapToGrid w:val="0"/>
              <w:spacing w:line="400" w:lineRule="exact"/>
              <w:jc w:val="center"/>
              <w:rPr>
                <w:rFonts w:ascii="宋体" w:hAnsi="宋体"/>
                <w:color w:val="auto"/>
                <w:kern w:val="0"/>
                <w:szCs w:val="21"/>
                <w:highlight w:val="none"/>
              </w:rPr>
            </w:pPr>
          </w:p>
          <w:p w14:paraId="7C59EC22">
            <w:pPr>
              <w:snapToGrid w:val="0"/>
              <w:spacing w:line="400" w:lineRule="exact"/>
              <w:jc w:val="center"/>
              <w:rPr>
                <w:rFonts w:ascii="宋体" w:hAnsi="宋体"/>
                <w:color w:val="auto"/>
                <w:kern w:val="0"/>
                <w:szCs w:val="21"/>
                <w:highlight w:val="none"/>
              </w:rPr>
            </w:pPr>
          </w:p>
          <w:p w14:paraId="7C571A39">
            <w:pPr>
              <w:snapToGrid w:val="0"/>
              <w:spacing w:line="400" w:lineRule="exact"/>
              <w:jc w:val="center"/>
              <w:rPr>
                <w:rFonts w:ascii="宋体" w:hAnsi="宋体"/>
                <w:color w:val="auto"/>
                <w:kern w:val="0"/>
                <w:szCs w:val="21"/>
                <w:highlight w:val="none"/>
              </w:rPr>
            </w:pPr>
          </w:p>
          <w:p w14:paraId="4C8AA15C">
            <w:pPr>
              <w:snapToGrid w:val="0"/>
              <w:spacing w:line="400" w:lineRule="exact"/>
              <w:jc w:val="center"/>
              <w:rPr>
                <w:rFonts w:ascii="宋体" w:hAnsi="宋体"/>
                <w:color w:val="auto"/>
                <w:kern w:val="0"/>
                <w:szCs w:val="21"/>
                <w:highlight w:val="none"/>
              </w:rPr>
            </w:pPr>
          </w:p>
          <w:p w14:paraId="7242C713">
            <w:pPr>
              <w:snapToGrid w:val="0"/>
              <w:spacing w:line="400" w:lineRule="exact"/>
              <w:jc w:val="center"/>
              <w:rPr>
                <w:rFonts w:ascii="宋体" w:hAnsi="宋体"/>
                <w:color w:val="auto"/>
                <w:kern w:val="0"/>
                <w:szCs w:val="21"/>
                <w:highlight w:val="none"/>
              </w:rPr>
            </w:pPr>
          </w:p>
          <w:p w14:paraId="70C86146">
            <w:pPr>
              <w:snapToGrid w:val="0"/>
              <w:spacing w:line="400" w:lineRule="exact"/>
              <w:jc w:val="center"/>
              <w:rPr>
                <w:rFonts w:ascii="宋体" w:hAnsi="宋体"/>
                <w:color w:val="auto"/>
                <w:kern w:val="0"/>
                <w:szCs w:val="21"/>
                <w:highlight w:val="none"/>
              </w:rPr>
            </w:pPr>
          </w:p>
          <w:p w14:paraId="7F009422">
            <w:pPr>
              <w:snapToGrid w:val="0"/>
              <w:spacing w:line="400" w:lineRule="exact"/>
              <w:jc w:val="center"/>
              <w:rPr>
                <w:rFonts w:ascii="宋体" w:hAnsi="宋体"/>
                <w:color w:val="auto"/>
                <w:kern w:val="0"/>
                <w:szCs w:val="21"/>
                <w:highlight w:val="none"/>
              </w:rPr>
            </w:pPr>
          </w:p>
          <w:p w14:paraId="2328AF14">
            <w:pPr>
              <w:snapToGrid w:val="0"/>
              <w:spacing w:line="400" w:lineRule="exact"/>
              <w:jc w:val="center"/>
              <w:rPr>
                <w:rFonts w:ascii="宋体" w:hAnsi="宋体"/>
                <w:color w:val="auto"/>
                <w:kern w:val="0"/>
                <w:szCs w:val="21"/>
                <w:highlight w:val="none"/>
              </w:rPr>
            </w:pPr>
          </w:p>
          <w:p w14:paraId="01FB9BC2">
            <w:pPr>
              <w:snapToGrid w:val="0"/>
              <w:spacing w:line="400" w:lineRule="exact"/>
              <w:jc w:val="center"/>
              <w:rPr>
                <w:rFonts w:ascii="宋体" w:hAnsi="宋体"/>
                <w:color w:val="auto"/>
                <w:kern w:val="0"/>
                <w:szCs w:val="21"/>
                <w:highlight w:val="none"/>
              </w:rPr>
            </w:pPr>
          </w:p>
          <w:p w14:paraId="58EB0EBE">
            <w:pPr>
              <w:snapToGrid w:val="0"/>
              <w:spacing w:line="400" w:lineRule="exact"/>
              <w:jc w:val="center"/>
              <w:rPr>
                <w:rFonts w:ascii="宋体" w:hAnsi="宋体"/>
                <w:color w:val="auto"/>
                <w:kern w:val="0"/>
                <w:szCs w:val="21"/>
                <w:highlight w:val="none"/>
              </w:rPr>
            </w:pPr>
          </w:p>
          <w:p w14:paraId="7DA59608">
            <w:pPr>
              <w:snapToGrid w:val="0"/>
              <w:spacing w:line="400" w:lineRule="exact"/>
              <w:jc w:val="center"/>
              <w:rPr>
                <w:rFonts w:ascii="宋体" w:hAnsi="宋体"/>
                <w:color w:val="auto"/>
                <w:kern w:val="0"/>
                <w:szCs w:val="21"/>
                <w:highlight w:val="none"/>
              </w:rPr>
            </w:pPr>
          </w:p>
          <w:p w14:paraId="7F27E4E5">
            <w:pPr>
              <w:snapToGrid w:val="0"/>
              <w:spacing w:line="400" w:lineRule="exact"/>
              <w:jc w:val="center"/>
              <w:rPr>
                <w:rFonts w:ascii="宋体" w:hAnsi="宋体"/>
                <w:color w:val="auto"/>
                <w:kern w:val="0"/>
                <w:szCs w:val="21"/>
                <w:highlight w:val="none"/>
              </w:rPr>
            </w:pPr>
          </w:p>
          <w:p w14:paraId="6A2D38BA">
            <w:pPr>
              <w:snapToGrid w:val="0"/>
              <w:spacing w:line="400" w:lineRule="exact"/>
              <w:jc w:val="center"/>
              <w:rPr>
                <w:rFonts w:ascii="宋体" w:hAnsi="宋体"/>
                <w:color w:val="auto"/>
                <w:kern w:val="0"/>
                <w:szCs w:val="21"/>
                <w:highlight w:val="none"/>
              </w:rPr>
            </w:pPr>
          </w:p>
          <w:p w14:paraId="22209C01">
            <w:pPr>
              <w:snapToGrid w:val="0"/>
              <w:spacing w:line="400" w:lineRule="exact"/>
              <w:jc w:val="center"/>
              <w:rPr>
                <w:rFonts w:ascii="宋体" w:hAnsi="宋体"/>
                <w:color w:val="auto"/>
                <w:kern w:val="0"/>
                <w:szCs w:val="21"/>
                <w:highlight w:val="none"/>
              </w:rPr>
            </w:pPr>
          </w:p>
          <w:p w14:paraId="4C1D6AC5">
            <w:pPr>
              <w:snapToGrid w:val="0"/>
              <w:spacing w:line="400" w:lineRule="exact"/>
              <w:jc w:val="center"/>
              <w:rPr>
                <w:rFonts w:ascii="宋体" w:hAnsi="宋体"/>
                <w:color w:val="auto"/>
                <w:kern w:val="0"/>
                <w:szCs w:val="21"/>
                <w:highlight w:val="none"/>
              </w:rPr>
            </w:pPr>
          </w:p>
          <w:p w14:paraId="19A841FB">
            <w:pPr>
              <w:snapToGrid w:val="0"/>
              <w:spacing w:line="400" w:lineRule="exact"/>
              <w:jc w:val="center"/>
              <w:rPr>
                <w:rFonts w:ascii="宋体" w:hAnsi="宋体"/>
                <w:color w:val="auto"/>
                <w:kern w:val="0"/>
                <w:szCs w:val="21"/>
                <w:highlight w:val="none"/>
              </w:rPr>
            </w:pPr>
          </w:p>
          <w:p w14:paraId="33073E5C">
            <w:pPr>
              <w:snapToGrid w:val="0"/>
              <w:spacing w:line="400" w:lineRule="exact"/>
              <w:jc w:val="center"/>
              <w:rPr>
                <w:rFonts w:ascii="宋体" w:hAnsi="宋体"/>
                <w:color w:val="auto"/>
                <w:kern w:val="0"/>
                <w:szCs w:val="21"/>
                <w:highlight w:val="none"/>
              </w:rPr>
            </w:pPr>
          </w:p>
          <w:p w14:paraId="53CEB6D1">
            <w:pPr>
              <w:snapToGrid w:val="0"/>
              <w:spacing w:line="400" w:lineRule="exact"/>
              <w:jc w:val="center"/>
              <w:rPr>
                <w:rFonts w:ascii="宋体" w:hAnsi="宋体"/>
                <w:color w:val="auto"/>
                <w:kern w:val="0"/>
                <w:szCs w:val="21"/>
                <w:highlight w:val="none"/>
              </w:rPr>
            </w:pPr>
          </w:p>
          <w:p w14:paraId="406CA3F1">
            <w:pPr>
              <w:snapToGrid w:val="0"/>
              <w:spacing w:line="400" w:lineRule="exact"/>
              <w:jc w:val="center"/>
              <w:rPr>
                <w:rFonts w:ascii="宋体" w:hAnsi="宋体"/>
                <w:color w:val="auto"/>
                <w:kern w:val="0"/>
                <w:szCs w:val="21"/>
                <w:highlight w:val="none"/>
              </w:rPr>
            </w:pPr>
          </w:p>
          <w:p w14:paraId="1CFEEBBC">
            <w:pPr>
              <w:snapToGrid w:val="0"/>
              <w:spacing w:line="400" w:lineRule="exact"/>
              <w:jc w:val="center"/>
              <w:rPr>
                <w:rFonts w:ascii="宋体" w:hAnsi="宋体"/>
                <w:color w:val="auto"/>
                <w:kern w:val="0"/>
                <w:szCs w:val="21"/>
                <w:highlight w:val="none"/>
              </w:rPr>
            </w:pPr>
          </w:p>
          <w:p w14:paraId="53B12207">
            <w:pPr>
              <w:snapToGrid w:val="0"/>
              <w:spacing w:line="400" w:lineRule="exact"/>
              <w:jc w:val="center"/>
              <w:rPr>
                <w:rFonts w:ascii="宋体" w:hAnsi="宋体"/>
                <w:color w:val="auto"/>
                <w:kern w:val="0"/>
                <w:szCs w:val="21"/>
                <w:highlight w:val="none"/>
              </w:rPr>
            </w:pPr>
          </w:p>
          <w:p w14:paraId="030A687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54BD967F">
            <w:pPr>
              <w:snapToGrid w:val="0"/>
              <w:spacing w:line="400" w:lineRule="exact"/>
              <w:jc w:val="center"/>
              <w:rPr>
                <w:rFonts w:ascii="宋体" w:hAnsi="宋体"/>
                <w:color w:val="auto"/>
                <w:kern w:val="0"/>
                <w:szCs w:val="21"/>
                <w:highlight w:val="none"/>
              </w:rPr>
            </w:pPr>
          </w:p>
          <w:p w14:paraId="179AA721">
            <w:pPr>
              <w:snapToGrid w:val="0"/>
              <w:spacing w:line="400" w:lineRule="exact"/>
              <w:jc w:val="center"/>
              <w:rPr>
                <w:rFonts w:ascii="宋体" w:hAnsi="宋体"/>
                <w:color w:val="auto"/>
                <w:kern w:val="0"/>
                <w:szCs w:val="21"/>
                <w:highlight w:val="none"/>
              </w:rPr>
            </w:pPr>
          </w:p>
          <w:p w14:paraId="707E341D">
            <w:pPr>
              <w:snapToGrid w:val="0"/>
              <w:spacing w:line="400" w:lineRule="exact"/>
              <w:jc w:val="center"/>
              <w:rPr>
                <w:rFonts w:ascii="宋体" w:hAnsi="宋体"/>
                <w:color w:val="auto"/>
                <w:kern w:val="0"/>
                <w:szCs w:val="21"/>
                <w:highlight w:val="none"/>
              </w:rPr>
            </w:pPr>
          </w:p>
          <w:p w14:paraId="38D15792">
            <w:pPr>
              <w:snapToGrid w:val="0"/>
              <w:spacing w:line="400" w:lineRule="exact"/>
              <w:jc w:val="center"/>
              <w:rPr>
                <w:rFonts w:ascii="宋体" w:hAnsi="宋体"/>
                <w:color w:val="auto"/>
                <w:kern w:val="0"/>
                <w:szCs w:val="21"/>
                <w:highlight w:val="none"/>
              </w:rPr>
            </w:pPr>
          </w:p>
          <w:p w14:paraId="43A16418">
            <w:pPr>
              <w:snapToGrid w:val="0"/>
              <w:spacing w:line="400" w:lineRule="exact"/>
              <w:jc w:val="center"/>
              <w:rPr>
                <w:rFonts w:ascii="宋体" w:hAnsi="宋体"/>
                <w:color w:val="auto"/>
                <w:kern w:val="0"/>
                <w:szCs w:val="21"/>
                <w:highlight w:val="none"/>
              </w:rPr>
            </w:pPr>
          </w:p>
          <w:p w14:paraId="6EDF130C">
            <w:pPr>
              <w:snapToGrid w:val="0"/>
              <w:spacing w:line="400" w:lineRule="exact"/>
              <w:jc w:val="center"/>
              <w:rPr>
                <w:rFonts w:ascii="宋体" w:hAnsi="宋体"/>
                <w:color w:val="auto"/>
                <w:kern w:val="0"/>
                <w:szCs w:val="21"/>
                <w:highlight w:val="none"/>
              </w:rPr>
            </w:pPr>
          </w:p>
          <w:p w14:paraId="4713C0AC">
            <w:pPr>
              <w:snapToGrid w:val="0"/>
              <w:spacing w:line="400" w:lineRule="exact"/>
              <w:jc w:val="center"/>
              <w:rPr>
                <w:rFonts w:ascii="宋体" w:hAnsi="宋体"/>
                <w:color w:val="auto"/>
                <w:kern w:val="0"/>
                <w:szCs w:val="21"/>
                <w:highlight w:val="none"/>
              </w:rPr>
            </w:pPr>
          </w:p>
          <w:p w14:paraId="57B76ABC">
            <w:pPr>
              <w:snapToGrid w:val="0"/>
              <w:spacing w:line="400" w:lineRule="exact"/>
              <w:jc w:val="center"/>
              <w:rPr>
                <w:rFonts w:ascii="宋体" w:hAnsi="宋体"/>
                <w:color w:val="auto"/>
                <w:kern w:val="0"/>
                <w:szCs w:val="21"/>
                <w:highlight w:val="none"/>
              </w:rPr>
            </w:pPr>
          </w:p>
          <w:p w14:paraId="6B9AE230">
            <w:pPr>
              <w:snapToGrid w:val="0"/>
              <w:spacing w:line="400" w:lineRule="exact"/>
              <w:jc w:val="center"/>
              <w:rPr>
                <w:rFonts w:ascii="宋体" w:hAnsi="宋体"/>
                <w:color w:val="auto"/>
                <w:kern w:val="0"/>
                <w:szCs w:val="21"/>
                <w:highlight w:val="none"/>
              </w:rPr>
            </w:pPr>
          </w:p>
          <w:p w14:paraId="5912955F">
            <w:pPr>
              <w:snapToGrid w:val="0"/>
              <w:spacing w:line="400" w:lineRule="exact"/>
              <w:jc w:val="center"/>
              <w:rPr>
                <w:rFonts w:ascii="宋体" w:hAnsi="宋体"/>
                <w:color w:val="auto"/>
                <w:kern w:val="0"/>
                <w:szCs w:val="21"/>
                <w:highlight w:val="none"/>
              </w:rPr>
            </w:pPr>
          </w:p>
          <w:p w14:paraId="26F6B419">
            <w:pPr>
              <w:snapToGrid w:val="0"/>
              <w:spacing w:line="400" w:lineRule="exact"/>
              <w:rPr>
                <w:rFonts w:ascii="宋体" w:hAnsi="宋体"/>
                <w:color w:val="auto"/>
                <w:kern w:val="0"/>
                <w:szCs w:val="21"/>
                <w:highlight w:val="none"/>
              </w:rPr>
            </w:pPr>
          </w:p>
        </w:tc>
        <w:tc>
          <w:tcPr>
            <w:tcW w:w="6490" w:type="dxa"/>
            <w:vAlign w:val="center"/>
          </w:tcPr>
          <w:p w14:paraId="6AEF5782">
            <w:pPr>
              <w:autoSpaceDE w:val="0"/>
              <w:autoSpaceDN w:val="0"/>
              <w:adjustRightInd w:val="0"/>
              <w:snapToGrid w:val="0"/>
              <w:spacing w:line="400" w:lineRule="exact"/>
              <w:ind w:firstLine="420" w:firstLineChars="200"/>
              <w:rPr>
                <w:rFonts w:ascii="宋体" w:hAnsi="宋体"/>
                <w:color w:val="auto"/>
                <w:szCs w:val="21"/>
                <w:highlight w:val="none"/>
              </w:rPr>
            </w:pPr>
            <w:bookmarkStart w:id="108" w:name="OLE_LINK1"/>
            <w:r>
              <w:rPr>
                <w:rFonts w:ascii="宋体" w:hAnsi="宋体"/>
                <w:color w:val="auto"/>
                <w:szCs w:val="21"/>
                <w:highlight w:val="none"/>
              </w:rPr>
              <w:t>本工程施工招标实行资格后审，</w:t>
            </w:r>
            <w:r>
              <w:rPr>
                <w:rFonts w:hint="eastAsia" w:ascii="宋体" w:hAnsi="宋体"/>
                <w:color w:val="auto"/>
                <w:szCs w:val="21"/>
                <w:highlight w:val="none"/>
              </w:rPr>
              <w:t>竞选人</w:t>
            </w:r>
            <w:r>
              <w:rPr>
                <w:rFonts w:ascii="宋体" w:hAnsi="宋体"/>
                <w:color w:val="auto"/>
                <w:szCs w:val="21"/>
                <w:highlight w:val="none"/>
              </w:rPr>
              <w:t>应</w:t>
            </w:r>
            <w:bookmarkStart w:id="109" w:name="一是"/>
            <w:bookmarkEnd w:id="109"/>
            <w:r>
              <w:rPr>
                <w:rFonts w:ascii="宋体" w:hAnsi="宋体"/>
                <w:color w:val="auto"/>
                <w:szCs w:val="21"/>
                <w:highlight w:val="none"/>
              </w:rPr>
              <w:t>具备以下资格条件：</w:t>
            </w:r>
          </w:p>
          <w:bookmarkEnd w:id="108"/>
          <w:p w14:paraId="2C15DD96">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w:t>
            </w:r>
          </w:p>
          <w:p w14:paraId="6733290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应</w:t>
            </w:r>
            <w:r>
              <w:rPr>
                <w:rFonts w:ascii="宋体" w:hAnsi="宋体"/>
                <w:color w:val="auto"/>
                <w:szCs w:val="21"/>
                <w:highlight w:val="none"/>
              </w:rPr>
              <w:t>具备以下资质条件</w:t>
            </w:r>
            <w:r>
              <w:rPr>
                <w:rFonts w:hint="eastAsia" w:ascii="宋体" w:hAnsi="宋体"/>
                <w:color w:val="auto"/>
                <w:szCs w:val="21"/>
                <w:highlight w:val="none"/>
                <w:lang w:val="en-US" w:eastAsia="zh-CN"/>
              </w:rPr>
              <w:t>之一</w:t>
            </w:r>
            <w:r>
              <w:rPr>
                <w:rFonts w:ascii="宋体" w:hAnsi="宋体"/>
                <w:color w:val="auto"/>
                <w:szCs w:val="21"/>
                <w:highlight w:val="none"/>
              </w:rPr>
              <w:t>：</w:t>
            </w:r>
          </w:p>
          <w:p w14:paraId="39DFA5FA">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①具有市场监督管理部门颁发的有效的检验检测机构资质认定证书(CMA)；</w:t>
            </w:r>
          </w:p>
          <w:p w14:paraId="4B7234B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②具有建设行政主管部门颁发的有效的工程勘察岩土工程专业乙级(含)以上资质或者工程勘察岩土工程专业(岩土工程物探测试检测监测)乙级(含)以上资质。</w:t>
            </w:r>
          </w:p>
          <w:p w14:paraId="341025E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投标人须在投标文件资格审查部分提供有效的资质证书复印件</w:t>
            </w:r>
            <w:r>
              <w:rPr>
                <w:rFonts w:hint="eastAsia" w:ascii="宋体" w:hAnsi="宋体"/>
                <w:color w:val="auto"/>
                <w:szCs w:val="21"/>
                <w:highlight w:val="none"/>
              </w:rPr>
              <w:t>。</w:t>
            </w:r>
          </w:p>
          <w:p w14:paraId="42F306B9">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5EA4612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在竞选文件资格审查部分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注：不得将竞选人营业执照记载的经营范围作为评审因素。</w:t>
            </w:r>
          </w:p>
          <w:p w14:paraId="5A4BDD22">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.投标截止日投标资格情况</w:t>
            </w:r>
          </w:p>
          <w:p w14:paraId="2CC6944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竞选人自行承诺（格式见第六章竞选文件格式）不得存在下列情形之一：</w:t>
            </w:r>
          </w:p>
          <w:p w14:paraId="50775C3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21A960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75E4E1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31350F6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2B2B105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14:paraId="316F70CA">
            <w:pPr>
              <w:spacing w:line="400" w:lineRule="exact"/>
              <w:ind w:firstLine="420" w:firstLineChars="200"/>
              <w:rPr>
                <w:color w:val="auto"/>
                <w:highlight w:val="none"/>
              </w:rPr>
            </w:pPr>
            <w:r>
              <w:rPr>
                <w:rFonts w:hint="eastAsia"/>
                <w:color w:val="auto"/>
                <w:highlight w:val="none"/>
              </w:rPr>
              <w:t>竞选人须在竞选文件资格审查部分提供承诺。</w:t>
            </w:r>
          </w:p>
          <w:p w14:paraId="584EB2E1">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.项目</w:t>
            </w:r>
            <w:r>
              <w:rPr>
                <w:rFonts w:hint="eastAsia" w:ascii="宋体" w:hAnsi="宋体"/>
                <w:b/>
                <w:color w:val="auto"/>
                <w:szCs w:val="21"/>
                <w:highlight w:val="none"/>
              </w:rPr>
              <w:t>负责人</w:t>
            </w:r>
            <w:r>
              <w:rPr>
                <w:rFonts w:ascii="宋体" w:hAnsi="宋体"/>
                <w:b/>
                <w:color w:val="auto"/>
                <w:szCs w:val="21"/>
                <w:highlight w:val="none"/>
              </w:rPr>
              <w:t>资格要求</w:t>
            </w:r>
          </w:p>
          <w:p w14:paraId="4184526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投标人拟派的项目负责人必须为投标人本单位在职员工并应具有工程类高级及以上技术职称。</w:t>
            </w:r>
          </w:p>
          <w:p w14:paraId="0201567A">
            <w:pPr>
              <w:autoSpaceDE w:val="0"/>
              <w:autoSpaceDN w:val="0"/>
              <w:adjustRightInd w:val="0"/>
              <w:snapToGrid w:val="0"/>
              <w:spacing w:line="400" w:lineRule="exact"/>
              <w:ind w:firstLine="420" w:firstLineChars="200"/>
              <w:rPr>
                <w:rFonts w:ascii="宋体" w:hAnsi="宋体"/>
                <w:color w:val="auto"/>
                <w:spacing w:val="-24"/>
                <w:kern w:val="0"/>
                <w:szCs w:val="21"/>
                <w:highlight w:val="none"/>
              </w:rPr>
            </w:pPr>
            <w:r>
              <w:rPr>
                <w:rFonts w:hint="eastAsia" w:ascii="宋体" w:hAnsi="宋体"/>
                <w:color w:val="auto"/>
                <w:kern w:val="0"/>
                <w:szCs w:val="21"/>
                <w:highlight w:val="none"/>
              </w:rPr>
              <w:t>投标人须在投标文件资格审查部分提供有效的拟派项目负责人身份证、职称证以及投标人为其缴纳的养老保险证明材料复印件。</w:t>
            </w:r>
          </w:p>
          <w:p w14:paraId="2A1B7C3F">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.其他要求</w:t>
            </w:r>
          </w:p>
          <w:p w14:paraId="4B06649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w:t>
            </w:r>
            <w:r>
              <w:rPr>
                <w:rFonts w:ascii="宋体" w:hAnsi="宋体"/>
                <w:color w:val="auto"/>
                <w:szCs w:val="21"/>
                <w:highlight w:val="none"/>
              </w:rPr>
              <w:t>主要管理人员：</w:t>
            </w:r>
          </w:p>
          <w:p w14:paraId="110F92E2">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竞选人自行承诺中标后在签订合同之前，须按照建设行政主管部门的要求组建</w:t>
            </w:r>
            <w:r>
              <w:rPr>
                <w:color w:val="auto"/>
                <w:spacing w:val="-3"/>
                <w:highlight w:val="none"/>
              </w:rPr>
              <w:t>工程质量检测项目部</w:t>
            </w:r>
            <w:r>
              <w:rPr>
                <w:rFonts w:hint="eastAsia" w:ascii="宋体" w:hAnsi="宋体"/>
                <w:color w:val="auto"/>
                <w:szCs w:val="21"/>
                <w:highlight w:val="none"/>
              </w:rPr>
              <w:t>，配置项目管理班子，出具任命文件。任命文件应当明确施工项目部的职责、岗位设置、人员配备，并书面通知建设单位。相关岗位管理人员应持有建设行政主管部门要求的岗位证书，并提供竞选人为其缴纳的养老保险证明材料。中标后不能满足该要求的，比选人可取消其中标资格，给比选人造成损失的，竞选人依法承担违约赔偿责任。</w:t>
            </w:r>
          </w:p>
          <w:p w14:paraId="4101F53D">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竞选人须在竞选文件资格审查部分提供承诺（承诺格式见第六章竞选文件格式）。</w:t>
            </w:r>
          </w:p>
          <w:p w14:paraId="6482B6C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6E064B4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299F945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须</w:t>
            </w:r>
            <w:r>
              <w:rPr>
                <w:rFonts w:hint="eastAsia" w:ascii="宋体" w:hAnsi="宋体"/>
                <w:color w:val="auto"/>
                <w:kern w:val="0"/>
                <w:szCs w:val="21"/>
                <w:highlight w:val="none"/>
              </w:rPr>
              <w:t>在竞选文件资格审查部分</w:t>
            </w:r>
            <w:r>
              <w:rPr>
                <w:rFonts w:ascii="宋体" w:hAnsi="宋体"/>
                <w:color w:val="auto"/>
                <w:kern w:val="0"/>
                <w:szCs w:val="21"/>
                <w:highlight w:val="none"/>
              </w:rPr>
              <w:t>提供</w:t>
            </w:r>
            <w:r>
              <w:rPr>
                <w:rFonts w:hint="eastAsia" w:ascii="宋体" w:hAnsi="宋体"/>
                <w:color w:val="auto"/>
                <w:kern w:val="0"/>
                <w:szCs w:val="21"/>
                <w:highlight w:val="none"/>
              </w:rPr>
              <w:t>竞选人为该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402B4F62">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7341AB51">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上述要求须提交的相关证明材料复印件均应加盖投标单位法人章并装入竞选文件资格审查部分中。</w:t>
            </w:r>
          </w:p>
          <w:p w14:paraId="019FC27B">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（2）竞选人须自行承诺其提供的上述相关证明材料真实有效，不存在弄虚作假情形（格式见第六章竞选文件格式）。</w:t>
            </w:r>
            <w:r>
              <w:rPr>
                <w:rFonts w:hint="eastAsia" w:ascii="宋体" w:hAnsi="宋体" w:cs="宋体"/>
                <w:color w:val="auto"/>
                <w:szCs w:val="21"/>
                <w:highlight w:val="none"/>
                <w:u w:val="single"/>
              </w:rPr>
              <w:t>比选人在合同签订前均有权对竞选人提供的资料进行核实，若发现弄虚作假，按相关规定取消其中标资格，并按相关法律法规报招标投标监督部门，其投标保证金不予退还，竞选人承担因此造成的相关责任并赔偿相应损失</w:t>
            </w:r>
            <w:r>
              <w:rPr>
                <w:rFonts w:hint="eastAsia" w:ascii="宋体" w:hAnsi="宋体" w:cs="宋体"/>
                <w:color w:val="auto"/>
                <w:szCs w:val="21"/>
                <w:highlight w:val="none"/>
              </w:rPr>
              <w:t>。</w:t>
            </w:r>
          </w:p>
          <w:p w14:paraId="4A9A6E36">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rPr>
              <w:t>竞选文件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461A619C">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7D954B9">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项目负责人</w:t>
            </w:r>
            <w:r>
              <w:rPr>
                <w:rFonts w:ascii="宋体" w:hAnsi="宋体"/>
                <w:bCs/>
                <w:snapToGrid w:val="0"/>
                <w:color w:val="auto"/>
                <w:kern w:val="0"/>
                <w:szCs w:val="21"/>
                <w:highlight w:val="none"/>
              </w:rPr>
              <w:t>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11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4</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1F0E5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BD4F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6A8AB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75A7039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不接受</w:t>
            </w:r>
          </w:p>
          <w:p w14:paraId="27C17580">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370BB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ACB95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2AAEBD8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418581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不组织</w:t>
            </w:r>
          </w:p>
          <w:p w14:paraId="7667AC5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46009FF9">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15D15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97395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7AC2C4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5E7F7DF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不召开</w:t>
            </w:r>
          </w:p>
          <w:p w14:paraId="243716D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38C7BAD2">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607CE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E039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603665E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1DAE609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不允许</w:t>
            </w:r>
          </w:p>
          <w:p w14:paraId="1278BA3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p>
          <w:p w14:paraId="76F23D03">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分包金额要求：</w:t>
            </w:r>
          </w:p>
          <w:p w14:paraId="5C2990CB">
            <w:pPr>
              <w:snapToGrid w:val="0"/>
              <w:spacing w:after="15" w:afterLines="5" w:line="400" w:lineRule="exact"/>
              <w:rPr>
                <w:rFonts w:ascii="宋体" w:hAnsi="宋体"/>
                <w:color w:val="auto"/>
                <w:kern w:val="0"/>
                <w:szCs w:val="21"/>
                <w:highlight w:val="none"/>
              </w:rPr>
            </w:pPr>
            <w:r>
              <w:rPr>
                <w:rFonts w:ascii="宋体" w:hAnsi="宋体"/>
                <w:color w:val="auto"/>
                <w:kern w:val="0"/>
                <w:szCs w:val="21"/>
                <w:highlight w:val="none"/>
              </w:rPr>
              <w:t>接受分包的第三人资质要求：</w:t>
            </w:r>
          </w:p>
          <w:p w14:paraId="4F902DEE">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14:paraId="324CB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D326F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16B969CE">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19A049B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F40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84AC7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28FA175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对</w:t>
            </w:r>
            <w:r>
              <w:rPr>
                <w:rFonts w:hint="eastAsia" w:ascii="宋体" w:hAnsi="宋体"/>
                <w:color w:val="auto"/>
                <w:kern w:val="0"/>
                <w:szCs w:val="21"/>
                <w:highlight w:val="none"/>
              </w:rPr>
              <w:t>竞选文件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3D50207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竞选人在收到比选文件后，应仔细检查比选文件的所有内容，如有残缺或文字表述不清，图纸尺寸标注不明以及存在错、碰、漏、缺、概念模糊和有可能出现歧义或理解上的偏差的内容，清单工程量等应在</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：00 </w:t>
            </w:r>
            <w:r>
              <w:rPr>
                <w:rFonts w:hint="eastAsia" w:ascii="宋体" w:hAnsi="宋体"/>
                <w:color w:val="auto"/>
                <w:kern w:val="0"/>
                <w:szCs w:val="21"/>
                <w:highlight w:val="none"/>
              </w:rPr>
              <w:t>前通过匿名发送至邮箱</w:t>
            </w:r>
            <w:r>
              <w:rPr>
                <w:rFonts w:ascii="宋体" w:hAnsi="宋体" w:cs="宋体"/>
                <w:snapToGrid w:val="0"/>
                <w:color w:val="auto"/>
                <w:kern w:val="0"/>
                <w:szCs w:val="21"/>
                <w:highlight w:val="none"/>
              </w:rPr>
              <w:t>1944310</w:t>
            </w:r>
            <w:r>
              <w:rPr>
                <w:rFonts w:hint="eastAsia" w:ascii="宋体" w:hAnsi="宋体" w:cs="宋体"/>
                <w:snapToGrid w:val="0"/>
                <w:color w:val="auto"/>
                <w:kern w:val="0"/>
                <w:szCs w:val="21"/>
                <w:highlight w:val="none"/>
              </w:rPr>
              <w:t>@qq.com</w:t>
            </w:r>
            <w:r>
              <w:rPr>
                <w:rFonts w:hint="eastAsia" w:ascii="宋体" w:hAnsi="宋体"/>
                <w:color w:val="auto"/>
                <w:kern w:val="0"/>
                <w:szCs w:val="21"/>
                <w:highlight w:val="none"/>
              </w:rPr>
              <w:t>。</w:t>
            </w:r>
          </w:p>
        </w:tc>
      </w:tr>
      <w:tr w14:paraId="606EE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D7EF8A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1A6CC31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对</w:t>
            </w:r>
            <w:r>
              <w:rPr>
                <w:rFonts w:hint="eastAsia" w:ascii="宋体" w:hAnsi="宋体"/>
                <w:color w:val="auto"/>
                <w:kern w:val="0"/>
                <w:szCs w:val="21"/>
                <w:highlight w:val="none"/>
              </w:rPr>
              <w:t>竞选文件澄清</w:t>
            </w:r>
            <w:r>
              <w:rPr>
                <w:rFonts w:ascii="宋体" w:hAnsi="宋体"/>
                <w:color w:val="auto"/>
                <w:kern w:val="0"/>
                <w:szCs w:val="21"/>
                <w:highlight w:val="none"/>
              </w:rPr>
              <w:t>的截止时间</w:t>
            </w:r>
          </w:p>
        </w:tc>
        <w:tc>
          <w:tcPr>
            <w:tcW w:w="6490" w:type="dxa"/>
            <w:vAlign w:val="center"/>
          </w:tcPr>
          <w:p w14:paraId="68274D70">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比选人应在</w:t>
            </w:r>
            <w:r>
              <w:rPr>
                <w:rFonts w:hint="eastAsia" w:ascii="宋体" w:hAnsi="宋体" w:cs="宋体"/>
                <w:color w:val="auto"/>
                <w:szCs w:val="21"/>
                <w:highlight w:val="none"/>
                <w:u w:val="single"/>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：00 </w:t>
            </w:r>
            <w:r>
              <w:rPr>
                <w:rFonts w:hint="eastAsia" w:ascii="宋体" w:hAnsi="宋体" w:cs="宋体"/>
                <w:color w:val="auto"/>
                <w:szCs w:val="21"/>
                <w:highlight w:val="none"/>
              </w:rPr>
              <w:t>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“行采家”网站（https://www.gec123.com/）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2A10D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8C0064B">
            <w:pPr>
              <w:snapToGrid w:val="0"/>
              <w:spacing w:line="400" w:lineRule="exact"/>
              <w:jc w:val="center"/>
              <w:rPr>
                <w:rFonts w:ascii="宋体" w:hAnsi="宋体"/>
                <w:color w:val="auto"/>
                <w:kern w:val="0"/>
                <w:szCs w:val="21"/>
                <w:highlight w:val="none"/>
              </w:rPr>
            </w:pPr>
          </w:p>
        </w:tc>
        <w:tc>
          <w:tcPr>
            <w:tcW w:w="1644" w:type="dxa"/>
            <w:vAlign w:val="center"/>
          </w:tcPr>
          <w:p w14:paraId="59640AB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竞选截止时间</w:t>
            </w:r>
          </w:p>
        </w:tc>
        <w:tc>
          <w:tcPr>
            <w:tcW w:w="6490" w:type="dxa"/>
            <w:vAlign w:val="center"/>
          </w:tcPr>
          <w:p w14:paraId="56517B25">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详见竞选公告规定的竞选截止时间。</w:t>
            </w:r>
          </w:p>
        </w:tc>
      </w:tr>
      <w:tr w14:paraId="728CE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7FADC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7887B5FE">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3CFE5DB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的书面澄清、说明和补正（但不得改变</w:t>
            </w:r>
            <w:r>
              <w:rPr>
                <w:rFonts w:hint="eastAsia" w:ascii="宋体" w:hAnsi="宋体"/>
                <w:color w:val="auto"/>
                <w:szCs w:val="21"/>
                <w:highlight w:val="none"/>
              </w:rPr>
              <w:t>竞选文件</w:t>
            </w:r>
            <w:r>
              <w:rPr>
                <w:rFonts w:ascii="宋体" w:hAnsi="宋体"/>
                <w:color w:val="auto"/>
                <w:szCs w:val="21"/>
                <w:highlight w:val="none"/>
              </w:rPr>
              <w:t>的实质性内容）</w:t>
            </w:r>
          </w:p>
        </w:tc>
      </w:tr>
      <w:tr w14:paraId="3AA7F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DDFA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6A78F0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148E540F">
            <w:pPr>
              <w:spacing w:line="400" w:lineRule="exact"/>
              <w:ind w:firstLine="420" w:firstLineChars="200"/>
              <w:rPr>
                <w:color w:val="auto"/>
                <w:highlight w:val="none"/>
              </w:rPr>
            </w:pPr>
            <w:r>
              <w:rPr>
                <w:color w:val="auto"/>
                <w:highlight w:val="none"/>
              </w:rPr>
              <w:t>一、报价范围</w:t>
            </w:r>
          </w:p>
          <w:p w14:paraId="5967778C">
            <w:pPr>
              <w:spacing w:line="400" w:lineRule="exact"/>
              <w:ind w:firstLine="420" w:firstLineChars="200"/>
              <w:rPr>
                <w:rFonts w:ascii="宋体" w:hAnsi="宋体"/>
                <w:color w:val="auto"/>
                <w:highlight w:val="none"/>
              </w:rPr>
            </w:pPr>
            <w:r>
              <w:rPr>
                <w:rFonts w:hint="eastAsia" w:ascii="宋体" w:hAnsi="宋体"/>
                <w:color w:val="auto"/>
                <w:highlight w:val="none"/>
              </w:rPr>
              <w:t>1、本项目竞选报价采用包干价。在合同实施期间无论何种情况变化（包括但不限于因政策调整、变化等原因造成检测内容的增减、物价变动、施工工期延长的变化、检测服务期延长产生等），由竞选人自行考虑相应风险费用，比选人均不承担其他费用。</w:t>
            </w:r>
          </w:p>
          <w:p w14:paraId="15A5AC23">
            <w:pPr>
              <w:spacing w:line="400" w:lineRule="exact"/>
              <w:ind w:firstLine="420" w:firstLineChars="200"/>
              <w:rPr>
                <w:rFonts w:ascii="宋体" w:hAnsi="宋体"/>
                <w:color w:val="auto"/>
                <w:highlight w:val="none"/>
              </w:rPr>
            </w:pPr>
            <w:r>
              <w:rPr>
                <w:rFonts w:hint="eastAsia" w:ascii="宋体" w:hAnsi="宋体"/>
                <w:color w:val="auto"/>
                <w:highlight w:val="none"/>
              </w:rPr>
              <w:t xml:space="preserve">2、除非合同中另有规定，竞选人所填报的竞选报价均包括（但不限于）完成比选范围内检测项目的全部费用，包括该工程检测的成本、利润、税金、开办费、技术措施费、配合费、设备进出场费、管理费、保险和相关工作人员的人工成本、劳保、医疗、福利、津贴、工伤保险费、差旅费、资料费、档案数字化费用、政策性文件规定费用等一切可预见和不可预见费用。比选人除此以外不支付其它费用。 </w:t>
            </w:r>
          </w:p>
          <w:p w14:paraId="5BE02032">
            <w:pPr>
              <w:spacing w:line="400" w:lineRule="exact"/>
              <w:ind w:firstLine="420" w:firstLineChars="200"/>
              <w:rPr>
                <w:color w:val="auto"/>
                <w:highlight w:val="none"/>
              </w:rPr>
            </w:pPr>
            <w:r>
              <w:rPr>
                <w:rFonts w:hint="eastAsia" w:ascii="宋体" w:hAnsi="宋体"/>
                <w:color w:val="auto"/>
                <w:highlight w:val="none"/>
              </w:rPr>
              <w:t>3、竞选人报价包含了按照法律法规、技术规范、设计图纸规定、比选人认为需要检测的项目等。</w:t>
            </w:r>
          </w:p>
          <w:p w14:paraId="2CA4792F">
            <w:pPr>
              <w:spacing w:line="400" w:lineRule="exact"/>
              <w:ind w:firstLine="315" w:firstLineChars="150"/>
              <w:rPr>
                <w:color w:val="auto"/>
                <w:highlight w:val="none"/>
              </w:rPr>
            </w:pPr>
            <w:r>
              <w:rPr>
                <w:rFonts w:hint="eastAsia"/>
                <w:color w:val="auto"/>
                <w:highlight w:val="none"/>
              </w:rPr>
              <w:t>二、招标控制价：</w:t>
            </w:r>
          </w:p>
          <w:p w14:paraId="7C39C717">
            <w:pPr>
              <w:spacing w:line="400" w:lineRule="exact"/>
              <w:ind w:firstLine="420" w:firstLineChars="200"/>
              <w:rPr>
                <w:color w:val="auto"/>
                <w:highlight w:val="none"/>
              </w:rPr>
            </w:pPr>
            <w:r>
              <w:rPr>
                <w:color w:val="auto"/>
                <w:highlight w:val="none"/>
              </w:rPr>
              <w:t>本项目</w:t>
            </w:r>
            <w:r>
              <w:rPr>
                <w:rFonts w:hint="eastAsia"/>
                <w:color w:val="auto"/>
                <w:highlight w:val="none"/>
              </w:rPr>
              <w:t>最高限价</w:t>
            </w:r>
            <w:r>
              <w:rPr>
                <w:color w:val="auto"/>
                <w:highlight w:val="none"/>
              </w:rPr>
              <w:t>：</w:t>
            </w:r>
            <w:r>
              <w:rPr>
                <w:rFonts w:hint="eastAsia"/>
                <w:color w:val="auto"/>
                <w:highlight w:val="none"/>
              </w:rPr>
              <w:t>投标总报价</w:t>
            </w:r>
            <w:r>
              <w:rPr>
                <w:color w:val="auto"/>
                <w:highlight w:val="none"/>
              </w:rPr>
              <w:t>最高限价为</w:t>
            </w:r>
            <w:r>
              <w:rPr>
                <w:rFonts w:hint="eastAsia"/>
                <w:color w:val="auto"/>
                <w:highlight w:val="none"/>
                <w:u w:val="single"/>
              </w:rPr>
              <w:t xml:space="preserve"> 901611.70 </w:t>
            </w:r>
            <w:r>
              <w:rPr>
                <w:rFonts w:hint="eastAsia"/>
                <w:color w:val="auto"/>
                <w:highlight w:val="none"/>
              </w:rPr>
              <w:t>元</w:t>
            </w:r>
            <w:r>
              <w:rPr>
                <w:color w:val="auto"/>
                <w:highlight w:val="none"/>
              </w:rPr>
              <w:t>。投标人的投标报价不得</w:t>
            </w:r>
            <w:r>
              <w:rPr>
                <w:rFonts w:hint="eastAsia"/>
                <w:color w:val="auto"/>
                <w:highlight w:val="none"/>
              </w:rPr>
              <w:t>超过</w:t>
            </w:r>
            <w:r>
              <w:rPr>
                <w:color w:val="auto"/>
                <w:highlight w:val="none"/>
              </w:rPr>
              <w:t>最高限价，否则，其投标文件作否决投标处理。</w:t>
            </w:r>
          </w:p>
          <w:p w14:paraId="5254CC6B">
            <w:pPr>
              <w:spacing w:line="400" w:lineRule="exact"/>
              <w:ind w:firstLine="420" w:firstLineChars="200"/>
              <w:rPr>
                <w:color w:val="auto"/>
                <w:highlight w:val="none"/>
              </w:rPr>
            </w:pPr>
            <w:r>
              <w:rPr>
                <w:rFonts w:hint="eastAsia" w:ascii="宋体" w:hAnsi="宋体" w:cs="宋体"/>
                <w:color w:val="auto"/>
                <w:szCs w:val="21"/>
                <w:highlight w:val="none"/>
              </w:rPr>
              <w:t>本工程招标将设置全部工程量清单综合单价最高限价，全部清单综合单价最高限价随竞选文件一并发布，竞选人的每项清单综合单价报价不得超过每项清单综合单价最高限价。</w:t>
            </w:r>
          </w:p>
          <w:p w14:paraId="3E518486">
            <w:pPr>
              <w:pStyle w:val="18"/>
              <w:tabs>
                <w:tab w:val="left" w:pos="546"/>
                <w:tab w:val="left" w:pos="711"/>
              </w:tabs>
              <w:snapToGrid w:val="0"/>
              <w:spacing w:after="0" w:line="400" w:lineRule="exact"/>
              <w:ind w:firstLine="422" w:firstLineChars="200"/>
              <w:rPr>
                <w:rFonts w:ascii="宋体" w:hAnsi="宋体"/>
                <w:color w:val="auto"/>
                <w:szCs w:val="21"/>
                <w:highlight w:val="none"/>
              </w:rPr>
            </w:pPr>
            <w:r>
              <w:rPr>
                <w:rFonts w:hint="eastAsia"/>
                <w:b/>
                <w:bCs/>
                <w:color w:val="auto"/>
                <w:highlight w:val="none"/>
              </w:rPr>
              <w:t>注：投标报价以元为单位，保留小数点后两位，小数点后第三位四舍五入，小数点后不足两位的按实际位数保留。</w:t>
            </w:r>
          </w:p>
        </w:tc>
      </w:tr>
      <w:tr w14:paraId="65038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ECF3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35E3B7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2E75329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rPr>
              <w:t>竞选文件</w:t>
            </w:r>
            <w:r>
              <w:rPr>
                <w:rFonts w:ascii="宋体" w:hAnsi="宋体"/>
                <w:color w:val="auto"/>
                <w:szCs w:val="21"/>
                <w:highlight w:val="none"/>
              </w:rPr>
              <w:t>截止日起计算）</w:t>
            </w:r>
          </w:p>
        </w:tc>
      </w:tr>
      <w:tr w14:paraId="2CBD5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3CA0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11DFA10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357E757A">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投标保证金的交纳方式：投标人可选择以下二种方式之一。</w:t>
            </w:r>
          </w:p>
          <w:p w14:paraId="5D8EFB6F">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方式一</w:t>
            </w:r>
          </w:p>
          <w:p w14:paraId="772FC37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一、以转账支票或电汇形式交纳投标保证金</w:t>
            </w:r>
          </w:p>
          <w:p w14:paraId="6D86114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color w:val="auto"/>
                <w:kern w:val="0"/>
                <w:szCs w:val="21"/>
                <w:highlight w:val="none"/>
              </w:rPr>
              <w:t>不满足上述要求的投标保证金无效。</w:t>
            </w:r>
          </w:p>
          <w:p w14:paraId="41BAB8F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投标人自行考虑汇入时间风险，如同城汇入、异地汇入、跨行汇入的时间要求。</w:t>
            </w:r>
          </w:p>
          <w:p w14:paraId="768C565B">
            <w:pPr>
              <w:numPr>
                <w:ilvl w:val="0"/>
                <w:numId w:val="1"/>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以转账支票或电汇形式提交投标保证金的金额：</w:t>
            </w:r>
            <w:r>
              <w:rPr>
                <w:rFonts w:hint="eastAsia" w:ascii="宋体" w:hAnsi="宋体" w:cs="宋体"/>
                <w:color w:val="auto"/>
                <w:highlight w:val="none"/>
                <w:u w:val="single"/>
              </w:rPr>
              <w:t>10000</w:t>
            </w:r>
            <w:r>
              <w:rPr>
                <w:rFonts w:ascii="宋体" w:hAnsi="宋体" w:cs="宋体"/>
                <w:color w:val="auto"/>
                <w:highlight w:val="none"/>
                <w:u w:val="single"/>
              </w:rPr>
              <w:t>.00</w:t>
            </w:r>
            <w:r>
              <w:rPr>
                <w:rFonts w:hint="eastAsia" w:ascii="宋体" w:hAnsi="宋体" w:cs="宋体"/>
                <w:color w:val="auto"/>
                <w:highlight w:val="none"/>
              </w:rPr>
              <w:t>元整（人民币）。</w:t>
            </w:r>
          </w:p>
          <w:p w14:paraId="4BDBB82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 投标保证金账户及账号：</w:t>
            </w:r>
          </w:p>
          <w:p w14:paraId="7C4FA27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开户名：中资（重庆）工程咨询有限公司</w:t>
            </w:r>
          </w:p>
          <w:p w14:paraId="4223455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开户行：中国银行股份有限公司重庆空港支行</w:t>
            </w:r>
          </w:p>
          <w:p w14:paraId="164BCB0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帐  号：108885534992</w:t>
            </w:r>
          </w:p>
          <w:p w14:paraId="4E62F0E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投标保证金以开标现场展示的保证金交纳情况为准。投标人须在投标文件资格审查部分</w:t>
            </w:r>
            <w:r>
              <w:rPr>
                <w:rFonts w:hint="eastAsia" w:ascii="宋体" w:hAnsi="宋体" w:cs="宋体"/>
                <w:color w:val="auto"/>
                <w:kern w:val="0"/>
                <w:szCs w:val="21"/>
                <w:highlight w:val="none"/>
              </w:rPr>
              <w:t>“其他资料”中</w:t>
            </w:r>
            <w:r>
              <w:rPr>
                <w:rFonts w:hint="eastAsia" w:ascii="宋体" w:hAnsi="宋体" w:cs="宋体"/>
                <w:color w:val="auto"/>
                <w:highlight w:val="none"/>
              </w:rPr>
              <w:t>提供企业基本账户开户证明文件。</w:t>
            </w:r>
          </w:p>
          <w:p w14:paraId="03577A08">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4. 投标人必须在付款凭证备注栏中注明是“</w:t>
            </w:r>
            <w:r>
              <w:rPr>
                <w:rFonts w:hint="eastAsia" w:ascii="宋体" w:hAnsi="宋体" w:cs="宋体"/>
                <w:color w:val="auto"/>
                <w:highlight w:val="none"/>
                <w:u w:val="single"/>
              </w:rPr>
              <w:t>南岸区弹子石片区老旧街区基础设施更新改造项目道路空洞检测</w:t>
            </w:r>
            <w:r>
              <w:rPr>
                <w:rFonts w:hint="eastAsia" w:ascii="宋体" w:hAnsi="宋体" w:cs="宋体"/>
                <w:color w:val="auto"/>
                <w:highlight w:val="none"/>
              </w:rPr>
              <w:t>项目投标保证金”。项目名称可简写成：</w:t>
            </w:r>
            <w:r>
              <w:rPr>
                <w:rFonts w:hint="eastAsia" w:ascii="宋体" w:hAnsi="宋体" w:cs="宋体"/>
                <w:color w:val="auto"/>
                <w:highlight w:val="none"/>
                <w:u w:val="single"/>
              </w:rPr>
              <w:t>弹子老旧街区基础设施道路空洞检测</w:t>
            </w:r>
            <w:r>
              <w:rPr>
                <w:rFonts w:hint="eastAsia" w:ascii="宋体" w:hAnsi="宋体" w:cs="宋体"/>
                <w:color w:val="auto"/>
                <w:highlight w:val="none"/>
              </w:rPr>
              <w:t>。</w:t>
            </w:r>
          </w:p>
          <w:p w14:paraId="419D6BD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 投标保证金有效期与投标有效期一致。</w:t>
            </w:r>
          </w:p>
          <w:p w14:paraId="100A0282">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6. 评标过程中由评标委员会根据投标人在投标文件中提供的企业基本账户开户证明文件核实其投标保证金是否由基本账户转入，未从基本账户转入的，由评标委员会作否决投标处理。</w:t>
            </w:r>
          </w:p>
          <w:p w14:paraId="2E13BE0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二、投标保证金的退还</w:t>
            </w:r>
          </w:p>
          <w:p w14:paraId="08F119CA">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招标人应当在法定时间内确定中标人。招标人应当在中标通知书发出后2个工作日内退还。</w:t>
            </w:r>
          </w:p>
          <w:p w14:paraId="6FC67BB1">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color w:val="auto"/>
                <w:highlight w:val="none"/>
              </w:rPr>
              <w:t>招标人应当在法定时间内和中标人签订合同。招标人应当在合同生效后2个工作日内退还。</w:t>
            </w:r>
          </w:p>
          <w:p w14:paraId="02429871">
            <w:pPr>
              <w:snapToGrid w:val="0"/>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方式二</w:t>
            </w:r>
          </w:p>
          <w:p w14:paraId="5CC3C08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一、以纸质投标保函形式交纳投标保证金</w:t>
            </w:r>
          </w:p>
          <w:p w14:paraId="1266B89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纸质投标保函交纳形式及要求：</w:t>
            </w:r>
          </w:p>
          <w:p w14:paraId="4F1E061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（1）缴纳形式：纸质投标保函包括银行保函、保证保险和担保保函，其示范文本详见第八章投标文件格式。投标人提交的纸质投标保函应严格执行其示范文本，不得对示范文本中的实质性内容进行修改。</w:t>
            </w:r>
          </w:p>
          <w:p w14:paraId="1D48356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5B917002">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投标人须在投标文件资格审查部分“其他资料”中提供纸质投标保函扫描件，纸质投标保函原件应当于投标截止时间前在开标现场递交招标人保管。</w:t>
            </w:r>
          </w:p>
          <w:p w14:paraId="1EFFB263">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若投标截止时间延期，则纸质投标保函递交的截止时间和投标截止时间保持一致。</w:t>
            </w:r>
          </w:p>
          <w:p w14:paraId="562EAA62">
            <w:pPr>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不满足上述要求的纸质投标保函无效。</w:t>
            </w:r>
          </w:p>
          <w:p w14:paraId="1CB95D63">
            <w:pPr>
              <w:numPr>
                <w:ilvl w:val="0"/>
                <w:numId w:val="1"/>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以纸质投标保函形式担保的投标保证金的金额</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10000</w:t>
            </w:r>
            <w:r>
              <w:rPr>
                <w:rFonts w:ascii="宋体" w:hAnsi="宋体" w:cs="宋体"/>
                <w:color w:val="auto"/>
                <w:kern w:val="0"/>
                <w:szCs w:val="21"/>
                <w:highlight w:val="none"/>
                <w:u w:val="single"/>
              </w:rPr>
              <w:t>.00</w:t>
            </w:r>
            <w:r>
              <w:rPr>
                <w:rFonts w:hint="eastAsia" w:ascii="宋体" w:hAnsi="宋体" w:cs="宋体"/>
                <w:color w:val="auto"/>
                <w:kern w:val="0"/>
                <w:szCs w:val="21"/>
                <w:highlight w:val="none"/>
              </w:rPr>
              <w:t>元整（人民币）</w:t>
            </w:r>
            <w:r>
              <w:rPr>
                <w:rFonts w:hint="eastAsia" w:ascii="宋体" w:hAnsi="宋体" w:cs="宋体"/>
                <w:color w:val="auto"/>
                <w:highlight w:val="none"/>
              </w:rPr>
              <w:t>。</w:t>
            </w:r>
          </w:p>
          <w:p w14:paraId="090B442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投标人须</w:t>
            </w:r>
            <w:r>
              <w:rPr>
                <w:rFonts w:hint="eastAsia" w:ascii="宋体" w:hAnsi="宋体" w:cs="宋体"/>
                <w:color w:val="auto"/>
                <w:highlight w:val="none"/>
              </w:rPr>
              <w:t>在</w:t>
            </w:r>
            <w:r>
              <w:rPr>
                <w:rFonts w:hint="eastAsia" w:ascii="宋体" w:hAnsi="宋体" w:cs="宋体"/>
                <w:color w:val="auto"/>
                <w:kern w:val="0"/>
                <w:szCs w:val="21"/>
                <w:highlight w:val="none"/>
              </w:rPr>
              <w:t>纸质投标保函中注明在重庆市辖区范围内的核验地址和核验方式，并确保其递交的纸质投标保函能在开立人在渝的总部或者分支机构进行核验。</w:t>
            </w:r>
          </w:p>
          <w:p w14:paraId="5570789E">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 投标人在开标现场递交的纸质投标保函原件应与投标文件中提供的纸质投标保函扫描件一致，否则由评标委员会作否决投标处理。</w:t>
            </w:r>
          </w:p>
          <w:p w14:paraId="67C4A9BE">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color w:val="auto"/>
                <w:szCs w:val="21"/>
                <w:highlight w:val="none"/>
              </w:rPr>
              <w:t>已取得中标候选人资格或中标资格的投标人，按相关规定取消中标候选人资格或中标资格</w:t>
            </w:r>
            <w:r>
              <w:rPr>
                <w:rFonts w:hint="eastAsia" w:ascii="宋体" w:hAnsi="宋体" w:cs="宋体"/>
                <w:color w:val="auto"/>
                <w:kern w:val="0"/>
                <w:szCs w:val="21"/>
                <w:highlight w:val="none"/>
              </w:rPr>
              <w:t>，</w:t>
            </w:r>
            <w:r>
              <w:rPr>
                <w:rFonts w:hint="eastAsia" w:ascii="宋体" w:hAnsi="宋体" w:cs="宋体"/>
                <w:color w:val="auto"/>
                <w:szCs w:val="21"/>
                <w:highlight w:val="none"/>
              </w:rPr>
              <w:t>给招标人造成损失的，投标人依法承担赔偿责任。</w:t>
            </w:r>
            <w:r>
              <w:rPr>
                <w:rFonts w:hint="eastAsia" w:ascii="宋体" w:hAnsi="宋体" w:cs="宋体"/>
                <w:color w:val="auto"/>
                <w:kern w:val="0"/>
                <w:szCs w:val="21"/>
                <w:highlight w:val="none"/>
              </w:rPr>
              <w:t>投标人提交的纸质投标</w:t>
            </w:r>
            <w:r>
              <w:rPr>
                <w:rFonts w:hint="eastAsia" w:ascii="宋体" w:hAnsi="宋体" w:cs="宋体"/>
                <w:color w:val="auto"/>
                <w:szCs w:val="21"/>
                <w:highlight w:val="none"/>
              </w:rPr>
              <w:t>保函涉及弄虚作假或其他违法违规情形的，移送相关部门处理</w:t>
            </w:r>
            <w:r>
              <w:rPr>
                <w:rFonts w:hint="eastAsia" w:ascii="宋体" w:hAnsi="宋体" w:cs="宋体"/>
                <w:color w:val="auto"/>
                <w:kern w:val="0"/>
                <w:szCs w:val="21"/>
                <w:highlight w:val="none"/>
              </w:rPr>
              <w:t>。</w:t>
            </w:r>
          </w:p>
          <w:p w14:paraId="3C084A2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二、纸质投标保函的退还、注销</w:t>
            </w:r>
          </w:p>
          <w:p w14:paraId="421502D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14:paraId="2A332050">
            <w:pPr>
              <w:pStyle w:val="18"/>
              <w:spacing w:after="0" w:line="360" w:lineRule="auto"/>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招标人应在法定时间内和中标人签订合同，并同时书面通知相关金融机构向中标人和其他中标候选人注销纸质投标保函。具体注销事宜由投标人与金融机构协商。</w:t>
            </w:r>
          </w:p>
        </w:tc>
      </w:tr>
      <w:tr w14:paraId="76A69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4E5D4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E68FEA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2E69B2CF">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7055A87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54659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5DF47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766E1E43">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竞选文件格式要求</w:t>
            </w:r>
          </w:p>
        </w:tc>
        <w:tc>
          <w:tcPr>
            <w:tcW w:w="6490" w:type="dxa"/>
            <w:vAlign w:val="center"/>
          </w:tcPr>
          <w:p w14:paraId="0319FD1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编制竞选文件时不得对第六章“竞选文件格式”的相应要素作实质性修改，否则由评标委员会作否决投标处理。</w:t>
            </w:r>
          </w:p>
        </w:tc>
      </w:tr>
      <w:tr w14:paraId="1CCF0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FAC6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1C3CEF6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7E54E1B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文件应用不褪色的材料书写或打印，并由竞选人的法定代表人或其委托代理人在竞选文件规定的位置按竞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752C6498">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67858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8B82D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1D231A17">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的份数</w:t>
            </w:r>
          </w:p>
        </w:tc>
        <w:tc>
          <w:tcPr>
            <w:tcW w:w="6490" w:type="dxa"/>
            <w:vAlign w:val="center"/>
          </w:tcPr>
          <w:p w14:paraId="10DB6E4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1份、副本2份，电子版形式（U盘）1份。当副本和正本不一致时，以正本为准。否则由评标委员会作否决投标处理。</w:t>
            </w:r>
          </w:p>
        </w:tc>
      </w:tr>
      <w:tr w14:paraId="10EFC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A3FA9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33BDD63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73133D99">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1、本工程技术部分采用明标评审，应将投标函部分、技术部分、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14:paraId="071675FC">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2、装订</w:t>
            </w:r>
          </w:p>
          <w:p w14:paraId="6B97F307">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）投标函部分的装订要求</w:t>
            </w:r>
          </w:p>
          <w:p w14:paraId="02ECAD74">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6287FC67">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）技术部分的装订要求</w:t>
            </w:r>
          </w:p>
          <w:p w14:paraId="6D782932">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rPr>
              <w:t>第六章</w:t>
            </w:r>
            <w:r>
              <w:rPr>
                <w:rFonts w:ascii="宋体" w:hAnsi="宋体"/>
                <w:color w:val="auto"/>
                <w:szCs w:val="21"/>
                <w:highlight w:val="none"/>
              </w:rPr>
              <w:t>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，逐页标注页码。</w:t>
            </w:r>
            <w:r>
              <w:rPr>
                <w:rFonts w:hint="eastAsia" w:ascii="宋体" w:hAnsi="宋体"/>
                <w:color w:val="auto"/>
                <w:szCs w:val="21"/>
                <w:highlight w:val="none"/>
              </w:rPr>
              <w:t>注：技术部分采用明标评审时，不因形式评审的问题（包括但不限于封面、页码、目录、字体、格式等）而被否决竞标。</w:t>
            </w:r>
          </w:p>
          <w:p w14:paraId="362CF7EF">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200 </w:t>
            </w:r>
            <w:r>
              <w:rPr>
                <w:rFonts w:hint="eastAsia" w:ascii="宋体" w:hAnsi="宋体"/>
                <w:color w:val="auto"/>
                <w:szCs w:val="21"/>
                <w:highlight w:val="none"/>
              </w:rPr>
              <w:t>页。）</w:t>
            </w:r>
          </w:p>
          <w:p w14:paraId="22711690">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5542FA55">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r>
              <w:rPr>
                <w:rFonts w:hint="eastAsia" w:ascii="宋体" w:hAnsi="宋体"/>
                <w:color w:val="auto"/>
                <w:szCs w:val="21"/>
                <w:highlight w:val="none"/>
              </w:rPr>
              <w:t>。</w:t>
            </w:r>
          </w:p>
        </w:tc>
      </w:tr>
      <w:tr w14:paraId="02222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40465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57CF3589">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的密封</w:t>
            </w:r>
          </w:p>
        </w:tc>
        <w:tc>
          <w:tcPr>
            <w:tcW w:w="6490" w:type="dxa"/>
            <w:vAlign w:val="center"/>
          </w:tcPr>
          <w:p w14:paraId="15EC0C7F">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竞选文件</w:t>
            </w:r>
            <w:r>
              <w:rPr>
                <w:rFonts w:ascii="宋体" w:hAnsi="宋体"/>
                <w:color w:val="auto"/>
                <w:szCs w:val="21"/>
                <w:highlight w:val="none"/>
              </w:rPr>
              <w:t>袋使用“投标函部分”袋、“技术部分”袋、“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竞选文件</w:t>
            </w:r>
            <w:r>
              <w:rPr>
                <w:rFonts w:ascii="宋体" w:hAnsi="宋体"/>
                <w:color w:val="auto"/>
                <w:szCs w:val="21"/>
                <w:highlight w:val="none"/>
              </w:rPr>
              <w:t>”大袋。</w:t>
            </w:r>
          </w:p>
          <w:p w14:paraId="6381BB9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和电子版形式（U盘）</w:t>
            </w:r>
            <w:r>
              <w:rPr>
                <w:rFonts w:ascii="宋体" w:hAnsi="宋体"/>
                <w:color w:val="auto"/>
                <w:szCs w:val="21"/>
                <w:highlight w:val="none"/>
              </w:rPr>
              <w:t>装入“投标函部分”袋中，密封并在袋上加盖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2D12271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本次招标技术部分采用明标评审，技术部分装入</w:t>
            </w:r>
            <w:r>
              <w:rPr>
                <w:rFonts w:hint="eastAsia" w:ascii="宋体" w:hAnsi="宋体"/>
                <w:color w:val="auto"/>
                <w:szCs w:val="21"/>
                <w:highlight w:val="none"/>
              </w:rPr>
              <w:t>“技术部分”袋中，密封</w:t>
            </w:r>
            <w:r>
              <w:rPr>
                <w:rFonts w:ascii="宋体" w:hAnsi="宋体"/>
                <w:color w:val="auto"/>
                <w:szCs w:val="21"/>
                <w:highlight w:val="none"/>
              </w:rPr>
              <w:t>并加盖</w:t>
            </w:r>
            <w:r>
              <w:rPr>
                <w:rFonts w:hint="eastAsia" w:ascii="宋体" w:hAnsi="宋体"/>
                <w:color w:val="auto"/>
                <w:szCs w:val="21"/>
                <w:highlight w:val="none"/>
              </w:rPr>
              <w:t>竞标</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w:t>
            </w:r>
          </w:p>
          <w:p w14:paraId="282D23B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资格审查部分装入“资格审查部分”袋中，密封并在袋上加盖竞选人单位法人章。</w:t>
            </w:r>
          </w:p>
          <w:p w14:paraId="75C096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“投标函部分”、“技术部分”</w:t>
            </w:r>
            <w:r>
              <w:rPr>
                <w:rFonts w:hint="eastAsia" w:ascii="宋体" w:hAnsi="宋体"/>
                <w:color w:val="auto"/>
                <w:szCs w:val="21"/>
                <w:highlight w:val="none"/>
              </w:rPr>
              <w:t>、“资格审查部分”</w:t>
            </w:r>
            <w:r>
              <w:rPr>
                <w:rFonts w:ascii="宋体" w:hAnsi="宋体"/>
                <w:color w:val="auto"/>
                <w:szCs w:val="21"/>
                <w:highlight w:val="none"/>
              </w:rPr>
              <w:t>等小袋装入“</w:t>
            </w:r>
            <w:r>
              <w:rPr>
                <w:rFonts w:hint="eastAsia" w:ascii="宋体" w:hAnsi="宋体"/>
                <w:color w:val="auto"/>
                <w:szCs w:val="21"/>
                <w:highlight w:val="none"/>
              </w:rPr>
              <w:t>竞选文件</w:t>
            </w:r>
            <w:r>
              <w:rPr>
                <w:rFonts w:ascii="宋体" w:hAnsi="宋体"/>
                <w:color w:val="auto"/>
                <w:szCs w:val="21"/>
                <w:highlight w:val="none"/>
              </w:rPr>
              <w:t>”大袋中，密封并在大袋上加盖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p w14:paraId="442D1C1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注：“投标函部分”袋、“技术部分”袋、、“资格审查部分”袋只为方便竞选文件分装，不作为判定密封合格与否的条件。但为了方便开标，请各竞选人主动配合，按要求分装。</w:t>
            </w:r>
          </w:p>
        </w:tc>
      </w:tr>
      <w:tr w14:paraId="05DD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81F5E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26833F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2E20557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rPr>
              <w:t>竞选文件</w:t>
            </w:r>
            <w:r>
              <w:rPr>
                <w:rFonts w:ascii="宋体" w:hAnsi="宋体"/>
                <w:color w:val="auto"/>
                <w:kern w:val="0"/>
                <w:szCs w:val="21"/>
                <w:highlight w:val="none"/>
              </w:rPr>
              <w:t>”大袋封套上写明如下内容：</w:t>
            </w:r>
          </w:p>
          <w:p w14:paraId="0F5AE03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4C1E157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竞选人名称：</w:t>
            </w:r>
            <w:r>
              <w:rPr>
                <w:rFonts w:hint="eastAsia" w:ascii="宋体" w:hAnsi="宋体"/>
                <w:color w:val="auto"/>
                <w:kern w:val="0"/>
                <w:szCs w:val="21"/>
                <w:highlight w:val="none"/>
                <w:u w:val="single"/>
              </w:rPr>
              <w:t xml:space="preserve">            </w:t>
            </w:r>
          </w:p>
          <w:p w14:paraId="28AC7A8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rPr>
              <w:t>竞选文件</w:t>
            </w:r>
          </w:p>
          <w:p w14:paraId="58EADE17">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2D59A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E413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42D878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rPr>
              <w:t>竞选文件</w:t>
            </w:r>
            <w:r>
              <w:rPr>
                <w:rFonts w:ascii="宋体" w:hAnsi="宋体"/>
                <w:color w:val="auto"/>
                <w:kern w:val="0"/>
                <w:szCs w:val="21"/>
                <w:highlight w:val="none"/>
              </w:rPr>
              <w:t>地点</w:t>
            </w:r>
          </w:p>
        </w:tc>
        <w:tc>
          <w:tcPr>
            <w:tcW w:w="6490" w:type="dxa"/>
            <w:vAlign w:val="center"/>
          </w:tcPr>
          <w:p w14:paraId="65E03865">
            <w:pPr>
              <w:snapToGrid w:val="0"/>
              <w:spacing w:line="400" w:lineRule="exact"/>
              <w:ind w:firstLine="420" w:firstLineChars="200"/>
              <w:rPr>
                <w:rFonts w:ascii="宋体" w:hAnsi="宋体"/>
                <w:bCs/>
                <w:i/>
                <w:color w:val="auto"/>
                <w:szCs w:val="21"/>
                <w:highlight w:val="none"/>
              </w:rPr>
            </w:pPr>
            <w:r>
              <w:rPr>
                <w:rFonts w:hint="eastAsia" w:cs="宋体" w:asciiTheme="minorEastAsia" w:hAnsiTheme="minorEastAsia" w:eastAsiaTheme="minorEastAsia"/>
                <w:color w:val="auto"/>
                <w:szCs w:val="21"/>
                <w:highlight w:val="none"/>
              </w:rPr>
              <w:t>重庆市南岸区行政服务中心B区3号楼2012室</w:t>
            </w:r>
          </w:p>
        </w:tc>
      </w:tr>
      <w:tr w14:paraId="3B1F8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53D0A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5AAEF7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rPr>
              <w:t>竞选文件</w:t>
            </w:r>
          </w:p>
        </w:tc>
        <w:tc>
          <w:tcPr>
            <w:tcW w:w="6490" w:type="dxa"/>
            <w:vAlign w:val="center"/>
          </w:tcPr>
          <w:p w14:paraId="5714F6A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w:t>
            </w:r>
          </w:p>
          <w:p w14:paraId="724B1456">
            <w:pPr>
              <w:snapToGrid w:val="0"/>
              <w:spacing w:after="31" w:afterLines="1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tc>
      </w:tr>
      <w:tr w14:paraId="374D8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1047E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18ABCE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27CC35F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6C1654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rPr>
              <w:t>竞选截止时间</w:t>
            </w:r>
          </w:p>
          <w:p w14:paraId="02A23684">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cs="宋体" w:asciiTheme="minorEastAsia" w:hAnsiTheme="minorEastAsia" w:eastAsiaTheme="minorEastAsia"/>
                <w:color w:val="auto"/>
                <w:szCs w:val="21"/>
                <w:highlight w:val="none"/>
              </w:rPr>
              <w:t>重庆市南岸区行政服务中心B区3号楼2012室</w:t>
            </w:r>
          </w:p>
        </w:tc>
      </w:tr>
      <w:tr w14:paraId="5B84D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2CFCA2">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2B23A4FB">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2ACAC72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5F2E48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565AB97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44A815C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077C3396">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1AD3604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701A9FE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核验投标保证金交纳情况。</w:t>
            </w:r>
          </w:p>
          <w:p w14:paraId="0552EAA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66CE387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大袋及投标函部分袋、技术部分袋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7546C6B4">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26B52AA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503BB4E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2330F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77DE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7ACAF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2A21EAC">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由比选人按法律法规及相关规定依法组建评标委员会</w:t>
            </w:r>
            <w:r>
              <w:rPr>
                <w:rFonts w:hint="eastAsia" w:ascii="宋体" w:hAnsi="宋体"/>
                <w:color w:val="auto"/>
                <w:kern w:val="0"/>
                <w:szCs w:val="21"/>
                <w:highlight w:val="none"/>
              </w:rPr>
              <w:t>。</w:t>
            </w:r>
          </w:p>
        </w:tc>
      </w:tr>
      <w:tr w14:paraId="2DF5A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8A18E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3BE540C6">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6FB9EA93">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否，推荐经评审综合得分由高到低排名前三名为中标候选人。</w:t>
            </w:r>
          </w:p>
        </w:tc>
      </w:tr>
      <w:tr w14:paraId="4427A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89693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4073F361">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7A07C29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评选结果在比选人确认评选结果后3日内，于“</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进行公告，公告期限为1日。</w:t>
            </w:r>
          </w:p>
        </w:tc>
      </w:tr>
      <w:tr w14:paraId="2D095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463C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2D3115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228D0F2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49658F9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2CBE0B45">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（1）履约担保的形式：</w:t>
            </w:r>
            <w:r>
              <w:rPr>
                <w:rFonts w:hint="eastAsia" w:ascii="宋体" w:hAnsi="宋体"/>
                <w:color w:val="auto"/>
                <w:kern w:val="0"/>
                <w:szCs w:val="21"/>
                <w:highlight w:val="none"/>
                <w:u w:val="single"/>
              </w:rPr>
              <w:t>现金或履约保函；采用保函形式的,保函的开立人应当是具有相应资格的且甲方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乙方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乙方对所提交的保函的真实性、合法性、有效性负责。</w:t>
            </w:r>
          </w:p>
          <w:p w14:paraId="6D7478E0">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（2）履约担保的金额：</w:t>
            </w:r>
            <w:r>
              <w:rPr>
                <w:rFonts w:hint="eastAsia" w:ascii="宋体" w:hAnsi="宋体"/>
                <w:color w:val="auto"/>
                <w:szCs w:val="21"/>
                <w:highlight w:val="none"/>
                <w:u w:val="single"/>
              </w:rPr>
              <w:t>为签约合同价的 10 %；</w:t>
            </w:r>
          </w:p>
          <w:p w14:paraId="33EAC507">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合同签订前。</w:t>
            </w:r>
          </w:p>
          <w:p w14:paraId="0592A601">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（4）履约担保的期限：</w:t>
            </w:r>
            <w:r>
              <w:rPr>
                <w:rFonts w:hint="eastAsia" w:ascii="宋体" w:hAnsi="宋体"/>
                <w:color w:val="auto"/>
                <w:szCs w:val="21"/>
                <w:highlight w:val="none"/>
                <w:u w:val="single"/>
              </w:rPr>
              <w:t>乙方提交合格的成果资料且通过审核并经甲方认可后退还（履约保证金不计算利息）。</w:t>
            </w:r>
          </w:p>
          <w:p w14:paraId="5D6623EA">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）履约担保的退还时间：</w:t>
            </w:r>
            <w:r>
              <w:rPr>
                <w:rFonts w:hint="eastAsia" w:ascii="宋体" w:hAnsi="宋体"/>
                <w:color w:val="auto"/>
                <w:szCs w:val="21"/>
                <w:highlight w:val="none"/>
                <w:u w:val="single"/>
              </w:rPr>
              <w:t>① 现金担保，合同履行期间乙方无违约，提交合格的成果资料之日起28日内无息退还。② 保函担保，合同履行期间乙方无违约，提交合格的成果资料之日起 28 日后失效。</w:t>
            </w:r>
          </w:p>
        </w:tc>
      </w:tr>
      <w:tr w14:paraId="36029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4B494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056A69C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19A82407">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08B6C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6F66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53118B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3DEAB22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rPr>
              <w:t>竞选人</w:t>
            </w:r>
            <w:r>
              <w:rPr>
                <w:rFonts w:ascii="宋体" w:hAnsi="宋体"/>
                <w:color w:val="auto"/>
                <w:kern w:val="0"/>
                <w:szCs w:val="21"/>
                <w:highlight w:val="none"/>
              </w:rPr>
              <w:t>须知第8.1（1）执行；</w:t>
            </w:r>
          </w:p>
          <w:p w14:paraId="68C8A8B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rPr>
              <w:t>竞选人</w:t>
            </w:r>
            <w:r>
              <w:rPr>
                <w:rFonts w:ascii="宋体" w:hAnsi="宋体"/>
                <w:color w:val="auto"/>
                <w:kern w:val="0"/>
                <w:szCs w:val="21"/>
                <w:highlight w:val="none"/>
              </w:rPr>
              <w:t>须知第8.1（2）执行；</w:t>
            </w:r>
          </w:p>
          <w:p w14:paraId="32C9915A">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须知第8.1（3）执行；</w:t>
            </w:r>
          </w:p>
          <w:p w14:paraId="4D55FDD9">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3EE3C900">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7A8AE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3A73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708AFC4C">
            <w:pPr>
              <w:snapToGrid w:val="0"/>
              <w:spacing w:line="400" w:lineRule="exact"/>
              <w:jc w:val="center"/>
              <w:rPr>
                <w:color w:val="auto"/>
                <w:highlight w:val="none"/>
              </w:rPr>
            </w:pPr>
            <w:bookmarkStart w:id="110" w:name="_Toc16930431"/>
            <w:bookmarkStart w:id="111" w:name="_Toc13210670"/>
            <w:bookmarkStart w:id="112" w:name="_Toc536628250"/>
            <w:bookmarkStart w:id="113" w:name="_Toc430530434"/>
            <w:bookmarkStart w:id="114" w:name="_Toc509218709"/>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10"/>
            <w:bookmarkEnd w:id="111"/>
            <w:bookmarkEnd w:id="112"/>
            <w:bookmarkEnd w:id="113"/>
            <w:bookmarkEnd w:id="114"/>
          </w:p>
        </w:tc>
        <w:tc>
          <w:tcPr>
            <w:tcW w:w="6490" w:type="dxa"/>
            <w:vAlign w:val="center"/>
          </w:tcPr>
          <w:p w14:paraId="3EE746B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7AFE4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0A1F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473DC7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49232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D84D0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10.1</w:t>
            </w:r>
          </w:p>
        </w:tc>
        <w:tc>
          <w:tcPr>
            <w:tcW w:w="1644" w:type="dxa"/>
            <w:vAlign w:val="center"/>
          </w:tcPr>
          <w:p w14:paraId="526611E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关于对竞选文件及投标争议的解释</w:t>
            </w:r>
          </w:p>
        </w:tc>
        <w:tc>
          <w:tcPr>
            <w:tcW w:w="6490" w:type="dxa"/>
            <w:vAlign w:val="center"/>
          </w:tcPr>
          <w:p w14:paraId="0CC2873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对资格预审文件或者竞选文件的评标标准和方法，以及资格审查和否决投标条款理解有争议的，应当作出不利于比选人的解释，但违背国家利益、社会公共利益的除外。</w:t>
            </w:r>
          </w:p>
          <w:p w14:paraId="2279156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对竞选文件理解有争议的，应当作出不利于提交该竞选文件的竞选人的解释。</w:t>
            </w:r>
          </w:p>
        </w:tc>
      </w:tr>
      <w:tr w14:paraId="71728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7069F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10.2</w:t>
            </w:r>
          </w:p>
        </w:tc>
        <w:tc>
          <w:tcPr>
            <w:tcW w:w="1644" w:type="dxa"/>
            <w:vAlign w:val="center"/>
          </w:tcPr>
          <w:p w14:paraId="544F45B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14:paraId="2F08138A">
            <w:pPr>
              <w:snapToGrid w:val="0"/>
              <w:spacing w:line="400" w:lineRule="exact"/>
              <w:jc w:val="center"/>
              <w:rPr>
                <w:rFonts w:ascii="宋体" w:hAnsi="宋体"/>
                <w:color w:val="auto"/>
                <w:kern w:val="0"/>
                <w:szCs w:val="21"/>
                <w:highlight w:val="none"/>
              </w:rPr>
            </w:pPr>
          </w:p>
        </w:tc>
        <w:tc>
          <w:tcPr>
            <w:tcW w:w="6490" w:type="dxa"/>
            <w:vAlign w:val="center"/>
          </w:tcPr>
          <w:p w14:paraId="2DC8243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Cs w:val="21"/>
                <w:highlight w:val="none"/>
              </w:rPr>
              <w:t>并报招标投标行政监督部门按照信用管理办法的规定处理，对中标人的不良行为直接记12分，纳入重点关注名单。若投标人为联合体，由联合体牵头人或按照联合体协议的约定提交低价风险担保</w:t>
            </w:r>
            <w:r>
              <w:rPr>
                <w:rFonts w:hint="eastAsia" w:asciiTheme="minorEastAsia" w:hAnsiTheme="minorEastAsia" w:eastAsiaTheme="minorEastAsia" w:cstheme="minorEastAsia"/>
                <w:color w:val="auto"/>
                <w:kern w:val="0"/>
                <w:szCs w:val="21"/>
                <w:highlight w:val="none"/>
              </w:rPr>
              <w:t>。</w:t>
            </w:r>
          </w:p>
          <w:p w14:paraId="0BA78DAE">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2、中标人提供低价风险担保的形式、金额及期限：</w:t>
            </w:r>
          </w:p>
          <w:p w14:paraId="07307FE1">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（1）低价风险担保的形式：现金或银行保函</w:t>
            </w:r>
            <w:r>
              <w:rPr>
                <w:rFonts w:hint="eastAsia" w:asciiTheme="minorEastAsia" w:hAnsiTheme="minorEastAsia" w:eastAsiaTheme="minorEastAsia" w:cstheme="minorEastAsia"/>
                <w:color w:val="auto"/>
                <w:szCs w:val="21"/>
                <w:highlight w:val="none"/>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Theme="minorEastAsia" w:hAnsiTheme="minorEastAsia" w:eastAsiaTheme="minorEastAsia" w:cstheme="minorEastAsia"/>
                <w:color w:val="auto"/>
                <w:kern w:val="0"/>
                <w:szCs w:val="21"/>
                <w:highlight w:val="none"/>
              </w:rPr>
              <w:t>。</w:t>
            </w:r>
          </w:p>
          <w:p w14:paraId="4FADA475">
            <w:pPr>
              <w:autoSpaceDE w:val="0"/>
              <w:autoSpaceDN w:val="0"/>
              <w:adjustRightInd w:val="0"/>
              <w:snapToGrid w:val="0"/>
              <w:spacing w:line="400" w:lineRule="exact"/>
              <w:ind w:firstLine="420" w:firstLineChars="200"/>
              <w:rPr>
                <w:color w:val="auto"/>
                <w:highlight w:val="none"/>
              </w:rPr>
            </w:pPr>
            <w:r>
              <w:rPr>
                <w:rFonts w:hint="eastAsia" w:asciiTheme="minorEastAsia" w:hAnsiTheme="minorEastAsia" w:eastAsiaTheme="minorEastAsia" w:cstheme="minorEastAsia"/>
                <w:color w:val="auto"/>
                <w:kern w:val="0"/>
                <w:szCs w:val="21"/>
                <w:highlight w:val="none"/>
              </w:rPr>
              <w:t>（2）低价风险担保的金额：（最高限价×85%-中标价）×3</w:t>
            </w:r>
            <w:r>
              <w:rPr>
                <w:rStyle w:val="55"/>
                <w:rFonts w:hint="eastAsia" w:asciiTheme="minorEastAsia" w:hAnsiTheme="minorEastAsia" w:eastAsiaTheme="minorEastAsia" w:cstheme="minorEastAsia"/>
                <w:color w:val="auto"/>
                <w:highlight w:val="none"/>
              </w:rPr>
              <w:t>。</w:t>
            </w:r>
          </w:p>
          <w:p w14:paraId="6F72F8CB">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color w:val="auto"/>
                <w:highlight w:val="none"/>
              </w:rPr>
              <w:t>（3）低价风险担保送达招标人的时间：从招标人低价风险担保书面通知送达中标候选人之日起7个工作日内。</w:t>
            </w:r>
          </w:p>
          <w:p w14:paraId="19219BD2">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（4）中标人因自身原因未按中标通知书规定的时限与招标人签订合同的，招标人有权扣除其低价风险担保并取消中标资格。</w:t>
            </w:r>
          </w:p>
          <w:p w14:paraId="2BBE0898">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（5）低价风险担保的期限：自提交低价风险担保之日起至成果资料且通过审核并经甲方认可。</w:t>
            </w:r>
          </w:p>
          <w:p w14:paraId="75A06623">
            <w:pPr>
              <w:widowControl/>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3、低价风险担保的退还时间：见专用合同条款。</w:t>
            </w:r>
          </w:p>
          <w:p w14:paraId="5AA6CFE9">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5732D783">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备注：当中标人或拟中标人未按时提交低价风险担保，且属于可以延长低价风险担保提交期限的特殊情形时，经招标人同意，可适当延长低价风险担保的提交期限。</w:t>
            </w:r>
          </w:p>
          <w:p w14:paraId="78ACA069">
            <w:pPr>
              <w:pStyle w:val="18"/>
              <w:widowControl/>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Cs w:val="21"/>
                <w:highlight w:val="none"/>
              </w:rPr>
              <w:t>5、投标总报价低于最高限价85%的，投标人应在编制投标文件时，在投标函部分中递交低价风险担保提交承诺书。承诺书格式详见第八章投标文件格式。</w:t>
            </w:r>
          </w:p>
        </w:tc>
      </w:tr>
      <w:tr w14:paraId="5F192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9D2AC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14:paraId="58850463">
            <w:pPr>
              <w:snapToGrid w:val="0"/>
              <w:spacing w:line="400" w:lineRule="exact"/>
              <w:jc w:val="center"/>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代理服务费</w:t>
            </w:r>
          </w:p>
        </w:tc>
        <w:tc>
          <w:tcPr>
            <w:tcW w:w="6490" w:type="dxa"/>
            <w:vAlign w:val="center"/>
          </w:tcPr>
          <w:p w14:paraId="6699EC2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比选代理服务费：按照《招标代理服务收费管理暂行办法》（计价格[2002]1980号）收费标准70%计算，不足6000.00元按固定收费金额6000.00元计算。由中标人在领取中标通知书时一次性支付。</w:t>
            </w:r>
          </w:p>
        </w:tc>
      </w:tr>
      <w:tr w14:paraId="73172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75C91">
            <w:pPr>
              <w:snapToGrid w:val="0"/>
              <w:spacing w:line="400" w:lineRule="exact"/>
              <w:jc w:val="center"/>
              <w:rPr>
                <w:rFonts w:ascii="宋体" w:hAnsi="宋体"/>
                <w:color w:val="auto"/>
                <w:kern w:val="0"/>
                <w:szCs w:val="21"/>
                <w:highlight w:val="none"/>
              </w:rPr>
            </w:pPr>
            <w:bookmarkStart w:id="115" w:name="_Toc287607746"/>
            <w:bookmarkStart w:id="116" w:name="_Toc430530435"/>
            <w:bookmarkStart w:id="117" w:name="_Toc287620685"/>
            <w:bookmarkStart w:id="118" w:name="_Toc224103317"/>
            <w:bookmarkStart w:id="119" w:name="_Toc200513126"/>
            <w:bookmarkStart w:id="120" w:name="_Toc277082552"/>
            <w:r>
              <w:rPr>
                <w:rFonts w:hint="eastAsia" w:ascii="宋体" w:hAnsi="宋体"/>
                <w:color w:val="auto"/>
                <w:kern w:val="0"/>
                <w:szCs w:val="21"/>
                <w:highlight w:val="none"/>
              </w:rPr>
              <w:t>10.4</w:t>
            </w:r>
          </w:p>
        </w:tc>
        <w:tc>
          <w:tcPr>
            <w:tcW w:w="1644" w:type="dxa"/>
            <w:vAlign w:val="center"/>
          </w:tcPr>
          <w:p w14:paraId="6B74149C">
            <w:pPr>
              <w:snapToGrid w:val="0"/>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特别说明</w:t>
            </w:r>
          </w:p>
        </w:tc>
        <w:tc>
          <w:tcPr>
            <w:tcW w:w="6490" w:type="dxa"/>
            <w:vAlign w:val="center"/>
          </w:tcPr>
          <w:p w14:paraId="495481AB">
            <w:pPr>
              <w:autoSpaceDE w:val="0"/>
              <w:autoSpaceDN w:val="0"/>
              <w:adjustRightInd w:val="0"/>
              <w:snapToGrid w:val="0"/>
              <w:spacing w:line="400" w:lineRule="exact"/>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1、项目非因采购人原因取消的采购人不补偿或赔偿投标人。</w:t>
            </w:r>
          </w:p>
          <w:p w14:paraId="5FAC7F49">
            <w:pPr>
              <w:autoSpaceDE w:val="0"/>
              <w:autoSpaceDN w:val="0"/>
              <w:adjustRightInd w:val="0"/>
              <w:snapToGrid w:val="0"/>
              <w:spacing w:line="400" w:lineRule="exact"/>
              <w:ind w:firstLine="420" w:firstLineChars="200"/>
              <w:rPr>
                <w:rFonts w:asciiTheme="minorEastAsia" w:hAnsiTheme="minorEastAsia" w:eastAsiaTheme="minorEastAsia"/>
                <w:color w:val="auto"/>
                <w:kern w:val="0"/>
                <w:szCs w:val="21"/>
                <w:highlight w:val="none"/>
              </w:rPr>
            </w:pPr>
            <w:r>
              <w:rPr>
                <w:rFonts w:hint="eastAsia" w:ascii="宋体" w:hAnsi="宋体"/>
                <w:color w:val="auto"/>
                <w:kern w:val="0"/>
                <w:szCs w:val="21"/>
                <w:highlight w:val="none"/>
              </w:rPr>
              <w:t>2、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061E8C01">
      <w:pPr>
        <w:pStyle w:val="4"/>
        <w:spacing w:before="0" w:after="0" w:line="20" w:lineRule="exact"/>
        <w:rPr>
          <w:rFonts w:ascii="宋体" w:hAnsi="宋体"/>
          <w:b w:val="0"/>
          <w:snapToGrid w:val="0"/>
          <w:color w:val="auto"/>
          <w:highlight w:val="none"/>
        </w:rPr>
      </w:pPr>
    </w:p>
    <w:p w14:paraId="188A9970">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34594F75">
      <w:pPr>
        <w:pStyle w:val="4"/>
        <w:spacing w:before="0" w:after="0" w:line="360" w:lineRule="auto"/>
        <w:rPr>
          <w:rFonts w:ascii="宋体" w:hAnsi="宋体"/>
          <w:b w:val="0"/>
          <w:snapToGrid w:val="0"/>
          <w:color w:val="auto"/>
          <w:highlight w:val="none"/>
        </w:rPr>
      </w:pPr>
      <w:bookmarkStart w:id="121" w:name="_Toc509218710"/>
      <w:bookmarkStart w:id="122" w:name="_Toc57905830"/>
      <w:bookmarkStart w:id="123" w:name="_Toc840"/>
      <w:r>
        <w:rPr>
          <w:rFonts w:ascii="宋体" w:hAnsi="宋体"/>
          <w:b w:val="0"/>
          <w:snapToGrid w:val="0"/>
          <w:color w:val="auto"/>
          <w:highlight w:val="none"/>
        </w:rPr>
        <w:t>1.  总则</w:t>
      </w:r>
      <w:bookmarkEnd w:id="115"/>
      <w:bookmarkEnd w:id="116"/>
      <w:bookmarkEnd w:id="117"/>
      <w:bookmarkEnd w:id="118"/>
      <w:bookmarkEnd w:id="119"/>
      <w:bookmarkEnd w:id="120"/>
      <w:bookmarkEnd w:id="121"/>
      <w:bookmarkEnd w:id="122"/>
      <w:bookmarkEnd w:id="123"/>
    </w:p>
    <w:p w14:paraId="1D4FA4E4">
      <w:pPr>
        <w:pStyle w:val="5"/>
        <w:snapToGrid w:val="0"/>
        <w:spacing w:before="0" w:after="0" w:line="360" w:lineRule="auto"/>
        <w:rPr>
          <w:rFonts w:ascii="宋体" w:hAnsi="宋体"/>
          <w:b w:val="0"/>
          <w:snapToGrid w:val="0"/>
          <w:color w:val="auto"/>
          <w:sz w:val="24"/>
          <w:szCs w:val="24"/>
          <w:highlight w:val="none"/>
        </w:rPr>
      </w:pPr>
      <w:bookmarkStart w:id="124" w:name="_Toc200513127"/>
      <w:bookmarkStart w:id="125" w:name="_Toc287620686"/>
      <w:bookmarkStart w:id="126" w:name="_Toc32232"/>
      <w:bookmarkStart w:id="127" w:name="_Toc509218711"/>
      <w:bookmarkStart w:id="128" w:name="_Toc287607747"/>
      <w:bookmarkStart w:id="129" w:name="_Toc430530436"/>
      <w:bookmarkStart w:id="130" w:name="_Toc57905831"/>
      <w:bookmarkStart w:id="131" w:name="_Toc224103318"/>
      <w:bookmarkStart w:id="132" w:name="_Toc277082553"/>
      <w:r>
        <w:rPr>
          <w:rFonts w:ascii="宋体" w:hAnsi="宋体"/>
          <w:b w:val="0"/>
          <w:snapToGrid w:val="0"/>
          <w:color w:val="auto"/>
          <w:sz w:val="24"/>
          <w:szCs w:val="24"/>
          <w:highlight w:val="none"/>
        </w:rPr>
        <w:t>1.1  项目概况</w:t>
      </w:r>
      <w:bookmarkEnd w:id="124"/>
      <w:bookmarkEnd w:id="125"/>
      <w:bookmarkEnd w:id="126"/>
      <w:bookmarkEnd w:id="127"/>
      <w:bookmarkEnd w:id="128"/>
      <w:bookmarkEnd w:id="129"/>
      <w:bookmarkEnd w:id="130"/>
      <w:bookmarkEnd w:id="131"/>
      <w:bookmarkEnd w:id="132"/>
    </w:p>
    <w:p w14:paraId="0E37AFCB">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w:t>
      </w:r>
      <w:r>
        <w:rPr>
          <w:color w:val="auto"/>
          <w:spacing w:val="-1"/>
          <w:szCs w:val="21"/>
          <w:highlight w:val="none"/>
        </w:rPr>
        <w:t>质量检测</w:t>
      </w:r>
      <w:r>
        <w:rPr>
          <w:rFonts w:ascii="宋体" w:hAnsi="宋体"/>
          <w:snapToGrid w:val="0"/>
          <w:color w:val="auto"/>
          <w:kern w:val="0"/>
          <w:szCs w:val="21"/>
          <w:highlight w:val="none"/>
        </w:rPr>
        <w:t>进行招标。</w:t>
      </w:r>
    </w:p>
    <w:p w14:paraId="302D3B5E">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442AB6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F8B2AB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893842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FDEB0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481C41E">
      <w:pPr>
        <w:pStyle w:val="5"/>
        <w:snapToGrid w:val="0"/>
        <w:spacing w:before="0" w:after="0" w:line="360" w:lineRule="auto"/>
        <w:rPr>
          <w:rFonts w:ascii="宋体" w:hAnsi="宋体"/>
          <w:b w:val="0"/>
          <w:snapToGrid w:val="0"/>
          <w:color w:val="auto"/>
          <w:sz w:val="24"/>
          <w:szCs w:val="24"/>
          <w:highlight w:val="none"/>
        </w:rPr>
      </w:pPr>
      <w:bookmarkStart w:id="133" w:name="_Toc200513128"/>
      <w:bookmarkStart w:id="134" w:name="_Toc57905832"/>
      <w:bookmarkStart w:id="135" w:name="_Toc287620687"/>
      <w:bookmarkStart w:id="136" w:name="_Toc287607748"/>
      <w:bookmarkStart w:id="137" w:name="_Toc277082554"/>
      <w:bookmarkStart w:id="138" w:name="_Toc509218712"/>
      <w:bookmarkStart w:id="139" w:name="_Toc430530437"/>
      <w:bookmarkStart w:id="140" w:name="_Toc224103319"/>
      <w:bookmarkStart w:id="141" w:name="_Toc21567"/>
      <w:r>
        <w:rPr>
          <w:rFonts w:ascii="宋体" w:hAnsi="宋体"/>
          <w:b w:val="0"/>
          <w:snapToGrid w:val="0"/>
          <w:color w:val="auto"/>
          <w:sz w:val="24"/>
          <w:szCs w:val="24"/>
          <w:highlight w:val="none"/>
        </w:rPr>
        <w:t>1.2  资金来源和落实情况</w:t>
      </w:r>
      <w:bookmarkEnd w:id="133"/>
      <w:bookmarkEnd w:id="134"/>
      <w:bookmarkEnd w:id="135"/>
      <w:bookmarkEnd w:id="136"/>
      <w:bookmarkEnd w:id="137"/>
      <w:bookmarkEnd w:id="138"/>
      <w:bookmarkEnd w:id="139"/>
      <w:bookmarkEnd w:id="140"/>
      <w:bookmarkEnd w:id="141"/>
    </w:p>
    <w:p w14:paraId="194B02E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B10C1C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ABD14C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A0E5093">
      <w:pPr>
        <w:pStyle w:val="5"/>
        <w:snapToGrid w:val="0"/>
        <w:spacing w:before="0" w:after="0" w:line="360" w:lineRule="auto"/>
        <w:rPr>
          <w:rFonts w:ascii="宋体" w:hAnsi="宋体"/>
          <w:b w:val="0"/>
          <w:snapToGrid w:val="0"/>
          <w:color w:val="auto"/>
          <w:sz w:val="24"/>
          <w:szCs w:val="24"/>
          <w:highlight w:val="none"/>
        </w:rPr>
      </w:pPr>
      <w:bookmarkStart w:id="142" w:name="_Toc430530438"/>
      <w:bookmarkStart w:id="143" w:name="_Toc277082555"/>
      <w:bookmarkStart w:id="144" w:name="_Toc57905833"/>
      <w:bookmarkStart w:id="145" w:name="_Toc4104"/>
      <w:bookmarkStart w:id="146" w:name="_Toc200513129"/>
      <w:bookmarkStart w:id="147" w:name="_Toc224103320"/>
      <w:bookmarkStart w:id="148" w:name="_Toc509218713"/>
      <w:bookmarkStart w:id="149" w:name="_Toc287607749"/>
      <w:bookmarkStart w:id="150" w:name="_Toc287620688"/>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rPr>
        <w:t>比选范围</w:t>
      </w:r>
      <w:r>
        <w:rPr>
          <w:rFonts w:ascii="宋体" w:hAnsi="宋体"/>
          <w:b w:val="0"/>
          <w:snapToGrid w:val="0"/>
          <w:color w:val="auto"/>
          <w:sz w:val="24"/>
          <w:szCs w:val="24"/>
          <w:highlight w:val="none"/>
        </w:rPr>
        <w:t>、计划工期和质量要求</w:t>
      </w:r>
      <w:bookmarkEnd w:id="142"/>
      <w:bookmarkEnd w:id="143"/>
      <w:bookmarkEnd w:id="144"/>
      <w:bookmarkEnd w:id="145"/>
      <w:bookmarkEnd w:id="146"/>
      <w:bookmarkEnd w:id="147"/>
      <w:bookmarkEnd w:id="148"/>
      <w:bookmarkEnd w:id="149"/>
      <w:bookmarkEnd w:id="150"/>
    </w:p>
    <w:p w14:paraId="3759DB2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8CB07E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color w:val="auto"/>
          <w:spacing w:val="-3"/>
          <w:szCs w:val="21"/>
          <w:highlight w:val="none"/>
        </w:rPr>
        <w:t>服务期限</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FFE629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1655A23">
      <w:pPr>
        <w:pStyle w:val="5"/>
        <w:snapToGrid w:val="0"/>
        <w:spacing w:before="0" w:after="0" w:line="360" w:lineRule="auto"/>
        <w:rPr>
          <w:rFonts w:ascii="宋体" w:hAnsi="宋体"/>
          <w:b w:val="0"/>
          <w:snapToGrid w:val="0"/>
          <w:color w:val="auto"/>
          <w:sz w:val="24"/>
          <w:szCs w:val="24"/>
          <w:highlight w:val="none"/>
        </w:rPr>
      </w:pPr>
      <w:bookmarkStart w:id="151" w:name="_Toc287620689"/>
      <w:bookmarkStart w:id="152" w:name="_Toc287607750"/>
      <w:bookmarkStart w:id="153" w:name="_Toc509218714"/>
      <w:bookmarkStart w:id="154" w:name="_Toc11246"/>
      <w:bookmarkStart w:id="155" w:name="_Toc277082556"/>
      <w:bookmarkStart w:id="156" w:name="_Toc430530439"/>
      <w:bookmarkStart w:id="157" w:name="_Toc57905834"/>
      <w:bookmarkStart w:id="158" w:name="_Toc200513130"/>
      <w:bookmarkStart w:id="159" w:name="_Toc224103321"/>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适用于已进行资格预审的</w:t>
      </w:r>
      <w:r>
        <w:rPr>
          <w:rFonts w:ascii="宋体" w:hAnsi="宋体"/>
          <w:b w:val="0"/>
          <w:snapToGrid w:val="0"/>
          <w:color w:val="auto"/>
          <w:sz w:val="24"/>
          <w:szCs w:val="24"/>
          <w:highlight w:val="none"/>
        </w:rPr>
        <w:t>）</w:t>
      </w:r>
      <w:bookmarkEnd w:id="151"/>
      <w:bookmarkEnd w:id="152"/>
      <w:bookmarkEnd w:id="153"/>
      <w:bookmarkEnd w:id="154"/>
      <w:bookmarkEnd w:id="155"/>
      <w:bookmarkEnd w:id="156"/>
      <w:bookmarkEnd w:id="157"/>
      <w:bookmarkEnd w:id="158"/>
      <w:bookmarkEnd w:id="159"/>
    </w:p>
    <w:p w14:paraId="56FB6F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应是收到</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发出投标邀请书的单位。</w:t>
      </w:r>
    </w:p>
    <w:p w14:paraId="46E74746">
      <w:pPr>
        <w:pStyle w:val="5"/>
        <w:snapToGrid w:val="0"/>
        <w:spacing w:before="0" w:after="0" w:line="360" w:lineRule="auto"/>
        <w:rPr>
          <w:rFonts w:ascii="宋体" w:hAnsi="宋体"/>
          <w:b w:val="0"/>
          <w:snapToGrid w:val="0"/>
          <w:color w:val="auto"/>
          <w:sz w:val="24"/>
          <w:szCs w:val="24"/>
          <w:highlight w:val="none"/>
        </w:rPr>
      </w:pPr>
      <w:bookmarkStart w:id="160" w:name="_Toc200513131"/>
      <w:bookmarkStart w:id="161" w:name="_Toc1894"/>
      <w:bookmarkStart w:id="162" w:name="_Toc430530440"/>
      <w:bookmarkStart w:id="163" w:name="_Toc287607751"/>
      <w:bookmarkStart w:id="164" w:name="_Toc57905835"/>
      <w:bookmarkStart w:id="165" w:name="_Toc509218715"/>
      <w:bookmarkStart w:id="166" w:name="_Toc224103322"/>
      <w:bookmarkStart w:id="167" w:name="_Toc277082557"/>
      <w:bookmarkStart w:id="168" w:name="_Toc287620690"/>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60"/>
      <w:bookmarkEnd w:id="161"/>
      <w:bookmarkEnd w:id="162"/>
      <w:bookmarkEnd w:id="163"/>
      <w:bookmarkEnd w:id="164"/>
      <w:bookmarkEnd w:id="165"/>
      <w:bookmarkEnd w:id="166"/>
      <w:bookmarkEnd w:id="167"/>
      <w:bookmarkEnd w:id="168"/>
    </w:p>
    <w:p w14:paraId="2413C0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应具备承担本标段施工的资质条件、能力和信誉。</w:t>
      </w:r>
    </w:p>
    <w:p w14:paraId="6823561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1D6813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5B3849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8D2FAB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w:t>
      </w:r>
      <w:r>
        <w:rPr>
          <w:color w:val="auto"/>
          <w:spacing w:val="-2"/>
          <w:szCs w:val="21"/>
          <w:highlight w:val="none"/>
        </w:rPr>
        <w:t>项目负责人</w:t>
      </w:r>
      <w:r>
        <w:rPr>
          <w:rFonts w:ascii="宋体" w:hAnsi="宋体"/>
          <w:snapToGrid w:val="0"/>
          <w:color w:val="auto"/>
          <w:kern w:val="0"/>
          <w:szCs w:val="21"/>
          <w:highlight w:val="none"/>
        </w:rPr>
        <w:t>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14B14A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）其他要求：见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B32BC4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须知前附表的要求外，还应遵守以下规定：</w:t>
      </w:r>
    </w:p>
    <w:p w14:paraId="7833D12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提供的格式签订联合体协议书，明确联合体牵头人和各方权利义务；</w:t>
      </w:r>
    </w:p>
    <w:p w14:paraId="1C1D6F7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76625CA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2BA110E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不得存在下列情形之一：</w:t>
      </w:r>
    </w:p>
    <w:p w14:paraId="698FB2C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rPr>
        <w:t>比选人</w:t>
      </w:r>
      <w:r>
        <w:rPr>
          <w:rFonts w:ascii="宋体" w:hAnsi="宋体"/>
          <w:snapToGrid w:val="0"/>
          <w:color w:val="auto"/>
          <w:kern w:val="0"/>
          <w:position w:val="-2"/>
          <w:szCs w:val="21"/>
          <w:highlight w:val="none"/>
        </w:rPr>
        <w:t>存在利害关系可能影响招标公正性的法人、其他组织或者个人；</w:t>
      </w:r>
    </w:p>
    <w:p w14:paraId="5257F99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（2）为本标段提供施工总承包的；</w:t>
      </w:r>
    </w:p>
    <w:p w14:paraId="3F77DC4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F13555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5D820B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17FCC95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同为一个法定代表人的；</w:t>
      </w:r>
    </w:p>
    <w:p w14:paraId="3B905E0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rPr>
        <w:t>比选代理机构存在</w:t>
      </w:r>
      <w:r>
        <w:rPr>
          <w:rFonts w:ascii="宋体" w:hAnsi="宋体"/>
          <w:snapToGrid w:val="0"/>
          <w:color w:val="auto"/>
          <w:kern w:val="0"/>
          <w:szCs w:val="21"/>
          <w:highlight w:val="none"/>
        </w:rPr>
        <w:t>控股或参股的；</w:t>
      </w:r>
    </w:p>
    <w:p w14:paraId="4BB4DAF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相互任职或工作的；</w:t>
      </w:r>
    </w:p>
    <w:p w14:paraId="4EB05C6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2CDC76D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1F9B3B6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41177855">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048EAE45">
      <w:pPr>
        <w:pStyle w:val="5"/>
        <w:snapToGrid w:val="0"/>
        <w:spacing w:before="0" w:after="0" w:line="360" w:lineRule="auto"/>
        <w:rPr>
          <w:rFonts w:ascii="宋体" w:hAnsi="宋体"/>
          <w:b w:val="0"/>
          <w:snapToGrid w:val="0"/>
          <w:color w:val="auto"/>
          <w:sz w:val="24"/>
          <w:szCs w:val="24"/>
          <w:highlight w:val="none"/>
        </w:rPr>
      </w:pPr>
      <w:bookmarkStart w:id="169" w:name="_Toc509218716"/>
      <w:bookmarkStart w:id="170" w:name="_Toc430530441"/>
      <w:bookmarkStart w:id="171" w:name="_Toc200513132"/>
      <w:bookmarkStart w:id="172" w:name="_Toc287607752"/>
      <w:bookmarkStart w:id="173" w:name="_Toc224103323"/>
      <w:bookmarkStart w:id="174" w:name="_Toc287620691"/>
      <w:bookmarkStart w:id="175" w:name="_Toc277082558"/>
      <w:bookmarkStart w:id="176" w:name="_Toc20662"/>
      <w:bookmarkStart w:id="177" w:name="_Toc57905836"/>
      <w:r>
        <w:rPr>
          <w:rFonts w:ascii="宋体" w:hAnsi="宋体"/>
          <w:b w:val="0"/>
          <w:snapToGrid w:val="0"/>
          <w:color w:val="auto"/>
          <w:sz w:val="24"/>
          <w:szCs w:val="24"/>
          <w:highlight w:val="none"/>
        </w:rPr>
        <w:t>1.5  费用承担</w:t>
      </w:r>
      <w:bookmarkEnd w:id="169"/>
      <w:bookmarkEnd w:id="170"/>
      <w:bookmarkEnd w:id="171"/>
      <w:bookmarkEnd w:id="172"/>
      <w:bookmarkEnd w:id="173"/>
      <w:bookmarkEnd w:id="174"/>
      <w:bookmarkEnd w:id="175"/>
      <w:bookmarkEnd w:id="176"/>
      <w:bookmarkEnd w:id="177"/>
    </w:p>
    <w:p w14:paraId="6D8E00D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准备和参加投标活动发生的费用自理。</w:t>
      </w:r>
    </w:p>
    <w:p w14:paraId="7C1B0823">
      <w:pPr>
        <w:pStyle w:val="5"/>
        <w:snapToGrid w:val="0"/>
        <w:spacing w:before="0" w:after="0" w:line="360" w:lineRule="auto"/>
        <w:rPr>
          <w:rFonts w:ascii="宋体" w:hAnsi="宋体"/>
          <w:b w:val="0"/>
          <w:snapToGrid w:val="0"/>
          <w:color w:val="auto"/>
          <w:sz w:val="24"/>
          <w:szCs w:val="24"/>
          <w:highlight w:val="none"/>
        </w:rPr>
      </w:pPr>
      <w:bookmarkStart w:id="178" w:name="_Toc200513133"/>
      <w:bookmarkStart w:id="179" w:name="_Toc277082559"/>
      <w:bookmarkStart w:id="180" w:name="_Toc287620692"/>
      <w:bookmarkStart w:id="181" w:name="_Toc430530442"/>
      <w:bookmarkStart w:id="182" w:name="_Toc26130"/>
      <w:bookmarkStart w:id="183" w:name="_Toc224103324"/>
      <w:bookmarkStart w:id="184" w:name="_Toc57905837"/>
      <w:bookmarkStart w:id="185" w:name="_Toc509218717"/>
      <w:bookmarkStart w:id="186" w:name="_Toc287607753"/>
      <w:r>
        <w:rPr>
          <w:rFonts w:ascii="宋体" w:hAnsi="宋体"/>
          <w:b w:val="0"/>
          <w:snapToGrid w:val="0"/>
          <w:color w:val="auto"/>
          <w:sz w:val="24"/>
          <w:szCs w:val="24"/>
          <w:highlight w:val="none"/>
        </w:rPr>
        <w:t>1.6  保密</w:t>
      </w:r>
      <w:bookmarkEnd w:id="178"/>
      <w:bookmarkEnd w:id="179"/>
      <w:bookmarkEnd w:id="180"/>
      <w:bookmarkEnd w:id="181"/>
      <w:bookmarkEnd w:id="182"/>
      <w:bookmarkEnd w:id="183"/>
      <w:bookmarkEnd w:id="184"/>
      <w:bookmarkEnd w:id="185"/>
      <w:bookmarkEnd w:id="186"/>
    </w:p>
    <w:p w14:paraId="2B2D8FF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中的商业和技术等秘密保密，违者应对由此造成的后果承担法律责任。</w:t>
      </w:r>
    </w:p>
    <w:p w14:paraId="4385E503">
      <w:pPr>
        <w:pStyle w:val="5"/>
        <w:snapToGrid w:val="0"/>
        <w:spacing w:before="0" w:after="0" w:line="360" w:lineRule="auto"/>
        <w:rPr>
          <w:rFonts w:ascii="宋体" w:hAnsi="宋体"/>
          <w:b w:val="0"/>
          <w:snapToGrid w:val="0"/>
          <w:color w:val="auto"/>
          <w:sz w:val="24"/>
          <w:szCs w:val="24"/>
          <w:highlight w:val="none"/>
        </w:rPr>
      </w:pPr>
      <w:bookmarkStart w:id="187" w:name="_Toc287607754"/>
      <w:bookmarkStart w:id="188" w:name="_Toc1222"/>
      <w:bookmarkStart w:id="189" w:name="_Toc57905838"/>
      <w:bookmarkStart w:id="190" w:name="_Toc224103325"/>
      <w:bookmarkStart w:id="191" w:name="_Toc287620693"/>
      <w:bookmarkStart w:id="192" w:name="_Toc430530443"/>
      <w:bookmarkStart w:id="193" w:name="_Toc277082560"/>
      <w:bookmarkStart w:id="194" w:name="_Toc200513134"/>
      <w:bookmarkStart w:id="195" w:name="_Toc509218718"/>
      <w:r>
        <w:rPr>
          <w:rFonts w:ascii="宋体" w:hAnsi="宋体"/>
          <w:b w:val="0"/>
          <w:snapToGrid w:val="0"/>
          <w:color w:val="auto"/>
          <w:sz w:val="24"/>
          <w:szCs w:val="24"/>
          <w:highlight w:val="none"/>
        </w:rPr>
        <w:t>1.7  语言文字</w:t>
      </w:r>
      <w:bookmarkEnd w:id="187"/>
      <w:bookmarkEnd w:id="188"/>
      <w:bookmarkEnd w:id="189"/>
      <w:bookmarkEnd w:id="190"/>
      <w:bookmarkEnd w:id="191"/>
      <w:bookmarkEnd w:id="192"/>
      <w:bookmarkEnd w:id="193"/>
      <w:bookmarkEnd w:id="194"/>
      <w:bookmarkEnd w:id="195"/>
    </w:p>
    <w:p w14:paraId="3244A9B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4A5F85E4">
      <w:pPr>
        <w:pStyle w:val="5"/>
        <w:snapToGrid w:val="0"/>
        <w:spacing w:before="0" w:after="0" w:line="360" w:lineRule="auto"/>
        <w:rPr>
          <w:rFonts w:ascii="宋体" w:hAnsi="宋体"/>
          <w:b w:val="0"/>
          <w:snapToGrid w:val="0"/>
          <w:color w:val="auto"/>
          <w:sz w:val="24"/>
          <w:szCs w:val="24"/>
          <w:highlight w:val="none"/>
        </w:rPr>
      </w:pPr>
      <w:bookmarkStart w:id="196" w:name="_Toc200513135"/>
      <w:bookmarkStart w:id="197" w:name="_Toc287620694"/>
      <w:bookmarkStart w:id="198" w:name="_Toc57905839"/>
      <w:bookmarkStart w:id="199" w:name="_Toc224103326"/>
      <w:bookmarkStart w:id="200" w:name="_Toc13374"/>
      <w:bookmarkStart w:id="201" w:name="_Toc430530444"/>
      <w:bookmarkStart w:id="202" w:name="_Toc509218719"/>
      <w:bookmarkStart w:id="203" w:name="_Toc277082561"/>
      <w:bookmarkStart w:id="204" w:name="_Toc287607755"/>
      <w:r>
        <w:rPr>
          <w:rFonts w:ascii="宋体" w:hAnsi="宋体"/>
          <w:b w:val="0"/>
          <w:snapToGrid w:val="0"/>
          <w:color w:val="auto"/>
          <w:sz w:val="24"/>
          <w:szCs w:val="24"/>
          <w:highlight w:val="none"/>
        </w:rPr>
        <w:t>1.8  计量单位</w:t>
      </w:r>
      <w:bookmarkEnd w:id="196"/>
      <w:bookmarkEnd w:id="197"/>
      <w:bookmarkEnd w:id="198"/>
      <w:bookmarkEnd w:id="199"/>
      <w:bookmarkEnd w:id="200"/>
      <w:bookmarkEnd w:id="201"/>
      <w:bookmarkEnd w:id="202"/>
      <w:bookmarkEnd w:id="203"/>
      <w:bookmarkEnd w:id="204"/>
    </w:p>
    <w:p w14:paraId="2CBA606D">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5EE460DB">
      <w:pPr>
        <w:pStyle w:val="5"/>
        <w:snapToGrid w:val="0"/>
        <w:spacing w:before="0" w:after="0" w:line="360" w:lineRule="auto"/>
        <w:rPr>
          <w:rFonts w:ascii="宋体" w:hAnsi="宋体"/>
          <w:b w:val="0"/>
          <w:snapToGrid w:val="0"/>
          <w:color w:val="auto"/>
          <w:sz w:val="24"/>
          <w:szCs w:val="24"/>
          <w:highlight w:val="none"/>
        </w:rPr>
      </w:pPr>
      <w:bookmarkStart w:id="205" w:name="_Toc287620695"/>
      <w:bookmarkStart w:id="206" w:name="_Toc509218720"/>
      <w:bookmarkStart w:id="207" w:name="_Toc287607756"/>
      <w:bookmarkStart w:id="208" w:name="_Toc19275"/>
      <w:bookmarkStart w:id="209" w:name="_Toc277082562"/>
      <w:bookmarkStart w:id="210" w:name="_Toc224103327"/>
      <w:bookmarkStart w:id="211" w:name="_Toc57905840"/>
      <w:bookmarkStart w:id="212" w:name="_Toc200513136"/>
      <w:bookmarkStart w:id="213" w:name="_Toc430530445"/>
      <w:r>
        <w:rPr>
          <w:rFonts w:ascii="宋体" w:hAnsi="宋体"/>
          <w:b w:val="0"/>
          <w:snapToGrid w:val="0"/>
          <w:color w:val="auto"/>
          <w:sz w:val="24"/>
          <w:szCs w:val="24"/>
          <w:highlight w:val="none"/>
        </w:rPr>
        <w:t>1.9  踏勘现场</w:t>
      </w:r>
      <w:bookmarkEnd w:id="205"/>
      <w:bookmarkEnd w:id="206"/>
      <w:bookmarkEnd w:id="207"/>
      <w:bookmarkEnd w:id="208"/>
      <w:bookmarkEnd w:id="209"/>
      <w:bookmarkEnd w:id="210"/>
      <w:bookmarkEnd w:id="211"/>
      <w:bookmarkEnd w:id="212"/>
      <w:bookmarkEnd w:id="213"/>
    </w:p>
    <w:p w14:paraId="25CDA8A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踏勘项目现场。</w:t>
      </w:r>
    </w:p>
    <w:p w14:paraId="1B122FB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踏勘现场发生的费用自理。</w:t>
      </w:r>
    </w:p>
    <w:p w14:paraId="54971C0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自行负责在踏勘现场中所发生的人员伤亡和财产损失。</w:t>
      </w:r>
    </w:p>
    <w:p w14:paraId="4BDE06A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在踏勘现场中介绍的工程场地和相关的周边环境情况，供</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据此做出的判断和决策负责。</w:t>
      </w:r>
    </w:p>
    <w:p w14:paraId="569E9EF8">
      <w:pPr>
        <w:pStyle w:val="5"/>
        <w:snapToGrid w:val="0"/>
        <w:spacing w:before="0" w:after="0" w:line="360" w:lineRule="auto"/>
        <w:rPr>
          <w:rFonts w:ascii="宋体" w:hAnsi="宋体"/>
          <w:b w:val="0"/>
          <w:snapToGrid w:val="0"/>
          <w:color w:val="auto"/>
          <w:sz w:val="24"/>
          <w:szCs w:val="24"/>
          <w:highlight w:val="none"/>
        </w:rPr>
      </w:pPr>
      <w:bookmarkStart w:id="214" w:name="_Toc287620696"/>
      <w:bookmarkStart w:id="215" w:name="_Toc224103328"/>
      <w:bookmarkStart w:id="216" w:name="_Toc32057"/>
      <w:bookmarkStart w:id="217" w:name="_Toc509218721"/>
      <w:bookmarkStart w:id="218" w:name="_Toc430530446"/>
      <w:bookmarkStart w:id="219" w:name="_Toc277082563"/>
      <w:bookmarkStart w:id="220" w:name="_Toc57905841"/>
      <w:bookmarkStart w:id="221" w:name="_Toc200513137"/>
      <w:bookmarkStart w:id="222" w:name="_Toc287607757"/>
      <w:r>
        <w:rPr>
          <w:rFonts w:ascii="宋体" w:hAnsi="宋体"/>
          <w:b w:val="0"/>
          <w:snapToGrid w:val="0"/>
          <w:color w:val="auto"/>
          <w:sz w:val="24"/>
          <w:szCs w:val="24"/>
          <w:highlight w:val="none"/>
        </w:rPr>
        <w:t>1.10  投标预备会</w:t>
      </w:r>
      <w:bookmarkEnd w:id="214"/>
      <w:bookmarkEnd w:id="215"/>
      <w:bookmarkEnd w:id="216"/>
      <w:bookmarkEnd w:id="217"/>
      <w:bookmarkEnd w:id="218"/>
      <w:bookmarkEnd w:id="219"/>
      <w:bookmarkEnd w:id="220"/>
      <w:bookmarkEnd w:id="221"/>
      <w:bookmarkEnd w:id="222"/>
    </w:p>
    <w:p w14:paraId="4DE73B8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提出的问题。</w:t>
      </w:r>
    </w:p>
    <w:p w14:paraId="6338D7E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澄清。</w:t>
      </w:r>
    </w:p>
    <w:p w14:paraId="004E264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须知前附表规定的时间内，将对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rPr>
        <w:t>竞选文件</w:t>
      </w:r>
      <w:r>
        <w:rPr>
          <w:rFonts w:ascii="宋体" w:hAnsi="宋体"/>
          <w:snapToGrid w:val="0"/>
          <w:color w:val="auto"/>
          <w:kern w:val="0"/>
          <w:position w:val="-2"/>
          <w:szCs w:val="21"/>
          <w:highlight w:val="none"/>
        </w:rPr>
        <w:t>的组成部分。</w:t>
      </w:r>
    </w:p>
    <w:p w14:paraId="3DF3963A">
      <w:pPr>
        <w:pStyle w:val="5"/>
        <w:snapToGrid w:val="0"/>
        <w:spacing w:before="0" w:after="0" w:line="360" w:lineRule="auto"/>
        <w:rPr>
          <w:rFonts w:ascii="宋体" w:hAnsi="宋体"/>
          <w:b w:val="0"/>
          <w:snapToGrid w:val="0"/>
          <w:color w:val="auto"/>
          <w:sz w:val="24"/>
          <w:szCs w:val="24"/>
          <w:highlight w:val="none"/>
        </w:rPr>
      </w:pPr>
      <w:bookmarkStart w:id="223" w:name="_Toc287620697"/>
      <w:bookmarkStart w:id="224" w:name="_Toc287607758"/>
      <w:bookmarkStart w:id="225" w:name="_Toc3036"/>
      <w:bookmarkStart w:id="226" w:name="_Toc57905842"/>
      <w:bookmarkStart w:id="227" w:name="_Toc224103329"/>
      <w:bookmarkStart w:id="228" w:name="_Toc200513138"/>
      <w:bookmarkStart w:id="229" w:name="_Toc509218722"/>
      <w:bookmarkStart w:id="230" w:name="_Toc277082564"/>
      <w:bookmarkStart w:id="231" w:name="_Toc430530447"/>
      <w:r>
        <w:rPr>
          <w:rFonts w:ascii="宋体" w:hAnsi="宋体"/>
          <w:b w:val="0"/>
          <w:snapToGrid w:val="0"/>
          <w:color w:val="auto"/>
          <w:sz w:val="24"/>
          <w:szCs w:val="24"/>
          <w:highlight w:val="none"/>
        </w:rPr>
        <w:t>1.11  分包</w:t>
      </w:r>
      <w:bookmarkEnd w:id="223"/>
      <w:bookmarkEnd w:id="224"/>
      <w:bookmarkEnd w:id="225"/>
      <w:bookmarkEnd w:id="226"/>
      <w:bookmarkEnd w:id="227"/>
      <w:bookmarkEnd w:id="228"/>
      <w:bookmarkEnd w:id="229"/>
      <w:bookmarkEnd w:id="230"/>
      <w:bookmarkEnd w:id="231"/>
    </w:p>
    <w:p w14:paraId="0CD5E974">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拟在中标后将中标项目的部分非主体、非关键性工作进行分包的，应符合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须知前附表规定的分包内容、分包金额和接受分包的第三人资质要求等限制性条件。</w:t>
      </w:r>
    </w:p>
    <w:p w14:paraId="71150DDB">
      <w:pPr>
        <w:pStyle w:val="5"/>
        <w:snapToGrid w:val="0"/>
        <w:spacing w:before="0" w:after="0" w:line="360" w:lineRule="auto"/>
        <w:rPr>
          <w:rFonts w:ascii="宋体" w:hAnsi="宋体"/>
          <w:b w:val="0"/>
          <w:snapToGrid w:val="0"/>
          <w:color w:val="auto"/>
          <w:sz w:val="24"/>
          <w:szCs w:val="24"/>
          <w:highlight w:val="none"/>
        </w:rPr>
      </w:pPr>
      <w:bookmarkStart w:id="232" w:name="_Toc287620698"/>
      <w:bookmarkStart w:id="233" w:name="_Toc277082565"/>
      <w:bookmarkStart w:id="234" w:name="_Toc287607759"/>
      <w:bookmarkStart w:id="235" w:name="_Toc200513139"/>
      <w:bookmarkStart w:id="236" w:name="_Toc57905843"/>
      <w:bookmarkStart w:id="237" w:name="_Toc509218723"/>
      <w:bookmarkStart w:id="238" w:name="_Toc430530448"/>
      <w:bookmarkStart w:id="239" w:name="_Toc224103330"/>
      <w:bookmarkStart w:id="240" w:name="_Toc5536"/>
      <w:r>
        <w:rPr>
          <w:rFonts w:ascii="宋体" w:hAnsi="宋体"/>
          <w:b w:val="0"/>
          <w:snapToGrid w:val="0"/>
          <w:color w:val="auto"/>
          <w:sz w:val="24"/>
          <w:szCs w:val="24"/>
          <w:highlight w:val="none"/>
        </w:rPr>
        <w:t>1.12  偏离</w:t>
      </w:r>
      <w:bookmarkEnd w:id="232"/>
      <w:bookmarkEnd w:id="233"/>
      <w:bookmarkEnd w:id="234"/>
      <w:bookmarkEnd w:id="235"/>
      <w:bookmarkEnd w:id="236"/>
      <w:bookmarkEnd w:id="237"/>
      <w:bookmarkEnd w:id="238"/>
      <w:bookmarkEnd w:id="239"/>
      <w:bookmarkEnd w:id="240"/>
    </w:p>
    <w:p w14:paraId="320320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规定 的偏离范围和幅度。</w:t>
      </w:r>
    </w:p>
    <w:p w14:paraId="1E83ED6B">
      <w:pPr>
        <w:pStyle w:val="4"/>
        <w:spacing w:before="0" w:after="0" w:line="360" w:lineRule="auto"/>
        <w:rPr>
          <w:rFonts w:ascii="宋体" w:hAnsi="宋体"/>
          <w:b w:val="0"/>
          <w:snapToGrid w:val="0"/>
          <w:color w:val="auto"/>
          <w:highlight w:val="none"/>
        </w:rPr>
      </w:pPr>
      <w:bookmarkStart w:id="241" w:name="_Toc277082566"/>
      <w:bookmarkStart w:id="242" w:name="_Toc430530449"/>
      <w:bookmarkStart w:id="243" w:name="_Toc287607760"/>
      <w:bookmarkStart w:id="244" w:name="_Toc224103331"/>
      <w:bookmarkStart w:id="245" w:name="_Toc57905844"/>
      <w:bookmarkStart w:id="246" w:name="_Toc287620699"/>
      <w:bookmarkStart w:id="247" w:name="_Toc11902"/>
      <w:bookmarkStart w:id="248" w:name="_Toc200513140"/>
      <w:bookmarkStart w:id="249" w:name="_Toc509218724"/>
      <w:r>
        <w:rPr>
          <w:rFonts w:ascii="宋体" w:hAnsi="宋体"/>
          <w:b w:val="0"/>
          <w:snapToGrid w:val="0"/>
          <w:color w:val="auto"/>
          <w:highlight w:val="none"/>
        </w:rPr>
        <w:t xml:space="preserve">2.  </w:t>
      </w:r>
      <w:bookmarkEnd w:id="241"/>
      <w:bookmarkEnd w:id="242"/>
      <w:bookmarkEnd w:id="243"/>
      <w:bookmarkEnd w:id="244"/>
      <w:bookmarkEnd w:id="245"/>
      <w:bookmarkEnd w:id="246"/>
      <w:bookmarkEnd w:id="247"/>
      <w:bookmarkEnd w:id="248"/>
      <w:bookmarkEnd w:id="249"/>
      <w:r>
        <w:rPr>
          <w:rFonts w:hint="eastAsia" w:ascii="宋体" w:hAnsi="宋体"/>
          <w:b w:val="0"/>
          <w:snapToGrid w:val="0"/>
          <w:color w:val="auto"/>
          <w:highlight w:val="none"/>
        </w:rPr>
        <w:t>竞选文件</w:t>
      </w:r>
    </w:p>
    <w:p w14:paraId="087DF85F">
      <w:pPr>
        <w:pStyle w:val="5"/>
        <w:snapToGrid w:val="0"/>
        <w:spacing w:before="0" w:after="0" w:line="360" w:lineRule="auto"/>
        <w:rPr>
          <w:rFonts w:ascii="宋体" w:hAnsi="宋体"/>
          <w:b w:val="0"/>
          <w:snapToGrid w:val="0"/>
          <w:color w:val="auto"/>
          <w:sz w:val="24"/>
          <w:szCs w:val="24"/>
          <w:highlight w:val="none"/>
        </w:rPr>
      </w:pPr>
      <w:bookmarkStart w:id="250" w:name="_Toc430530450"/>
      <w:bookmarkStart w:id="251" w:name="_Toc509218725"/>
      <w:bookmarkStart w:id="252" w:name="_Toc224103332"/>
      <w:bookmarkStart w:id="253" w:name="_Toc287607761"/>
      <w:bookmarkStart w:id="254" w:name="_Toc277082567"/>
      <w:bookmarkStart w:id="255" w:name="_Toc287620700"/>
      <w:bookmarkStart w:id="256" w:name="_Toc200513141"/>
      <w:bookmarkStart w:id="257" w:name="_Toc57905845"/>
      <w:bookmarkStart w:id="258" w:name="_Toc31696"/>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50"/>
      <w:bookmarkEnd w:id="251"/>
      <w:bookmarkEnd w:id="252"/>
      <w:bookmarkEnd w:id="253"/>
      <w:bookmarkEnd w:id="254"/>
      <w:bookmarkEnd w:id="255"/>
      <w:bookmarkEnd w:id="256"/>
      <w:bookmarkEnd w:id="257"/>
      <w:bookmarkEnd w:id="258"/>
    </w:p>
    <w:p w14:paraId="7C82BAD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包括：</w:t>
      </w:r>
    </w:p>
    <w:p w14:paraId="2EFD80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14:paraId="53A73E7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w:t>
      </w:r>
    </w:p>
    <w:p w14:paraId="3E129F9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C47035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6B11D92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）技术标准和要求；</w:t>
      </w:r>
    </w:p>
    <w:p w14:paraId="490CD33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6</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w:t>
      </w:r>
    </w:p>
    <w:p w14:paraId="702478E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7</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须知前附表规定的其他材料。</w:t>
      </w:r>
    </w:p>
    <w:p w14:paraId="235F3A2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w:t>
      </w:r>
    </w:p>
    <w:p w14:paraId="4D901D25">
      <w:pPr>
        <w:pStyle w:val="5"/>
        <w:snapToGrid w:val="0"/>
        <w:spacing w:before="0" w:after="0" w:line="360" w:lineRule="auto"/>
        <w:rPr>
          <w:rFonts w:ascii="宋体" w:hAnsi="宋体"/>
          <w:b w:val="0"/>
          <w:snapToGrid w:val="0"/>
          <w:color w:val="auto"/>
          <w:sz w:val="24"/>
          <w:szCs w:val="24"/>
          <w:highlight w:val="none"/>
        </w:rPr>
      </w:pPr>
      <w:bookmarkStart w:id="259" w:name="_Toc57905846"/>
      <w:bookmarkStart w:id="260" w:name="_Toc430530451"/>
      <w:bookmarkStart w:id="261" w:name="_Toc509218726"/>
      <w:bookmarkStart w:id="262" w:name="_Toc23750"/>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w:t>
      </w:r>
      <w:bookmarkEnd w:id="259"/>
      <w:bookmarkEnd w:id="260"/>
      <w:bookmarkEnd w:id="261"/>
      <w:bookmarkEnd w:id="262"/>
    </w:p>
    <w:p w14:paraId="0F9428B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提出，以便补齐。如有疑问，应在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予以澄清。</w:t>
      </w:r>
    </w:p>
    <w:p w14:paraId="3ABD089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的澄清将在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w:t>
      </w:r>
      <w:r>
        <w:rPr>
          <w:rFonts w:ascii="宋体" w:hAnsi="宋体"/>
          <w:color w:val="auto"/>
          <w:kern w:val="0"/>
          <w:szCs w:val="21"/>
          <w:highlight w:val="none"/>
        </w:rPr>
        <w:t>在</w:t>
      </w:r>
      <w:r>
        <w:rPr>
          <w:rFonts w:hint="eastAsia" w:ascii="宋体" w:hAnsi="宋体"/>
          <w:color w:val="auto"/>
          <w:kern w:val="0"/>
          <w:szCs w:val="21"/>
          <w:highlight w:val="none"/>
        </w:rPr>
        <w:t>相应网站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w:t>
      </w:r>
    </w:p>
    <w:p w14:paraId="205762BD">
      <w:pPr>
        <w:pStyle w:val="5"/>
        <w:snapToGrid w:val="0"/>
        <w:spacing w:before="0" w:after="0" w:line="360" w:lineRule="auto"/>
        <w:rPr>
          <w:rFonts w:ascii="宋体" w:hAnsi="宋体"/>
          <w:b w:val="0"/>
          <w:snapToGrid w:val="0"/>
          <w:color w:val="auto"/>
          <w:sz w:val="24"/>
          <w:szCs w:val="24"/>
          <w:highlight w:val="none"/>
        </w:rPr>
      </w:pPr>
      <w:bookmarkStart w:id="263" w:name="_Toc430530452"/>
      <w:bookmarkStart w:id="264" w:name="_Toc287620702"/>
      <w:bookmarkStart w:id="265" w:name="_Toc224103334"/>
      <w:bookmarkStart w:id="266" w:name="_Toc287607763"/>
      <w:bookmarkStart w:id="267" w:name="_Toc509218727"/>
      <w:bookmarkStart w:id="268" w:name="_Toc57905847"/>
      <w:bookmarkStart w:id="269" w:name="_Toc200513143"/>
      <w:bookmarkStart w:id="270" w:name="_Toc277082569"/>
      <w:bookmarkStart w:id="271" w:name="_Toc2792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w:t>
      </w:r>
      <w:bookmarkEnd w:id="263"/>
      <w:bookmarkEnd w:id="264"/>
      <w:bookmarkEnd w:id="265"/>
      <w:bookmarkEnd w:id="266"/>
      <w:bookmarkEnd w:id="267"/>
      <w:bookmarkEnd w:id="268"/>
      <w:bookmarkEnd w:id="269"/>
      <w:bookmarkEnd w:id="270"/>
      <w:bookmarkEnd w:id="271"/>
    </w:p>
    <w:p w14:paraId="07CD3EC5">
      <w:pPr>
        <w:autoSpaceDE w:val="0"/>
        <w:autoSpaceDN w:val="0"/>
        <w:adjustRightInd w:val="0"/>
        <w:snapToGrid w:val="0"/>
        <w:spacing w:line="360" w:lineRule="auto"/>
        <w:ind w:firstLine="420"/>
        <w:rPr>
          <w:rFonts w:ascii="宋体" w:hAnsi="宋体"/>
          <w:snapToGrid w:val="0"/>
          <w:color w:val="auto"/>
          <w:highlight w:val="none"/>
        </w:rPr>
      </w:pPr>
      <w:bookmarkStart w:id="272" w:name="_Toc287607764"/>
      <w:bookmarkStart w:id="273" w:name="_Toc287620703"/>
      <w:bookmarkStart w:id="274" w:name="_Toc277082570"/>
      <w:bookmarkStart w:id="275" w:name="_Toc224103335"/>
      <w:bookmarkStart w:id="276" w:name="_Toc200513144"/>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款竞选文件</w:t>
      </w:r>
      <w:r>
        <w:rPr>
          <w:rFonts w:ascii="宋体" w:hAnsi="宋体"/>
          <w:snapToGrid w:val="0"/>
          <w:color w:val="auto"/>
          <w:highlight w:val="none"/>
        </w:rPr>
        <w:t>的澄清相关内容及方式执行。</w:t>
      </w:r>
    </w:p>
    <w:p w14:paraId="2F7FF552">
      <w:pPr>
        <w:pStyle w:val="4"/>
        <w:spacing w:before="0" w:after="0" w:line="360" w:lineRule="auto"/>
        <w:rPr>
          <w:rFonts w:ascii="宋体" w:hAnsi="宋体"/>
          <w:b w:val="0"/>
          <w:snapToGrid w:val="0"/>
          <w:color w:val="auto"/>
          <w:highlight w:val="none"/>
        </w:rPr>
      </w:pPr>
      <w:bookmarkStart w:id="277" w:name="_Toc430530453"/>
      <w:bookmarkStart w:id="278" w:name="_Toc14543"/>
      <w:bookmarkStart w:id="279" w:name="_Toc509218728"/>
      <w:bookmarkStart w:id="280" w:name="_Toc57905848"/>
      <w:r>
        <w:rPr>
          <w:rFonts w:ascii="宋体" w:hAnsi="宋体"/>
          <w:b w:val="0"/>
          <w:snapToGrid w:val="0"/>
          <w:color w:val="auto"/>
          <w:highlight w:val="none"/>
        </w:rPr>
        <w:t xml:space="preserve">3.  </w:t>
      </w:r>
      <w:bookmarkEnd w:id="272"/>
      <w:bookmarkEnd w:id="273"/>
      <w:bookmarkEnd w:id="274"/>
      <w:bookmarkEnd w:id="275"/>
      <w:bookmarkEnd w:id="276"/>
      <w:bookmarkEnd w:id="277"/>
      <w:bookmarkEnd w:id="278"/>
      <w:bookmarkEnd w:id="279"/>
      <w:bookmarkEnd w:id="280"/>
      <w:r>
        <w:rPr>
          <w:rFonts w:hint="eastAsia" w:ascii="宋体" w:hAnsi="宋体"/>
          <w:b w:val="0"/>
          <w:snapToGrid w:val="0"/>
          <w:color w:val="auto"/>
          <w:highlight w:val="none"/>
        </w:rPr>
        <w:t>竞选文件</w:t>
      </w:r>
    </w:p>
    <w:p w14:paraId="06B3AFC3">
      <w:pPr>
        <w:pStyle w:val="5"/>
        <w:snapToGrid w:val="0"/>
        <w:spacing w:before="0" w:after="0" w:line="360" w:lineRule="auto"/>
        <w:rPr>
          <w:rFonts w:ascii="宋体" w:hAnsi="宋体"/>
          <w:b w:val="0"/>
          <w:snapToGrid w:val="0"/>
          <w:color w:val="auto"/>
          <w:sz w:val="24"/>
          <w:szCs w:val="24"/>
          <w:highlight w:val="none"/>
        </w:rPr>
      </w:pPr>
      <w:bookmarkStart w:id="281" w:name="_Toc57905849"/>
      <w:bookmarkStart w:id="282" w:name="_Toc509218729"/>
      <w:bookmarkStart w:id="283" w:name="_Toc277082571"/>
      <w:bookmarkStart w:id="284" w:name="_Toc200513145"/>
      <w:bookmarkStart w:id="285" w:name="_Toc287607765"/>
      <w:bookmarkStart w:id="286" w:name="_Toc430530454"/>
      <w:bookmarkStart w:id="287" w:name="_Toc287620704"/>
      <w:bookmarkStart w:id="288" w:name="_Toc8482"/>
      <w:bookmarkStart w:id="289" w:name="_Toc224103336"/>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81"/>
      <w:bookmarkEnd w:id="282"/>
      <w:bookmarkEnd w:id="283"/>
      <w:bookmarkEnd w:id="284"/>
      <w:bookmarkEnd w:id="285"/>
      <w:bookmarkEnd w:id="286"/>
      <w:bookmarkEnd w:id="287"/>
      <w:bookmarkEnd w:id="288"/>
      <w:bookmarkEnd w:id="289"/>
    </w:p>
    <w:p w14:paraId="4292ED7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应包括下列内容：</w:t>
      </w:r>
    </w:p>
    <w:p w14:paraId="6E7055C9">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14:paraId="4BB5E302">
      <w:pPr>
        <w:spacing w:line="360" w:lineRule="auto"/>
        <w:ind w:firstLine="420" w:firstLineChars="200"/>
        <w:rPr>
          <w:rFonts w:ascii="宋体" w:hAnsi="宋体"/>
          <w:color w:val="auto"/>
          <w:highlight w:val="none"/>
        </w:rPr>
      </w:pPr>
      <w:r>
        <w:rPr>
          <w:rFonts w:hint="eastAsia" w:ascii="宋体" w:hAnsi="宋体"/>
          <w:color w:val="auto"/>
          <w:highlight w:val="none"/>
        </w:rPr>
        <w:t>3.1.1.2技术部分</w:t>
      </w:r>
    </w:p>
    <w:p w14:paraId="216D6427">
      <w:pPr>
        <w:spacing w:line="360" w:lineRule="auto"/>
        <w:ind w:firstLine="420" w:firstLineChars="200"/>
        <w:rPr>
          <w:rFonts w:ascii="宋体" w:hAnsi="宋体"/>
          <w:color w:val="auto"/>
          <w:highlight w:val="none"/>
        </w:rPr>
      </w:pPr>
      <w:r>
        <w:rPr>
          <w:rFonts w:hint="eastAsia" w:ascii="宋体" w:hAnsi="宋体"/>
          <w:color w:val="auto"/>
          <w:highlight w:val="none"/>
        </w:rPr>
        <w:t>3.1.1.3资格审查部分</w:t>
      </w:r>
    </w:p>
    <w:p w14:paraId="417F43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不包括联合体协议书。</w:t>
      </w:r>
    </w:p>
    <w:p w14:paraId="4F841D8B">
      <w:pPr>
        <w:pStyle w:val="5"/>
        <w:snapToGrid w:val="0"/>
        <w:spacing w:before="0" w:after="0" w:line="360" w:lineRule="auto"/>
        <w:rPr>
          <w:rFonts w:ascii="宋体" w:hAnsi="宋体"/>
          <w:b w:val="0"/>
          <w:snapToGrid w:val="0"/>
          <w:color w:val="auto"/>
          <w:sz w:val="24"/>
          <w:szCs w:val="24"/>
          <w:highlight w:val="none"/>
        </w:rPr>
      </w:pPr>
      <w:bookmarkStart w:id="290" w:name="_Toc277082572"/>
      <w:bookmarkStart w:id="291" w:name="_Toc509218730"/>
      <w:bookmarkStart w:id="292" w:name="_Toc287620705"/>
      <w:bookmarkStart w:id="293" w:name="_Toc200513146"/>
      <w:bookmarkStart w:id="294" w:name="_Toc287607766"/>
      <w:bookmarkStart w:id="295" w:name="_Toc57905850"/>
      <w:bookmarkStart w:id="296" w:name="_Toc11028"/>
      <w:bookmarkStart w:id="297" w:name="_Toc224103337"/>
      <w:bookmarkStart w:id="298" w:name="_Toc430530455"/>
      <w:r>
        <w:rPr>
          <w:rFonts w:ascii="宋体" w:hAnsi="宋体"/>
          <w:b w:val="0"/>
          <w:snapToGrid w:val="0"/>
          <w:color w:val="auto"/>
          <w:sz w:val="24"/>
          <w:szCs w:val="24"/>
          <w:highlight w:val="none"/>
        </w:rPr>
        <w:t>3.2  投标报价</w:t>
      </w:r>
      <w:bookmarkEnd w:id="290"/>
      <w:bookmarkEnd w:id="291"/>
      <w:bookmarkEnd w:id="292"/>
      <w:bookmarkEnd w:id="293"/>
      <w:bookmarkEnd w:id="294"/>
      <w:bookmarkEnd w:id="295"/>
      <w:bookmarkEnd w:id="296"/>
      <w:bookmarkEnd w:id="297"/>
      <w:bookmarkEnd w:id="298"/>
    </w:p>
    <w:p w14:paraId="3A4FE2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见投标人须知前附表</w:t>
      </w:r>
      <w:r>
        <w:rPr>
          <w:rFonts w:ascii="宋体" w:hAnsi="宋体"/>
          <w:snapToGrid w:val="0"/>
          <w:color w:val="auto"/>
          <w:kern w:val="0"/>
          <w:szCs w:val="21"/>
          <w:highlight w:val="none"/>
        </w:rPr>
        <w:t>。</w:t>
      </w:r>
    </w:p>
    <w:p w14:paraId="1B98BF01">
      <w:pPr>
        <w:pStyle w:val="5"/>
        <w:snapToGrid w:val="0"/>
        <w:spacing w:before="0" w:after="0" w:line="360" w:lineRule="auto"/>
        <w:rPr>
          <w:rFonts w:ascii="宋体" w:hAnsi="宋体"/>
          <w:b w:val="0"/>
          <w:snapToGrid w:val="0"/>
          <w:color w:val="auto"/>
          <w:sz w:val="24"/>
          <w:szCs w:val="24"/>
          <w:highlight w:val="none"/>
        </w:rPr>
      </w:pPr>
      <w:bookmarkStart w:id="299" w:name="_Toc287607767"/>
      <w:bookmarkStart w:id="300" w:name="_Toc430530456"/>
      <w:bookmarkStart w:id="301" w:name="_Toc224103338"/>
      <w:bookmarkStart w:id="302" w:name="_Toc277082573"/>
      <w:bookmarkStart w:id="303" w:name="_Toc57905851"/>
      <w:bookmarkStart w:id="304" w:name="_Toc4304"/>
      <w:bookmarkStart w:id="305" w:name="_Toc509218731"/>
      <w:bookmarkStart w:id="306" w:name="_Toc287620706"/>
      <w:bookmarkStart w:id="307" w:name="_Toc200513147"/>
      <w:r>
        <w:rPr>
          <w:rFonts w:ascii="宋体" w:hAnsi="宋体"/>
          <w:b w:val="0"/>
          <w:snapToGrid w:val="0"/>
          <w:color w:val="auto"/>
          <w:sz w:val="24"/>
          <w:szCs w:val="24"/>
          <w:highlight w:val="none"/>
        </w:rPr>
        <w:t>3.3  投标有效期</w:t>
      </w:r>
      <w:bookmarkEnd w:id="299"/>
      <w:bookmarkEnd w:id="300"/>
      <w:bookmarkEnd w:id="301"/>
      <w:bookmarkEnd w:id="302"/>
      <w:bookmarkEnd w:id="303"/>
      <w:bookmarkEnd w:id="304"/>
      <w:bookmarkEnd w:id="305"/>
      <w:bookmarkEnd w:id="306"/>
      <w:bookmarkEnd w:id="307"/>
    </w:p>
    <w:p w14:paraId="0464FA5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须知前附表规定的投标有效期内，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不得要求撤销或修改其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2BC7B650">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投标有效期的，比选人以书面形式通知所有竞选人延长投标有效期。竞选人同意延长的，应相应延长其投标保证金的有效期，但不得要求或被允许修改或撤销其竞选文件；竞选人拒绝延长的，其投标失效，但竞选人有权收回其投标保证金。</w:t>
      </w:r>
    </w:p>
    <w:p w14:paraId="653E39F6">
      <w:pPr>
        <w:pStyle w:val="5"/>
        <w:keepNext w:val="0"/>
        <w:keepLines w:val="0"/>
        <w:snapToGrid w:val="0"/>
        <w:spacing w:before="0" w:after="0" w:line="360" w:lineRule="auto"/>
        <w:rPr>
          <w:rFonts w:ascii="宋体" w:hAnsi="宋体"/>
          <w:b w:val="0"/>
          <w:snapToGrid w:val="0"/>
          <w:color w:val="auto"/>
          <w:sz w:val="24"/>
          <w:szCs w:val="24"/>
          <w:highlight w:val="none"/>
        </w:rPr>
      </w:pPr>
      <w:bookmarkStart w:id="308" w:name="_Toc287620707"/>
      <w:bookmarkStart w:id="309" w:name="_Toc287607768"/>
      <w:bookmarkStart w:id="310" w:name="_Toc200513148"/>
      <w:bookmarkStart w:id="311" w:name="_Toc430530457"/>
      <w:bookmarkStart w:id="312" w:name="_Toc277082574"/>
      <w:bookmarkStart w:id="313" w:name="_Toc509218732"/>
      <w:bookmarkStart w:id="314" w:name="_Toc224103339"/>
      <w:bookmarkStart w:id="315" w:name="_Toc1366"/>
      <w:bookmarkStart w:id="316" w:name="_Toc57905852"/>
      <w:r>
        <w:rPr>
          <w:rFonts w:ascii="宋体" w:hAnsi="宋体"/>
          <w:b w:val="0"/>
          <w:snapToGrid w:val="0"/>
          <w:color w:val="auto"/>
          <w:sz w:val="24"/>
          <w:szCs w:val="24"/>
          <w:highlight w:val="none"/>
        </w:rPr>
        <w:t xml:space="preserve">3.4  </w:t>
      </w:r>
      <w:bookmarkEnd w:id="308"/>
      <w:bookmarkEnd w:id="309"/>
      <w:bookmarkEnd w:id="310"/>
      <w:bookmarkEnd w:id="311"/>
      <w:bookmarkEnd w:id="312"/>
      <w:bookmarkEnd w:id="313"/>
      <w:bookmarkEnd w:id="314"/>
      <w:r>
        <w:rPr>
          <w:rFonts w:ascii="宋体" w:hAnsi="宋体"/>
          <w:b w:val="0"/>
          <w:snapToGrid w:val="0"/>
          <w:color w:val="auto"/>
          <w:sz w:val="24"/>
          <w:szCs w:val="24"/>
          <w:highlight w:val="none"/>
        </w:rPr>
        <w:t>投标</w:t>
      </w:r>
      <w:bookmarkEnd w:id="315"/>
      <w:r>
        <w:rPr>
          <w:rFonts w:hint="eastAsia" w:ascii="宋体" w:hAnsi="宋体"/>
          <w:b w:val="0"/>
          <w:snapToGrid w:val="0"/>
          <w:color w:val="auto"/>
          <w:sz w:val="24"/>
          <w:szCs w:val="24"/>
          <w:highlight w:val="none"/>
        </w:rPr>
        <w:t>保证金</w:t>
      </w:r>
      <w:bookmarkEnd w:id="316"/>
    </w:p>
    <w:p w14:paraId="00B6037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须知前附表的规定递交投标保证金，并作为其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的组成部分。联合体投标的，其投标保证金由牵头人递交，并应符合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w:t>
      </w:r>
    </w:p>
    <w:p w14:paraId="14F95B2E">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不按本章第 3.4.1 项要求提交投标保证金的，其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作否决投标处理。</w:t>
      </w:r>
    </w:p>
    <w:p w14:paraId="47E9C713">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ascii="宋体" w:hAnsi="宋体"/>
          <w:snapToGrid w:val="0"/>
          <w:color w:val="auto"/>
          <w:kern w:val="0"/>
          <w:position w:val="-2"/>
          <w:szCs w:val="21"/>
          <w:highlight w:val="none"/>
        </w:rPr>
        <w:t>。</w:t>
      </w:r>
    </w:p>
    <w:p w14:paraId="512CF08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096DA1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在规定的投标有效期内撤销或修改其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574C74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中标人在收到中标通知书后，无正当理由不与比选人订立合同，在签订合同时向比选人提出附加条件，或者不按照竞选文件要求提交履约保证金</w:t>
      </w:r>
      <w:r>
        <w:rPr>
          <w:rFonts w:ascii="宋体" w:hAnsi="宋体"/>
          <w:snapToGrid w:val="0"/>
          <w:color w:val="auto"/>
          <w:kern w:val="0"/>
          <w:szCs w:val="21"/>
          <w:highlight w:val="none"/>
        </w:rPr>
        <w:t>；</w:t>
      </w:r>
    </w:p>
    <w:p w14:paraId="013619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中标人（或拟中标人）拒不提供或者不按时提供低价风险担保（适用于经评审的最低投标价法）；</w:t>
      </w:r>
    </w:p>
    <w:p w14:paraId="59224A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的纪律要求的；</w:t>
      </w:r>
    </w:p>
    <w:p w14:paraId="3E978D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56ECE8F3">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2C0E2F53">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rPr>
        <w:t>比选人。</w:t>
      </w:r>
    </w:p>
    <w:p w14:paraId="556DCEC8">
      <w:pPr>
        <w:pStyle w:val="5"/>
        <w:keepNext w:val="0"/>
        <w:keepLines w:val="0"/>
        <w:snapToGrid w:val="0"/>
        <w:spacing w:before="0" w:after="0" w:line="360" w:lineRule="auto"/>
        <w:rPr>
          <w:rFonts w:ascii="宋体" w:hAnsi="宋体"/>
          <w:b w:val="0"/>
          <w:snapToGrid w:val="0"/>
          <w:color w:val="auto"/>
          <w:sz w:val="24"/>
          <w:szCs w:val="24"/>
          <w:highlight w:val="none"/>
        </w:rPr>
      </w:pPr>
      <w:bookmarkStart w:id="317" w:name="_Toc25920"/>
      <w:bookmarkStart w:id="318" w:name="_Toc224103340"/>
      <w:bookmarkStart w:id="319" w:name="_Toc430530458"/>
      <w:bookmarkStart w:id="320" w:name="_Toc287607769"/>
      <w:bookmarkStart w:id="321" w:name="_Toc509218733"/>
      <w:bookmarkStart w:id="322" w:name="_Toc287620708"/>
      <w:bookmarkStart w:id="323" w:name="_Toc57905853"/>
      <w:bookmarkStart w:id="324" w:name="_Toc277082575"/>
      <w:bookmarkStart w:id="325" w:name="_Toc200513149"/>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资格审查资料</w:t>
      </w:r>
      <w:bookmarkEnd w:id="317"/>
      <w:bookmarkEnd w:id="318"/>
      <w:bookmarkEnd w:id="319"/>
      <w:bookmarkEnd w:id="320"/>
      <w:bookmarkEnd w:id="321"/>
      <w:bookmarkEnd w:id="322"/>
      <w:bookmarkEnd w:id="323"/>
      <w:bookmarkEnd w:id="324"/>
      <w:bookmarkEnd w:id="325"/>
    </w:p>
    <w:p w14:paraId="7671762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时，应按新情况更新或补充其在申请资格预审时提供的资料，以证实其各项资格条件仍能继续满足资格预审文件的要求，具备承担本标段施工的资质条件、能力和信誉。</w:t>
      </w:r>
    </w:p>
    <w:p w14:paraId="7D73BEE9">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[提示：适用于已进行资格预审的。]</w:t>
      </w:r>
    </w:p>
    <w:p w14:paraId="52096F66">
      <w:pPr>
        <w:pStyle w:val="5"/>
        <w:keepNext w:val="0"/>
        <w:keepLines w:val="0"/>
        <w:snapToGrid w:val="0"/>
        <w:spacing w:before="0" w:after="0" w:line="360" w:lineRule="auto"/>
        <w:rPr>
          <w:rFonts w:ascii="宋体" w:hAnsi="宋体"/>
          <w:b w:val="0"/>
          <w:snapToGrid w:val="0"/>
          <w:color w:val="auto"/>
          <w:sz w:val="24"/>
          <w:szCs w:val="24"/>
          <w:highlight w:val="none"/>
        </w:rPr>
      </w:pPr>
      <w:bookmarkStart w:id="326" w:name="_Toc200513150"/>
      <w:bookmarkStart w:id="327" w:name="_Toc509218734"/>
      <w:bookmarkStart w:id="328" w:name="_Toc57905854"/>
      <w:bookmarkStart w:id="329" w:name="_Toc430530459"/>
      <w:bookmarkStart w:id="330" w:name="_Toc277082576"/>
      <w:bookmarkStart w:id="331" w:name="_Toc16639"/>
      <w:bookmarkStart w:id="332" w:name="_Toc287607770"/>
      <w:bookmarkStart w:id="333" w:name="_Toc224103341"/>
      <w:bookmarkStart w:id="334" w:name="_Toc287620709"/>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326"/>
      <w:bookmarkEnd w:id="327"/>
      <w:bookmarkEnd w:id="328"/>
      <w:bookmarkEnd w:id="329"/>
      <w:bookmarkEnd w:id="330"/>
      <w:bookmarkEnd w:id="331"/>
      <w:bookmarkEnd w:id="332"/>
      <w:bookmarkEnd w:id="333"/>
      <w:bookmarkEnd w:id="334"/>
    </w:p>
    <w:p w14:paraId="71063E74">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rPr>
        <w:t>竞选人应附</w:t>
      </w:r>
      <w:r>
        <w:rPr>
          <w:rFonts w:hint="eastAsia" w:ascii="宋体" w:hAnsi="宋体"/>
          <w:color w:val="auto"/>
          <w:kern w:val="0"/>
          <w:szCs w:val="21"/>
          <w:highlight w:val="none"/>
        </w:rPr>
        <w:t>竞选人须知前附表第1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00B346CB">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竞选人须知前附表规定接受联合体投标的，详见竞选人须知前附表联合体投标相关内容。</w:t>
      </w:r>
    </w:p>
    <w:p w14:paraId="2072F690">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[提示：适用于未进行资格预审的。]</w:t>
      </w:r>
    </w:p>
    <w:p w14:paraId="6570460D">
      <w:pPr>
        <w:pStyle w:val="5"/>
        <w:snapToGrid w:val="0"/>
        <w:spacing w:before="0" w:after="0" w:line="360" w:lineRule="auto"/>
        <w:rPr>
          <w:rFonts w:ascii="宋体" w:hAnsi="宋体"/>
          <w:b w:val="0"/>
          <w:snapToGrid w:val="0"/>
          <w:color w:val="auto"/>
          <w:sz w:val="24"/>
          <w:szCs w:val="24"/>
          <w:highlight w:val="none"/>
        </w:rPr>
      </w:pPr>
      <w:bookmarkStart w:id="335" w:name="_Toc200513151"/>
      <w:bookmarkStart w:id="336" w:name="_Toc277082577"/>
      <w:bookmarkStart w:id="337" w:name="_Toc57905855"/>
      <w:bookmarkStart w:id="338" w:name="_Toc430530460"/>
      <w:bookmarkStart w:id="339" w:name="_Toc24446"/>
      <w:bookmarkStart w:id="340" w:name="_Toc224103342"/>
      <w:bookmarkStart w:id="341" w:name="_Toc509218735"/>
      <w:bookmarkStart w:id="342" w:name="_Toc287620710"/>
      <w:bookmarkStart w:id="343" w:name="_Toc287607771"/>
      <w:r>
        <w:rPr>
          <w:rFonts w:ascii="宋体" w:hAnsi="宋体"/>
          <w:b w:val="0"/>
          <w:snapToGrid w:val="0"/>
          <w:color w:val="auto"/>
          <w:sz w:val="24"/>
          <w:szCs w:val="24"/>
          <w:highlight w:val="none"/>
        </w:rPr>
        <w:t>3.6  备选投标方案</w:t>
      </w:r>
      <w:bookmarkEnd w:id="335"/>
      <w:bookmarkEnd w:id="336"/>
      <w:bookmarkEnd w:id="337"/>
      <w:bookmarkEnd w:id="338"/>
      <w:bookmarkEnd w:id="339"/>
      <w:bookmarkEnd w:id="340"/>
      <w:bookmarkEnd w:id="341"/>
      <w:bookmarkEnd w:id="342"/>
      <w:bookmarkEnd w:id="343"/>
    </w:p>
    <w:p w14:paraId="679F8A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不得递交备选投标方案。允许</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可以接受该备选投标方案。</w:t>
      </w:r>
    </w:p>
    <w:p w14:paraId="3AAAB01F">
      <w:pPr>
        <w:pStyle w:val="5"/>
        <w:snapToGrid w:val="0"/>
        <w:spacing w:before="0" w:after="0" w:line="360" w:lineRule="auto"/>
        <w:rPr>
          <w:rFonts w:ascii="宋体" w:hAnsi="宋体"/>
          <w:b w:val="0"/>
          <w:snapToGrid w:val="0"/>
          <w:color w:val="auto"/>
          <w:sz w:val="24"/>
          <w:szCs w:val="24"/>
          <w:highlight w:val="none"/>
        </w:rPr>
      </w:pPr>
      <w:bookmarkStart w:id="344" w:name="_Toc224103343"/>
      <w:bookmarkStart w:id="345" w:name="_Toc277082578"/>
      <w:bookmarkStart w:id="346" w:name="_Toc509218736"/>
      <w:bookmarkStart w:id="347" w:name="_Toc287607772"/>
      <w:bookmarkStart w:id="348" w:name="_Toc200513152"/>
      <w:bookmarkStart w:id="349" w:name="_Toc287620711"/>
      <w:bookmarkStart w:id="350" w:name="_Toc57905856"/>
      <w:bookmarkStart w:id="351" w:name="_Toc16951"/>
      <w:bookmarkStart w:id="352" w:name="_Toc430530461"/>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的编制</w:t>
      </w:r>
      <w:bookmarkEnd w:id="344"/>
      <w:bookmarkEnd w:id="345"/>
      <w:bookmarkEnd w:id="346"/>
      <w:bookmarkEnd w:id="347"/>
      <w:bookmarkEnd w:id="348"/>
      <w:bookmarkEnd w:id="349"/>
      <w:bookmarkEnd w:id="350"/>
      <w:bookmarkEnd w:id="351"/>
      <w:bookmarkEnd w:id="352"/>
    </w:p>
    <w:p w14:paraId="6A0AEA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的组成部分。其中，投标函附录在满足</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的承诺。</w:t>
      </w:r>
    </w:p>
    <w:p w14:paraId="28FFDF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等实质性内容做出响应。</w:t>
      </w:r>
    </w:p>
    <w:p w14:paraId="58B24C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竞选文件的签名盖章要求：按本章竞选人须知前附表第3.7.3项执行。</w:t>
      </w:r>
    </w:p>
    <w:p w14:paraId="092977B1">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须知前附表。正本和副本的封面上应清楚地标记“正本”或“副本”的字样，正本和副本封面均须加盖单位法人章。当副本和正本不一致时，以正本为准。</w:t>
      </w:r>
    </w:p>
    <w:p w14:paraId="7773F655">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w:t>
      </w:r>
    </w:p>
    <w:p w14:paraId="7D60D5AA">
      <w:pPr>
        <w:pStyle w:val="4"/>
        <w:keepNext w:val="0"/>
        <w:keepLines w:val="0"/>
        <w:spacing w:before="0" w:after="0" w:line="360" w:lineRule="auto"/>
        <w:rPr>
          <w:rFonts w:ascii="宋体" w:hAnsi="宋体"/>
          <w:b w:val="0"/>
          <w:snapToGrid w:val="0"/>
          <w:color w:val="auto"/>
          <w:highlight w:val="none"/>
        </w:rPr>
      </w:pPr>
      <w:bookmarkStart w:id="353" w:name="_Toc224103344"/>
      <w:bookmarkStart w:id="354" w:name="_Toc509218737"/>
      <w:bookmarkStart w:id="355" w:name="_Toc287620712"/>
      <w:bookmarkStart w:id="356" w:name="_Toc287607773"/>
      <w:bookmarkStart w:id="357" w:name="_Toc430530462"/>
      <w:bookmarkStart w:id="358" w:name="_Toc57905857"/>
      <w:bookmarkStart w:id="359" w:name="_Toc200513153"/>
      <w:bookmarkStart w:id="360" w:name="_Toc9499"/>
      <w:bookmarkStart w:id="361" w:name="_Toc277082579"/>
      <w:r>
        <w:rPr>
          <w:rFonts w:ascii="宋体" w:hAnsi="宋体"/>
          <w:b w:val="0"/>
          <w:snapToGrid w:val="0"/>
          <w:color w:val="auto"/>
          <w:highlight w:val="none"/>
        </w:rPr>
        <w:t>4.  投标</w:t>
      </w:r>
      <w:bookmarkEnd w:id="353"/>
      <w:bookmarkEnd w:id="354"/>
      <w:bookmarkEnd w:id="355"/>
      <w:bookmarkEnd w:id="356"/>
      <w:bookmarkEnd w:id="357"/>
      <w:bookmarkEnd w:id="358"/>
      <w:bookmarkEnd w:id="359"/>
      <w:bookmarkEnd w:id="360"/>
      <w:bookmarkEnd w:id="361"/>
    </w:p>
    <w:p w14:paraId="10717F23">
      <w:pPr>
        <w:pStyle w:val="5"/>
        <w:keepNext w:val="0"/>
        <w:keepLines w:val="0"/>
        <w:snapToGrid w:val="0"/>
        <w:spacing w:before="0" w:after="0" w:line="360" w:lineRule="auto"/>
        <w:rPr>
          <w:rFonts w:ascii="宋体" w:hAnsi="宋体"/>
          <w:b w:val="0"/>
          <w:snapToGrid w:val="0"/>
          <w:color w:val="auto"/>
          <w:sz w:val="24"/>
          <w:szCs w:val="24"/>
          <w:highlight w:val="none"/>
        </w:rPr>
      </w:pPr>
      <w:bookmarkStart w:id="362" w:name="_Toc287620713"/>
      <w:bookmarkStart w:id="363" w:name="_Toc430530463"/>
      <w:bookmarkStart w:id="364" w:name="_Toc224103345"/>
      <w:bookmarkStart w:id="365" w:name="_Toc200513154"/>
      <w:bookmarkStart w:id="366" w:name="_Toc287607774"/>
      <w:bookmarkStart w:id="367" w:name="_Toc18995"/>
      <w:bookmarkStart w:id="368" w:name="_Toc509218738"/>
      <w:bookmarkStart w:id="369" w:name="_Toc57905858"/>
      <w:bookmarkStart w:id="370" w:name="_Toc277082580"/>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的密封和标记</w:t>
      </w:r>
      <w:bookmarkEnd w:id="362"/>
      <w:bookmarkEnd w:id="363"/>
      <w:bookmarkEnd w:id="364"/>
      <w:bookmarkEnd w:id="365"/>
      <w:bookmarkEnd w:id="366"/>
      <w:bookmarkEnd w:id="367"/>
      <w:bookmarkEnd w:id="368"/>
      <w:bookmarkEnd w:id="369"/>
      <w:bookmarkEnd w:id="370"/>
    </w:p>
    <w:p w14:paraId="2B246D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71"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15F6A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B345580">
      <w:pPr>
        <w:pStyle w:val="5"/>
        <w:keepNext w:val="0"/>
        <w:keepLines w:val="0"/>
        <w:snapToGrid w:val="0"/>
        <w:spacing w:before="0" w:after="0" w:line="360" w:lineRule="auto"/>
        <w:rPr>
          <w:rFonts w:ascii="宋体" w:hAnsi="宋体"/>
          <w:b w:val="0"/>
          <w:snapToGrid w:val="0"/>
          <w:color w:val="auto"/>
          <w:sz w:val="24"/>
          <w:szCs w:val="24"/>
          <w:highlight w:val="none"/>
        </w:rPr>
      </w:pPr>
      <w:bookmarkStart w:id="372" w:name="_Toc287620714"/>
      <w:bookmarkStart w:id="373" w:name="_Toc224103346"/>
      <w:bookmarkStart w:id="374" w:name="_Toc509218739"/>
      <w:bookmarkStart w:id="375" w:name="_Toc57905859"/>
      <w:bookmarkStart w:id="376" w:name="_Toc430530464"/>
      <w:bookmarkStart w:id="377" w:name="_Toc287607775"/>
      <w:bookmarkStart w:id="378" w:name="_Toc25809"/>
      <w:bookmarkStart w:id="379" w:name="_Toc277082581"/>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的递交</w:t>
      </w:r>
      <w:bookmarkEnd w:id="371"/>
      <w:bookmarkEnd w:id="372"/>
      <w:bookmarkEnd w:id="373"/>
      <w:bookmarkEnd w:id="374"/>
      <w:bookmarkEnd w:id="375"/>
      <w:bookmarkEnd w:id="376"/>
      <w:bookmarkEnd w:id="377"/>
      <w:bookmarkEnd w:id="378"/>
      <w:bookmarkEnd w:id="379"/>
    </w:p>
    <w:p w14:paraId="072B32C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710307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A4FF7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不予退还。</w:t>
      </w:r>
    </w:p>
    <w:p w14:paraId="26664BE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49EFD9A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6466ACDA">
      <w:pPr>
        <w:pStyle w:val="5"/>
        <w:keepNext w:val="0"/>
        <w:keepLines w:val="0"/>
        <w:snapToGrid w:val="0"/>
        <w:spacing w:before="0" w:after="0" w:line="360" w:lineRule="auto"/>
        <w:rPr>
          <w:rFonts w:ascii="宋体" w:hAnsi="宋体"/>
          <w:b w:val="0"/>
          <w:snapToGrid w:val="0"/>
          <w:color w:val="auto"/>
          <w:sz w:val="24"/>
          <w:szCs w:val="24"/>
          <w:highlight w:val="none"/>
        </w:rPr>
      </w:pPr>
      <w:bookmarkStart w:id="380" w:name="_Toc430530465"/>
      <w:bookmarkStart w:id="381" w:name="_Toc277082582"/>
      <w:bookmarkStart w:id="382" w:name="_Toc287607776"/>
      <w:bookmarkStart w:id="383" w:name="_Toc287620715"/>
      <w:bookmarkStart w:id="384" w:name="_Toc509218740"/>
      <w:bookmarkStart w:id="385" w:name="_Toc224103347"/>
      <w:bookmarkStart w:id="386" w:name="_Toc200513156"/>
      <w:bookmarkStart w:id="387" w:name="_Toc57905860"/>
      <w:bookmarkStart w:id="388" w:name="_Toc23986"/>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的修改与撤回</w:t>
      </w:r>
      <w:bookmarkEnd w:id="380"/>
      <w:bookmarkEnd w:id="381"/>
      <w:bookmarkEnd w:id="382"/>
      <w:bookmarkEnd w:id="383"/>
      <w:bookmarkEnd w:id="384"/>
      <w:bookmarkEnd w:id="385"/>
      <w:bookmarkEnd w:id="386"/>
      <w:bookmarkEnd w:id="387"/>
      <w:bookmarkEnd w:id="388"/>
    </w:p>
    <w:p w14:paraId="7C59F9D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3A5011A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13384F5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应按照本章第3条、第4条规定进行编制、密封、标记和递交，并标明“修改”字样。</w:t>
      </w:r>
    </w:p>
    <w:p w14:paraId="0189BFEC">
      <w:pPr>
        <w:pStyle w:val="4"/>
        <w:keepNext w:val="0"/>
        <w:keepLines w:val="0"/>
        <w:spacing w:before="0" w:after="0" w:line="360" w:lineRule="auto"/>
        <w:rPr>
          <w:rFonts w:ascii="宋体" w:hAnsi="宋体"/>
          <w:b w:val="0"/>
          <w:snapToGrid w:val="0"/>
          <w:color w:val="auto"/>
          <w:highlight w:val="none"/>
        </w:rPr>
      </w:pPr>
      <w:bookmarkStart w:id="389" w:name="_Toc224103348"/>
      <w:bookmarkStart w:id="390" w:name="_Toc277082583"/>
      <w:bookmarkStart w:id="391" w:name="_Toc509218741"/>
      <w:bookmarkStart w:id="392" w:name="_Toc430530466"/>
      <w:bookmarkStart w:id="393" w:name="_Toc57905861"/>
      <w:bookmarkStart w:id="394" w:name="_Toc9614"/>
      <w:bookmarkStart w:id="395" w:name="_Toc200513157"/>
      <w:bookmarkStart w:id="396" w:name="_Toc287607777"/>
      <w:bookmarkStart w:id="397" w:name="_Toc287620716"/>
      <w:r>
        <w:rPr>
          <w:rFonts w:ascii="宋体" w:hAnsi="宋体"/>
          <w:b w:val="0"/>
          <w:snapToGrid w:val="0"/>
          <w:color w:val="auto"/>
          <w:highlight w:val="none"/>
        </w:rPr>
        <w:t>5.  开标</w:t>
      </w:r>
      <w:bookmarkEnd w:id="389"/>
      <w:bookmarkEnd w:id="390"/>
      <w:bookmarkEnd w:id="391"/>
      <w:bookmarkEnd w:id="392"/>
      <w:bookmarkEnd w:id="393"/>
      <w:bookmarkEnd w:id="394"/>
      <w:bookmarkEnd w:id="395"/>
      <w:bookmarkEnd w:id="396"/>
      <w:bookmarkEnd w:id="397"/>
    </w:p>
    <w:p w14:paraId="5566735A">
      <w:pPr>
        <w:pStyle w:val="5"/>
        <w:keepNext w:val="0"/>
        <w:keepLines w:val="0"/>
        <w:snapToGrid w:val="0"/>
        <w:spacing w:before="0" w:after="0" w:line="360" w:lineRule="auto"/>
        <w:rPr>
          <w:rFonts w:ascii="宋体" w:hAnsi="宋体"/>
          <w:b w:val="0"/>
          <w:snapToGrid w:val="0"/>
          <w:color w:val="auto"/>
          <w:sz w:val="24"/>
          <w:szCs w:val="24"/>
          <w:highlight w:val="none"/>
        </w:rPr>
      </w:pPr>
      <w:bookmarkStart w:id="398" w:name="_Toc20593"/>
      <w:bookmarkStart w:id="399" w:name="_Toc287607778"/>
      <w:bookmarkStart w:id="400" w:name="_Toc277082584"/>
      <w:bookmarkStart w:id="401" w:name="_Toc509218742"/>
      <w:bookmarkStart w:id="402" w:name="_Toc200513158"/>
      <w:bookmarkStart w:id="403" w:name="_Toc430530467"/>
      <w:bookmarkStart w:id="404" w:name="_Toc224103349"/>
      <w:bookmarkStart w:id="405" w:name="_Toc57905862"/>
      <w:bookmarkStart w:id="406" w:name="_Toc287620717"/>
      <w:r>
        <w:rPr>
          <w:rFonts w:ascii="宋体" w:hAnsi="宋体"/>
          <w:b w:val="0"/>
          <w:snapToGrid w:val="0"/>
          <w:color w:val="auto"/>
          <w:sz w:val="24"/>
          <w:szCs w:val="24"/>
          <w:highlight w:val="none"/>
        </w:rPr>
        <w:t>5.1  开标时间和地点</w:t>
      </w:r>
      <w:bookmarkEnd w:id="398"/>
      <w:bookmarkEnd w:id="399"/>
      <w:bookmarkEnd w:id="400"/>
      <w:bookmarkEnd w:id="401"/>
      <w:bookmarkEnd w:id="402"/>
      <w:bookmarkEnd w:id="403"/>
      <w:bookmarkEnd w:id="404"/>
      <w:bookmarkEnd w:id="405"/>
      <w:bookmarkEnd w:id="406"/>
    </w:p>
    <w:p w14:paraId="40725EF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（开标时间）和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的法定代表人或其委托代理人准时参加。</w:t>
      </w:r>
    </w:p>
    <w:p w14:paraId="4438CAE5">
      <w:pPr>
        <w:pStyle w:val="5"/>
        <w:keepNext w:val="0"/>
        <w:keepLines w:val="0"/>
        <w:snapToGrid w:val="0"/>
        <w:spacing w:before="0" w:after="0" w:line="360" w:lineRule="auto"/>
        <w:rPr>
          <w:rFonts w:ascii="宋体" w:hAnsi="宋体"/>
          <w:b w:val="0"/>
          <w:snapToGrid w:val="0"/>
          <w:color w:val="auto"/>
          <w:sz w:val="24"/>
          <w:szCs w:val="24"/>
          <w:highlight w:val="none"/>
        </w:rPr>
      </w:pPr>
      <w:bookmarkStart w:id="407" w:name="_Toc430530468"/>
      <w:bookmarkStart w:id="408" w:name="_Toc57905863"/>
      <w:bookmarkStart w:id="409" w:name="_Toc287620718"/>
      <w:bookmarkStart w:id="410" w:name="_Toc224103350"/>
      <w:bookmarkStart w:id="411" w:name="_Toc200513159"/>
      <w:bookmarkStart w:id="412" w:name="_Toc287607779"/>
      <w:bookmarkStart w:id="413" w:name="_Toc277082585"/>
      <w:bookmarkStart w:id="414" w:name="_Toc509218743"/>
      <w:bookmarkStart w:id="415" w:name="_Toc14994"/>
      <w:r>
        <w:rPr>
          <w:rFonts w:ascii="宋体" w:hAnsi="宋体"/>
          <w:b w:val="0"/>
          <w:snapToGrid w:val="0"/>
          <w:color w:val="auto"/>
          <w:sz w:val="24"/>
          <w:szCs w:val="24"/>
          <w:highlight w:val="none"/>
        </w:rPr>
        <w:t>5.2  开标程序</w:t>
      </w:r>
      <w:bookmarkEnd w:id="407"/>
      <w:bookmarkEnd w:id="408"/>
      <w:bookmarkEnd w:id="409"/>
      <w:bookmarkEnd w:id="410"/>
      <w:bookmarkEnd w:id="411"/>
      <w:bookmarkEnd w:id="412"/>
      <w:bookmarkEnd w:id="413"/>
      <w:bookmarkEnd w:id="414"/>
      <w:bookmarkEnd w:id="415"/>
    </w:p>
    <w:p w14:paraId="4C0E096C">
      <w:pPr>
        <w:autoSpaceDE w:val="0"/>
        <w:autoSpaceDN w:val="0"/>
        <w:adjustRightInd w:val="0"/>
        <w:snapToGrid w:val="0"/>
        <w:spacing w:line="360" w:lineRule="auto"/>
        <w:ind w:firstLine="420" w:firstLineChars="200"/>
        <w:rPr>
          <w:rFonts w:ascii="宋体" w:hAnsi="宋体"/>
          <w:color w:val="auto"/>
          <w:szCs w:val="21"/>
          <w:highlight w:val="none"/>
        </w:rPr>
      </w:pPr>
      <w:bookmarkStart w:id="416" w:name="_Toc224103351"/>
      <w:bookmarkStart w:id="417" w:name="_Toc200513160"/>
      <w:bookmarkStart w:id="418" w:name="_Toc287607780"/>
      <w:bookmarkStart w:id="419" w:name="_Toc277082586"/>
      <w:bookmarkStart w:id="420" w:name="_Toc287620719"/>
      <w:r>
        <w:rPr>
          <w:rFonts w:ascii="宋体" w:hAnsi="宋体"/>
          <w:color w:val="auto"/>
          <w:szCs w:val="21"/>
          <w:highlight w:val="none"/>
        </w:rPr>
        <w:t>详见</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4F5EDC1E">
      <w:pPr>
        <w:pStyle w:val="5"/>
        <w:keepNext w:val="0"/>
        <w:keepLines w:val="0"/>
        <w:snapToGrid w:val="0"/>
        <w:spacing w:before="0" w:after="0" w:line="360" w:lineRule="auto"/>
        <w:rPr>
          <w:rFonts w:ascii="宋体" w:hAnsi="宋体"/>
          <w:b w:val="0"/>
          <w:snapToGrid w:val="0"/>
          <w:color w:val="auto"/>
          <w:sz w:val="24"/>
          <w:szCs w:val="24"/>
          <w:highlight w:val="none"/>
        </w:rPr>
      </w:pPr>
      <w:bookmarkStart w:id="421" w:name="_Toc57820594"/>
      <w:bookmarkStart w:id="422" w:name="_Toc5790586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21"/>
      <w:bookmarkEnd w:id="422"/>
    </w:p>
    <w:p w14:paraId="2247CD0F">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color w:val="auto"/>
          <w:szCs w:val="21"/>
          <w:highlight w:val="none"/>
        </w:rPr>
        <w:t>。</w:t>
      </w:r>
    </w:p>
    <w:p w14:paraId="1E4400BF">
      <w:pPr>
        <w:pStyle w:val="4"/>
        <w:keepNext w:val="0"/>
        <w:keepLines w:val="0"/>
        <w:spacing w:before="0" w:after="0" w:line="360" w:lineRule="auto"/>
        <w:rPr>
          <w:rFonts w:ascii="宋体" w:hAnsi="宋体"/>
          <w:b w:val="0"/>
          <w:snapToGrid w:val="0"/>
          <w:color w:val="auto"/>
          <w:highlight w:val="none"/>
        </w:rPr>
      </w:pPr>
      <w:bookmarkStart w:id="423" w:name="_Toc430530469"/>
      <w:bookmarkStart w:id="424" w:name="_Toc509218744"/>
      <w:bookmarkStart w:id="425" w:name="_Toc57905865"/>
      <w:bookmarkStart w:id="426" w:name="_Toc9533"/>
      <w:r>
        <w:rPr>
          <w:rFonts w:ascii="宋体" w:hAnsi="宋体"/>
          <w:b w:val="0"/>
          <w:snapToGrid w:val="0"/>
          <w:color w:val="auto"/>
          <w:highlight w:val="none"/>
        </w:rPr>
        <w:t>6.  评标</w:t>
      </w:r>
      <w:bookmarkEnd w:id="416"/>
      <w:bookmarkEnd w:id="417"/>
      <w:bookmarkEnd w:id="418"/>
      <w:bookmarkEnd w:id="419"/>
      <w:bookmarkEnd w:id="420"/>
      <w:bookmarkEnd w:id="423"/>
      <w:bookmarkEnd w:id="424"/>
      <w:bookmarkEnd w:id="425"/>
      <w:bookmarkEnd w:id="426"/>
    </w:p>
    <w:p w14:paraId="793B0B30">
      <w:pPr>
        <w:pStyle w:val="5"/>
        <w:keepNext w:val="0"/>
        <w:keepLines w:val="0"/>
        <w:snapToGrid w:val="0"/>
        <w:spacing w:before="0" w:after="0" w:line="360" w:lineRule="auto"/>
        <w:rPr>
          <w:rFonts w:ascii="宋体" w:hAnsi="宋体"/>
          <w:b w:val="0"/>
          <w:snapToGrid w:val="0"/>
          <w:color w:val="auto"/>
          <w:sz w:val="24"/>
          <w:szCs w:val="24"/>
          <w:highlight w:val="none"/>
        </w:rPr>
      </w:pPr>
      <w:bookmarkStart w:id="427" w:name="_Toc277082587"/>
      <w:bookmarkStart w:id="428" w:name="_Toc224103352"/>
      <w:bookmarkStart w:id="429" w:name="_Toc509218745"/>
      <w:bookmarkStart w:id="430" w:name="_Toc57905866"/>
      <w:bookmarkStart w:id="431" w:name="_Toc287620720"/>
      <w:bookmarkStart w:id="432" w:name="_Toc287607781"/>
      <w:bookmarkStart w:id="433" w:name="_Toc200513161"/>
      <w:bookmarkStart w:id="434" w:name="_Toc28100"/>
      <w:bookmarkStart w:id="435" w:name="_Toc430530470"/>
      <w:r>
        <w:rPr>
          <w:rFonts w:ascii="宋体" w:hAnsi="宋体"/>
          <w:b w:val="0"/>
          <w:snapToGrid w:val="0"/>
          <w:color w:val="auto"/>
          <w:sz w:val="24"/>
          <w:szCs w:val="24"/>
          <w:highlight w:val="none"/>
        </w:rPr>
        <w:t>6.1  评标委员会</w:t>
      </w:r>
      <w:bookmarkEnd w:id="427"/>
      <w:bookmarkEnd w:id="428"/>
      <w:bookmarkEnd w:id="429"/>
      <w:bookmarkEnd w:id="430"/>
      <w:bookmarkEnd w:id="431"/>
      <w:bookmarkEnd w:id="432"/>
      <w:bookmarkEnd w:id="433"/>
      <w:bookmarkEnd w:id="434"/>
      <w:bookmarkEnd w:id="435"/>
    </w:p>
    <w:p w14:paraId="651CAB37">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依据法律法规和相关规范性文件组建的评标委员会负责。</w:t>
      </w:r>
    </w:p>
    <w:p w14:paraId="0EF293D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2E68A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的主要负责人的近亲属；</w:t>
      </w:r>
    </w:p>
    <w:p w14:paraId="095967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2DB05E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有利害关系，可能影响对投标公正评审的；</w:t>
      </w:r>
    </w:p>
    <w:p w14:paraId="020D46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29BB26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671BA1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7A221BA0">
      <w:pPr>
        <w:pStyle w:val="5"/>
        <w:snapToGrid w:val="0"/>
        <w:spacing w:before="0" w:after="0" w:line="360" w:lineRule="auto"/>
        <w:rPr>
          <w:rFonts w:ascii="宋体" w:hAnsi="宋体"/>
          <w:b w:val="0"/>
          <w:snapToGrid w:val="0"/>
          <w:color w:val="auto"/>
          <w:sz w:val="24"/>
          <w:szCs w:val="24"/>
          <w:highlight w:val="none"/>
        </w:rPr>
      </w:pPr>
      <w:bookmarkStart w:id="436" w:name="_Toc224103353"/>
      <w:bookmarkStart w:id="437" w:name="_Toc277082588"/>
      <w:bookmarkStart w:id="438" w:name="_Toc509218746"/>
      <w:bookmarkStart w:id="439" w:name="_Toc12166"/>
      <w:bookmarkStart w:id="440" w:name="_Toc287620721"/>
      <w:bookmarkStart w:id="441" w:name="_Toc57905867"/>
      <w:bookmarkStart w:id="442" w:name="_Toc287607782"/>
      <w:bookmarkStart w:id="443" w:name="_Toc200513162"/>
      <w:bookmarkStart w:id="444" w:name="_Toc430530471"/>
      <w:r>
        <w:rPr>
          <w:rFonts w:ascii="宋体" w:hAnsi="宋体"/>
          <w:b w:val="0"/>
          <w:snapToGrid w:val="0"/>
          <w:color w:val="auto"/>
          <w:sz w:val="24"/>
          <w:szCs w:val="24"/>
          <w:highlight w:val="none"/>
        </w:rPr>
        <w:t>6.2  评标原则</w:t>
      </w:r>
      <w:bookmarkEnd w:id="436"/>
      <w:bookmarkEnd w:id="437"/>
      <w:bookmarkEnd w:id="438"/>
      <w:bookmarkEnd w:id="439"/>
      <w:bookmarkEnd w:id="440"/>
      <w:bookmarkEnd w:id="441"/>
      <w:bookmarkEnd w:id="442"/>
      <w:bookmarkEnd w:id="443"/>
      <w:bookmarkEnd w:id="444"/>
    </w:p>
    <w:p w14:paraId="153A2B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2574FCB5">
      <w:pPr>
        <w:pStyle w:val="5"/>
        <w:snapToGrid w:val="0"/>
        <w:spacing w:before="0" w:after="0" w:line="360" w:lineRule="auto"/>
        <w:rPr>
          <w:rFonts w:ascii="宋体" w:hAnsi="宋体"/>
          <w:b w:val="0"/>
          <w:snapToGrid w:val="0"/>
          <w:color w:val="auto"/>
          <w:sz w:val="24"/>
          <w:szCs w:val="24"/>
          <w:highlight w:val="none"/>
        </w:rPr>
      </w:pPr>
      <w:bookmarkStart w:id="445" w:name="_Toc277082589"/>
      <w:bookmarkStart w:id="446" w:name="_Toc287607783"/>
      <w:bookmarkStart w:id="447" w:name="_Toc200513163"/>
      <w:bookmarkStart w:id="448" w:name="_Toc430530472"/>
      <w:bookmarkStart w:id="449" w:name="_Toc509218747"/>
      <w:bookmarkStart w:id="450" w:name="_Toc224103354"/>
      <w:bookmarkStart w:id="451" w:name="_Toc14701"/>
      <w:bookmarkStart w:id="452" w:name="_Toc57905868"/>
      <w:bookmarkStart w:id="453" w:name="_Toc287620722"/>
      <w:r>
        <w:rPr>
          <w:rFonts w:ascii="宋体" w:hAnsi="宋体"/>
          <w:b w:val="0"/>
          <w:snapToGrid w:val="0"/>
          <w:color w:val="auto"/>
          <w:sz w:val="24"/>
          <w:szCs w:val="24"/>
          <w:highlight w:val="none"/>
        </w:rPr>
        <w:t>6.3  评标</w:t>
      </w:r>
      <w:bookmarkEnd w:id="445"/>
      <w:bookmarkEnd w:id="446"/>
      <w:bookmarkEnd w:id="447"/>
      <w:bookmarkEnd w:id="448"/>
      <w:bookmarkEnd w:id="449"/>
      <w:bookmarkEnd w:id="450"/>
      <w:bookmarkEnd w:id="451"/>
      <w:bookmarkEnd w:id="452"/>
      <w:bookmarkEnd w:id="453"/>
    </w:p>
    <w:p w14:paraId="27B09E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进行评审。第三章“评标办法”没有规定的方法、评审因素和标准，不得作为评标依据。</w:t>
      </w:r>
    </w:p>
    <w:p w14:paraId="46737F1A">
      <w:pPr>
        <w:pStyle w:val="4"/>
        <w:spacing w:before="0" w:after="0" w:line="360" w:lineRule="auto"/>
        <w:rPr>
          <w:rFonts w:ascii="宋体" w:hAnsi="宋体"/>
          <w:b w:val="0"/>
          <w:snapToGrid w:val="0"/>
          <w:color w:val="auto"/>
          <w:highlight w:val="none"/>
        </w:rPr>
      </w:pPr>
      <w:bookmarkStart w:id="454" w:name="_Toc2723"/>
      <w:bookmarkStart w:id="455" w:name="_Toc224103355"/>
      <w:bookmarkStart w:id="456" w:name="_Toc509218748"/>
      <w:bookmarkStart w:id="457" w:name="_Toc430530473"/>
      <w:bookmarkStart w:id="458" w:name="_Toc287607784"/>
      <w:bookmarkStart w:id="459" w:name="_Toc57905869"/>
      <w:bookmarkStart w:id="460" w:name="_Toc287620723"/>
      <w:bookmarkStart w:id="461" w:name="_Toc200513164"/>
      <w:bookmarkStart w:id="462" w:name="_Toc277082590"/>
      <w:r>
        <w:rPr>
          <w:rFonts w:ascii="宋体" w:hAnsi="宋体"/>
          <w:b w:val="0"/>
          <w:snapToGrid w:val="0"/>
          <w:color w:val="auto"/>
          <w:highlight w:val="none"/>
        </w:rPr>
        <w:t>7.  合同授予</w:t>
      </w:r>
      <w:bookmarkEnd w:id="454"/>
      <w:bookmarkEnd w:id="455"/>
      <w:bookmarkEnd w:id="456"/>
      <w:bookmarkEnd w:id="457"/>
      <w:bookmarkEnd w:id="458"/>
      <w:bookmarkEnd w:id="459"/>
      <w:bookmarkEnd w:id="460"/>
      <w:bookmarkEnd w:id="461"/>
      <w:bookmarkEnd w:id="462"/>
    </w:p>
    <w:p w14:paraId="4DC47F0D">
      <w:pPr>
        <w:pStyle w:val="5"/>
        <w:snapToGrid w:val="0"/>
        <w:spacing w:before="0" w:after="0" w:line="360" w:lineRule="auto"/>
        <w:rPr>
          <w:rFonts w:ascii="宋体" w:hAnsi="宋体"/>
          <w:b w:val="0"/>
          <w:snapToGrid w:val="0"/>
          <w:color w:val="auto"/>
          <w:sz w:val="24"/>
          <w:szCs w:val="24"/>
          <w:highlight w:val="none"/>
        </w:rPr>
      </w:pPr>
      <w:bookmarkStart w:id="463" w:name="_Toc430530474"/>
      <w:bookmarkStart w:id="464" w:name="_Toc200513165"/>
      <w:bookmarkStart w:id="465" w:name="_Toc277082591"/>
      <w:bookmarkStart w:id="466" w:name="_Toc509218749"/>
      <w:bookmarkStart w:id="467" w:name="_Toc29937"/>
      <w:bookmarkStart w:id="468" w:name="_Toc224103356"/>
      <w:bookmarkStart w:id="469" w:name="_Toc57905870"/>
      <w:bookmarkStart w:id="470" w:name="_Toc287620724"/>
      <w:bookmarkStart w:id="471" w:name="_Toc287607785"/>
      <w:r>
        <w:rPr>
          <w:rFonts w:ascii="宋体" w:hAnsi="宋体"/>
          <w:b w:val="0"/>
          <w:snapToGrid w:val="0"/>
          <w:color w:val="auto"/>
          <w:sz w:val="24"/>
          <w:szCs w:val="24"/>
          <w:highlight w:val="none"/>
        </w:rPr>
        <w:t>7.1  定标方式</w:t>
      </w:r>
      <w:bookmarkEnd w:id="463"/>
      <w:bookmarkEnd w:id="464"/>
      <w:bookmarkEnd w:id="465"/>
      <w:bookmarkEnd w:id="466"/>
      <w:bookmarkEnd w:id="467"/>
      <w:bookmarkEnd w:id="468"/>
      <w:bookmarkEnd w:id="469"/>
      <w:bookmarkEnd w:id="470"/>
      <w:bookmarkEnd w:id="471"/>
    </w:p>
    <w:p w14:paraId="413642C3">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w:t>
      </w:r>
      <w:r>
        <w:rPr>
          <w:rFonts w:hint="eastAsia" w:ascii="宋体" w:hAnsi="宋体"/>
          <w:color w:val="auto"/>
          <w:szCs w:val="21"/>
          <w:highlight w:val="none"/>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rPr>
        <w:t>竞选文件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rPr>
        <w:t>比选人</w:t>
      </w:r>
      <w:r>
        <w:rPr>
          <w:rFonts w:ascii="宋体" w:hAnsi="宋体"/>
          <w:color w:val="auto"/>
          <w:szCs w:val="21"/>
          <w:highlight w:val="none"/>
        </w:rPr>
        <w:t>可以按照评标委员会提出的中标候选人名单排序依次确定其他中标候选人为中标人，也可以重新招标。</w:t>
      </w:r>
    </w:p>
    <w:p w14:paraId="1F5D132A">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37D9026">
      <w:pPr>
        <w:pStyle w:val="5"/>
        <w:snapToGrid w:val="0"/>
        <w:spacing w:before="0" w:after="0" w:line="360" w:lineRule="auto"/>
        <w:rPr>
          <w:rFonts w:ascii="宋体" w:hAnsi="宋体"/>
          <w:b w:val="0"/>
          <w:snapToGrid w:val="0"/>
          <w:color w:val="auto"/>
          <w:sz w:val="24"/>
          <w:szCs w:val="24"/>
          <w:highlight w:val="none"/>
        </w:rPr>
      </w:pPr>
      <w:bookmarkStart w:id="472" w:name="_Toc23594"/>
      <w:bookmarkStart w:id="473" w:name="_Toc509218750"/>
      <w:bookmarkStart w:id="474" w:name="_Toc57905871"/>
      <w:bookmarkStart w:id="475" w:name="_Toc430530475"/>
      <w:r>
        <w:rPr>
          <w:rFonts w:ascii="宋体" w:hAnsi="宋体"/>
          <w:b w:val="0"/>
          <w:snapToGrid w:val="0"/>
          <w:color w:val="auto"/>
          <w:sz w:val="24"/>
          <w:szCs w:val="24"/>
          <w:highlight w:val="none"/>
        </w:rPr>
        <w:t>7.2  中标公示及中标通知</w:t>
      </w:r>
      <w:bookmarkEnd w:id="472"/>
      <w:bookmarkEnd w:id="473"/>
      <w:bookmarkEnd w:id="474"/>
      <w:bookmarkEnd w:id="475"/>
    </w:p>
    <w:p w14:paraId="7BB0DE93">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在收到评标报告之日起3日内公示中标候选人，公示期不得少于</w:t>
      </w:r>
      <w:r>
        <w:rPr>
          <w:rFonts w:hint="eastAsia" w:ascii="宋体" w:hAnsi="宋体"/>
          <w:snapToGrid w:val="0"/>
          <w:color w:val="auto"/>
          <w:kern w:val="0"/>
          <w:szCs w:val="21"/>
          <w:highlight w:val="none"/>
        </w:rPr>
        <w:t>1</w:t>
      </w:r>
      <w:r>
        <w:rPr>
          <w:rFonts w:ascii="宋体" w:hAnsi="宋体"/>
          <w:snapToGrid w:val="0"/>
          <w:color w:val="auto"/>
          <w:kern w:val="0"/>
          <w:szCs w:val="21"/>
          <w:highlight w:val="none"/>
        </w:rPr>
        <w:t>日</w:t>
      </w:r>
      <w:r>
        <w:rPr>
          <w:rFonts w:hint="eastAsia" w:ascii="宋体" w:hAnsi="宋体"/>
          <w:color w:val="auto"/>
          <w:szCs w:val="21"/>
          <w:highlight w:val="none"/>
        </w:rPr>
        <w:t>。</w:t>
      </w:r>
    </w:p>
    <w:p w14:paraId="274177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以书面形式向中标人发出中标通知书。</w:t>
      </w:r>
    </w:p>
    <w:p w14:paraId="15CE62B4">
      <w:pPr>
        <w:pStyle w:val="5"/>
        <w:snapToGrid w:val="0"/>
        <w:spacing w:before="0" w:after="0" w:line="360" w:lineRule="auto"/>
        <w:rPr>
          <w:rFonts w:ascii="宋体" w:hAnsi="宋体"/>
          <w:b w:val="0"/>
          <w:snapToGrid w:val="0"/>
          <w:color w:val="auto"/>
          <w:sz w:val="24"/>
          <w:szCs w:val="24"/>
          <w:highlight w:val="none"/>
        </w:rPr>
      </w:pPr>
      <w:bookmarkStart w:id="476" w:name="_Toc277082593"/>
      <w:bookmarkStart w:id="477" w:name="_Toc57905872"/>
      <w:bookmarkStart w:id="478" w:name="_Toc287620726"/>
      <w:bookmarkStart w:id="479" w:name="_Toc287607787"/>
      <w:bookmarkStart w:id="480" w:name="_Toc509218751"/>
      <w:bookmarkStart w:id="481" w:name="_Toc430530476"/>
      <w:bookmarkStart w:id="482" w:name="_Toc13383"/>
      <w:bookmarkStart w:id="483" w:name="_Toc200513167"/>
      <w:bookmarkStart w:id="484" w:name="_Toc224103358"/>
      <w:r>
        <w:rPr>
          <w:rFonts w:ascii="宋体" w:hAnsi="宋体"/>
          <w:b w:val="0"/>
          <w:snapToGrid w:val="0"/>
          <w:color w:val="auto"/>
          <w:sz w:val="24"/>
          <w:szCs w:val="24"/>
          <w:highlight w:val="none"/>
        </w:rPr>
        <w:t>7.3  履约担保</w:t>
      </w:r>
      <w:bookmarkEnd w:id="476"/>
      <w:bookmarkEnd w:id="477"/>
      <w:bookmarkEnd w:id="478"/>
      <w:bookmarkEnd w:id="479"/>
      <w:bookmarkEnd w:id="480"/>
      <w:bookmarkEnd w:id="481"/>
      <w:bookmarkEnd w:id="482"/>
      <w:bookmarkEnd w:id="483"/>
      <w:bookmarkEnd w:id="484"/>
    </w:p>
    <w:p w14:paraId="52D225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提交履约担保。联合体中标的，其履约担保由牵头人递交，并应符合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第四章“合同条款及格式”规定的履约担保格式要求。</w:t>
      </w:r>
    </w:p>
    <w:p w14:paraId="7699A89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5F232796">
      <w:pPr>
        <w:pStyle w:val="5"/>
        <w:snapToGrid w:val="0"/>
        <w:spacing w:before="0" w:after="0" w:line="360" w:lineRule="auto"/>
        <w:rPr>
          <w:rFonts w:ascii="宋体" w:hAnsi="宋体"/>
          <w:b w:val="0"/>
          <w:snapToGrid w:val="0"/>
          <w:color w:val="auto"/>
          <w:sz w:val="24"/>
          <w:szCs w:val="24"/>
          <w:highlight w:val="none"/>
        </w:rPr>
      </w:pPr>
      <w:bookmarkStart w:id="485" w:name="_Toc16900"/>
      <w:bookmarkStart w:id="486" w:name="_Toc277082594"/>
      <w:bookmarkStart w:id="487" w:name="_Toc57905873"/>
      <w:bookmarkStart w:id="488" w:name="_Toc509218752"/>
      <w:bookmarkStart w:id="489" w:name="_Toc287620727"/>
      <w:bookmarkStart w:id="490" w:name="_Toc430530477"/>
      <w:bookmarkStart w:id="491" w:name="_Toc200513168"/>
      <w:bookmarkStart w:id="492" w:name="_Toc287607788"/>
      <w:bookmarkStart w:id="493" w:name="_Toc224103359"/>
      <w:r>
        <w:rPr>
          <w:rFonts w:ascii="宋体" w:hAnsi="宋体"/>
          <w:b w:val="0"/>
          <w:snapToGrid w:val="0"/>
          <w:color w:val="auto"/>
          <w:sz w:val="24"/>
          <w:szCs w:val="24"/>
          <w:highlight w:val="none"/>
        </w:rPr>
        <w:t>7.4  签订合同</w:t>
      </w:r>
      <w:bookmarkEnd w:id="485"/>
      <w:bookmarkEnd w:id="486"/>
      <w:bookmarkEnd w:id="487"/>
      <w:bookmarkEnd w:id="488"/>
      <w:bookmarkEnd w:id="489"/>
      <w:bookmarkEnd w:id="490"/>
      <w:bookmarkEnd w:id="491"/>
      <w:bookmarkEnd w:id="492"/>
      <w:bookmarkEnd w:id="493"/>
    </w:p>
    <w:p w14:paraId="3C13A49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和中标人应当自中标通知书发出之日起 30 天内，根据</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或不按照竞选文件要求提交低价风险担保（适用于经评审最低投标价法）或履约保证金的，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39CF950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向中标人退还投标保证金；给中标人造成损失的，还应当赔偿损失。</w:t>
      </w:r>
    </w:p>
    <w:p w14:paraId="763F4903">
      <w:pPr>
        <w:pStyle w:val="4"/>
        <w:spacing w:before="0" w:after="0" w:line="360" w:lineRule="auto"/>
        <w:rPr>
          <w:rFonts w:ascii="宋体" w:hAnsi="宋体"/>
          <w:b w:val="0"/>
          <w:snapToGrid w:val="0"/>
          <w:color w:val="auto"/>
          <w:highlight w:val="none"/>
        </w:rPr>
      </w:pPr>
      <w:bookmarkStart w:id="494" w:name="_Toc509218753"/>
      <w:bookmarkStart w:id="495" w:name="_Toc200513169"/>
      <w:bookmarkStart w:id="496" w:name="_Toc277082595"/>
      <w:bookmarkStart w:id="497" w:name="_Toc287620728"/>
      <w:bookmarkStart w:id="498" w:name="_Toc57905874"/>
      <w:bookmarkStart w:id="499" w:name="_Toc22591"/>
      <w:bookmarkStart w:id="500" w:name="_Toc224103360"/>
      <w:bookmarkStart w:id="501" w:name="_Toc287607789"/>
      <w:bookmarkStart w:id="502" w:name="_Toc430530478"/>
      <w:r>
        <w:rPr>
          <w:rFonts w:ascii="宋体" w:hAnsi="宋体"/>
          <w:b w:val="0"/>
          <w:snapToGrid w:val="0"/>
          <w:color w:val="auto"/>
          <w:highlight w:val="none"/>
        </w:rPr>
        <w:t>8.  重新招标和不再招标</w:t>
      </w:r>
      <w:bookmarkEnd w:id="494"/>
      <w:bookmarkEnd w:id="495"/>
      <w:bookmarkEnd w:id="496"/>
      <w:bookmarkEnd w:id="497"/>
      <w:bookmarkEnd w:id="498"/>
      <w:bookmarkEnd w:id="499"/>
      <w:bookmarkEnd w:id="500"/>
      <w:bookmarkEnd w:id="501"/>
      <w:bookmarkEnd w:id="502"/>
    </w:p>
    <w:p w14:paraId="57DD7394">
      <w:pPr>
        <w:pStyle w:val="5"/>
        <w:snapToGrid w:val="0"/>
        <w:spacing w:before="0" w:after="0" w:line="360" w:lineRule="auto"/>
        <w:rPr>
          <w:rFonts w:ascii="宋体" w:hAnsi="宋体"/>
          <w:b w:val="0"/>
          <w:snapToGrid w:val="0"/>
          <w:color w:val="auto"/>
          <w:sz w:val="24"/>
          <w:szCs w:val="24"/>
          <w:highlight w:val="none"/>
        </w:rPr>
      </w:pPr>
      <w:bookmarkStart w:id="503" w:name="_Toc224103361"/>
      <w:bookmarkStart w:id="504" w:name="_Toc4647"/>
      <w:bookmarkStart w:id="505" w:name="_Toc287607790"/>
      <w:bookmarkStart w:id="506" w:name="_Toc509218754"/>
      <w:bookmarkStart w:id="507" w:name="_Toc287620729"/>
      <w:bookmarkStart w:id="508" w:name="_Toc430530479"/>
      <w:bookmarkStart w:id="509" w:name="_Toc277082596"/>
      <w:bookmarkStart w:id="510" w:name="_Toc200513170"/>
      <w:bookmarkStart w:id="511" w:name="_Toc57905875"/>
      <w:r>
        <w:rPr>
          <w:rFonts w:ascii="宋体" w:hAnsi="宋体"/>
          <w:b w:val="0"/>
          <w:snapToGrid w:val="0"/>
          <w:color w:val="auto"/>
          <w:sz w:val="24"/>
          <w:szCs w:val="24"/>
          <w:highlight w:val="none"/>
        </w:rPr>
        <w:t>8.1  重新招标</w:t>
      </w:r>
      <w:bookmarkEnd w:id="503"/>
      <w:bookmarkEnd w:id="504"/>
      <w:bookmarkEnd w:id="505"/>
      <w:bookmarkEnd w:id="506"/>
      <w:bookmarkEnd w:id="507"/>
      <w:bookmarkEnd w:id="508"/>
      <w:bookmarkEnd w:id="509"/>
      <w:bookmarkEnd w:id="510"/>
      <w:bookmarkEnd w:id="511"/>
      <w:r>
        <w:rPr>
          <w:rFonts w:hint="eastAsia" w:ascii="宋体" w:hAnsi="宋体"/>
          <w:b w:val="0"/>
          <w:snapToGrid w:val="0"/>
          <w:color w:val="auto"/>
          <w:sz w:val="24"/>
          <w:szCs w:val="24"/>
          <w:highlight w:val="none"/>
        </w:rPr>
        <w:t>的情形</w:t>
      </w:r>
    </w:p>
    <w:p w14:paraId="29FC47C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将重新招标：</w:t>
      </w:r>
    </w:p>
    <w:p w14:paraId="00134E8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止，</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少于 3 个的；</w:t>
      </w:r>
    </w:p>
    <w:p w14:paraId="77A34C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402D40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竞选人不足三个的，评标委员会应当否决所有投标。但是有效竞选人的经济、技术等指标仍然具有市场竞争力，能够满足竞选文件要求的，评标委员会可以继续评标并确定中标候选人；</w:t>
      </w:r>
    </w:p>
    <w:p w14:paraId="77FA57C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655F1594">
      <w:pPr>
        <w:pStyle w:val="5"/>
        <w:snapToGrid w:val="0"/>
        <w:spacing w:before="0" w:after="0" w:line="360" w:lineRule="auto"/>
        <w:rPr>
          <w:rFonts w:ascii="宋体" w:hAnsi="宋体"/>
          <w:b w:val="0"/>
          <w:snapToGrid w:val="0"/>
          <w:color w:val="auto"/>
          <w:sz w:val="24"/>
          <w:szCs w:val="24"/>
          <w:highlight w:val="none"/>
        </w:rPr>
      </w:pPr>
      <w:bookmarkStart w:id="512" w:name="_Toc509218755"/>
      <w:bookmarkStart w:id="513" w:name="_Toc277082597"/>
      <w:bookmarkStart w:id="514" w:name="_Toc57905876"/>
      <w:bookmarkStart w:id="515" w:name="_Toc32210"/>
      <w:bookmarkStart w:id="516" w:name="_Toc200513171"/>
      <w:bookmarkStart w:id="517" w:name="_Toc430530480"/>
      <w:bookmarkStart w:id="518" w:name="_Toc287607791"/>
      <w:bookmarkStart w:id="519" w:name="_Toc224103362"/>
      <w:bookmarkStart w:id="520" w:name="_Toc28762073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512"/>
      <w:bookmarkEnd w:id="513"/>
      <w:bookmarkEnd w:id="514"/>
      <w:bookmarkEnd w:id="515"/>
      <w:bookmarkEnd w:id="516"/>
      <w:bookmarkEnd w:id="517"/>
      <w:bookmarkEnd w:id="518"/>
      <w:bookmarkEnd w:id="519"/>
      <w:bookmarkEnd w:id="520"/>
    </w:p>
    <w:p w14:paraId="11137C0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070E2D44">
      <w:pPr>
        <w:pStyle w:val="4"/>
        <w:spacing w:before="0" w:after="0" w:line="360" w:lineRule="auto"/>
        <w:rPr>
          <w:rFonts w:ascii="宋体" w:hAnsi="宋体"/>
          <w:b w:val="0"/>
          <w:snapToGrid w:val="0"/>
          <w:color w:val="auto"/>
          <w:highlight w:val="none"/>
        </w:rPr>
      </w:pPr>
      <w:bookmarkStart w:id="521" w:name="_Toc277082598"/>
      <w:bookmarkStart w:id="522" w:name="_Toc224103363"/>
      <w:bookmarkStart w:id="523" w:name="_Toc509218756"/>
      <w:bookmarkStart w:id="524" w:name="_Toc200513172"/>
      <w:bookmarkStart w:id="525" w:name="_Toc287607792"/>
      <w:bookmarkStart w:id="526" w:name="_Toc287620731"/>
      <w:bookmarkStart w:id="527" w:name="_Toc430530481"/>
      <w:bookmarkStart w:id="528" w:name="_Toc285"/>
      <w:bookmarkStart w:id="529" w:name="_Toc57905877"/>
      <w:r>
        <w:rPr>
          <w:rFonts w:ascii="宋体" w:hAnsi="宋体"/>
          <w:b w:val="0"/>
          <w:snapToGrid w:val="0"/>
          <w:color w:val="auto"/>
          <w:highlight w:val="none"/>
        </w:rPr>
        <w:t>9.  纪律和监督</w:t>
      </w:r>
      <w:bookmarkEnd w:id="521"/>
      <w:bookmarkEnd w:id="522"/>
      <w:bookmarkEnd w:id="523"/>
      <w:bookmarkEnd w:id="524"/>
      <w:bookmarkEnd w:id="525"/>
      <w:bookmarkEnd w:id="526"/>
      <w:bookmarkEnd w:id="527"/>
      <w:bookmarkEnd w:id="528"/>
      <w:bookmarkEnd w:id="529"/>
    </w:p>
    <w:p w14:paraId="3029DDB1">
      <w:pPr>
        <w:pStyle w:val="5"/>
        <w:snapToGrid w:val="0"/>
        <w:spacing w:before="0" w:after="0" w:line="360" w:lineRule="auto"/>
        <w:rPr>
          <w:rFonts w:ascii="宋体" w:hAnsi="宋体"/>
          <w:b w:val="0"/>
          <w:snapToGrid w:val="0"/>
          <w:color w:val="auto"/>
          <w:sz w:val="24"/>
          <w:szCs w:val="24"/>
          <w:highlight w:val="none"/>
        </w:rPr>
      </w:pPr>
      <w:bookmarkStart w:id="530" w:name="_Toc224103364"/>
      <w:bookmarkStart w:id="531" w:name="_Toc509218757"/>
      <w:bookmarkStart w:id="532" w:name="_Toc11532"/>
      <w:bookmarkStart w:id="533" w:name="_Toc277082599"/>
      <w:bookmarkStart w:id="534" w:name="_Toc200513173"/>
      <w:bookmarkStart w:id="535" w:name="_Toc287607793"/>
      <w:bookmarkStart w:id="536" w:name="_Toc287620732"/>
      <w:bookmarkStart w:id="537" w:name="_Toc430530482"/>
      <w:bookmarkStart w:id="538" w:name="_Toc57905878"/>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rPr>
        <w:t>比选人</w:t>
      </w:r>
      <w:r>
        <w:rPr>
          <w:rFonts w:ascii="宋体" w:hAnsi="宋体"/>
          <w:b w:val="0"/>
          <w:snapToGrid w:val="0"/>
          <w:color w:val="auto"/>
          <w:sz w:val="24"/>
          <w:szCs w:val="24"/>
          <w:highlight w:val="none"/>
        </w:rPr>
        <w:t>的纪律要求</w:t>
      </w:r>
      <w:bookmarkEnd w:id="530"/>
      <w:bookmarkEnd w:id="531"/>
      <w:bookmarkEnd w:id="532"/>
      <w:bookmarkEnd w:id="533"/>
      <w:bookmarkEnd w:id="534"/>
      <w:bookmarkEnd w:id="535"/>
      <w:bookmarkEnd w:id="536"/>
      <w:bookmarkEnd w:id="537"/>
      <w:bookmarkEnd w:id="538"/>
    </w:p>
    <w:p w14:paraId="6ACDD886">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不得泄漏招标投标活动中应当保密的情况和资料，不得与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6FAA37B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6ED29D3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rPr>
        <w:t>比选人</w:t>
      </w:r>
      <w:r>
        <w:rPr>
          <w:rFonts w:ascii="宋体" w:hAnsi="宋体"/>
          <w:color w:val="auto"/>
          <w:highlight w:val="none"/>
        </w:rPr>
        <w:t>在开标前开启</w:t>
      </w:r>
      <w:r>
        <w:rPr>
          <w:rFonts w:hint="eastAsia" w:ascii="宋体" w:hAnsi="宋体"/>
          <w:color w:val="auto"/>
          <w:highlight w:val="none"/>
        </w:rPr>
        <w:t>竞选文件</w:t>
      </w:r>
      <w:r>
        <w:rPr>
          <w:rFonts w:ascii="宋体" w:hAnsi="宋体"/>
          <w:color w:val="auto"/>
          <w:highlight w:val="none"/>
        </w:rPr>
        <w:t>并将有关信息泄露给其他</w:t>
      </w:r>
      <w:r>
        <w:rPr>
          <w:rFonts w:hint="eastAsia" w:ascii="宋体" w:hAnsi="宋体"/>
          <w:color w:val="auto"/>
          <w:highlight w:val="none"/>
        </w:rPr>
        <w:t>竞选人；</w:t>
      </w:r>
    </w:p>
    <w:p w14:paraId="254B21A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rPr>
        <w:t>比选人</w:t>
      </w:r>
      <w:r>
        <w:rPr>
          <w:rFonts w:ascii="宋体" w:hAnsi="宋体"/>
          <w:color w:val="auto"/>
          <w:highlight w:val="none"/>
        </w:rPr>
        <w:t>直接或者间接向</w:t>
      </w:r>
      <w:r>
        <w:rPr>
          <w:rFonts w:hint="eastAsia" w:ascii="宋体" w:hAnsi="宋体"/>
          <w:color w:val="auto"/>
          <w:highlight w:val="none"/>
        </w:rPr>
        <w:t>竞选人</w:t>
      </w:r>
      <w:r>
        <w:rPr>
          <w:rFonts w:ascii="宋体" w:hAnsi="宋体"/>
          <w:color w:val="auto"/>
          <w:highlight w:val="none"/>
        </w:rPr>
        <w:t>泄露标底、评标委员会成员等信息；</w:t>
      </w:r>
    </w:p>
    <w:p w14:paraId="32E787B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压低或者抬高投标报价；</w:t>
      </w:r>
    </w:p>
    <w:p w14:paraId="67D67C9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rPr>
        <w:t>比选人</w:t>
      </w:r>
      <w:r>
        <w:rPr>
          <w:rFonts w:ascii="宋体" w:hAnsi="宋体"/>
          <w:color w:val="auto"/>
          <w:highlight w:val="none"/>
        </w:rPr>
        <w:t>授意</w:t>
      </w:r>
      <w:r>
        <w:rPr>
          <w:rFonts w:hint="eastAsia" w:ascii="宋体" w:hAnsi="宋体"/>
          <w:color w:val="auto"/>
          <w:highlight w:val="none"/>
        </w:rPr>
        <w:t>竞选人</w:t>
      </w:r>
      <w:r>
        <w:rPr>
          <w:rFonts w:ascii="宋体" w:hAnsi="宋体"/>
          <w:color w:val="auto"/>
          <w:highlight w:val="none"/>
        </w:rPr>
        <w:t>撤换、修改</w:t>
      </w:r>
      <w:r>
        <w:rPr>
          <w:rFonts w:hint="eastAsia" w:ascii="宋体" w:hAnsi="宋体"/>
          <w:color w:val="auto"/>
          <w:highlight w:val="none"/>
        </w:rPr>
        <w:t>竞选文件</w:t>
      </w:r>
      <w:r>
        <w:rPr>
          <w:rFonts w:ascii="宋体" w:hAnsi="宋体"/>
          <w:color w:val="auto"/>
          <w:highlight w:val="none"/>
        </w:rPr>
        <w:t>；</w:t>
      </w:r>
    </w:p>
    <w:p w14:paraId="6AA83268">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为特定</w:t>
      </w:r>
      <w:r>
        <w:rPr>
          <w:rFonts w:hint="eastAsia" w:ascii="宋体" w:hAnsi="宋体"/>
          <w:color w:val="auto"/>
          <w:highlight w:val="none"/>
        </w:rPr>
        <w:t>竞选人</w:t>
      </w:r>
      <w:r>
        <w:rPr>
          <w:rFonts w:ascii="宋体" w:hAnsi="宋体"/>
          <w:color w:val="auto"/>
          <w:highlight w:val="none"/>
        </w:rPr>
        <w:t>中标提供方便；</w:t>
      </w:r>
    </w:p>
    <w:p w14:paraId="1E53F48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为谋求特定</w:t>
      </w:r>
      <w:r>
        <w:rPr>
          <w:rFonts w:hint="eastAsia" w:ascii="宋体" w:hAnsi="宋体"/>
          <w:color w:val="auto"/>
          <w:highlight w:val="none"/>
        </w:rPr>
        <w:t>竞选人</w:t>
      </w:r>
      <w:r>
        <w:rPr>
          <w:rFonts w:ascii="宋体" w:hAnsi="宋体"/>
          <w:color w:val="auto"/>
          <w:highlight w:val="none"/>
        </w:rPr>
        <w:t>中标而采取的其他串通行为。</w:t>
      </w:r>
    </w:p>
    <w:p w14:paraId="75C056A2">
      <w:pPr>
        <w:pStyle w:val="5"/>
        <w:snapToGrid w:val="0"/>
        <w:spacing w:before="0" w:after="0" w:line="360" w:lineRule="auto"/>
        <w:rPr>
          <w:rFonts w:ascii="宋体" w:hAnsi="宋体"/>
          <w:b w:val="0"/>
          <w:snapToGrid w:val="0"/>
          <w:color w:val="auto"/>
          <w:sz w:val="24"/>
          <w:szCs w:val="24"/>
          <w:highlight w:val="none"/>
        </w:rPr>
      </w:pPr>
      <w:bookmarkStart w:id="539" w:name="_Toc287607794"/>
      <w:bookmarkStart w:id="540" w:name="_Toc57905879"/>
      <w:bookmarkStart w:id="541" w:name="_Toc11710"/>
      <w:bookmarkStart w:id="542" w:name="_Toc430530483"/>
      <w:bookmarkStart w:id="543" w:name="_Toc277082600"/>
      <w:bookmarkStart w:id="544" w:name="_Toc200513174"/>
      <w:bookmarkStart w:id="545" w:name="_Toc509218758"/>
      <w:bookmarkStart w:id="546" w:name="_Toc287620733"/>
      <w:bookmarkStart w:id="547" w:name="_Toc224103365"/>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的纪律要求</w:t>
      </w:r>
      <w:bookmarkEnd w:id="539"/>
      <w:bookmarkEnd w:id="540"/>
      <w:bookmarkEnd w:id="541"/>
      <w:bookmarkEnd w:id="542"/>
      <w:bookmarkEnd w:id="543"/>
      <w:bookmarkEnd w:id="544"/>
      <w:bookmarkEnd w:id="545"/>
      <w:bookmarkEnd w:id="546"/>
      <w:bookmarkEnd w:id="547"/>
    </w:p>
    <w:p w14:paraId="61770A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或者评标委员会成员行贿谋取中标，不得以他人名义投标或者以其他方式弄虚作假骗取中标；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2B13A94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rPr>
        <w:t>竞选人</w:t>
      </w:r>
      <w:r>
        <w:rPr>
          <w:rFonts w:ascii="宋体" w:hAnsi="宋体"/>
          <w:color w:val="auto"/>
          <w:highlight w:val="none"/>
        </w:rPr>
        <w:t>相互串通投标：</w:t>
      </w:r>
    </w:p>
    <w:p w14:paraId="41AF98D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竞选人</w:t>
      </w:r>
      <w:r>
        <w:rPr>
          <w:rFonts w:ascii="宋体" w:hAnsi="宋体"/>
          <w:color w:val="auto"/>
          <w:highlight w:val="none"/>
        </w:rPr>
        <w:t>之间协商投标报价等</w:t>
      </w:r>
      <w:r>
        <w:rPr>
          <w:rFonts w:hint="eastAsia" w:ascii="宋体" w:hAnsi="宋体"/>
          <w:color w:val="auto"/>
          <w:highlight w:val="none"/>
        </w:rPr>
        <w:t>竞选文件</w:t>
      </w:r>
      <w:r>
        <w:rPr>
          <w:rFonts w:ascii="宋体" w:hAnsi="宋体"/>
          <w:color w:val="auto"/>
          <w:highlight w:val="none"/>
        </w:rPr>
        <w:t>的实质性内容；</w:t>
      </w:r>
    </w:p>
    <w:p w14:paraId="206A318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竞选人</w:t>
      </w:r>
      <w:r>
        <w:rPr>
          <w:rFonts w:ascii="宋体" w:hAnsi="宋体"/>
          <w:color w:val="auto"/>
          <w:highlight w:val="none"/>
        </w:rPr>
        <w:t>之间约定中标人；</w:t>
      </w:r>
    </w:p>
    <w:p w14:paraId="42EBB4B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竞选人</w:t>
      </w:r>
      <w:r>
        <w:rPr>
          <w:rFonts w:ascii="宋体" w:hAnsi="宋体"/>
          <w:color w:val="auto"/>
          <w:highlight w:val="none"/>
        </w:rPr>
        <w:t>之间约定部分</w:t>
      </w:r>
      <w:r>
        <w:rPr>
          <w:rFonts w:hint="eastAsia" w:ascii="宋体" w:hAnsi="宋体"/>
          <w:color w:val="auto"/>
          <w:highlight w:val="none"/>
        </w:rPr>
        <w:t>竞选人</w:t>
      </w:r>
      <w:r>
        <w:rPr>
          <w:rFonts w:ascii="宋体" w:hAnsi="宋体"/>
          <w:color w:val="auto"/>
          <w:highlight w:val="none"/>
        </w:rPr>
        <w:t>放弃投标或者中标；</w:t>
      </w:r>
    </w:p>
    <w:p w14:paraId="4E799D9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rPr>
        <w:t>竞选人</w:t>
      </w:r>
      <w:r>
        <w:rPr>
          <w:rFonts w:ascii="宋体" w:hAnsi="宋体"/>
          <w:color w:val="auto"/>
          <w:highlight w:val="none"/>
        </w:rPr>
        <w:t>按照该组织要求协同投标；</w:t>
      </w:r>
    </w:p>
    <w:p w14:paraId="4C71906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rPr>
        <w:t>竞选人</w:t>
      </w:r>
      <w:r>
        <w:rPr>
          <w:rFonts w:ascii="宋体" w:hAnsi="宋体"/>
          <w:color w:val="auto"/>
          <w:highlight w:val="none"/>
        </w:rPr>
        <w:t>之间为谋取中标或者排斥特定</w:t>
      </w:r>
      <w:r>
        <w:rPr>
          <w:rFonts w:hint="eastAsia" w:ascii="宋体" w:hAnsi="宋体"/>
          <w:color w:val="auto"/>
          <w:highlight w:val="none"/>
        </w:rPr>
        <w:t>竞选人</w:t>
      </w:r>
      <w:r>
        <w:rPr>
          <w:rFonts w:ascii="宋体" w:hAnsi="宋体"/>
          <w:color w:val="auto"/>
          <w:highlight w:val="none"/>
        </w:rPr>
        <w:t>而采取的其他联合行动。</w:t>
      </w:r>
    </w:p>
    <w:p w14:paraId="69E8618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rPr>
        <w:t>竞选人</w:t>
      </w:r>
      <w:r>
        <w:rPr>
          <w:rFonts w:ascii="宋体" w:hAnsi="宋体"/>
          <w:color w:val="auto"/>
          <w:highlight w:val="none"/>
        </w:rPr>
        <w:t>相互串通投标：</w:t>
      </w:r>
    </w:p>
    <w:p w14:paraId="3CF606B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由同一单位或者个人编制；</w:t>
      </w:r>
    </w:p>
    <w:p w14:paraId="4A23FEC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rPr>
        <w:t>竞选人</w:t>
      </w:r>
      <w:r>
        <w:rPr>
          <w:rFonts w:ascii="宋体" w:hAnsi="宋体"/>
          <w:color w:val="auto"/>
          <w:highlight w:val="none"/>
        </w:rPr>
        <w:t>委托同一单位或者个人办理投标事宜；</w:t>
      </w:r>
    </w:p>
    <w:p w14:paraId="5ADA7CD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载明的项目管理成员为同一人；</w:t>
      </w:r>
    </w:p>
    <w:p w14:paraId="359A445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异常一致或者投标报价呈规律性差异；</w:t>
      </w:r>
    </w:p>
    <w:p w14:paraId="6BEFE60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相互混装；</w:t>
      </w:r>
    </w:p>
    <w:p w14:paraId="28DAFC3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rPr>
        <w:t>竞选人</w:t>
      </w:r>
      <w:r>
        <w:rPr>
          <w:rFonts w:ascii="宋体" w:hAnsi="宋体"/>
          <w:color w:val="auto"/>
          <w:highlight w:val="none"/>
        </w:rPr>
        <w:t>的投标保证金从同一单位或者个人的账户转出。</w:t>
      </w:r>
    </w:p>
    <w:p w14:paraId="6145E7D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6904F56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9.2.4  竞选人</w:t>
      </w:r>
      <w:r>
        <w:rPr>
          <w:rFonts w:ascii="宋体" w:hAnsi="宋体"/>
          <w:color w:val="auto"/>
          <w:highlight w:val="none"/>
        </w:rPr>
        <w:t>有下列情形之一的，属于以其他方式弄虚作假的行为：</w:t>
      </w:r>
    </w:p>
    <w:p w14:paraId="4E1820F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2733A11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1EB8CAD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1F41943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1EC4874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4AC8E433">
      <w:pPr>
        <w:pStyle w:val="5"/>
        <w:snapToGrid w:val="0"/>
        <w:spacing w:before="0" w:after="0" w:line="360" w:lineRule="auto"/>
        <w:rPr>
          <w:rFonts w:ascii="宋体" w:hAnsi="宋体"/>
          <w:b w:val="0"/>
          <w:snapToGrid w:val="0"/>
          <w:color w:val="auto"/>
          <w:sz w:val="24"/>
          <w:szCs w:val="24"/>
          <w:highlight w:val="none"/>
        </w:rPr>
      </w:pPr>
      <w:bookmarkStart w:id="548" w:name="_Toc287607795"/>
      <w:bookmarkStart w:id="549" w:name="_Toc27742"/>
      <w:bookmarkStart w:id="550" w:name="_Toc430530484"/>
      <w:bookmarkStart w:id="551" w:name="_Toc287620734"/>
      <w:bookmarkStart w:id="552" w:name="_Toc57905880"/>
      <w:bookmarkStart w:id="553" w:name="_Toc200513175"/>
      <w:bookmarkStart w:id="554" w:name="_Toc277082601"/>
      <w:bookmarkStart w:id="555" w:name="_Toc509218759"/>
      <w:bookmarkStart w:id="556" w:name="_Toc224103366"/>
      <w:r>
        <w:rPr>
          <w:rFonts w:ascii="宋体" w:hAnsi="宋体"/>
          <w:b w:val="0"/>
          <w:snapToGrid w:val="0"/>
          <w:color w:val="auto"/>
          <w:sz w:val="24"/>
          <w:szCs w:val="24"/>
          <w:highlight w:val="none"/>
        </w:rPr>
        <w:t>9.3  对评标委员会成员的纪律要求</w:t>
      </w:r>
      <w:bookmarkEnd w:id="548"/>
      <w:bookmarkEnd w:id="549"/>
      <w:bookmarkEnd w:id="550"/>
      <w:bookmarkEnd w:id="551"/>
      <w:bookmarkEnd w:id="552"/>
      <w:bookmarkEnd w:id="553"/>
      <w:bookmarkEnd w:id="554"/>
      <w:bookmarkEnd w:id="555"/>
      <w:bookmarkEnd w:id="556"/>
    </w:p>
    <w:p w14:paraId="6828E2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，不得对竞选文件中《否决投标情况一览表》以外的内容予以否决投标，否则对评标委员会成员按《重庆市综合评标专家库和评标专家管理暂行办法》进行处理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3C1D7825">
      <w:pPr>
        <w:pStyle w:val="5"/>
        <w:snapToGrid w:val="0"/>
        <w:spacing w:before="0" w:after="0" w:line="360" w:lineRule="auto"/>
        <w:rPr>
          <w:rFonts w:ascii="宋体" w:hAnsi="宋体"/>
          <w:b w:val="0"/>
          <w:snapToGrid w:val="0"/>
          <w:color w:val="auto"/>
          <w:sz w:val="24"/>
          <w:szCs w:val="24"/>
          <w:highlight w:val="none"/>
        </w:rPr>
      </w:pPr>
      <w:bookmarkStart w:id="557" w:name="_Toc17353"/>
      <w:bookmarkStart w:id="558" w:name="_Toc57905881"/>
      <w:bookmarkStart w:id="559" w:name="_Toc200513176"/>
      <w:bookmarkStart w:id="560" w:name="_Toc277082602"/>
      <w:bookmarkStart w:id="561" w:name="_Toc287620735"/>
      <w:bookmarkStart w:id="562" w:name="_Toc224103367"/>
      <w:bookmarkStart w:id="563" w:name="_Toc509218760"/>
      <w:bookmarkStart w:id="564" w:name="_Toc430530485"/>
      <w:bookmarkStart w:id="565" w:name="_Toc287607796"/>
      <w:r>
        <w:rPr>
          <w:rFonts w:ascii="宋体" w:hAnsi="宋体"/>
          <w:b w:val="0"/>
          <w:snapToGrid w:val="0"/>
          <w:color w:val="auto"/>
          <w:sz w:val="24"/>
          <w:szCs w:val="24"/>
          <w:highlight w:val="none"/>
        </w:rPr>
        <w:t>9.4  对与评标活动有关的工作人员的纪律要求</w:t>
      </w:r>
      <w:bookmarkEnd w:id="557"/>
      <w:bookmarkEnd w:id="558"/>
      <w:bookmarkEnd w:id="559"/>
      <w:bookmarkEnd w:id="560"/>
      <w:bookmarkEnd w:id="561"/>
      <w:bookmarkEnd w:id="562"/>
      <w:bookmarkEnd w:id="563"/>
      <w:bookmarkEnd w:id="564"/>
      <w:bookmarkEnd w:id="565"/>
    </w:p>
    <w:p w14:paraId="22854CF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7D1BC4F1">
      <w:pPr>
        <w:pStyle w:val="5"/>
        <w:snapToGrid w:val="0"/>
        <w:spacing w:before="0" w:after="0" w:line="360" w:lineRule="auto"/>
        <w:rPr>
          <w:rFonts w:ascii="宋体" w:hAnsi="宋体"/>
          <w:b w:val="0"/>
          <w:snapToGrid w:val="0"/>
          <w:color w:val="auto"/>
          <w:sz w:val="24"/>
          <w:szCs w:val="24"/>
          <w:highlight w:val="none"/>
        </w:rPr>
      </w:pPr>
      <w:bookmarkStart w:id="566" w:name="_Toc287620736"/>
      <w:bookmarkStart w:id="567" w:name="_Toc200513177"/>
      <w:bookmarkStart w:id="568" w:name="_Toc430530486"/>
      <w:bookmarkStart w:id="569" w:name="_Toc287607797"/>
      <w:bookmarkStart w:id="570" w:name="_Toc509218761"/>
      <w:bookmarkStart w:id="571" w:name="_Toc57905882"/>
      <w:bookmarkStart w:id="572" w:name="_Toc224103368"/>
      <w:bookmarkStart w:id="573" w:name="_Toc17234"/>
      <w:bookmarkStart w:id="574" w:name="_Toc277082603"/>
      <w:r>
        <w:rPr>
          <w:rFonts w:ascii="宋体" w:hAnsi="宋体"/>
          <w:b w:val="0"/>
          <w:snapToGrid w:val="0"/>
          <w:color w:val="auto"/>
          <w:sz w:val="24"/>
          <w:szCs w:val="24"/>
          <w:highlight w:val="none"/>
        </w:rPr>
        <w:t>9.5  投诉</w:t>
      </w:r>
      <w:bookmarkEnd w:id="566"/>
      <w:bookmarkEnd w:id="567"/>
      <w:bookmarkEnd w:id="568"/>
      <w:bookmarkEnd w:id="569"/>
      <w:bookmarkEnd w:id="570"/>
      <w:bookmarkEnd w:id="571"/>
      <w:bookmarkEnd w:id="572"/>
      <w:bookmarkEnd w:id="573"/>
      <w:bookmarkEnd w:id="574"/>
    </w:p>
    <w:p w14:paraId="4CB4147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和其他利害关系人认为本次招标活动违反法律、法规和规章规定的，有权向有关行政监督部门投诉。</w:t>
      </w:r>
    </w:p>
    <w:p w14:paraId="677AF860">
      <w:pPr>
        <w:pStyle w:val="4"/>
        <w:spacing w:before="0" w:after="0" w:line="360" w:lineRule="auto"/>
        <w:rPr>
          <w:rFonts w:ascii="宋体" w:hAnsi="宋体"/>
          <w:b w:val="0"/>
          <w:snapToGrid w:val="0"/>
          <w:color w:val="auto"/>
          <w:highlight w:val="none"/>
        </w:rPr>
      </w:pPr>
      <w:bookmarkStart w:id="575" w:name="_Toc430530487"/>
      <w:bookmarkStart w:id="576" w:name="_Toc509218762"/>
      <w:bookmarkStart w:id="577" w:name="_Toc287620737"/>
      <w:bookmarkStart w:id="578" w:name="_Toc277082604"/>
      <w:bookmarkStart w:id="579" w:name="_Toc287607798"/>
      <w:bookmarkStart w:id="580" w:name="_Toc57905883"/>
      <w:bookmarkStart w:id="581" w:name="_Toc200513178"/>
      <w:bookmarkStart w:id="582" w:name="_Toc224103369"/>
      <w:bookmarkStart w:id="583" w:name="_Toc13382"/>
      <w:r>
        <w:rPr>
          <w:rFonts w:ascii="宋体" w:hAnsi="宋体"/>
          <w:b w:val="0"/>
          <w:snapToGrid w:val="0"/>
          <w:color w:val="auto"/>
          <w:highlight w:val="none"/>
        </w:rPr>
        <w:t>10. 需要补充的其他内容</w:t>
      </w:r>
      <w:bookmarkEnd w:id="575"/>
      <w:bookmarkEnd w:id="576"/>
      <w:bookmarkEnd w:id="577"/>
      <w:bookmarkEnd w:id="578"/>
      <w:bookmarkEnd w:id="579"/>
      <w:bookmarkEnd w:id="580"/>
      <w:bookmarkEnd w:id="581"/>
      <w:bookmarkEnd w:id="582"/>
      <w:bookmarkEnd w:id="583"/>
    </w:p>
    <w:p w14:paraId="3DC91FEE">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204632E">
      <w:pPr>
        <w:pStyle w:val="3"/>
        <w:spacing w:line="360" w:lineRule="auto"/>
        <w:ind w:firstLine="883" w:firstLineChars="200"/>
        <w:jc w:val="center"/>
        <w:rPr>
          <w:rFonts w:ascii="宋体" w:hAnsi="宋体"/>
          <w:color w:val="auto"/>
          <w:highlight w:val="none"/>
        </w:rPr>
      </w:pPr>
      <w:bookmarkStart w:id="584" w:name="_Toc509218774"/>
      <w:bookmarkStart w:id="585" w:name="_Toc6128"/>
      <w:bookmarkStart w:id="586" w:name="_Toc57905895"/>
      <w:bookmarkStart w:id="587" w:name="_Toc277082618"/>
      <w:bookmarkStart w:id="588" w:name="_Toc287607812"/>
      <w:bookmarkStart w:id="589" w:name="_Toc287620751"/>
      <w:bookmarkStart w:id="590" w:name="_Toc200513198"/>
      <w:bookmarkStart w:id="591" w:name="_Toc430530500"/>
      <w:bookmarkStart w:id="592" w:name="_Toc224103384"/>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84"/>
      <w:bookmarkEnd w:id="585"/>
      <w:bookmarkEnd w:id="586"/>
      <w:bookmarkStart w:id="593" w:name="_Toc277082617"/>
      <w:bookmarkStart w:id="594" w:name="_Toc430530499"/>
      <w:bookmarkStart w:id="595" w:name="_Toc224103383"/>
      <w:bookmarkStart w:id="596" w:name="_Toc287607811"/>
      <w:bookmarkStart w:id="597" w:name="_Toc287620750"/>
    </w:p>
    <w:p w14:paraId="3BC5EB90">
      <w:pPr>
        <w:pStyle w:val="4"/>
        <w:spacing w:before="100" w:after="100" w:line="360" w:lineRule="auto"/>
        <w:rPr>
          <w:rFonts w:ascii="宋体" w:hAnsi="宋体"/>
          <w:color w:val="auto"/>
          <w:highlight w:val="none"/>
        </w:rPr>
      </w:pPr>
      <w:bookmarkStart w:id="598" w:name="_Toc509218775"/>
      <w:bookmarkStart w:id="599" w:name="_Toc57905896"/>
      <w:bookmarkStart w:id="600" w:name="_Toc14663"/>
      <w:r>
        <w:rPr>
          <w:rFonts w:hint="eastAsia" w:ascii="宋体" w:hAnsi="宋体"/>
          <w:color w:val="auto"/>
          <w:highlight w:val="none"/>
        </w:rPr>
        <w:t>评标办法前附表</w:t>
      </w:r>
      <w:bookmarkEnd w:id="598"/>
      <w:bookmarkEnd w:id="599"/>
      <w:bookmarkEnd w:id="600"/>
    </w:p>
    <w:p w14:paraId="2331D744">
      <w:pPr>
        <w:spacing w:line="360" w:lineRule="auto"/>
        <w:ind w:firstLine="420" w:firstLineChars="200"/>
        <w:rPr>
          <w:color w:val="auto"/>
          <w:szCs w:val="21"/>
          <w:highlight w:val="none"/>
        </w:rPr>
      </w:pPr>
      <w:r>
        <w:rPr>
          <w:color w:val="auto"/>
          <w:szCs w:val="21"/>
          <w:highlight w:val="none"/>
        </w:rPr>
        <w:t>评标办法中的评审内容必须和</w:t>
      </w:r>
      <w:r>
        <w:rPr>
          <w:rFonts w:hint="eastAsia"/>
          <w:color w:val="auto"/>
          <w:szCs w:val="21"/>
          <w:highlight w:val="none"/>
        </w:rPr>
        <w:t>竞选人</w:t>
      </w:r>
      <w:r>
        <w:rPr>
          <w:color w:val="auto"/>
          <w:szCs w:val="21"/>
          <w:highlight w:val="none"/>
        </w:rPr>
        <w:t>须知中的对应内容一致，若</w:t>
      </w:r>
      <w:r>
        <w:rPr>
          <w:rFonts w:hint="eastAsia"/>
          <w:color w:val="auto"/>
          <w:szCs w:val="21"/>
          <w:highlight w:val="none"/>
        </w:rPr>
        <w:t>竞选人</w:t>
      </w:r>
      <w:r>
        <w:rPr>
          <w:color w:val="auto"/>
          <w:szCs w:val="21"/>
          <w:highlight w:val="none"/>
        </w:rPr>
        <w:t>须知中未作要求的内容，不得列入评标办法作为评定依据。</w:t>
      </w:r>
    </w:p>
    <w:bookmarkEnd w:id="593"/>
    <w:bookmarkEnd w:id="594"/>
    <w:bookmarkEnd w:id="595"/>
    <w:bookmarkEnd w:id="596"/>
    <w:bookmarkEnd w:id="597"/>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4D8ADD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FEA9489">
            <w:pPr>
              <w:spacing w:line="400" w:lineRule="exact"/>
              <w:jc w:val="center"/>
              <w:rPr>
                <w:rFonts w:ascii="宋体" w:hAnsi="宋体"/>
                <w:b/>
                <w:color w:val="auto"/>
                <w:kern w:val="0"/>
                <w:highlight w:val="none"/>
              </w:rPr>
            </w:pPr>
            <w:bookmarkStart w:id="601" w:name="_Toc509218776"/>
            <w:r>
              <w:rPr>
                <w:rFonts w:ascii="宋体" w:hAnsi="宋体"/>
                <w:b/>
                <w:color w:val="auto"/>
                <w:kern w:val="0"/>
                <w:highlight w:val="none"/>
              </w:rPr>
              <w:t>条款号</w:t>
            </w:r>
          </w:p>
        </w:tc>
        <w:tc>
          <w:tcPr>
            <w:tcW w:w="2559" w:type="dxa"/>
            <w:gridSpan w:val="3"/>
            <w:vAlign w:val="center"/>
          </w:tcPr>
          <w:p w14:paraId="0F90D8CA">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493" w:type="dxa"/>
            <w:vAlign w:val="center"/>
          </w:tcPr>
          <w:p w14:paraId="073CF4F5">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3E9DCE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60838F7">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2559" w:type="dxa"/>
            <w:gridSpan w:val="3"/>
            <w:vAlign w:val="center"/>
          </w:tcPr>
          <w:p w14:paraId="5679241E">
            <w:pPr>
              <w:spacing w:line="400" w:lineRule="exact"/>
              <w:jc w:val="center"/>
              <w:rPr>
                <w:rFonts w:ascii="宋体" w:hAnsi="宋体"/>
                <w:color w:val="auto"/>
                <w:kern w:val="0"/>
                <w:highlight w:val="none"/>
              </w:rPr>
            </w:pPr>
            <w:r>
              <w:rPr>
                <w:rFonts w:ascii="宋体" w:hAnsi="宋体"/>
                <w:color w:val="auto"/>
                <w:kern w:val="0"/>
                <w:highlight w:val="none"/>
              </w:rPr>
              <w:t>评标办法</w:t>
            </w:r>
          </w:p>
        </w:tc>
        <w:tc>
          <w:tcPr>
            <w:tcW w:w="5493" w:type="dxa"/>
            <w:vAlign w:val="center"/>
          </w:tcPr>
          <w:p w14:paraId="765E3C22">
            <w:pPr>
              <w:spacing w:line="400" w:lineRule="exact"/>
              <w:ind w:firstLine="420" w:firstLineChars="200"/>
              <w:jc w:val="left"/>
              <w:rPr>
                <w:rFonts w:ascii="宋体" w:hAnsi="宋体"/>
                <w:color w:val="auto"/>
                <w:kern w:val="0"/>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ascii="宋体" w:hAnsi="宋体"/>
                <w:color w:val="auto"/>
                <w:spacing w:val="-31"/>
                <w:kern w:val="0"/>
                <w:szCs w:val="21"/>
                <w:highlight w:val="none"/>
              </w:rPr>
              <w:t>。</w:t>
            </w:r>
            <w:r>
              <w:rPr>
                <w:rFonts w:ascii="宋体" w:hAnsi="宋体"/>
                <w:color w:val="auto"/>
                <w:kern w:val="0"/>
                <w:szCs w:val="21"/>
                <w:highlight w:val="none"/>
              </w:rPr>
              <w:t>综合评分相等时</w:t>
            </w:r>
            <w:r>
              <w:rPr>
                <w:rFonts w:ascii="宋体" w:hAnsi="宋体"/>
                <w:color w:val="auto"/>
                <w:spacing w:val="-31"/>
                <w:kern w:val="0"/>
                <w:szCs w:val="21"/>
                <w:highlight w:val="none"/>
              </w:rPr>
              <w:t>，</w:t>
            </w:r>
            <w:r>
              <w:rPr>
                <w:rFonts w:ascii="宋体" w:hAnsi="宋体"/>
                <w:color w:val="auto"/>
                <w:kern w:val="0"/>
                <w:szCs w:val="21"/>
                <w:highlight w:val="none"/>
              </w:rPr>
              <w:t>以投标报价低的优先；投标报价相等的，</w:t>
            </w:r>
            <w:r>
              <w:rPr>
                <w:rFonts w:hint="eastAsia" w:ascii="宋体" w:hAnsi="宋体"/>
                <w:color w:val="auto"/>
                <w:kern w:val="0"/>
                <w:szCs w:val="21"/>
                <w:highlight w:val="none"/>
              </w:rPr>
              <w:t>以“技术部分得分高的优先”的原则排序；</w:t>
            </w:r>
            <w:r>
              <w:rPr>
                <w:rFonts w:ascii="宋体" w:hAnsi="宋体"/>
                <w:color w:val="auto"/>
                <w:kern w:val="0"/>
                <w:szCs w:val="21"/>
                <w:highlight w:val="none"/>
              </w:rPr>
              <w:t>投标报价</w:t>
            </w:r>
            <w:r>
              <w:rPr>
                <w:rFonts w:hint="eastAsia" w:ascii="宋体" w:hAnsi="宋体"/>
                <w:color w:val="auto"/>
                <w:kern w:val="0"/>
                <w:szCs w:val="21"/>
                <w:highlight w:val="none"/>
              </w:rPr>
              <w:t>和技术部分得分均</w:t>
            </w:r>
            <w:r>
              <w:rPr>
                <w:rFonts w:ascii="宋体" w:hAnsi="宋体"/>
                <w:color w:val="auto"/>
                <w:kern w:val="0"/>
                <w:szCs w:val="21"/>
                <w:highlight w:val="none"/>
              </w:rPr>
              <w:t>相等</w:t>
            </w:r>
            <w:r>
              <w:rPr>
                <w:rFonts w:hint="eastAsia" w:ascii="宋体" w:hAnsi="宋体"/>
                <w:color w:val="auto"/>
                <w:kern w:val="0"/>
                <w:szCs w:val="21"/>
                <w:highlight w:val="none"/>
              </w:rPr>
              <w:t>由评标委员会按照</w:t>
            </w:r>
            <w:r>
              <w:rPr>
                <w:rFonts w:hint="eastAsia" w:ascii="宋体" w:hAnsi="宋体"/>
                <w:color w:val="auto"/>
                <w:kern w:val="0"/>
                <w:szCs w:val="21"/>
                <w:highlight w:val="none"/>
                <w:u w:val="single"/>
              </w:rPr>
              <w:t xml:space="preserve">  </w:t>
            </w:r>
            <w:r>
              <w:rPr>
                <w:color w:val="auto"/>
                <w:highlight w:val="none"/>
                <w:u w:val="single"/>
              </w:rPr>
              <w:t>投票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原则排序。</w:t>
            </w:r>
          </w:p>
        </w:tc>
      </w:tr>
      <w:tr w14:paraId="0F0C27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restart"/>
            <w:vAlign w:val="center"/>
          </w:tcPr>
          <w:p w14:paraId="76F6F302">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567" w:type="dxa"/>
            <w:vMerge w:val="restart"/>
            <w:vAlign w:val="center"/>
          </w:tcPr>
          <w:p w14:paraId="45E2C31C">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559" w:type="dxa"/>
            <w:gridSpan w:val="3"/>
            <w:tcBorders>
              <w:bottom w:val="single" w:color="auto" w:sz="4" w:space="0"/>
            </w:tcBorders>
            <w:vAlign w:val="center"/>
          </w:tcPr>
          <w:p w14:paraId="5781D89A">
            <w:pPr>
              <w:spacing w:line="400" w:lineRule="exact"/>
              <w:jc w:val="left"/>
              <w:rPr>
                <w:rFonts w:ascii="宋体" w:hAnsi="宋体"/>
                <w:color w:val="auto"/>
                <w:kern w:val="0"/>
                <w:highlight w:val="none"/>
              </w:rPr>
            </w:pPr>
            <w:r>
              <w:rPr>
                <w:rFonts w:hint="eastAsia" w:ascii="宋体" w:hAnsi="宋体"/>
                <w:color w:val="auto"/>
                <w:kern w:val="0"/>
                <w:highlight w:val="none"/>
              </w:rPr>
              <w:t>资质条件</w:t>
            </w:r>
          </w:p>
        </w:tc>
        <w:tc>
          <w:tcPr>
            <w:tcW w:w="5493" w:type="dxa"/>
            <w:vAlign w:val="center"/>
          </w:tcPr>
          <w:p w14:paraId="06729056">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51A2C9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54299CB4">
            <w:pPr>
              <w:spacing w:line="400" w:lineRule="exact"/>
              <w:rPr>
                <w:rFonts w:ascii="宋体" w:hAnsi="宋体"/>
                <w:color w:val="auto"/>
                <w:highlight w:val="none"/>
              </w:rPr>
            </w:pPr>
          </w:p>
        </w:tc>
        <w:tc>
          <w:tcPr>
            <w:tcW w:w="567" w:type="dxa"/>
            <w:vMerge w:val="continue"/>
          </w:tcPr>
          <w:p w14:paraId="3E98C697">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03C13F36">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493" w:type="dxa"/>
            <w:vAlign w:val="center"/>
          </w:tcPr>
          <w:p w14:paraId="6CBC0040">
            <w:pPr>
              <w:autoSpaceDE w:val="0"/>
              <w:autoSpaceDN w:val="0"/>
              <w:adjustRightIn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087979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499853DC">
            <w:pPr>
              <w:spacing w:line="400" w:lineRule="exact"/>
              <w:rPr>
                <w:rFonts w:ascii="宋体" w:hAnsi="宋体"/>
                <w:color w:val="auto"/>
                <w:highlight w:val="none"/>
              </w:rPr>
            </w:pPr>
          </w:p>
        </w:tc>
        <w:tc>
          <w:tcPr>
            <w:tcW w:w="567" w:type="dxa"/>
            <w:vMerge w:val="continue"/>
          </w:tcPr>
          <w:p w14:paraId="52810B10">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556C298C">
            <w:pPr>
              <w:spacing w:line="400" w:lineRule="exact"/>
              <w:jc w:val="left"/>
              <w:rPr>
                <w:rFonts w:ascii="宋体" w:hAnsi="宋体"/>
                <w:color w:val="auto"/>
                <w:kern w:val="0"/>
                <w:highlight w:val="none"/>
              </w:rPr>
            </w:pPr>
            <w:r>
              <w:rPr>
                <w:rFonts w:ascii="宋体" w:hAnsi="宋体"/>
                <w:color w:val="auto"/>
                <w:szCs w:val="21"/>
                <w:highlight w:val="none"/>
              </w:rPr>
              <w:t>投标截止日投标资格情况</w:t>
            </w:r>
          </w:p>
        </w:tc>
        <w:tc>
          <w:tcPr>
            <w:tcW w:w="5493" w:type="dxa"/>
            <w:vAlign w:val="center"/>
          </w:tcPr>
          <w:p w14:paraId="3558569B">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39109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0224FEF1">
            <w:pPr>
              <w:spacing w:line="400" w:lineRule="exact"/>
              <w:rPr>
                <w:rFonts w:ascii="宋体" w:hAnsi="宋体"/>
                <w:color w:val="auto"/>
                <w:highlight w:val="none"/>
              </w:rPr>
            </w:pPr>
          </w:p>
        </w:tc>
        <w:tc>
          <w:tcPr>
            <w:tcW w:w="567" w:type="dxa"/>
            <w:vMerge w:val="continue"/>
          </w:tcPr>
          <w:p w14:paraId="4B0EEF2E">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2D3EF669">
            <w:pPr>
              <w:spacing w:line="400" w:lineRule="exact"/>
              <w:jc w:val="left"/>
              <w:rPr>
                <w:rFonts w:ascii="宋体" w:hAnsi="宋体"/>
                <w:color w:val="auto"/>
                <w:szCs w:val="21"/>
                <w:highlight w:val="none"/>
              </w:rPr>
            </w:pPr>
            <w:r>
              <w:rPr>
                <w:color w:val="auto"/>
                <w:spacing w:val="-1"/>
                <w:highlight w:val="none"/>
              </w:rPr>
              <w:t>项目负责人</w:t>
            </w:r>
            <w:r>
              <w:rPr>
                <w:rFonts w:ascii="宋体" w:hAnsi="宋体"/>
                <w:color w:val="auto"/>
                <w:kern w:val="0"/>
                <w:highlight w:val="none"/>
              </w:rPr>
              <w:t>资格</w:t>
            </w:r>
            <w:r>
              <w:rPr>
                <w:rFonts w:hint="eastAsia" w:ascii="宋体" w:hAnsi="宋体"/>
                <w:color w:val="auto"/>
                <w:kern w:val="0"/>
                <w:highlight w:val="none"/>
              </w:rPr>
              <w:t>要求</w:t>
            </w:r>
          </w:p>
        </w:tc>
        <w:tc>
          <w:tcPr>
            <w:tcW w:w="5493" w:type="dxa"/>
            <w:vAlign w:val="center"/>
          </w:tcPr>
          <w:p w14:paraId="4C3B3351">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111080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52B8DB0C">
            <w:pPr>
              <w:spacing w:line="400" w:lineRule="exact"/>
              <w:rPr>
                <w:rFonts w:ascii="宋体" w:hAnsi="宋体"/>
                <w:color w:val="auto"/>
                <w:highlight w:val="none"/>
              </w:rPr>
            </w:pPr>
          </w:p>
        </w:tc>
        <w:tc>
          <w:tcPr>
            <w:tcW w:w="567" w:type="dxa"/>
            <w:vMerge w:val="continue"/>
          </w:tcPr>
          <w:p w14:paraId="3803655C">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45C0E59D">
            <w:pPr>
              <w:spacing w:line="400" w:lineRule="exact"/>
              <w:rPr>
                <w:rFonts w:ascii="宋体" w:hAnsi="宋体"/>
                <w:color w:val="auto"/>
                <w:kern w:val="0"/>
                <w:highlight w:val="none"/>
              </w:rPr>
            </w:pPr>
            <w:r>
              <w:rPr>
                <w:rFonts w:ascii="宋体" w:hAnsi="宋体"/>
                <w:color w:val="auto"/>
                <w:kern w:val="0"/>
                <w:highlight w:val="none"/>
              </w:rPr>
              <w:t>其他要求</w:t>
            </w:r>
          </w:p>
        </w:tc>
        <w:tc>
          <w:tcPr>
            <w:tcW w:w="5493" w:type="dxa"/>
            <w:vAlign w:val="center"/>
          </w:tcPr>
          <w:p w14:paraId="6C6A3D44">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178C7A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CC580FE">
            <w:pPr>
              <w:spacing w:line="400" w:lineRule="exact"/>
              <w:jc w:val="center"/>
              <w:rPr>
                <w:rFonts w:ascii="宋体" w:hAnsi="宋体"/>
                <w:color w:val="auto"/>
                <w:highlight w:val="none"/>
              </w:rPr>
            </w:pPr>
            <w:r>
              <w:rPr>
                <w:rFonts w:ascii="宋体" w:hAnsi="宋体"/>
                <w:color w:val="auto"/>
                <w:kern w:val="0"/>
                <w:highlight w:val="none"/>
              </w:rPr>
              <w:t>2.1.</w:t>
            </w:r>
            <w:r>
              <w:rPr>
                <w:rFonts w:hint="eastAsia" w:ascii="宋体" w:hAnsi="宋体"/>
                <w:color w:val="auto"/>
                <w:kern w:val="0"/>
                <w:highlight w:val="none"/>
              </w:rPr>
              <w:t>2</w:t>
            </w:r>
          </w:p>
        </w:tc>
        <w:tc>
          <w:tcPr>
            <w:tcW w:w="567" w:type="dxa"/>
            <w:vMerge w:val="restart"/>
            <w:vAlign w:val="center"/>
          </w:tcPr>
          <w:p w14:paraId="30471788">
            <w:pPr>
              <w:spacing w:line="400" w:lineRule="exact"/>
              <w:jc w:val="center"/>
              <w:rPr>
                <w:rFonts w:ascii="宋体" w:hAnsi="宋体"/>
                <w:color w:val="auto"/>
                <w:highlight w:val="none"/>
              </w:rPr>
            </w:pPr>
            <w:r>
              <w:rPr>
                <w:rFonts w:ascii="宋体" w:hAnsi="宋体"/>
                <w:color w:val="auto"/>
                <w:kern w:val="0"/>
                <w:highlight w:val="none"/>
              </w:rPr>
              <w:t>形式评审标准</w:t>
            </w:r>
          </w:p>
        </w:tc>
        <w:tc>
          <w:tcPr>
            <w:tcW w:w="2559" w:type="dxa"/>
            <w:gridSpan w:val="3"/>
            <w:tcBorders>
              <w:top w:val="single" w:color="auto" w:sz="4" w:space="0"/>
              <w:bottom w:val="single" w:color="auto" w:sz="4" w:space="0"/>
            </w:tcBorders>
            <w:vAlign w:val="center"/>
          </w:tcPr>
          <w:p w14:paraId="0256244A">
            <w:pPr>
              <w:spacing w:line="400" w:lineRule="exact"/>
              <w:jc w:val="left"/>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名称</w:t>
            </w:r>
          </w:p>
        </w:tc>
        <w:tc>
          <w:tcPr>
            <w:tcW w:w="5493" w:type="dxa"/>
            <w:vAlign w:val="center"/>
          </w:tcPr>
          <w:p w14:paraId="70CEDA3F">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71906F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6B027DE">
            <w:pPr>
              <w:spacing w:line="400" w:lineRule="exact"/>
              <w:rPr>
                <w:rFonts w:ascii="宋体" w:hAnsi="宋体"/>
                <w:color w:val="auto"/>
                <w:highlight w:val="none"/>
              </w:rPr>
            </w:pPr>
          </w:p>
        </w:tc>
        <w:tc>
          <w:tcPr>
            <w:tcW w:w="567" w:type="dxa"/>
            <w:vMerge w:val="continue"/>
          </w:tcPr>
          <w:p w14:paraId="426F54D9">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4F8FC880">
            <w:pPr>
              <w:spacing w:line="400" w:lineRule="exact"/>
              <w:jc w:val="left"/>
              <w:rPr>
                <w:rFonts w:ascii="宋体" w:hAnsi="宋体"/>
                <w:color w:val="auto"/>
                <w:kern w:val="0"/>
                <w:highlight w:val="none"/>
              </w:rPr>
            </w:pPr>
            <w:r>
              <w:rPr>
                <w:rFonts w:ascii="宋体" w:hAnsi="宋体"/>
                <w:color w:val="auto"/>
                <w:kern w:val="0"/>
                <w:highlight w:val="none"/>
              </w:rPr>
              <w:t>投标函</w:t>
            </w:r>
            <w:r>
              <w:rPr>
                <w:rFonts w:hint="eastAsia" w:ascii="宋体" w:hAnsi="宋体"/>
                <w:color w:val="auto"/>
                <w:kern w:val="0"/>
                <w:highlight w:val="none"/>
              </w:rPr>
              <w:t>签名</w:t>
            </w:r>
            <w:r>
              <w:rPr>
                <w:rFonts w:ascii="宋体" w:hAnsi="宋体"/>
                <w:color w:val="auto"/>
                <w:kern w:val="0"/>
                <w:highlight w:val="none"/>
              </w:rPr>
              <w:t>盖章</w:t>
            </w:r>
          </w:p>
        </w:tc>
        <w:tc>
          <w:tcPr>
            <w:tcW w:w="5493" w:type="dxa"/>
            <w:vAlign w:val="center"/>
          </w:tcPr>
          <w:p w14:paraId="65449855">
            <w:pPr>
              <w:spacing w:line="400" w:lineRule="exact"/>
              <w:ind w:firstLine="420" w:firstLineChars="200"/>
              <w:rPr>
                <w:rFonts w:ascii="宋体" w:hAnsi="宋体"/>
                <w:color w:val="auto"/>
                <w:kern w:val="0"/>
                <w:highlight w:val="none"/>
              </w:rPr>
            </w:pPr>
            <w:r>
              <w:rPr>
                <w:rFonts w:ascii="宋体" w:hAnsi="宋体"/>
                <w:color w:val="auto"/>
                <w:kern w:val="0"/>
                <w:highlight w:val="none"/>
              </w:rPr>
              <w:t>投标函格式规定</w:t>
            </w:r>
            <w:r>
              <w:rPr>
                <w:rFonts w:hint="eastAsia" w:ascii="宋体" w:hAnsi="宋体"/>
                <w:color w:val="auto"/>
                <w:kern w:val="0"/>
                <w:highlight w:val="none"/>
              </w:rPr>
              <w:t>签名、</w:t>
            </w:r>
            <w:r>
              <w:rPr>
                <w:rFonts w:ascii="宋体" w:hAnsi="宋体"/>
                <w:color w:val="auto"/>
                <w:kern w:val="0"/>
                <w:highlight w:val="none"/>
              </w:rPr>
              <w:t>盖章的位置有法定代表人或其委托代理人</w:t>
            </w:r>
            <w:r>
              <w:rPr>
                <w:rFonts w:hint="eastAsia" w:ascii="宋体" w:hAnsi="宋体"/>
                <w:color w:val="auto"/>
                <w:kern w:val="0"/>
                <w:highlight w:val="none"/>
              </w:rPr>
              <w:t>签名</w:t>
            </w:r>
            <w:r>
              <w:rPr>
                <w:rFonts w:ascii="宋体" w:hAnsi="宋体"/>
                <w:color w:val="auto"/>
                <w:kern w:val="0"/>
                <w:highlight w:val="none"/>
              </w:rPr>
              <w:t>（或盖章）、加盖单位法人章。</w:t>
            </w:r>
          </w:p>
        </w:tc>
      </w:tr>
      <w:tr w14:paraId="4B707A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F06541A">
            <w:pPr>
              <w:spacing w:line="400" w:lineRule="exact"/>
              <w:rPr>
                <w:rFonts w:ascii="宋体" w:hAnsi="宋体"/>
                <w:color w:val="auto"/>
                <w:highlight w:val="none"/>
              </w:rPr>
            </w:pPr>
          </w:p>
        </w:tc>
        <w:tc>
          <w:tcPr>
            <w:tcW w:w="567" w:type="dxa"/>
            <w:vMerge w:val="continue"/>
          </w:tcPr>
          <w:p w14:paraId="3AE3F313">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5F82BC92">
            <w:pPr>
              <w:spacing w:line="400" w:lineRule="exact"/>
              <w:jc w:val="left"/>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格式</w:t>
            </w:r>
          </w:p>
        </w:tc>
        <w:tc>
          <w:tcPr>
            <w:tcW w:w="5493" w:type="dxa"/>
            <w:vAlign w:val="center"/>
          </w:tcPr>
          <w:p w14:paraId="35E3B885">
            <w:pPr>
              <w:spacing w:line="400" w:lineRule="exact"/>
              <w:ind w:firstLine="420" w:firstLineChars="200"/>
              <w:rPr>
                <w:rFonts w:ascii="宋体" w:hAnsi="宋体"/>
                <w:color w:val="auto"/>
                <w:kern w:val="0"/>
                <w:highlight w:val="none"/>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rPr>
              <w:t>竞选人须知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64BB48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25D0816">
            <w:pPr>
              <w:spacing w:line="400" w:lineRule="exact"/>
              <w:rPr>
                <w:rFonts w:ascii="宋体" w:hAnsi="宋体"/>
                <w:color w:val="auto"/>
                <w:highlight w:val="none"/>
              </w:rPr>
            </w:pPr>
          </w:p>
        </w:tc>
        <w:tc>
          <w:tcPr>
            <w:tcW w:w="567" w:type="dxa"/>
            <w:vMerge w:val="continue"/>
          </w:tcPr>
          <w:p w14:paraId="6D7B9893">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2DD44D08">
            <w:pPr>
              <w:spacing w:line="400" w:lineRule="exact"/>
              <w:jc w:val="left"/>
              <w:rPr>
                <w:rFonts w:ascii="宋体" w:hAnsi="宋体"/>
                <w:color w:val="auto"/>
                <w:kern w:val="0"/>
                <w:highlight w:val="none"/>
              </w:rPr>
            </w:pPr>
            <w:r>
              <w:rPr>
                <w:rFonts w:hint="eastAsia" w:ascii="宋体" w:hAnsi="宋体"/>
                <w:color w:val="auto"/>
                <w:kern w:val="0"/>
                <w:highlight w:val="none"/>
              </w:rPr>
              <w:t>竞选文件份数</w:t>
            </w:r>
          </w:p>
        </w:tc>
        <w:tc>
          <w:tcPr>
            <w:tcW w:w="5493" w:type="dxa"/>
            <w:vAlign w:val="center"/>
          </w:tcPr>
          <w:p w14:paraId="35ABD888">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符合第二章“竞选人须知”第3.7.4项规定。</w:t>
            </w:r>
          </w:p>
        </w:tc>
      </w:tr>
      <w:tr w14:paraId="5412FD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64B19C7">
            <w:pPr>
              <w:spacing w:line="400" w:lineRule="exact"/>
              <w:rPr>
                <w:rFonts w:ascii="宋体" w:hAnsi="宋体"/>
                <w:color w:val="auto"/>
                <w:highlight w:val="none"/>
              </w:rPr>
            </w:pPr>
          </w:p>
        </w:tc>
        <w:tc>
          <w:tcPr>
            <w:tcW w:w="567" w:type="dxa"/>
            <w:vMerge w:val="continue"/>
          </w:tcPr>
          <w:p w14:paraId="62AC4642">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5B121DC">
            <w:pPr>
              <w:spacing w:line="400" w:lineRule="exact"/>
              <w:jc w:val="left"/>
              <w:rPr>
                <w:rFonts w:ascii="宋体" w:hAnsi="宋体"/>
                <w:color w:val="auto"/>
                <w:kern w:val="0"/>
                <w:highlight w:val="none"/>
              </w:rPr>
            </w:pPr>
            <w:r>
              <w:rPr>
                <w:rFonts w:ascii="宋体" w:hAnsi="宋体"/>
                <w:color w:val="auto"/>
                <w:kern w:val="0"/>
                <w:highlight w:val="none"/>
              </w:rPr>
              <w:t>报价唯一</w:t>
            </w:r>
          </w:p>
        </w:tc>
        <w:tc>
          <w:tcPr>
            <w:tcW w:w="5493" w:type="dxa"/>
            <w:vAlign w:val="center"/>
          </w:tcPr>
          <w:p w14:paraId="5BB3B9A3">
            <w:pPr>
              <w:spacing w:line="400" w:lineRule="exact"/>
              <w:ind w:firstLine="420" w:firstLineChars="200"/>
              <w:rPr>
                <w:rFonts w:ascii="宋体" w:hAnsi="宋体"/>
                <w:color w:val="auto"/>
                <w:kern w:val="0"/>
                <w:highlight w:val="none"/>
              </w:rPr>
            </w:pPr>
            <w:r>
              <w:rPr>
                <w:rFonts w:ascii="宋体" w:hAnsi="宋体"/>
                <w:color w:val="auto"/>
                <w:kern w:val="0"/>
                <w:highlight w:val="none"/>
              </w:rPr>
              <w:t>只能有一个有效报价，在</w:t>
            </w:r>
            <w:r>
              <w:rPr>
                <w:rFonts w:hint="eastAsia" w:ascii="宋体" w:hAnsi="宋体"/>
                <w:color w:val="auto"/>
                <w:kern w:val="0"/>
                <w:highlight w:val="none"/>
              </w:rPr>
              <w:t>竞选文件</w:t>
            </w:r>
            <w:r>
              <w:rPr>
                <w:rFonts w:ascii="宋体" w:hAnsi="宋体"/>
                <w:color w:val="auto"/>
                <w:kern w:val="0"/>
                <w:highlight w:val="none"/>
              </w:rPr>
              <w:t>没有规定的情况下，不得提交选择性报价。</w:t>
            </w:r>
          </w:p>
        </w:tc>
      </w:tr>
      <w:tr w14:paraId="786027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26BE2FA">
            <w:pPr>
              <w:spacing w:line="400" w:lineRule="exact"/>
              <w:rPr>
                <w:rFonts w:ascii="宋体" w:hAnsi="宋体"/>
                <w:color w:val="auto"/>
                <w:highlight w:val="none"/>
              </w:rPr>
            </w:pPr>
          </w:p>
        </w:tc>
        <w:tc>
          <w:tcPr>
            <w:tcW w:w="567" w:type="dxa"/>
            <w:vMerge w:val="continue"/>
          </w:tcPr>
          <w:p w14:paraId="4EAA183D">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58F2A939">
            <w:pPr>
              <w:spacing w:line="400" w:lineRule="exact"/>
              <w:jc w:val="left"/>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的签署</w:t>
            </w:r>
          </w:p>
        </w:tc>
        <w:tc>
          <w:tcPr>
            <w:tcW w:w="5493" w:type="dxa"/>
            <w:vAlign w:val="center"/>
          </w:tcPr>
          <w:p w14:paraId="664B97C5">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第六章 竞选文件格式要求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p>
        </w:tc>
      </w:tr>
      <w:tr w14:paraId="588538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2DC9363">
            <w:pPr>
              <w:spacing w:line="400" w:lineRule="exact"/>
              <w:rPr>
                <w:rFonts w:ascii="宋体" w:hAnsi="宋体"/>
                <w:color w:val="auto"/>
                <w:highlight w:val="none"/>
              </w:rPr>
            </w:pPr>
          </w:p>
        </w:tc>
        <w:tc>
          <w:tcPr>
            <w:tcW w:w="567" w:type="dxa"/>
            <w:vMerge w:val="continue"/>
          </w:tcPr>
          <w:p w14:paraId="5F6D56F7">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425ADAA">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493" w:type="dxa"/>
            <w:vAlign w:val="center"/>
          </w:tcPr>
          <w:p w14:paraId="75DE5AAF">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和竞选人为其缴纳的养老保险。</w:t>
            </w:r>
          </w:p>
        </w:tc>
      </w:tr>
      <w:tr w14:paraId="7AA85D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D5300A3">
            <w:pPr>
              <w:spacing w:line="400" w:lineRule="exact"/>
              <w:jc w:val="center"/>
              <w:rPr>
                <w:rFonts w:ascii="宋体" w:hAnsi="宋体"/>
                <w:color w:val="auto"/>
                <w:highlight w:val="none"/>
              </w:rPr>
            </w:pPr>
            <w:r>
              <w:rPr>
                <w:rFonts w:ascii="宋体" w:hAnsi="宋体"/>
                <w:color w:val="auto"/>
                <w:kern w:val="0"/>
                <w:highlight w:val="none"/>
              </w:rPr>
              <w:t>2.1.3</w:t>
            </w:r>
          </w:p>
        </w:tc>
        <w:tc>
          <w:tcPr>
            <w:tcW w:w="567" w:type="dxa"/>
            <w:vMerge w:val="restart"/>
            <w:vAlign w:val="center"/>
          </w:tcPr>
          <w:p w14:paraId="1098F9B2">
            <w:pPr>
              <w:spacing w:line="400" w:lineRule="exact"/>
              <w:jc w:val="center"/>
              <w:rPr>
                <w:rFonts w:ascii="宋体" w:hAnsi="宋体"/>
                <w:color w:val="auto"/>
                <w:highlight w:val="none"/>
              </w:rPr>
            </w:pPr>
            <w:r>
              <w:rPr>
                <w:rFonts w:ascii="宋体" w:hAnsi="宋体"/>
                <w:color w:val="auto"/>
                <w:kern w:val="0"/>
                <w:highlight w:val="none"/>
              </w:rPr>
              <w:t>响应性评审标准</w:t>
            </w:r>
          </w:p>
        </w:tc>
        <w:tc>
          <w:tcPr>
            <w:tcW w:w="2559" w:type="dxa"/>
            <w:gridSpan w:val="3"/>
            <w:vAlign w:val="center"/>
          </w:tcPr>
          <w:p w14:paraId="5B27B99E">
            <w:pPr>
              <w:spacing w:line="400" w:lineRule="exact"/>
              <w:jc w:val="left"/>
              <w:rPr>
                <w:rFonts w:ascii="宋体" w:hAnsi="宋体"/>
                <w:color w:val="auto"/>
                <w:kern w:val="0"/>
                <w:highlight w:val="none"/>
              </w:rPr>
            </w:pPr>
            <w:r>
              <w:rPr>
                <w:rFonts w:hint="eastAsia" w:ascii="宋体" w:hAnsi="宋体"/>
                <w:color w:val="auto"/>
                <w:kern w:val="0"/>
                <w:highlight w:val="none"/>
              </w:rPr>
              <w:t>竞选总报价</w:t>
            </w:r>
          </w:p>
        </w:tc>
        <w:tc>
          <w:tcPr>
            <w:tcW w:w="5493" w:type="dxa"/>
            <w:vAlign w:val="center"/>
          </w:tcPr>
          <w:p w14:paraId="4485698A">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竞选总报价</w:t>
            </w:r>
            <w:r>
              <w:rPr>
                <w:rFonts w:ascii="宋体" w:hAnsi="宋体"/>
                <w:color w:val="auto"/>
                <w:kern w:val="0"/>
                <w:highlight w:val="none"/>
              </w:rPr>
              <w:t>不得高于</w:t>
            </w:r>
            <w:r>
              <w:rPr>
                <w:rFonts w:hint="eastAsia" w:ascii="宋体" w:hAnsi="宋体"/>
                <w:color w:val="auto"/>
                <w:kern w:val="0"/>
                <w:highlight w:val="none"/>
              </w:rPr>
              <w:t>比选人</w:t>
            </w:r>
            <w:r>
              <w:rPr>
                <w:rFonts w:ascii="宋体" w:hAnsi="宋体"/>
                <w:color w:val="auto"/>
                <w:kern w:val="0"/>
                <w:highlight w:val="none"/>
              </w:rPr>
              <w:t>公布的</w:t>
            </w:r>
            <w:r>
              <w:rPr>
                <w:rFonts w:hint="eastAsia" w:ascii="宋体" w:hAnsi="宋体"/>
                <w:color w:val="auto"/>
                <w:kern w:val="0"/>
                <w:highlight w:val="none"/>
              </w:rPr>
              <w:t>竞选总报价</w:t>
            </w:r>
            <w:r>
              <w:rPr>
                <w:rFonts w:ascii="宋体" w:hAnsi="宋体"/>
                <w:color w:val="auto"/>
                <w:kern w:val="0"/>
                <w:highlight w:val="none"/>
              </w:rPr>
              <w:t>最高限价</w:t>
            </w:r>
            <w:r>
              <w:rPr>
                <w:rFonts w:hint="eastAsia" w:ascii="宋体" w:hAnsi="宋体"/>
                <w:color w:val="auto"/>
                <w:kern w:val="0"/>
                <w:highlight w:val="none"/>
              </w:rPr>
              <w:t>。</w:t>
            </w:r>
          </w:p>
        </w:tc>
      </w:tr>
      <w:tr w14:paraId="005A9B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2F94B02E">
            <w:pPr>
              <w:spacing w:line="400" w:lineRule="exact"/>
              <w:jc w:val="center"/>
              <w:rPr>
                <w:rFonts w:ascii="宋体" w:hAnsi="宋体"/>
                <w:color w:val="auto"/>
                <w:kern w:val="0"/>
                <w:highlight w:val="none"/>
              </w:rPr>
            </w:pPr>
          </w:p>
        </w:tc>
        <w:tc>
          <w:tcPr>
            <w:tcW w:w="567" w:type="dxa"/>
            <w:vMerge w:val="continue"/>
            <w:textDirection w:val="tbRlV"/>
            <w:vAlign w:val="center"/>
          </w:tcPr>
          <w:p w14:paraId="7245AD4E">
            <w:pPr>
              <w:spacing w:line="400" w:lineRule="exact"/>
              <w:jc w:val="center"/>
              <w:rPr>
                <w:rFonts w:ascii="宋体" w:hAnsi="宋体"/>
                <w:color w:val="auto"/>
                <w:kern w:val="0"/>
                <w:highlight w:val="none"/>
              </w:rPr>
            </w:pPr>
          </w:p>
        </w:tc>
        <w:tc>
          <w:tcPr>
            <w:tcW w:w="2559" w:type="dxa"/>
            <w:gridSpan w:val="3"/>
            <w:vAlign w:val="center"/>
          </w:tcPr>
          <w:p w14:paraId="49050473">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493" w:type="dxa"/>
            <w:vAlign w:val="center"/>
          </w:tcPr>
          <w:p w14:paraId="1EA29F0E">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须知”第1.3.1项规定</w:t>
            </w:r>
          </w:p>
        </w:tc>
      </w:tr>
      <w:tr w14:paraId="5CDD35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8A9CA1E">
            <w:pPr>
              <w:spacing w:line="400" w:lineRule="exact"/>
              <w:jc w:val="center"/>
              <w:rPr>
                <w:rFonts w:ascii="宋体" w:hAnsi="宋体"/>
                <w:color w:val="auto"/>
                <w:highlight w:val="none"/>
              </w:rPr>
            </w:pPr>
          </w:p>
        </w:tc>
        <w:tc>
          <w:tcPr>
            <w:tcW w:w="567" w:type="dxa"/>
            <w:vMerge w:val="continue"/>
          </w:tcPr>
          <w:p w14:paraId="3A8A20D1">
            <w:pPr>
              <w:spacing w:line="400" w:lineRule="exact"/>
              <w:jc w:val="center"/>
              <w:rPr>
                <w:rFonts w:ascii="宋体" w:hAnsi="宋体"/>
                <w:color w:val="auto"/>
                <w:highlight w:val="none"/>
              </w:rPr>
            </w:pPr>
          </w:p>
        </w:tc>
        <w:tc>
          <w:tcPr>
            <w:tcW w:w="2559" w:type="dxa"/>
            <w:gridSpan w:val="3"/>
            <w:vAlign w:val="center"/>
          </w:tcPr>
          <w:p w14:paraId="26D6F378">
            <w:pPr>
              <w:spacing w:line="400" w:lineRule="exact"/>
              <w:jc w:val="left"/>
              <w:rPr>
                <w:rFonts w:ascii="宋体" w:hAnsi="宋体"/>
                <w:color w:val="auto"/>
                <w:kern w:val="0"/>
                <w:highlight w:val="none"/>
              </w:rPr>
            </w:pPr>
            <w:r>
              <w:rPr>
                <w:rFonts w:ascii="宋体" w:hAnsi="宋体"/>
                <w:color w:val="auto"/>
                <w:kern w:val="0"/>
                <w:highlight w:val="none"/>
              </w:rPr>
              <w:t>工期</w:t>
            </w:r>
          </w:p>
        </w:tc>
        <w:tc>
          <w:tcPr>
            <w:tcW w:w="5493" w:type="dxa"/>
            <w:vAlign w:val="center"/>
          </w:tcPr>
          <w:p w14:paraId="4E989A1A">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须知”第1.3.2项规定</w:t>
            </w:r>
          </w:p>
        </w:tc>
      </w:tr>
      <w:tr w14:paraId="2403DA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974CB39">
            <w:pPr>
              <w:spacing w:line="400" w:lineRule="exact"/>
              <w:jc w:val="center"/>
              <w:rPr>
                <w:rFonts w:ascii="宋体" w:hAnsi="宋体"/>
                <w:color w:val="auto"/>
                <w:highlight w:val="none"/>
              </w:rPr>
            </w:pPr>
          </w:p>
        </w:tc>
        <w:tc>
          <w:tcPr>
            <w:tcW w:w="567" w:type="dxa"/>
            <w:vMerge w:val="continue"/>
          </w:tcPr>
          <w:p w14:paraId="3070F75C">
            <w:pPr>
              <w:spacing w:line="400" w:lineRule="exact"/>
              <w:jc w:val="center"/>
              <w:rPr>
                <w:rFonts w:ascii="宋体" w:hAnsi="宋体"/>
                <w:color w:val="auto"/>
                <w:highlight w:val="none"/>
              </w:rPr>
            </w:pPr>
          </w:p>
        </w:tc>
        <w:tc>
          <w:tcPr>
            <w:tcW w:w="2559" w:type="dxa"/>
            <w:gridSpan w:val="3"/>
            <w:vAlign w:val="center"/>
          </w:tcPr>
          <w:p w14:paraId="0DA283B7">
            <w:pPr>
              <w:spacing w:line="400" w:lineRule="exact"/>
              <w:jc w:val="left"/>
              <w:rPr>
                <w:rFonts w:ascii="宋体" w:hAnsi="宋体"/>
                <w:color w:val="auto"/>
                <w:kern w:val="0"/>
                <w:highlight w:val="none"/>
              </w:rPr>
            </w:pPr>
            <w:r>
              <w:rPr>
                <w:rFonts w:ascii="宋体" w:hAnsi="宋体"/>
                <w:color w:val="auto"/>
                <w:kern w:val="0"/>
                <w:highlight w:val="none"/>
              </w:rPr>
              <w:t>工程质量</w:t>
            </w:r>
          </w:p>
        </w:tc>
        <w:tc>
          <w:tcPr>
            <w:tcW w:w="5493" w:type="dxa"/>
            <w:vAlign w:val="center"/>
          </w:tcPr>
          <w:p w14:paraId="1696F82C">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须知”第1.3.3项规定</w:t>
            </w:r>
          </w:p>
        </w:tc>
      </w:tr>
      <w:tr w14:paraId="70E051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56B6453">
            <w:pPr>
              <w:spacing w:line="400" w:lineRule="exact"/>
              <w:jc w:val="center"/>
              <w:rPr>
                <w:rFonts w:ascii="宋体" w:hAnsi="宋体"/>
                <w:color w:val="auto"/>
                <w:highlight w:val="none"/>
              </w:rPr>
            </w:pPr>
          </w:p>
        </w:tc>
        <w:tc>
          <w:tcPr>
            <w:tcW w:w="567" w:type="dxa"/>
            <w:vMerge w:val="continue"/>
          </w:tcPr>
          <w:p w14:paraId="34796E28">
            <w:pPr>
              <w:spacing w:line="400" w:lineRule="exact"/>
              <w:jc w:val="center"/>
              <w:rPr>
                <w:rFonts w:ascii="宋体" w:hAnsi="宋体"/>
                <w:color w:val="auto"/>
                <w:highlight w:val="none"/>
              </w:rPr>
            </w:pPr>
          </w:p>
        </w:tc>
        <w:tc>
          <w:tcPr>
            <w:tcW w:w="2559" w:type="dxa"/>
            <w:gridSpan w:val="3"/>
            <w:vAlign w:val="center"/>
          </w:tcPr>
          <w:p w14:paraId="280EE3C5">
            <w:pPr>
              <w:spacing w:line="400" w:lineRule="exact"/>
              <w:jc w:val="left"/>
              <w:rPr>
                <w:rFonts w:ascii="宋体" w:hAnsi="宋体"/>
                <w:color w:val="auto"/>
                <w:kern w:val="0"/>
                <w:highlight w:val="none"/>
              </w:rPr>
            </w:pPr>
            <w:r>
              <w:rPr>
                <w:rFonts w:ascii="宋体" w:hAnsi="宋体"/>
                <w:color w:val="auto"/>
                <w:kern w:val="0"/>
                <w:highlight w:val="none"/>
              </w:rPr>
              <w:t>投标有效期</w:t>
            </w:r>
          </w:p>
        </w:tc>
        <w:tc>
          <w:tcPr>
            <w:tcW w:w="5493" w:type="dxa"/>
            <w:vAlign w:val="center"/>
          </w:tcPr>
          <w:p w14:paraId="630819F0">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须知”第3.3.1项规定</w:t>
            </w:r>
          </w:p>
        </w:tc>
      </w:tr>
      <w:tr w14:paraId="0F514E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94F478E">
            <w:pPr>
              <w:spacing w:line="400" w:lineRule="exact"/>
              <w:jc w:val="center"/>
              <w:rPr>
                <w:rFonts w:ascii="宋体" w:hAnsi="宋体"/>
                <w:color w:val="auto"/>
                <w:highlight w:val="none"/>
              </w:rPr>
            </w:pPr>
          </w:p>
        </w:tc>
        <w:tc>
          <w:tcPr>
            <w:tcW w:w="567" w:type="dxa"/>
            <w:vMerge w:val="continue"/>
          </w:tcPr>
          <w:p w14:paraId="4ACBDB05">
            <w:pPr>
              <w:spacing w:line="400" w:lineRule="exact"/>
              <w:jc w:val="center"/>
              <w:rPr>
                <w:rFonts w:ascii="宋体" w:hAnsi="宋体"/>
                <w:color w:val="auto"/>
                <w:highlight w:val="none"/>
              </w:rPr>
            </w:pPr>
          </w:p>
        </w:tc>
        <w:tc>
          <w:tcPr>
            <w:tcW w:w="2559" w:type="dxa"/>
            <w:gridSpan w:val="3"/>
            <w:vAlign w:val="center"/>
          </w:tcPr>
          <w:p w14:paraId="11844500">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493" w:type="dxa"/>
            <w:vAlign w:val="center"/>
          </w:tcPr>
          <w:p w14:paraId="433956C0">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rPr>
              <w:t>竞选人</w:t>
            </w:r>
            <w:r>
              <w:rPr>
                <w:rFonts w:ascii="宋体" w:hAnsi="宋体"/>
                <w:color w:val="auto"/>
                <w:kern w:val="0"/>
                <w:szCs w:val="21"/>
                <w:highlight w:val="none"/>
              </w:rPr>
              <w:t>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76704D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1E085E5">
            <w:pPr>
              <w:spacing w:line="400" w:lineRule="exact"/>
              <w:jc w:val="center"/>
              <w:rPr>
                <w:rFonts w:ascii="宋体" w:hAnsi="宋体"/>
                <w:color w:val="auto"/>
                <w:highlight w:val="none"/>
              </w:rPr>
            </w:pPr>
          </w:p>
        </w:tc>
        <w:tc>
          <w:tcPr>
            <w:tcW w:w="567" w:type="dxa"/>
            <w:vMerge w:val="continue"/>
          </w:tcPr>
          <w:p w14:paraId="063EA5DA">
            <w:pPr>
              <w:spacing w:line="400" w:lineRule="exact"/>
              <w:jc w:val="center"/>
              <w:rPr>
                <w:rFonts w:ascii="宋体" w:hAnsi="宋体"/>
                <w:color w:val="auto"/>
                <w:highlight w:val="none"/>
              </w:rPr>
            </w:pPr>
          </w:p>
        </w:tc>
        <w:tc>
          <w:tcPr>
            <w:tcW w:w="2559" w:type="dxa"/>
            <w:gridSpan w:val="3"/>
            <w:vAlign w:val="center"/>
          </w:tcPr>
          <w:p w14:paraId="32E3677F">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493" w:type="dxa"/>
            <w:vAlign w:val="center"/>
          </w:tcPr>
          <w:p w14:paraId="10D5F78E">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rPr>
              <w:t>竞选文件</w:t>
            </w:r>
            <w:r>
              <w:rPr>
                <w:rFonts w:ascii="宋体" w:hAnsi="宋体"/>
                <w:color w:val="auto"/>
                <w:kern w:val="0"/>
                <w:highlight w:val="none"/>
              </w:rPr>
              <w:t>不应附有</w:t>
            </w:r>
            <w:r>
              <w:rPr>
                <w:rFonts w:hint="eastAsia" w:ascii="宋体" w:hAnsi="宋体"/>
                <w:color w:val="auto"/>
                <w:kern w:val="0"/>
                <w:highlight w:val="none"/>
              </w:rPr>
              <w:t>比选人</w:t>
            </w:r>
            <w:r>
              <w:rPr>
                <w:rFonts w:ascii="宋体" w:hAnsi="宋体"/>
                <w:color w:val="auto"/>
                <w:kern w:val="0"/>
                <w:highlight w:val="none"/>
              </w:rPr>
              <w:t>不能接受的条件。</w:t>
            </w:r>
            <w:r>
              <w:rPr>
                <w:rFonts w:hint="eastAsia" w:ascii="宋体" w:hAnsi="宋体" w:cs="宋体"/>
                <w:color w:val="auto"/>
                <w:kern w:val="0"/>
                <w:highlight w:val="none"/>
              </w:rPr>
              <w:t>（由竞选人承诺，承诺书格式详见第六章竞选文件格式。）</w:t>
            </w:r>
          </w:p>
        </w:tc>
      </w:tr>
      <w:tr w14:paraId="646B06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8229709">
            <w:pPr>
              <w:spacing w:line="400" w:lineRule="exact"/>
              <w:rPr>
                <w:rFonts w:ascii="宋体" w:hAnsi="宋体"/>
                <w:color w:val="auto"/>
                <w:highlight w:val="none"/>
              </w:rPr>
            </w:pPr>
          </w:p>
        </w:tc>
        <w:tc>
          <w:tcPr>
            <w:tcW w:w="567" w:type="dxa"/>
            <w:vMerge w:val="continue"/>
          </w:tcPr>
          <w:p w14:paraId="701F6145">
            <w:pPr>
              <w:spacing w:line="400" w:lineRule="exact"/>
              <w:rPr>
                <w:rFonts w:ascii="宋体" w:hAnsi="宋体"/>
                <w:color w:val="auto"/>
                <w:highlight w:val="none"/>
              </w:rPr>
            </w:pPr>
          </w:p>
        </w:tc>
        <w:tc>
          <w:tcPr>
            <w:tcW w:w="2559" w:type="dxa"/>
            <w:gridSpan w:val="3"/>
            <w:vAlign w:val="center"/>
          </w:tcPr>
          <w:p w14:paraId="1F9B6C8E">
            <w:pPr>
              <w:spacing w:line="400" w:lineRule="exact"/>
              <w:jc w:val="left"/>
              <w:rPr>
                <w:rFonts w:ascii="宋体" w:hAnsi="宋体"/>
                <w:color w:val="auto"/>
                <w:kern w:val="0"/>
                <w:highlight w:val="none"/>
              </w:rPr>
            </w:pPr>
            <w:r>
              <w:rPr>
                <w:rFonts w:ascii="宋体" w:hAnsi="宋体"/>
                <w:color w:val="auto"/>
                <w:kern w:val="0"/>
                <w:highlight w:val="none"/>
              </w:rPr>
              <w:t>投标报价算术错误修正</w:t>
            </w:r>
          </w:p>
        </w:tc>
        <w:tc>
          <w:tcPr>
            <w:tcW w:w="5493" w:type="dxa"/>
            <w:vAlign w:val="center"/>
          </w:tcPr>
          <w:p w14:paraId="0680C06E">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符合第三章3.评标程序第3.1.3项规定。</w:t>
            </w:r>
          </w:p>
        </w:tc>
      </w:tr>
      <w:tr w14:paraId="7138EF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AC47830">
            <w:pPr>
              <w:spacing w:line="400" w:lineRule="exact"/>
              <w:rPr>
                <w:rFonts w:ascii="宋体" w:hAnsi="宋体"/>
                <w:color w:val="auto"/>
                <w:highlight w:val="none"/>
              </w:rPr>
            </w:pPr>
          </w:p>
        </w:tc>
        <w:tc>
          <w:tcPr>
            <w:tcW w:w="567" w:type="dxa"/>
            <w:vMerge w:val="continue"/>
          </w:tcPr>
          <w:p w14:paraId="0819B480">
            <w:pPr>
              <w:spacing w:line="400" w:lineRule="exact"/>
              <w:rPr>
                <w:rFonts w:ascii="宋体" w:hAnsi="宋体"/>
                <w:color w:val="auto"/>
                <w:highlight w:val="none"/>
              </w:rPr>
            </w:pPr>
          </w:p>
        </w:tc>
        <w:tc>
          <w:tcPr>
            <w:tcW w:w="2559" w:type="dxa"/>
            <w:gridSpan w:val="3"/>
            <w:vAlign w:val="center"/>
          </w:tcPr>
          <w:p w14:paraId="0DA189D3">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493" w:type="dxa"/>
            <w:vAlign w:val="center"/>
          </w:tcPr>
          <w:p w14:paraId="0A87DF98">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符合第二章“竞选人须知”第1.4.3项规定。</w:t>
            </w:r>
          </w:p>
          <w:p w14:paraId="0D04C9D4">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27CCDCFE">
            <w:pPr>
              <w:spacing w:after="62"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按评标委员会要求澄清、说明或补正。</w:t>
            </w:r>
          </w:p>
        </w:tc>
      </w:tr>
      <w:tr w14:paraId="481197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AF72730">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559" w:type="dxa"/>
            <w:gridSpan w:val="3"/>
            <w:vAlign w:val="center"/>
          </w:tcPr>
          <w:p w14:paraId="5231E3E1">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vAlign w:val="center"/>
          </w:tcPr>
          <w:p w14:paraId="2341FF26">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 xml:space="preserve">技术部分 </w:t>
            </w:r>
            <w:r>
              <w:rPr>
                <w:rFonts w:hint="eastAsia" w:ascii="宋体" w:hAnsi="宋体"/>
                <w:color w:val="auto"/>
                <w:kern w:val="0"/>
                <w:highlight w:val="none"/>
                <w:u w:val="single"/>
              </w:rPr>
              <w:t>70</w:t>
            </w:r>
            <w:r>
              <w:rPr>
                <w:rFonts w:ascii="宋体" w:hAnsi="宋体"/>
                <w:color w:val="auto"/>
                <w:kern w:val="0"/>
                <w:highlight w:val="none"/>
              </w:rPr>
              <w:t>分</w:t>
            </w:r>
            <w:r>
              <w:rPr>
                <w:rFonts w:hint="eastAsia" w:ascii="宋体" w:hAnsi="宋体"/>
                <w:color w:val="auto"/>
                <w:kern w:val="0"/>
                <w:highlight w:val="none"/>
              </w:rPr>
              <w:t>；</w:t>
            </w:r>
          </w:p>
          <w:p w14:paraId="4C278290">
            <w:pPr>
              <w:snapToGrid w:val="0"/>
              <w:spacing w:line="400" w:lineRule="exact"/>
              <w:ind w:firstLine="420" w:firstLineChars="200"/>
              <w:rPr>
                <w:rFonts w:ascii="宋体" w:hAnsi="宋体"/>
                <w:i/>
                <w:color w:val="auto"/>
                <w:kern w:val="0"/>
                <w:highlight w:val="none"/>
              </w:rPr>
            </w:pPr>
            <w:r>
              <w:rPr>
                <w:rFonts w:hint="eastAsia" w:ascii="宋体" w:hAnsi="宋体"/>
                <w:color w:val="auto"/>
                <w:kern w:val="0"/>
                <w:highlight w:val="none"/>
              </w:rPr>
              <w:t>2.竞选总报价</w:t>
            </w:r>
            <w:r>
              <w:rPr>
                <w:rFonts w:hint="eastAsia" w:ascii="宋体" w:hAnsi="宋体"/>
                <w:color w:val="auto"/>
                <w:kern w:val="0"/>
                <w:highlight w:val="none"/>
                <w:u w:val="single"/>
              </w:rPr>
              <w:t>30</w:t>
            </w:r>
            <w:r>
              <w:rPr>
                <w:rFonts w:hint="eastAsia" w:ascii="宋体" w:hAnsi="宋体"/>
                <w:color w:val="auto"/>
                <w:kern w:val="0"/>
                <w:highlight w:val="none"/>
              </w:rPr>
              <w:t>分。</w:t>
            </w:r>
          </w:p>
        </w:tc>
      </w:tr>
      <w:tr w14:paraId="367B7B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0D5B8ED5">
            <w:pPr>
              <w:spacing w:line="400" w:lineRule="exact"/>
              <w:jc w:val="center"/>
              <w:rPr>
                <w:rFonts w:ascii="宋体" w:hAnsi="宋体"/>
                <w:color w:val="auto"/>
                <w:kern w:val="0"/>
                <w:highlight w:val="none"/>
              </w:rPr>
            </w:pPr>
            <w:r>
              <w:rPr>
                <w:rFonts w:hint="eastAsia" w:ascii="宋体" w:hAnsi="宋体"/>
                <w:color w:val="auto"/>
                <w:kern w:val="0"/>
                <w:highlight w:val="none"/>
              </w:rPr>
              <w:t>2.2.2</w:t>
            </w:r>
          </w:p>
        </w:tc>
        <w:tc>
          <w:tcPr>
            <w:tcW w:w="585" w:type="dxa"/>
            <w:gridSpan w:val="2"/>
            <w:vMerge w:val="restart"/>
            <w:tcBorders>
              <w:left w:val="single" w:color="auto" w:sz="4" w:space="0"/>
            </w:tcBorders>
            <w:vAlign w:val="center"/>
          </w:tcPr>
          <w:p w14:paraId="5B28F156">
            <w:pPr>
              <w:spacing w:line="400" w:lineRule="exact"/>
              <w:jc w:val="center"/>
              <w:rPr>
                <w:rFonts w:ascii="宋体" w:hAnsi="宋体"/>
                <w:color w:val="auto"/>
                <w:kern w:val="0"/>
                <w:highlight w:val="none"/>
              </w:rPr>
            </w:pPr>
            <w:r>
              <w:rPr>
                <w:rFonts w:hint="eastAsia" w:ascii="宋体" w:hAnsi="宋体"/>
                <w:color w:val="auto"/>
                <w:kern w:val="0"/>
                <w:highlight w:val="none"/>
              </w:rPr>
              <w:t>技术部分评分标准</w:t>
            </w:r>
          </w:p>
        </w:tc>
        <w:tc>
          <w:tcPr>
            <w:tcW w:w="568" w:type="dxa"/>
            <w:vMerge w:val="restart"/>
            <w:tcBorders>
              <w:right w:val="single" w:color="auto" w:sz="4" w:space="0"/>
            </w:tcBorders>
            <w:vAlign w:val="center"/>
          </w:tcPr>
          <w:p w14:paraId="188BBBB3">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技</w:t>
            </w:r>
          </w:p>
          <w:p w14:paraId="0F5B447A">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术</w:t>
            </w:r>
          </w:p>
          <w:p w14:paraId="13AB3E65">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方</w:t>
            </w:r>
          </w:p>
          <w:p w14:paraId="5431CF2D">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案</w:t>
            </w:r>
          </w:p>
          <w:p w14:paraId="4D87DB40">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评</w:t>
            </w:r>
          </w:p>
          <w:p w14:paraId="3A95C44F">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审</w:t>
            </w:r>
          </w:p>
        </w:tc>
        <w:tc>
          <w:tcPr>
            <w:tcW w:w="1991" w:type="dxa"/>
            <w:gridSpan w:val="2"/>
            <w:tcBorders>
              <w:left w:val="single" w:color="auto" w:sz="4" w:space="0"/>
            </w:tcBorders>
            <w:vAlign w:val="center"/>
          </w:tcPr>
          <w:p w14:paraId="357B456F">
            <w:pPr>
              <w:tabs>
                <w:tab w:val="left" w:pos="1875"/>
              </w:tabs>
              <w:spacing w:line="400" w:lineRule="exact"/>
              <w:jc w:val="left"/>
              <w:rPr>
                <w:rFonts w:ascii="宋体" w:hAnsi="宋体"/>
                <w:color w:val="auto"/>
                <w:kern w:val="0"/>
                <w:highlight w:val="none"/>
              </w:rPr>
            </w:pPr>
            <w:r>
              <w:rPr>
                <w:rFonts w:hint="eastAsia" w:ascii="宋体" w:hAnsi="宋体" w:cs="宋体"/>
                <w:color w:val="auto"/>
                <w:kern w:val="0"/>
                <w:highlight w:val="none"/>
              </w:rPr>
              <w:t>技术方案部分形式要求</w:t>
            </w:r>
          </w:p>
        </w:tc>
        <w:tc>
          <w:tcPr>
            <w:tcW w:w="5493" w:type="dxa"/>
            <w:vAlign w:val="center"/>
          </w:tcPr>
          <w:p w14:paraId="6EB0E703">
            <w:pPr>
              <w:snapToGrid w:val="0"/>
              <w:spacing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须符合第二章竞选人须知前附表第3.7.5项技术部分的装订要求，否则其技术方案为0分，不再对技术方案的其他评分标准进行评审。</w:t>
            </w:r>
          </w:p>
        </w:tc>
      </w:tr>
      <w:tr w14:paraId="3B5CF7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369EF44">
            <w:pPr>
              <w:spacing w:line="400" w:lineRule="exact"/>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6D6150D7">
            <w:pPr>
              <w:spacing w:line="400" w:lineRule="exact"/>
              <w:jc w:val="center"/>
              <w:rPr>
                <w:rFonts w:ascii="宋体" w:hAnsi="宋体"/>
                <w:color w:val="auto"/>
                <w:kern w:val="0"/>
                <w:highlight w:val="none"/>
              </w:rPr>
            </w:pPr>
          </w:p>
        </w:tc>
        <w:tc>
          <w:tcPr>
            <w:tcW w:w="568" w:type="dxa"/>
            <w:vMerge w:val="continue"/>
            <w:tcBorders>
              <w:right w:val="single" w:color="auto" w:sz="4" w:space="0"/>
            </w:tcBorders>
            <w:vAlign w:val="center"/>
          </w:tcPr>
          <w:p w14:paraId="7EDBF12C">
            <w:pPr>
              <w:tabs>
                <w:tab w:val="left" w:pos="1875"/>
              </w:tabs>
              <w:spacing w:line="400" w:lineRule="exact"/>
              <w:jc w:val="center"/>
              <w:rPr>
                <w:rFonts w:ascii="宋体" w:hAnsi="宋体"/>
                <w:color w:val="auto"/>
                <w:kern w:val="0"/>
                <w:highlight w:val="none"/>
              </w:rPr>
            </w:pPr>
          </w:p>
        </w:tc>
        <w:tc>
          <w:tcPr>
            <w:tcW w:w="1991" w:type="dxa"/>
            <w:gridSpan w:val="2"/>
            <w:tcBorders>
              <w:left w:val="single" w:color="auto" w:sz="4" w:space="0"/>
            </w:tcBorders>
            <w:vAlign w:val="center"/>
          </w:tcPr>
          <w:p w14:paraId="4F214D43">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详细的检测试验方案</w:t>
            </w:r>
          </w:p>
        </w:tc>
        <w:tc>
          <w:tcPr>
            <w:tcW w:w="5493" w:type="dxa"/>
            <w:vAlign w:val="center"/>
          </w:tcPr>
          <w:p w14:paraId="04F684CE">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对项目认识深刻、表述全面准确，检测试验方案科学、系统、安全、经济，可操作性强，保障措施得力，对关键技术、工艺把握准确，应用到位，阐释清晰；</w:t>
            </w:r>
          </w:p>
        </w:tc>
      </w:tr>
      <w:tr w14:paraId="6BEEA3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68C4556">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0C4C8074">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05565882">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649A1A1">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项目重点、难点分析与解决措施</w:t>
            </w:r>
          </w:p>
        </w:tc>
        <w:tc>
          <w:tcPr>
            <w:tcW w:w="5493" w:type="dxa"/>
          </w:tcPr>
          <w:p w14:paraId="36002DD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对项目重点、难点认识全面，论述完整清晰，解决措施符 合实际、规范，计划合理，综合措施科学；</w:t>
            </w:r>
          </w:p>
        </w:tc>
      </w:tr>
      <w:tr w14:paraId="1A1553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6D2DF0C">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2956A946">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5432B701">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D68B20C">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检测管理计划与措施</w:t>
            </w:r>
          </w:p>
        </w:tc>
        <w:tc>
          <w:tcPr>
            <w:tcW w:w="5493" w:type="dxa"/>
          </w:tcPr>
          <w:p w14:paraId="180173AC">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检测管理计划及 管理措施得当，科学；</w:t>
            </w:r>
          </w:p>
        </w:tc>
      </w:tr>
      <w:tr w14:paraId="6A52B0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ACE1F76">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6995728B">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4F0FA792">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108C6A0">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保证措施</w:t>
            </w:r>
          </w:p>
        </w:tc>
        <w:tc>
          <w:tcPr>
            <w:tcW w:w="5493" w:type="dxa"/>
          </w:tcPr>
          <w:p w14:paraId="60F4B8B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制定针对本项目的质量、检测周期的保证措施合理、可行，可操作性强；</w:t>
            </w:r>
          </w:p>
        </w:tc>
      </w:tr>
      <w:tr w14:paraId="52EB26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DC0B000">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1A358E9A">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74D14534">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0F1C1B9">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投入方案</w:t>
            </w:r>
          </w:p>
        </w:tc>
        <w:tc>
          <w:tcPr>
            <w:tcW w:w="5493" w:type="dxa"/>
          </w:tcPr>
          <w:p w14:paraId="56ADC76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10 </w:t>
            </w:r>
            <w:r>
              <w:rPr>
                <w:rFonts w:hint="eastAsia" w:ascii="宋体" w:hAnsi="宋体" w:cs="宋体"/>
                <w:color w:val="auto"/>
                <w:kern w:val="0"/>
                <w:highlight w:val="none"/>
              </w:rPr>
              <w:t xml:space="preserve">分  编制要点： </w:t>
            </w:r>
            <w:r>
              <w:rPr>
                <w:rFonts w:hint="eastAsia" w:ascii="宋体" w:hAnsi="宋体" w:cs="宋体"/>
                <w:color w:val="auto"/>
                <w:kern w:val="0"/>
                <w:highlight w:val="none"/>
                <w:u w:val="single"/>
              </w:rPr>
              <w:t>投标人需在方案中描述本项目检测试验所需配备的 设备类型、型号、数量、质量、先进性等内容。投 入的检测试验机械及设备先进， 投入计划与进度计划协调，调配计划合理，保证措施具体；</w:t>
            </w:r>
          </w:p>
        </w:tc>
      </w:tr>
      <w:tr w14:paraId="21539D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047B4D33">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3</w:t>
            </w:r>
          </w:p>
        </w:tc>
        <w:tc>
          <w:tcPr>
            <w:tcW w:w="2131" w:type="dxa"/>
            <w:gridSpan w:val="4"/>
            <w:vAlign w:val="center"/>
          </w:tcPr>
          <w:p w14:paraId="6BC5E178">
            <w:pPr>
              <w:spacing w:line="400" w:lineRule="exact"/>
              <w:jc w:val="center"/>
              <w:rPr>
                <w:rFonts w:ascii="宋体" w:hAnsi="宋体"/>
                <w:color w:val="auto"/>
                <w:kern w:val="0"/>
                <w:highlight w:val="none"/>
              </w:rPr>
            </w:pPr>
            <w:r>
              <w:rPr>
                <w:rFonts w:ascii="宋体" w:hAnsi="宋体"/>
                <w:color w:val="auto"/>
                <w:kern w:val="0"/>
                <w:highlight w:val="none"/>
              </w:rPr>
              <w:t>评标基准价计算方法</w:t>
            </w:r>
          </w:p>
        </w:tc>
        <w:tc>
          <w:tcPr>
            <w:tcW w:w="1013" w:type="dxa"/>
            <w:vAlign w:val="center"/>
          </w:tcPr>
          <w:p w14:paraId="0EA41472">
            <w:pPr>
              <w:spacing w:line="400" w:lineRule="exact"/>
              <w:jc w:val="center"/>
              <w:rPr>
                <w:rFonts w:ascii="宋体" w:hAnsi="宋体"/>
                <w:color w:val="auto"/>
                <w:kern w:val="0"/>
                <w:highlight w:val="none"/>
              </w:rPr>
            </w:pPr>
            <w:r>
              <w:rPr>
                <w:rFonts w:hint="eastAsia" w:ascii="宋体" w:hAnsi="宋体"/>
                <w:color w:val="auto"/>
                <w:kern w:val="0"/>
                <w:highlight w:val="none"/>
              </w:rPr>
              <w:t>竞选总报价</w:t>
            </w:r>
          </w:p>
        </w:tc>
        <w:tc>
          <w:tcPr>
            <w:tcW w:w="5493" w:type="dxa"/>
          </w:tcPr>
          <w:p w14:paraId="123DB687">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所有通过初步评审合格的</w:t>
            </w:r>
            <w:r>
              <w:rPr>
                <w:rFonts w:hint="eastAsia" w:ascii="宋体" w:hAnsi="宋体"/>
                <w:color w:val="auto"/>
                <w:kern w:val="0"/>
                <w:szCs w:val="21"/>
                <w:highlight w:val="none"/>
              </w:rPr>
              <w:t>竞选人</w:t>
            </w:r>
            <w:r>
              <w:rPr>
                <w:rFonts w:ascii="宋体" w:hAnsi="宋体"/>
                <w:color w:val="auto"/>
                <w:szCs w:val="21"/>
                <w:highlight w:val="none"/>
              </w:rPr>
              <w:t>的</w:t>
            </w:r>
            <w:r>
              <w:rPr>
                <w:rFonts w:hint="eastAsia" w:ascii="宋体" w:hAnsi="宋体"/>
                <w:color w:val="auto"/>
                <w:szCs w:val="21"/>
                <w:highlight w:val="none"/>
              </w:rPr>
              <w:t>竞选总报价</w:t>
            </w:r>
            <w:r>
              <w:rPr>
                <w:rFonts w:ascii="宋体" w:hAnsi="宋体"/>
                <w:color w:val="auto"/>
                <w:kern w:val="0"/>
                <w:szCs w:val="21"/>
                <w:highlight w:val="none"/>
              </w:rPr>
              <w:t>中去掉六分之一（不能整除的按小数点前整数取整，不足六家报价则不去掉）的最低价和相同家数的最高价后的算术平均值</w:t>
            </w:r>
            <w:r>
              <w:rPr>
                <w:rFonts w:hint="eastAsia" w:ascii="宋体" w:hAnsi="宋体"/>
                <w:color w:val="auto"/>
                <w:kern w:val="0"/>
                <w:szCs w:val="21"/>
                <w:highlight w:val="none"/>
              </w:rPr>
              <w:t>，即为本项目的竞选总报价的评标基准价。</w:t>
            </w:r>
          </w:p>
          <w:p w14:paraId="4204E67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0FFA1DF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5F320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044EC8C6">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4</w:t>
            </w:r>
          </w:p>
          <w:p w14:paraId="26169096">
            <w:pPr>
              <w:spacing w:line="400" w:lineRule="exact"/>
              <w:jc w:val="center"/>
              <w:rPr>
                <w:rFonts w:ascii="宋体" w:hAnsi="宋体"/>
                <w:color w:val="auto"/>
                <w:kern w:val="0"/>
                <w:highlight w:val="none"/>
              </w:rPr>
            </w:pPr>
          </w:p>
        </w:tc>
        <w:tc>
          <w:tcPr>
            <w:tcW w:w="3144" w:type="dxa"/>
            <w:gridSpan w:val="5"/>
            <w:vMerge w:val="restart"/>
            <w:vAlign w:val="center"/>
          </w:tcPr>
          <w:p w14:paraId="4DA9B98E">
            <w:pPr>
              <w:spacing w:line="400" w:lineRule="exact"/>
              <w:jc w:val="center"/>
              <w:rPr>
                <w:rFonts w:ascii="宋体" w:hAnsi="宋体"/>
                <w:color w:val="auto"/>
                <w:kern w:val="0"/>
                <w:highlight w:val="none"/>
              </w:rPr>
            </w:pPr>
            <w:r>
              <w:rPr>
                <w:rFonts w:hint="eastAsia" w:ascii="宋体" w:hAnsi="宋体"/>
                <w:color w:val="auto"/>
                <w:kern w:val="0"/>
                <w:highlight w:val="none"/>
              </w:rPr>
              <w:t>允许偏差率</w:t>
            </w:r>
          </w:p>
        </w:tc>
        <w:tc>
          <w:tcPr>
            <w:tcW w:w="5493" w:type="dxa"/>
            <w:vAlign w:val="center"/>
          </w:tcPr>
          <w:p w14:paraId="03CA26D5">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竞选总报价</w:t>
            </w:r>
            <w:r>
              <w:rPr>
                <w:rFonts w:ascii="宋体" w:hAnsi="宋体"/>
                <w:color w:val="auto"/>
                <w:kern w:val="0"/>
                <w:highlight w:val="none"/>
              </w:rPr>
              <w:t>的偏差率计算公式</w:t>
            </w:r>
          </w:p>
          <w:p w14:paraId="55DF090C">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w:t>
            </w:r>
            <w:r>
              <w:rPr>
                <w:rFonts w:hint="eastAsia" w:ascii="宋体" w:hAnsi="宋体"/>
                <w:color w:val="auto"/>
                <w:kern w:val="0"/>
                <w:highlight w:val="none"/>
              </w:rPr>
              <w:t>竞选人</w:t>
            </w:r>
            <w:r>
              <w:rPr>
                <w:rFonts w:ascii="宋体" w:hAnsi="宋体"/>
                <w:color w:val="auto"/>
                <w:kern w:val="0"/>
                <w:highlight w:val="none"/>
              </w:rPr>
              <w:t>报价一评标基准价）／评标基准价</w:t>
            </w:r>
          </w:p>
          <w:p w14:paraId="1805DBB5">
            <w:pPr>
              <w:spacing w:line="400" w:lineRule="exact"/>
              <w:ind w:firstLine="200"/>
              <w:rPr>
                <w:rFonts w:ascii="宋体" w:hAnsi="宋体"/>
                <w:color w:val="auto"/>
                <w:kern w:val="0"/>
                <w:highlight w:val="none"/>
              </w:rPr>
            </w:pPr>
            <w:r>
              <w:rPr>
                <w:rFonts w:ascii="宋体" w:hAnsi="宋体"/>
                <w:color w:val="auto"/>
                <w:kern w:val="0"/>
                <w:highlight w:val="none"/>
              </w:rPr>
              <w:t xml:space="preserve">  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3E9FAB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3BBAE2CC">
            <w:pPr>
              <w:spacing w:line="400" w:lineRule="exact"/>
              <w:jc w:val="center"/>
              <w:rPr>
                <w:rFonts w:ascii="宋体" w:hAnsi="宋体"/>
                <w:color w:val="auto"/>
                <w:kern w:val="0"/>
                <w:highlight w:val="none"/>
              </w:rPr>
            </w:pPr>
          </w:p>
        </w:tc>
        <w:tc>
          <w:tcPr>
            <w:tcW w:w="3144" w:type="dxa"/>
            <w:gridSpan w:val="5"/>
            <w:vMerge w:val="continue"/>
            <w:vAlign w:val="center"/>
          </w:tcPr>
          <w:p w14:paraId="7425A1AA">
            <w:pPr>
              <w:spacing w:line="400" w:lineRule="exact"/>
              <w:jc w:val="center"/>
              <w:rPr>
                <w:rFonts w:ascii="宋体" w:hAnsi="宋体"/>
                <w:color w:val="auto"/>
                <w:kern w:val="0"/>
                <w:highlight w:val="none"/>
              </w:rPr>
            </w:pPr>
          </w:p>
        </w:tc>
        <w:tc>
          <w:tcPr>
            <w:tcW w:w="5493" w:type="dxa"/>
            <w:vAlign w:val="center"/>
          </w:tcPr>
          <w:p w14:paraId="77C8CCFA">
            <w:pPr>
              <w:snapToGrid w:val="0"/>
              <w:spacing w:line="400" w:lineRule="exact"/>
              <w:ind w:firstLine="420" w:firstLineChars="200"/>
              <w:jc w:val="left"/>
              <w:rPr>
                <w:rFonts w:ascii="宋体" w:hAnsi="宋体"/>
                <w:i/>
                <w:color w:val="auto"/>
                <w:kern w:val="0"/>
                <w:highlight w:val="none"/>
              </w:rPr>
            </w:pPr>
            <w:r>
              <w:rPr>
                <w:rFonts w:hint="eastAsia" w:ascii="宋体" w:hAnsi="宋体"/>
                <w:color w:val="auto"/>
                <w:szCs w:val="28"/>
                <w:highlight w:val="none"/>
              </w:rPr>
              <w:t>本项目竞选总报价允许偏差范围</w:t>
            </w:r>
            <w:r>
              <w:rPr>
                <w:rFonts w:ascii="宋体" w:hAnsi="宋体"/>
                <w:color w:val="auto"/>
                <w:szCs w:val="28"/>
                <w:highlight w:val="none"/>
              </w:rPr>
              <w:t>为：</w:t>
            </w:r>
            <w:r>
              <w:rPr>
                <w:rFonts w:hint="eastAsia" w:ascii="宋体" w:hAnsi="宋体"/>
                <w:color w:val="auto"/>
                <w:kern w:val="0"/>
                <w:highlight w:val="none"/>
              </w:rPr>
              <w:t>不设偏差范围。</w:t>
            </w:r>
          </w:p>
        </w:tc>
      </w:tr>
      <w:tr w14:paraId="19A4F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1296B416">
            <w:pPr>
              <w:spacing w:line="400" w:lineRule="exact"/>
              <w:jc w:val="center"/>
              <w:rPr>
                <w:rFonts w:ascii="宋体" w:hAnsi="宋体"/>
                <w:color w:val="auto"/>
                <w:kern w:val="0"/>
                <w:highlight w:val="none"/>
              </w:rPr>
            </w:pPr>
            <w:r>
              <w:rPr>
                <w:rFonts w:ascii="宋体" w:hAnsi="宋体"/>
                <w:color w:val="auto"/>
                <w:highlight w:val="none"/>
              </w:rPr>
              <w:t>3</w:t>
            </w:r>
          </w:p>
        </w:tc>
        <w:tc>
          <w:tcPr>
            <w:tcW w:w="1135" w:type="dxa"/>
            <w:gridSpan w:val="2"/>
            <w:vAlign w:val="center"/>
          </w:tcPr>
          <w:p w14:paraId="55B82147">
            <w:pPr>
              <w:spacing w:line="400" w:lineRule="exact"/>
              <w:jc w:val="center"/>
              <w:rPr>
                <w:rFonts w:ascii="宋体" w:hAnsi="宋体"/>
                <w:color w:val="auto"/>
                <w:kern w:val="0"/>
                <w:highlight w:val="none"/>
              </w:rPr>
            </w:pPr>
            <w:r>
              <w:rPr>
                <w:rFonts w:ascii="宋体" w:hAnsi="宋体"/>
                <w:color w:val="auto"/>
                <w:highlight w:val="none"/>
              </w:rPr>
              <w:t>评标程序</w:t>
            </w:r>
          </w:p>
        </w:tc>
        <w:tc>
          <w:tcPr>
            <w:tcW w:w="7484" w:type="dxa"/>
            <w:gridSpan w:val="3"/>
          </w:tcPr>
          <w:p w14:paraId="6485729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1.按本章评标办法第3.1款进行初步评审。未通过初步评审或评标委员会认定为无效的竞选文件的不再进行后续评审。</w:t>
            </w:r>
          </w:p>
          <w:p w14:paraId="5071004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2.按本章评标办法前附表第2.2.2项及第3.2.1（1）目的规定对技术部分进行评审。</w:t>
            </w:r>
          </w:p>
          <w:p w14:paraId="7611328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因评标委员会作否决投标处理导致有效竞选人不足三个的，评标委员会应当否决所有投标。但是有效竞选人的经济、技术等指标仍然具有市场竞争力，能够满足竞选文件要求的，评标委员会可以继续评标并确定中标候选人。</w:t>
            </w:r>
          </w:p>
          <w:p w14:paraId="7BBAC7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4.对初步评审合格的竞选人按照本章第2.2.3项计算方法计算评标基准价，并按本附表第3.2.1（2）目规定的评分方法对竞选总报价进行评分。</w:t>
            </w:r>
          </w:p>
          <w:p w14:paraId="48505F5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5.对技术部分、竞选总报价得分进行汇总，确定得分由高至低前三名竞选人为中标候选人。</w:t>
            </w:r>
          </w:p>
        </w:tc>
      </w:tr>
      <w:tr w14:paraId="05DA1B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4954F768">
            <w:pPr>
              <w:spacing w:line="400" w:lineRule="exact"/>
              <w:jc w:val="center"/>
              <w:rPr>
                <w:rFonts w:ascii="宋体" w:hAnsi="宋体"/>
                <w:color w:val="auto"/>
                <w:highlight w:val="none"/>
              </w:rPr>
            </w:pPr>
            <w:r>
              <w:rPr>
                <w:rFonts w:ascii="宋体" w:hAnsi="宋体"/>
                <w:color w:val="auto"/>
                <w:highlight w:val="none"/>
              </w:rPr>
              <w:t>3.2.1</w:t>
            </w:r>
          </w:p>
          <w:p w14:paraId="5C78A3AF">
            <w:pPr>
              <w:spacing w:line="400" w:lineRule="exact"/>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p>
        </w:tc>
        <w:tc>
          <w:tcPr>
            <w:tcW w:w="1135" w:type="dxa"/>
            <w:gridSpan w:val="2"/>
            <w:vMerge w:val="restart"/>
            <w:vAlign w:val="center"/>
          </w:tcPr>
          <w:p w14:paraId="1D86F808">
            <w:pPr>
              <w:spacing w:line="400" w:lineRule="exact"/>
              <w:jc w:val="center"/>
              <w:rPr>
                <w:rFonts w:ascii="宋体" w:hAnsi="宋体"/>
                <w:color w:val="auto"/>
                <w:highlight w:val="none"/>
              </w:rPr>
            </w:pPr>
            <w:r>
              <w:rPr>
                <w:rFonts w:hint="eastAsia" w:ascii="宋体" w:hAnsi="宋体"/>
                <w:color w:val="auto"/>
                <w:highlight w:val="none"/>
              </w:rPr>
              <w:t>技术部分</w:t>
            </w:r>
            <w:r>
              <w:rPr>
                <w:rFonts w:ascii="宋体" w:hAnsi="宋体"/>
                <w:color w:val="auto"/>
                <w:kern w:val="0"/>
                <w:highlight w:val="none"/>
              </w:rPr>
              <w:t>得分</w:t>
            </w:r>
            <w:r>
              <w:rPr>
                <w:rFonts w:ascii="宋体" w:hAnsi="宋体"/>
                <w:color w:val="auto"/>
                <w:spacing w:val="-4"/>
                <w:highlight w:val="none"/>
              </w:rPr>
              <w:t>（</w:t>
            </w:r>
            <w:r>
              <w:rPr>
                <w:rFonts w:hint="eastAsia" w:ascii="宋体" w:hAnsi="宋体"/>
                <w:color w:val="auto"/>
                <w:spacing w:val="-4"/>
                <w:highlight w:val="none"/>
              </w:rPr>
              <w:t>A）</w:t>
            </w:r>
          </w:p>
        </w:tc>
        <w:tc>
          <w:tcPr>
            <w:tcW w:w="1991" w:type="dxa"/>
            <w:gridSpan w:val="2"/>
            <w:tcBorders>
              <w:bottom w:val="single" w:color="auto" w:sz="4" w:space="0"/>
            </w:tcBorders>
            <w:vAlign w:val="center"/>
          </w:tcPr>
          <w:p w14:paraId="766EFA34">
            <w:pPr>
              <w:spacing w:line="400" w:lineRule="exact"/>
              <w:jc w:val="left"/>
              <w:rPr>
                <w:rFonts w:ascii="宋体" w:hAnsi="宋体"/>
                <w:color w:val="auto"/>
                <w:highlight w:val="none"/>
              </w:rPr>
            </w:pPr>
            <w:r>
              <w:rPr>
                <w:rFonts w:hint="eastAsia" w:ascii="宋体" w:hAnsi="宋体" w:cs="宋体"/>
                <w:color w:val="auto"/>
                <w:kern w:val="0"/>
                <w:highlight w:val="none"/>
              </w:rPr>
              <w:t>技术方案部分形式要求</w:t>
            </w:r>
          </w:p>
        </w:tc>
        <w:tc>
          <w:tcPr>
            <w:tcW w:w="5493" w:type="dxa"/>
            <w:tcBorders>
              <w:bottom w:val="single" w:color="auto" w:sz="4" w:space="0"/>
            </w:tcBorders>
            <w:vAlign w:val="center"/>
          </w:tcPr>
          <w:p w14:paraId="094F4D0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不符合第二章竞选人须知前附表第3.7.5项技术部分装订要求的，技术方案得0分。</w:t>
            </w:r>
          </w:p>
        </w:tc>
      </w:tr>
      <w:tr w14:paraId="22E0D4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continue"/>
            <w:vAlign w:val="center"/>
          </w:tcPr>
          <w:p w14:paraId="04063BE8">
            <w:pPr>
              <w:spacing w:line="400" w:lineRule="exact"/>
              <w:jc w:val="center"/>
              <w:rPr>
                <w:rFonts w:ascii="宋体" w:hAnsi="宋体"/>
                <w:color w:val="auto"/>
                <w:highlight w:val="none"/>
              </w:rPr>
            </w:pPr>
          </w:p>
        </w:tc>
        <w:tc>
          <w:tcPr>
            <w:tcW w:w="1135" w:type="dxa"/>
            <w:gridSpan w:val="2"/>
            <w:vMerge w:val="continue"/>
            <w:vAlign w:val="center"/>
          </w:tcPr>
          <w:p w14:paraId="77B755C4">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42C3080C">
            <w:pPr>
              <w:tabs>
                <w:tab w:val="left" w:pos="1875"/>
              </w:tabs>
              <w:spacing w:line="400" w:lineRule="exact"/>
              <w:jc w:val="left"/>
              <w:rPr>
                <w:rFonts w:ascii="宋体" w:hAnsi="宋体"/>
                <w:color w:val="auto"/>
                <w:kern w:val="0"/>
                <w:highlight w:val="none"/>
              </w:rPr>
            </w:pPr>
            <w:r>
              <w:rPr>
                <w:rFonts w:hint="eastAsia" w:ascii="宋体" w:hAnsi="宋体" w:cs="宋体"/>
                <w:color w:val="auto"/>
                <w:kern w:val="0"/>
                <w:highlight w:val="none"/>
              </w:rPr>
              <w:t>详细的检测试验方案</w:t>
            </w:r>
          </w:p>
        </w:tc>
        <w:tc>
          <w:tcPr>
            <w:tcW w:w="5493" w:type="dxa"/>
            <w:vMerge w:val="restart"/>
            <w:tcBorders>
              <w:top w:val="single" w:color="auto" w:sz="4" w:space="0"/>
            </w:tcBorders>
            <w:vAlign w:val="center"/>
          </w:tcPr>
          <w:p w14:paraId="38B6F7C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评标委员会按</w:t>
            </w:r>
            <w:r>
              <w:rPr>
                <w:rFonts w:hint="eastAsia" w:ascii="宋体" w:hAnsi="宋体"/>
                <w:color w:val="auto"/>
                <w:szCs w:val="21"/>
                <w:highlight w:val="none"/>
              </w:rPr>
              <w:t>第</w:t>
            </w: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项各评审因素设定的分值评分。</w:t>
            </w:r>
          </w:p>
          <w:p w14:paraId="212543C5">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评标委员会成员为5人及以上时，所有评委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取算术平均值为该</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技术方案得分。</w:t>
            </w:r>
          </w:p>
          <w:p w14:paraId="48A1FF84">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技术方案得分的最终结果取小数点后两位，第三位四舍五入。</w:t>
            </w:r>
          </w:p>
        </w:tc>
      </w:tr>
      <w:tr w14:paraId="174B1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1734B0E8">
            <w:pPr>
              <w:spacing w:line="400" w:lineRule="exact"/>
              <w:jc w:val="center"/>
              <w:rPr>
                <w:rFonts w:ascii="宋体" w:hAnsi="宋体"/>
                <w:color w:val="auto"/>
                <w:highlight w:val="none"/>
              </w:rPr>
            </w:pPr>
          </w:p>
        </w:tc>
        <w:tc>
          <w:tcPr>
            <w:tcW w:w="1135" w:type="dxa"/>
            <w:gridSpan w:val="2"/>
            <w:vMerge w:val="continue"/>
            <w:vAlign w:val="center"/>
          </w:tcPr>
          <w:p w14:paraId="026492C9">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749CCD67">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项目重点、难点分析与解决措施</w:t>
            </w:r>
          </w:p>
        </w:tc>
        <w:tc>
          <w:tcPr>
            <w:tcW w:w="5493" w:type="dxa"/>
            <w:vMerge w:val="continue"/>
            <w:vAlign w:val="center"/>
          </w:tcPr>
          <w:p w14:paraId="15368070">
            <w:pPr>
              <w:autoSpaceDE w:val="0"/>
              <w:autoSpaceDN w:val="0"/>
              <w:adjustRightInd w:val="0"/>
              <w:snapToGrid w:val="0"/>
              <w:spacing w:line="400" w:lineRule="exact"/>
              <w:ind w:firstLine="420" w:firstLineChars="200"/>
              <w:rPr>
                <w:rFonts w:ascii="宋体" w:hAnsi="宋体"/>
                <w:color w:val="auto"/>
                <w:szCs w:val="21"/>
                <w:highlight w:val="none"/>
              </w:rPr>
            </w:pPr>
          </w:p>
        </w:tc>
      </w:tr>
      <w:tr w14:paraId="067CB2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1EEA169D">
            <w:pPr>
              <w:spacing w:line="400" w:lineRule="exact"/>
              <w:jc w:val="center"/>
              <w:rPr>
                <w:rFonts w:ascii="宋体" w:hAnsi="宋体"/>
                <w:color w:val="auto"/>
                <w:highlight w:val="none"/>
              </w:rPr>
            </w:pPr>
          </w:p>
        </w:tc>
        <w:tc>
          <w:tcPr>
            <w:tcW w:w="1135" w:type="dxa"/>
            <w:gridSpan w:val="2"/>
            <w:vMerge w:val="continue"/>
            <w:vAlign w:val="center"/>
          </w:tcPr>
          <w:p w14:paraId="2BBEE583">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4AAE0889">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检测管理计划与措施</w:t>
            </w:r>
          </w:p>
        </w:tc>
        <w:tc>
          <w:tcPr>
            <w:tcW w:w="5493" w:type="dxa"/>
            <w:vMerge w:val="continue"/>
            <w:vAlign w:val="center"/>
          </w:tcPr>
          <w:p w14:paraId="5600E634">
            <w:pPr>
              <w:autoSpaceDE w:val="0"/>
              <w:autoSpaceDN w:val="0"/>
              <w:adjustRightInd w:val="0"/>
              <w:snapToGrid w:val="0"/>
              <w:spacing w:line="400" w:lineRule="exact"/>
              <w:ind w:firstLine="420" w:firstLineChars="200"/>
              <w:rPr>
                <w:rFonts w:ascii="宋体" w:hAnsi="宋体"/>
                <w:color w:val="auto"/>
                <w:szCs w:val="21"/>
                <w:highlight w:val="none"/>
              </w:rPr>
            </w:pPr>
          </w:p>
        </w:tc>
      </w:tr>
      <w:tr w14:paraId="3B6919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0E1559B7">
            <w:pPr>
              <w:spacing w:line="400" w:lineRule="exact"/>
              <w:jc w:val="center"/>
              <w:rPr>
                <w:rFonts w:ascii="宋体" w:hAnsi="宋体"/>
                <w:color w:val="auto"/>
                <w:highlight w:val="none"/>
              </w:rPr>
            </w:pPr>
          </w:p>
        </w:tc>
        <w:tc>
          <w:tcPr>
            <w:tcW w:w="1135" w:type="dxa"/>
            <w:gridSpan w:val="2"/>
            <w:vMerge w:val="continue"/>
            <w:vAlign w:val="center"/>
          </w:tcPr>
          <w:p w14:paraId="6C578F14">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6DBBC855">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保证措施</w:t>
            </w:r>
          </w:p>
        </w:tc>
        <w:tc>
          <w:tcPr>
            <w:tcW w:w="5493" w:type="dxa"/>
            <w:vMerge w:val="continue"/>
            <w:vAlign w:val="center"/>
          </w:tcPr>
          <w:p w14:paraId="3E345C82">
            <w:pPr>
              <w:autoSpaceDE w:val="0"/>
              <w:autoSpaceDN w:val="0"/>
              <w:adjustRightInd w:val="0"/>
              <w:snapToGrid w:val="0"/>
              <w:spacing w:line="400" w:lineRule="exact"/>
              <w:ind w:firstLine="420" w:firstLineChars="200"/>
              <w:rPr>
                <w:rFonts w:ascii="宋体" w:hAnsi="宋体"/>
                <w:color w:val="auto"/>
                <w:szCs w:val="21"/>
                <w:highlight w:val="none"/>
              </w:rPr>
            </w:pPr>
          </w:p>
        </w:tc>
      </w:tr>
      <w:tr w14:paraId="6CAE89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2B272C69">
            <w:pPr>
              <w:spacing w:line="400" w:lineRule="exact"/>
              <w:jc w:val="center"/>
              <w:rPr>
                <w:rFonts w:ascii="宋体" w:hAnsi="宋体"/>
                <w:color w:val="auto"/>
                <w:highlight w:val="none"/>
              </w:rPr>
            </w:pPr>
          </w:p>
        </w:tc>
        <w:tc>
          <w:tcPr>
            <w:tcW w:w="1135" w:type="dxa"/>
            <w:gridSpan w:val="2"/>
            <w:vMerge w:val="continue"/>
            <w:vAlign w:val="center"/>
          </w:tcPr>
          <w:p w14:paraId="32F1A3E3">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3E855F6A">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投入方案</w:t>
            </w:r>
          </w:p>
        </w:tc>
        <w:tc>
          <w:tcPr>
            <w:tcW w:w="5493" w:type="dxa"/>
            <w:vMerge w:val="continue"/>
            <w:vAlign w:val="center"/>
          </w:tcPr>
          <w:p w14:paraId="0B6D03B4">
            <w:pPr>
              <w:autoSpaceDE w:val="0"/>
              <w:autoSpaceDN w:val="0"/>
              <w:adjustRightInd w:val="0"/>
              <w:snapToGrid w:val="0"/>
              <w:spacing w:line="400" w:lineRule="exact"/>
              <w:ind w:firstLine="420" w:firstLineChars="200"/>
              <w:rPr>
                <w:rFonts w:ascii="宋体" w:hAnsi="宋体"/>
                <w:color w:val="auto"/>
                <w:szCs w:val="21"/>
                <w:highlight w:val="none"/>
              </w:rPr>
            </w:pPr>
          </w:p>
        </w:tc>
      </w:tr>
      <w:tr w14:paraId="3852DE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3BE136D7">
            <w:pPr>
              <w:spacing w:line="400" w:lineRule="exact"/>
              <w:jc w:val="center"/>
              <w:rPr>
                <w:rFonts w:ascii="宋体" w:hAnsi="宋体"/>
                <w:color w:val="auto"/>
                <w:highlight w:val="none"/>
              </w:rPr>
            </w:pPr>
            <w:r>
              <w:rPr>
                <w:rFonts w:ascii="宋体" w:hAnsi="宋体"/>
                <w:color w:val="auto"/>
                <w:highlight w:val="none"/>
              </w:rPr>
              <w:t>3.2.1（</w:t>
            </w:r>
            <w:r>
              <w:rPr>
                <w:rFonts w:hint="eastAsia" w:ascii="宋体" w:hAnsi="宋体"/>
                <w:color w:val="auto"/>
                <w:highlight w:val="none"/>
              </w:rPr>
              <w:t>2</w:t>
            </w:r>
            <w:r>
              <w:rPr>
                <w:rFonts w:ascii="宋体" w:hAnsi="宋体"/>
                <w:color w:val="auto"/>
                <w:highlight w:val="none"/>
              </w:rPr>
              <w:t>）</w:t>
            </w:r>
          </w:p>
        </w:tc>
        <w:tc>
          <w:tcPr>
            <w:tcW w:w="1135" w:type="dxa"/>
            <w:gridSpan w:val="2"/>
            <w:vAlign w:val="center"/>
          </w:tcPr>
          <w:p w14:paraId="4C67C2E0">
            <w:pPr>
              <w:spacing w:line="400" w:lineRule="exact"/>
              <w:jc w:val="center"/>
              <w:rPr>
                <w:rFonts w:ascii="宋体" w:hAnsi="宋体"/>
                <w:color w:val="auto"/>
                <w:highlight w:val="none"/>
              </w:rPr>
            </w:pPr>
            <w:r>
              <w:rPr>
                <w:rFonts w:ascii="宋体" w:hAnsi="宋体"/>
                <w:color w:val="auto"/>
                <w:highlight w:val="none"/>
              </w:rPr>
              <w:t>投标报价</w:t>
            </w:r>
            <w:r>
              <w:rPr>
                <w:rFonts w:ascii="宋体" w:hAnsi="宋体"/>
                <w:color w:val="auto"/>
                <w:kern w:val="0"/>
                <w:highlight w:val="none"/>
              </w:rPr>
              <w:t>得分</w:t>
            </w:r>
            <w:r>
              <w:rPr>
                <w:rFonts w:ascii="宋体" w:hAnsi="宋体"/>
                <w:color w:val="auto"/>
                <w:spacing w:val="-8"/>
                <w:highlight w:val="none"/>
              </w:rPr>
              <w:t>（</w:t>
            </w:r>
            <w:r>
              <w:rPr>
                <w:rFonts w:hint="eastAsia" w:ascii="宋体" w:hAnsi="宋体"/>
                <w:color w:val="auto"/>
                <w:spacing w:val="-8"/>
                <w:highlight w:val="none"/>
              </w:rPr>
              <w:t>B</w:t>
            </w:r>
            <w:r>
              <w:rPr>
                <w:rFonts w:ascii="宋体" w:hAnsi="宋体"/>
                <w:color w:val="auto"/>
                <w:spacing w:val="-8"/>
                <w:highlight w:val="none"/>
              </w:rPr>
              <w:t>）</w:t>
            </w:r>
          </w:p>
        </w:tc>
        <w:tc>
          <w:tcPr>
            <w:tcW w:w="1991" w:type="dxa"/>
            <w:gridSpan w:val="2"/>
            <w:tcBorders>
              <w:top w:val="single" w:color="auto" w:sz="4" w:space="0"/>
            </w:tcBorders>
            <w:vAlign w:val="center"/>
          </w:tcPr>
          <w:p w14:paraId="74F37AF5">
            <w:pPr>
              <w:spacing w:line="400" w:lineRule="exact"/>
              <w:jc w:val="center"/>
              <w:rPr>
                <w:rFonts w:ascii="宋体" w:hAnsi="宋体"/>
                <w:color w:val="auto"/>
                <w:highlight w:val="none"/>
              </w:rPr>
            </w:pPr>
            <w:r>
              <w:rPr>
                <w:rFonts w:hint="eastAsia" w:ascii="宋体" w:hAnsi="宋体"/>
                <w:color w:val="auto"/>
                <w:highlight w:val="none"/>
              </w:rPr>
              <w:t>竞选总报价</w:t>
            </w:r>
          </w:p>
        </w:tc>
        <w:tc>
          <w:tcPr>
            <w:tcW w:w="5493" w:type="dxa"/>
            <w:vAlign w:val="center"/>
          </w:tcPr>
          <w:p w14:paraId="63D83A70">
            <w:pPr>
              <w:spacing w:line="400" w:lineRule="exact"/>
              <w:ind w:firstLine="420" w:firstLineChars="200"/>
              <w:rPr>
                <w:rFonts w:ascii="宋体" w:hAnsi="宋体"/>
                <w:color w:val="auto"/>
                <w:szCs w:val="21"/>
                <w:highlight w:val="none"/>
              </w:rPr>
            </w:pPr>
            <w:r>
              <w:rPr>
                <w:rFonts w:hint="eastAsia" w:ascii="宋体" w:hAnsi="宋体"/>
                <w:bCs/>
                <w:color w:val="auto"/>
                <w:kern w:val="0"/>
                <w:szCs w:val="21"/>
                <w:highlight w:val="none"/>
              </w:rPr>
              <w:t>设置允许偏差范围的，</w:t>
            </w:r>
            <w:r>
              <w:rPr>
                <w:rFonts w:hint="eastAsia" w:ascii="宋体" w:hAnsi="宋体"/>
                <w:color w:val="auto"/>
                <w:kern w:val="0"/>
                <w:highlight w:val="none"/>
              </w:rPr>
              <w:t>竞选总报价</w:t>
            </w:r>
            <w:r>
              <w:rPr>
                <w:rFonts w:ascii="宋体" w:hAnsi="宋体"/>
                <w:color w:val="auto"/>
                <w:kern w:val="0"/>
                <w:highlight w:val="none"/>
              </w:rPr>
              <w:t>的偏差在</w:t>
            </w:r>
            <w:r>
              <w:rPr>
                <w:rFonts w:ascii="宋体" w:hAnsi="宋体"/>
                <w:color w:val="auto"/>
                <w:szCs w:val="21"/>
                <w:highlight w:val="none"/>
              </w:rPr>
              <w:t>允许偏差范围外的，</w:t>
            </w:r>
            <w:r>
              <w:rPr>
                <w:rFonts w:ascii="宋体" w:hAnsi="宋体"/>
                <w:bCs/>
                <w:color w:val="auto"/>
                <w:szCs w:val="28"/>
                <w:highlight w:val="none"/>
              </w:rPr>
              <w:t>得零分</w:t>
            </w:r>
            <w:r>
              <w:rPr>
                <w:rFonts w:ascii="宋体" w:hAnsi="宋体"/>
                <w:color w:val="auto"/>
                <w:kern w:val="0"/>
                <w:highlight w:val="none"/>
              </w:rPr>
              <w:t>；</w:t>
            </w:r>
            <w:r>
              <w:rPr>
                <w:rFonts w:hint="eastAsia" w:ascii="宋体" w:hAnsi="宋体"/>
                <w:color w:val="auto"/>
                <w:kern w:val="0"/>
                <w:highlight w:val="none"/>
              </w:rPr>
              <w:t>不设置允许偏差范围或</w:t>
            </w:r>
            <w:r>
              <w:rPr>
                <w:rFonts w:hint="eastAsia" w:ascii="宋体" w:hAnsi="宋体"/>
                <w:color w:val="auto"/>
                <w:szCs w:val="21"/>
                <w:highlight w:val="none"/>
              </w:rPr>
              <w:t>竞选总报价</w:t>
            </w:r>
            <w:r>
              <w:rPr>
                <w:rFonts w:ascii="宋体" w:hAnsi="宋体"/>
                <w:color w:val="auto"/>
                <w:szCs w:val="21"/>
                <w:highlight w:val="none"/>
              </w:rPr>
              <w:t>偏差在允许范围内的（含上、下限值），得</w:t>
            </w:r>
            <w:r>
              <w:rPr>
                <w:rFonts w:ascii="宋体" w:hAnsi="宋体"/>
                <w:bCs/>
                <w:color w:val="auto"/>
                <w:szCs w:val="28"/>
                <w:highlight w:val="none"/>
              </w:rPr>
              <w:t>本附表</w:t>
            </w:r>
            <w:r>
              <w:rPr>
                <w:rFonts w:hint="eastAsia" w:ascii="宋体" w:hAnsi="宋体"/>
                <w:bCs/>
                <w:color w:val="auto"/>
                <w:szCs w:val="28"/>
                <w:highlight w:val="none"/>
              </w:rPr>
              <w:t>第</w:t>
            </w:r>
            <w:r>
              <w:rPr>
                <w:rFonts w:ascii="宋体" w:hAnsi="宋体"/>
                <w:bCs/>
                <w:color w:val="auto"/>
                <w:szCs w:val="28"/>
                <w:highlight w:val="none"/>
              </w:rPr>
              <w:t>2.2.1</w:t>
            </w:r>
            <w:r>
              <w:rPr>
                <w:rFonts w:hint="eastAsia" w:ascii="宋体" w:hAnsi="宋体"/>
                <w:bCs/>
                <w:color w:val="auto"/>
                <w:szCs w:val="28"/>
                <w:highlight w:val="none"/>
              </w:rPr>
              <w:t>项</w:t>
            </w:r>
            <w:r>
              <w:rPr>
                <w:rFonts w:ascii="宋体" w:hAnsi="宋体"/>
                <w:bCs/>
                <w:color w:val="auto"/>
                <w:szCs w:val="28"/>
                <w:highlight w:val="none"/>
              </w:rPr>
              <w:t>规定分值的满分</w:t>
            </w:r>
            <w:r>
              <w:rPr>
                <w:rFonts w:ascii="宋体" w:hAnsi="宋体"/>
                <w:bCs/>
                <w:color w:val="auto"/>
                <w:szCs w:val="28"/>
                <w:highlight w:val="none"/>
                <w:u w:val="single"/>
              </w:rPr>
              <w:t xml:space="preserve"> </w:t>
            </w:r>
            <w:r>
              <w:rPr>
                <w:rFonts w:hint="eastAsia" w:ascii="宋体" w:hAnsi="宋体"/>
                <w:bCs/>
                <w:color w:val="auto"/>
                <w:szCs w:val="28"/>
                <w:highlight w:val="none"/>
                <w:u w:val="single"/>
              </w:rPr>
              <w:t>30</w:t>
            </w:r>
            <w:r>
              <w:rPr>
                <w:rFonts w:ascii="宋体" w:hAnsi="宋体"/>
                <w:bCs/>
                <w:color w:val="auto"/>
                <w:szCs w:val="28"/>
                <w:highlight w:val="none"/>
                <w:u w:val="single"/>
              </w:rPr>
              <w:t xml:space="preserve"> </w:t>
            </w:r>
            <w:r>
              <w:rPr>
                <w:rFonts w:ascii="宋体" w:hAnsi="宋体"/>
                <w:color w:val="auto"/>
                <w:szCs w:val="21"/>
                <w:highlight w:val="none"/>
              </w:rPr>
              <w:t>分。在此基础上，</w:t>
            </w:r>
            <w:r>
              <w:rPr>
                <w:rFonts w:hint="eastAsia" w:ascii="宋体" w:hAnsi="宋体"/>
                <w:color w:val="auto"/>
                <w:szCs w:val="21"/>
                <w:highlight w:val="none"/>
              </w:rPr>
              <w:t>竞选总报价</w:t>
            </w:r>
            <w:r>
              <w:rPr>
                <w:rFonts w:ascii="宋体" w:hAnsi="宋体"/>
                <w:color w:val="auto"/>
                <w:szCs w:val="21"/>
                <w:highlight w:val="none"/>
              </w:rPr>
              <w:t>与评标基准价相比，每增加1%扣</w:t>
            </w:r>
            <w:r>
              <w:rPr>
                <w:rFonts w:ascii="宋体" w:hAnsi="宋体"/>
                <w:color w:val="auto"/>
                <w:szCs w:val="21"/>
                <w:highlight w:val="none"/>
                <w:u w:val="single"/>
              </w:rPr>
              <w:t>　</w:t>
            </w:r>
            <w:r>
              <w:rPr>
                <w:rFonts w:hint="eastAsia" w:ascii="宋体" w:hAnsi="宋体"/>
                <w:color w:val="auto"/>
                <w:szCs w:val="21"/>
                <w:highlight w:val="none"/>
                <w:u w:val="single"/>
              </w:rPr>
              <w:t>0.5</w:t>
            </w:r>
            <w:r>
              <w:rPr>
                <w:rFonts w:ascii="宋体" w:hAnsi="宋体"/>
                <w:color w:val="auto"/>
                <w:szCs w:val="21"/>
                <w:highlight w:val="none"/>
              </w:rPr>
              <w:t>分，每减少1%扣</w:t>
            </w:r>
            <w:r>
              <w:rPr>
                <w:rFonts w:ascii="宋体" w:hAnsi="宋体"/>
                <w:color w:val="auto"/>
                <w:szCs w:val="21"/>
                <w:highlight w:val="none"/>
                <w:u w:val="single"/>
              </w:rPr>
              <w:t>　</w:t>
            </w:r>
            <w:r>
              <w:rPr>
                <w:rFonts w:hint="eastAsia" w:ascii="宋体" w:hAnsi="宋体"/>
                <w:color w:val="auto"/>
                <w:szCs w:val="21"/>
                <w:highlight w:val="none"/>
                <w:u w:val="single"/>
              </w:rPr>
              <w:t>0.25</w:t>
            </w:r>
            <w:r>
              <w:rPr>
                <w:rFonts w:ascii="宋体" w:hAnsi="宋体"/>
                <w:color w:val="auto"/>
                <w:szCs w:val="21"/>
                <w:highlight w:val="none"/>
                <w:u w:val="single"/>
              </w:rPr>
              <w:t>　</w:t>
            </w:r>
            <w:r>
              <w:rPr>
                <w:rFonts w:ascii="宋体" w:hAnsi="宋体"/>
                <w:color w:val="auto"/>
                <w:szCs w:val="21"/>
                <w:highlight w:val="none"/>
              </w:rPr>
              <w:t>分，</w:t>
            </w:r>
            <w:r>
              <w:rPr>
                <w:rFonts w:hint="eastAsia" w:ascii="宋体" w:hAnsi="宋体"/>
                <w:color w:val="auto"/>
                <w:szCs w:val="21"/>
                <w:highlight w:val="none"/>
              </w:rPr>
              <w:t>最多扣</w:t>
            </w:r>
            <w:r>
              <w:rPr>
                <w:rFonts w:hint="eastAsia" w:ascii="宋体" w:hAnsi="宋体"/>
                <w:color w:val="auto"/>
                <w:szCs w:val="21"/>
                <w:highlight w:val="none"/>
                <w:u w:val="single"/>
              </w:rPr>
              <w:t xml:space="preserve"> 5 </w:t>
            </w:r>
            <w:r>
              <w:rPr>
                <w:rFonts w:hint="eastAsia" w:ascii="宋体" w:hAnsi="宋体"/>
                <w:color w:val="auto"/>
                <w:szCs w:val="21"/>
                <w:highlight w:val="none"/>
              </w:rPr>
              <w:t>分</w:t>
            </w:r>
            <w:r>
              <w:rPr>
                <w:rFonts w:ascii="宋体" w:hAnsi="宋体"/>
                <w:color w:val="auto"/>
                <w:szCs w:val="21"/>
                <w:highlight w:val="none"/>
              </w:rPr>
              <w:t>。</w:t>
            </w:r>
          </w:p>
          <w:p w14:paraId="667B104C">
            <w:pPr>
              <w:spacing w:line="400" w:lineRule="exact"/>
              <w:ind w:firstLine="420" w:firstLineChars="200"/>
              <w:rPr>
                <w:rFonts w:ascii="宋体" w:hAnsi="宋体"/>
                <w:color w:val="auto"/>
                <w:szCs w:val="21"/>
                <w:highlight w:val="none"/>
              </w:rPr>
            </w:pPr>
            <w:r>
              <w:rPr>
                <w:rFonts w:ascii="宋体" w:hAnsi="宋体"/>
                <w:color w:val="auto"/>
                <w:szCs w:val="21"/>
                <w:highlight w:val="none"/>
              </w:rPr>
              <w:t>按插入法计算得分。</w:t>
            </w:r>
          </w:p>
          <w:p w14:paraId="1E356AA2">
            <w:pPr>
              <w:spacing w:line="400" w:lineRule="exact"/>
              <w:ind w:firstLine="420" w:firstLineChars="200"/>
              <w:rPr>
                <w:rFonts w:ascii="宋体" w:hAnsi="宋体"/>
                <w:color w:val="auto"/>
                <w:szCs w:val="21"/>
                <w:highlight w:val="none"/>
              </w:rPr>
            </w:pPr>
            <w:r>
              <w:rPr>
                <w:rFonts w:ascii="宋体" w:hAnsi="宋体"/>
                <w:color w:val="auto"/>
                <w:szCs w:val="21"/>
                <w:highlight w:val="none"/>
              </w:rPr>
              <w:t>在偏差范围内，未参与评标基准价计算的投标报价，仍应参加计算相应分值。</w:t>
            </w:r>
          </w:p>
          <w:p w14:paraId="45BDED4C">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竞选总报价得分最终结果</w:t>
            </w:r>
            <w:r>
              <w:rPr>
                <w:rFonts w:ascii="宋体" w:hAnsi="宋体"/>
                <w:color w:val="auto"/>
                <w:kern w:val="0"/>
                <w:szCs w:val="21"/>
                <w:highlight w:val="none"/>
              </w:rPr>
              <w:t>取小数点后两位，第三位四舍五入。</w:t>
            </w:r>
          </w:p>
        </w:tc>
      </w:tr>
      <w:tr w14:paraId="4CA689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036CA133">
            <w:pPr>
              <w:spacing w:line="400" w:lineRule="exact"/>
              <w:ind w:firstLine="18" w:firstLineChars="9"/>
              <w:jc w:val="center"/>
              <w:rPr>
                <w:rFonts w:ascii="宋体" w:hAnsi="宋体"/>
                <w:color w:val="auto"/>
                <w:szCs w:val="21"/>
                <w:highlight w:val="none"/>
              </w:rPr>
            </w:pPr>
            <w:r>
              <w:rPr>
                <w:rFonts w:ascii="宋体" w:hAnsi="宋体"/>
                <w:color w:val="auto"/>
                <w:szCs w:val="21"/>
                <w:highlight w:val="none"/>
              </w:rPr>
              <w:t>3.2.3</w:t>
            </w:r>
          </w:p>
        </w:tc>
        <w:tc>
          <w:tcPr>
            <w:tcW w:w="1991" w:type="dxa"/>
            <w:gridSpan w:val="2"/>
            <w:vAlign w:val="center"/>
          </w:tcPr>
          <w:p w14:paraId="3076B9F9">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得分</w:t>
            </w:r>
          </w:p>
        </w:tc>
        <w:tc>
          <w:tcPr>
            <w:tcW w:w="5493" w:type="dxa"/>
            <w:vAlign w:val="center"/>
          </w:tcPr>
          <w:p w14:paraId="57B093E6">
            <w:pPr>
              <w:spacing w:line="400" w:lineRule="exact"/>
              <w:jc w:val="center"/>
              <w:rPr>
                <w:rFonts w:ascii="宋体" w:hAnsi="宋体"/>
                <w:color w:val="auto"/>
                <w:szCs w:val="21"/>
                <w:highlight w:val="none"/>
                <w:u w:val="single"/>
              </w:rPr>
            </w:pPr>
            <w:r>
              <w:rPr>
                <w:rFonts w:hint="eastAsia" w:ascii="宋体" w:hAnsi="宋体"/>
                <w:color w:val="auto"/>
                <w:szCs w:val="21"/>
                <w:highlight w:val="none"/>
                <w:u w:val="single"/>
              </w:rPr>
              <w:t>竞选人</w:t>
            </w:r>
            <w:r>
              <w:rPr>
                <w:rFonts w:ascii="宋体" w:hAnsi="宋体"/>
                <w:color w:val="auto"/>
                <w:szCs w:val="21"/>
                <w:highlight w:val="none"/>
                <w:u w:val="single"/>
              </w:rPr>
              <w:t>得分=A+B</w:t>
            </w:r>
          </w:p>
        </w:tc>
      </w:tr>
    </w:tbl>
    <w:p w14:paraId="76673C20">
      <w:pPr>
        <w:pStyle w:val="4"/>
        <w:spacing w:before="0" w:after="0" w:line="360" w:lineRule="auto"/>
        <w:rPr>
          <w:rFonts w:ascii="宋体" w:hAnsi="宋体"/>
          <w:b w:val="0"/>
          <w:snapToGrid w:val="0"/>
          <w:color w:val="auto"/>
          <w:highlight w:val="none"/>
        </w:rPr>
      </w:pPr>
    </w:p>
    <w:p w14:paraId="22090F24">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br w:type="page"/>
      </w:r>
      <w:bookmarkStart w:id="602" w:name="_Toc57905897"/>
      <w:bookmarkStart w:id="603" w:name="_Toc2957"/>
      <w:r>
        <w:rPr>
          <w:rFonts w:ascii="宋体" w:hAnsi="宋体"/>
          <w:b w:val="0"/>
          <w:snapToGrid w:val="0"/>
          <w:color w:val="auto"/>
          <w:highlight w:val="none"/>
        </w:rPr>
        <w:t>1.  评标方法</w:t>
      </w:r>
      <w:bookmarkEnd w:id="587"/>
      <w:bookmarkEnd w:id="588"/>
      <w:bookmarkEnd w:id="589"/>
      <w:bookmarkEnd w:id="590"/>
      <w:bookmarkEnd w:id="591"/>
      <w:bookmarkEnd w:id="592"/>
      <w:bookmarkEnd w:id="601"/>
      <w:bookmarkEnd w:id="602"/>
      <w:bookmarkEnd w:id="603"/>
    </w:p>
    <w:p w14:paraId="24623BD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hint="eastAsia" w:ascii="宋体" w:hAnsi="宋体"/>
          <w:color w:val="auto"/>
          <w:kern w:val="0"/>
          <w:szCs w:val="21"/>
          <w:highlight w:val="none"/>
        </w:rPr>
        <w:t>，若出现竞选人投标报价相同的，以评标办法前附表约定的原则确定排序</w:t>
      </w:r>
      <w:r>
        <w:rPr>
          <w:rFonts w:ascii="宋体" w:hAnsi="宋体"/>
          <w:color w:val="auto"/>
          <w:spacing w:val="-31"/>
          <w:kern w:val="0"/>
          <w:szCs w:val="21"/>
          <w:highlight w:val="none"/>
        </w:rPr>
        <w:t>。</w:t>
      </w:r>
    </w:p>
    <w:p w14:paraId="786982A4">
      <w:pPr>
        <w:pStyle w:val="4"/>
        <w:spacing w:before="0" w:after="0" w:line="360" w:lineRule="auto"/>
        <w:rPr>
          <w:rFonts w:ascii="宋体" w:hAnsi="宋体"/>
          <w:b w:val="0"/>
          <w:snapToGrid w:val="0"/>
          <w:color w:val="auto"/>
          <w:highlight w:val="none"/>
        </w:rPr>
      </w:pPr>
      <w:bookmarkStart w:id="604" w:name="_Toc57905898"/>
      <w:bookmarkStart w:id="605" w:name="_Toc28040"/>
      <w:bookmarkStart w:id="606" w:name="_Toc430530501"/>
      <w:bookmarkStart w:id="607" w:name="_Toc277082619"/>
      <w:bookmarkStart w:id="608" w:name="_Toc287607813"/>
      <w:bookmarkStart w:id="609" w:name="_Toc509218777"/>
      <w:bookmarkStart w:id="610" w:name="_Toc287620752"/>
      <w:bookmarkStart w:id="611" w:name="_Toc200513199"/>
      <w:bookmarkStart w:id="612" w:name="_Toc224103385"/>
      <w:r>
        <w:rPr>
          <w:rFonts w:ascii="宋体" w:hAnsi="宋体"/>
          <w:b w:val="0"/>
          <w:snapToGrid w:val="0"/>
          <w:color w:val="auto"/>
          <w:highlight w:val="none"/>
        </w:rPr>
        <w:t>2.  评审标准</w:t>
      </w:r>
      <w:bookmarkEnd w:id="604"/>
      <w:bookmarkEnd w:id="605"/>
      <w:bookmarkEnd w:id="606"/>
      <w:bookmarkEnd w:id="607"/>
      <w:bookmarkEnd w:id="608"/>
      <w:bookmarkEnd w:id="609"/>
      <w:bookmarkEnd w:id="610"/>
      <w:bookmarkEnd w:id="611"/>
      <w:bookmarkEnd w:id="612"/>
    </w:p>
    <w:p w14:paraId="220002A2">
      <w:pPr>
        <w:pStyle w:val="5"/>
        <w:snapToGrid w:val="0"/>
        <w:spacing w:before="0" w:after="0" w:line="360" w:lineRule="auto"/>
        <w:rPr>
          <w:rFonts w:ascii="宋体" w:hAnsi="宋体"/>
          <w:b w:val="0"/>
          <w:snapToGrid w:val="0"/>
          <w:color w:val="auto"/>
          <w:sz w:val="24"/>
          <w:szCs w:val="24"/>
          <w:highlight w:val="none"/>
        </w:rPr>
      </w:pPr>
      <w:bookmarkStart w:id="613" w:name="_Toc277082620"/>
      <w:bookmarkStart w:id="614" w:name="_Toc430530502"/>
      <w:bookmarkStart w:id="615" w:name="_Toc287607814"/>
      <w:bookmarkStart w:id="616" w:name="_Toc287620753"/>
      <w:bookmarkStart w:id="617" w:name="_Toc57905899"/>
      <w:bookmarkStart w:id="618" w:name="_Toc224103386"/>
      <w:bookmarkStart w:id="619" w:name="_Toc200513200"/>
      <w:bookmarkStart w:id="620" w:name="_Toc509218778"/>
      <w:bookmarkStart w:id="621" w:name="_Toc2588"/>
      <w:r>
        <w:rPr>
          <w:rFonts w:ascii="宋体" w:hAnsi="宋体"/>
          <w:b w:val="0"/>
          <w:snapToGrid w:val="0"/>
          <w:color w:val="auto"/>
          <w:sz w:val="24"/>
          <w:szCs w:val="24"/>
          <w:highlight w:val="none"/>
        </w:rPr>
        <w:t>2.1  初步评审标准</w:t>
      </w:r>
      <w:bookmarkEnd w:id="613"/>
      <w:bookmarkEnd w:id="614"/>
      <w:bookmarkEnd w:id="615"/>
      <w:bookmarkEnd w:id="616"/>
      <w:bookmarkEnd w:id="617"/>
      <w:bookmarkEnd w:id="618"/>
      <w:bookmarkEnd w:id="619"/>
      <w:bookmarkEnd w:id="620"/>
      <w:bookmarkEnd w:id="621"/>
    </w:p>
    <w:p w14:paraId="4115CCD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1A</w:t>
      </w:r>
      <w:r>
        <w:rPr>
          <w:rFonts w:ascii="宋体" w:hAnsi="宋体"/>
          <w:color w:val="auto"/>
          <w:kern w:val="0"/>
          <w:szCs w:val="21"/>
          <w:highlight w:val="none"/>
        </w:rPr>
        <w:t xml:space="preserve">  资格评审标准：见评标办法前附表（适用于未进行资格预审的）。</w:t>
      </w:r>
    </w:p>
    <w:p w14:paraId="74608B7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1B</w:t>
      </w:r>
      <w:r>
        <w:rPr>
          <w:rFonts w:ascii="宋体" w:hAnsi="宋体"/>
          <w:color w:val="auto"/>
          <w:kern w:val="0"/>
          <w:szCs w:val="21"/>
          <w:highlight w:val="none"/>
        </w:rPr>
        <w:t xml:space="preserve">  资格评审标准：见资格预审文件第三章“资格审查办法”详细审查标准（适用于已进行资格预审的）。</w:t>
      </w:r>
    </w:p>
    <w:p w14:paraId="0E6BF60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7D3D916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32576C73">
      <w:pPr>
        <w:pStyle w:val="5"/>
        <w:snapToGrid w:val="0"/>
        <w:spacing w:before="0" w:after="0" w:line="360" w:lineRule="auto"/>
        <w:rPr>
          <w:rFonts w:ascii="宋体" w:hAnsi="宋体"/>
          <w:b w:val="0"/>
          <w:snapToGrid w:val="0"/>
          <w:color w:val="auto"/>
          <w:sz w:val="24"/>
          <w:szCs w:val="24"/>
          <w:highlight w:val="none"/>
        </w:rPr>
      </w:pPr>
      <w:bookmarkStart w:id="622" w:name="_Toc430530503"/>
      <w:bookmarkStart w:id="623" w:name="_Toc287607815"/>
      <w:bookmarkStart w:id="624" w:name="_Toc224103387"/>
      <w:bookmarkStart w:id="625" w:name="_Toc277082621"/>
      <w:bookmarkStart w:id="626" w:name="_Toc17923"/>
      <w:bookmarkStart w:id="627" w:name="_Toc509218779"/>
      <w:bookmarkStart w:id="628" w:name="_Toc200513201"/>
      <w:bookmarkStart w:id="629" w:name="_Toc57905900"/>
      <w:bookmarkStart w:id="630" w:name="_Toc287620754"/>
      <w:r>
        <w:rPr>
          <w:rFonts w:ascii="宋体" w:hAnsi="宋体"/>
          <w:b w:val="0"/>
          <w:snapToGrid w:val="0"/>
          <w:color w:val="auto"/>
          <w:sz w:val="24"/>
          <w:szCs w:val="24"/>
          <w:highlight w:val="none"/>
        </w:rPr>
        <w:t>2.2  分值构成与评分标准</w:t>
      </w:r>
      <w:bookmarkEnd w:id="622"/>
      <w:bookmarkEnd w:id="623"/>
      <w:bookmarkEnd w:id="624"/>
      <w:bookmarkEnd w:id="625"/>
      <w:bookmarkEnd w:id="626"/>
      <w:bookmarkEnd w:id="627"/>
      <w:bookmarkEnd w:id="628"/>
      <w:bookmarkEnd w:id="629"/>
      <w:bookmarkEnd w:id="630"/>
    </w:p>
    <w:p w14:paraId="7028238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2066E9D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168B90F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竞选总报价</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0FC9460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评分标准</w:t>
      </w:r>
    </w:p>
    <w:p w14:paraId="018812B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评分标准：见评标办法前附表</w:t>
      </w:r>
      <w:r>
        <w:rPr>
          <w:rFonts w:hint="eastAsia" w:ascii="宋体" w:hAnsi="宋体"/>
          <w:color w:val="auto"/>
          <w:kern w:val="0"/>
          <w:szCs w:val="21"/>
          <w:highlight w:val="none"/>
        </w:rPr>
        <w:t>。</w:t>
      </w:r>
    </w:p>
    <w:p w14:paraId="5F86A37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2.2.3  </w:t>
      </w:r>
      <w:r>
        <w:rPr>
          <w:rFonts w:ascii="宋体" w:hAnsi="宋体"/>
          <w:color w:val="auto"/>
          <w:kern w:val="0"/>
          <w:szCs w:val="21"/>
          <w:highlight w:val="none"/>
        </w:rPr>
        <w:t>评标基准价计算</w:t>
      </w:r>
    </w:p>
    <w:p w14:paraId="151BA24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3541380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4</w:t>
      </w:r>
      <w:r>
        <w:rPr>
          <w:rFonts w:ascii="宋体" w:hAnsi="宋体"/>
          <w:color w:val="auto"/>
          <w:kern w:val="0"/>
          <w:szCs w:val="21"/>
          <w:highlight w:val="none"/>
        </w:rPr>
        <w:t xml:space="preserve">  投标报价的偏差率计算</w:t>
      </w:r>
      <w:r>
        <w:rPr>
          <w:rFonts w:hint="eastAsia" w:ascii="宋体" w:hAnsi="宋体"/>
          <w:color w:val="auto"/>
          <w:kern w:val="0"/>
          <w:szCs w:val="21"/>
          <w:highlight w:val="none"/>
        </w:rPr>
        <w:t>和允许偏差范围</w:t>
      </w:r>
    </w:p>
    <w:p w14:paraId="384C18B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32CE2A2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（2）投标报价的允许偏差范围</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78B1C189">
      <w:pPr>
        <w:pStyle w:val="4"/>
        <w:spacing w:before="0" w:after="0" w:line="360" w:lineRule="auto"/>
        <w:rPr>
          <w:rFonts w:ascii="宋体" w:hAnsi="宋体"/>
          <w:b w:val="0"/>
          <w:snapToGrid w:val="0"/>
          <w:color w:val="auto"/>
          <w:highlight w:val="none"/>
        </w:rPr>
      </w:pPr>
      <w:bookmarkStart w:id="631" w:name="_Toc4568"/>
      <w:bookmarkStart w:id="632" w:name="_Toc57905901"/>
      <w:bookmarkStart w:id="633" w:name="_Toc200513202"/>
      <w:bookmarkStart w:id="634" w:name="_Toc430530504"/>
      <w:bookmarkStart w:id="635" w:name="_Toc277082622"/>
      <w:bookmarkStart w:id="636" w:name="_Toc287620755"/>
      <w:bookmarkStart w:id="637" w:name="_Toc287607816"/>
      <w:bookmarkStart w:id="638" w:name="_Toc509218780"/>
      <w:bookmarkStart w:id="639" w:name="_Toc224103388"/>
      <w:r>
        <w:rPr>
          <w:rFonts w:ascii="宋体" w:hAnsi="宋体"/>
          <w:b w:val="0"/>
          <w:snapToGrid w:val="0"/>
          <w:color w:val="auto"/>
          <w:highlight w:val="none"/>
        </w:rPr>
        <w:t>3.  评标程序</w:t>
      </w:r>
      <w:bookmarkEnd w:id="631"/>
      <w:bookmarkEnd w:id="632"/>
      <w:bookmarkEnd w:id="633"/>
      <w:bookmarkEnd w:id="634"/>
      <w:bookmarkEnd w:id="635"/>
      <w:bookmarkEnd w:id="636"/>
      <w:bookmarkEnd w:id="637"/>
      <w:bookmarkEnd w:id="638"/>
      <w:bookmarkEnd w:id="639"/>
    </w:p>
    <w:p w14:paraId="625D47CB">
      <w:pPr>
        <w:pStyle w:val="5"/>
        <w:snapToGrid w:val="0"/>
        <w:spacing w:before="0" w:after="0" w:line="360" w:lineRule="auto"/>
        <w:rPr>
          <w:rFonts w:ascii="宋体" w:hAnsi="宋体"/>
          <w:b w:val="0"/>
          <w:snapToGrid w:val="0"/>
          <w:color w:val="auto"/>
          <w:sz w:val="24"/>
          <w:szCs w:val="24"/>
          <w:highlight w:val="none"/>
        </w:rPr>
      </w:pPr>
      <w:bookmarkStart w:id="640" w:name="_Toc21102"/>
      <w:bookmarkStart w:id="641" w:name="_Toc509218781"/>
      <w:bookmarkStart w:id="642" w:name="_Toc287620756"/>
      <w:bookmarkStart w:id="643" w:name="_Toc200513203"/>
      <w:bookmarkStart w:id="644" w:name="_Toc224103389"/>
      <w:bookmarkStart w:id="645" w:name="_Toc57905902"/>
      <w:bookmarkStart w:id="646" w:name="_Toc277082623"/>
      <w:bookmarkStart w:id="647" w:name="_Toc430530505"/>
      <w:bookmarkStart w:id="648" w:name="_Toc287607817"/>
      <w:r>
        <w:rPr>
          <w:rFonts w:ascii="宋体" w:hAnsi="宋体"/>
          <w:b w:val="0"/>
          <w:snapToGrid w:val="0"/>
          <w:color w:val="auto"/>
          <w:sz w:val="24"/>
          <w:szCs w:val="24"/>
          <w:highlight w:val="none"/>
        </w:rPr>
        <w:t>3.1  初步评审</w:t>
      </w:r>
      <w:bookmarkEnd w:id="640"/>
      <w:bookmarkEnd w:id="641"/>
      <w:bookmarkEnd w:id="642"/>
      <w:bookmarkEnd w:id="643"/>
      <w:bookmarkEnd w:id="644"/>
      <w:bookmarkEnd w:id="645"/>
      <w:bookmarkEnd w:id="646"/>
      <w:bookmarkEnd w:id="647"/>
      <w:bookmarkEnd w:id="648"/>
    </w:p>
    <w:p w14:paraId="69A68EE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进行初步评审。有一项不符合评审标准的，作否决投标处理。（适用于未进行资格预审的）</w:t>
      </w:r>
    </w:p>
    <w:p w14:paraId="54CAEC0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评标委员会依据本章第2.1.1项</w:t>
      </w:r>
      <w:r>
        <w:rPr>
          <w:rFonts w:hint="eastAsia" w:ascii="宋体" w:hAnsi="宋体"/>
          <w:color w:val="auto"/>
          <w:kern w:val="0"/>
          <w:szCs w:val="21"/>
          <w:highlight w:val="none"/>
        </w:rPr>
        <w:t>至</w:t>
      </w:r>
      <w:r>
        <w:rPr>
          <w:rFonts w:ascii="宋体" w:hAnsi="宋体"/>
          <w:color w:val="auto"/>
          <w:kern w:val="0"/>
          <w:szCs w:val="21"/>
          <w:highlight w:val="none"/>
        </w:rPr>
        <w:t>第2.1.3项规定的评审标准对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进行初步评审。有一项不符合评审标准的，作否决投标处理。当</w:t>
      </w:r>
      <w:r>
        <w:rPr>
          <w:rFonts w:hint="eastAsia" w:ascii="宋体" w:hAnsi="宋体"/>
          <w:color w:val="auto"/>
          <w:kern w:val="0"/>
          <w:szCs w:val="21"/>
          <w:highlight w:val="none"/>
        </w:rPr>
        <w:t>竞选人</w:t>
      </w:r>
      <w:r>
        <w:rPr>
          <w:rFonts w:ascii="宋体" w:hAnsi="宋体"/>
          <w:color w:val="auto"/>
          <w:kern w:val="0"/>
          <w:szCs w:val="21"/>
          <w:highlight w:val="none"/>
        </w:rPr>
        <w:t>资格预审申请文件的内容发生重大变化时，评标委员会依据本章第2.1.2项规定的标准对其更新资料进行评审</w:t>
      </w:r>
      <w:r>
        <w:rPr>
          <w:rFonts w:hint="eastAsia" w:ascii="宋体" w:hAnsi="宋体"/>
          <w:color w:val="auto"/>
          <w:kern w:val="0"/>
          <w:szCs w:val="21"/>
          <w:highlight w:val="none"/>
        </w:rPr>
        <w:t>。</w:t>
      </w:r>
      <w:r>
        <w:rPr>
          <w:rFonts w:ascii="宋体" w:hAnsi="宋体"/>
          <w:color w:val="auto"/>
          <w:kern w:val="0"/>
          <w:szCs w:val="21"/>
          <w:highlight w:val="none"/>
        </w:rPr>
        <w:t>（适用于已进行资格预审的）</w:t>
      </w:r>
    </w:p>
    <w:p w14:paraId="4F69E17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rPr>
        <w:t>竞选人</w:t>
      </w:r>
      <w:r>
        <w:rPr>
          <w:rFonts w:ascii="宋体" w:hAnsi="宋体"/>
          <w:color w:val="auto"/>
          <w:kern w:val="0"/>
          <w:szCs w:val="21"/>
          <w:highlight w:val="none"/>
        </w:rPr>
        <w:t>有以下情形之一的，其投标作否决投标处理：</w:t>
      </w:r>
    </w:p>
    <w:p w14:paraId="78D5783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07B10CA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62D4143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62D560B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投标报价有算术错误的，评标委员会按以下原则对投标报价进行修正，修正的价格经</w:t>
      </w:r>
      <w:r>
        <w:rPr>
          <w:rFonts w:hint="eastAsia" w:ascii="宋体" w:hAnsi="宋体"/>
          <w:color w:val="auto"/>
          <w:kern w:val="0"/>
          <w:szCs w:val="21"/>
          <w:highlight w:val="none"/>
        </w:rPr>
        <w:t>竞选人</w:t>
      </w:r>
      <w:r>
        <w:rPr>
          <w:rFonts w:ascii="宋体" w:hAnsi="宋体"/>
          <w:color w:val="auto"/>
          <w:kern w:val="0"/>
          <w:szCs w:val="21"/>
          <w:highlight w:val="none"/>
        </w:rPr>
        <w:t>书面确认后具有约束力</w:t>
      </w:r>
      <w:r>
        <w:rPr>
          <w:rFonts w:hint="eastAsia" w:ascii="宋体" w:hAnsi="宋体"/>
          <w:color w:val="auto"/>
          <w:kern w:val="0"/>
          <w:szCs w:val="21"/>
          <w:highlight w:val="none"/>
        </w:rPr>
        <w:t>，修正原则如下：</w:t>
      </w:r>
    </w:p>
    <w:p w14:paraId="5B3002D1">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spacing w:val="-1"/>
          <w:kern w:val="0"/>
          <w:szCs w:val="21"/>
          <w:highlight w:val="none"/>
        </w:rPr>
        <w:t>（1）</w:t>
      </w:r>
      <w:r>
        <w:rPr>
          <w:rFonts w:hint="eastAsia" w:ascii="宋体" w:hAnsi="宋体"/>
          <w:color w:val="auto"/>
          <w:spacing w:val="-1"/>
          <w:kern w:val="0"/>
          <w:szCs w:val="21"/>
          <w:highlight w:val="none"/>
        </w:rPr>
        <w:t>竞选文件</w:t>
      </w:r>
      <w:r>
        <w:rPr>
          <w:rFonts w:ascii="宋体" w:hAnsi="宋体"/>
          <w:color w:val="auto"/>
          <w:spacing w:val="-1"/>
          <w:kern w:val="0"/>
          <w:szCs w:val="21"/>
          <w:highlight w:val="none"/>
        </w:rPr>
        <w:t>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03CB61A2">
      <w:pPr>
        <w:pStyle w:val="5"/>
        <w:snapToGrid w:val="0"/>
        <w:spacing w:before="0" w:after="0" w:line="360" w:lineRule="auto"/>
        <w:rPr>
          <w:rFonts w:ascii="宋体" w:hAnsi="宋体"/>
          <w:b w:val="0"/>
          <w:snapToGrid w:val="0"/>
          <w:color w:val="auto"/>
          <w:sz w:val="24"/>
          <w:szCs w:val="24"/>
          <w:highlight w:val="none"/>
        </w:rPr>
      </w:pPr>
      <w:bookmarkStart w:id="649" w:name="_Toc287607818"/>
      <w:bookmarkStart w:id="650" w:name="_Toc430530506"/>
      <w:bookmarkStart w:id="651" w:name="_Toc31837"/>
      <w:bookmarkStart w:id="652" w:name="_Toc287620757"/>
      <w:bookmarkStart w:id="653" w:name="_Toc200513204"/>
      <w:bookmarkStart w:id="654" w:name="_Toc224103390"/>
      <w:bookmarkStart w:id="655" w:name="_Toc57905903"/>
      <w:bookmarkStart w:id="656" w:name="_Toc277082624"/>
      <w:bookmarkStart w:id="657" w:name="_Toc509218782"/>
      <w:r>
        <w:rPr>
          <w:rFonts w:ascii="宋体" w:hAnsi="宋体"/>
          <w:b w:val="0"/>
          <w:snapToGrid w:val="0"/>
          <w:color w:val="auto"/>
          <w:sz w:val="24"/>
          <w:szCs w:val="24"/>
          <w:highlight w:val="none"/>
        </w:rPr>
        <w:t>3.2  详细评审</w:t>
      </w:r>
      <w:bookmarkEnd w:id="649"/>
      <w:bookmarkEnd w:id="650"/>
      <w:bookmarkEnd w:id="651"/>
      <w:bookmarkEnd w:id="652"/>
      <w:bookmarkEnd w:id="653"/>
      <w:bookmarkEnd w:id="654"/>
      <w:bookmarkEnd w:id="655"/>
      <w:bookmarkEnd w:id="656"/>
      <w:bookmarkEnd w:id="657"/>
    </w:p>
    <w:p w14:paraId="1CB8C22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rPr>
        <w:t>评分</w:t>
      </w:r>
      <w:r>
        <w:rPr>
          <w:rFonts w:ascii="宋体" w:hAnsi="宋体"/>
          <w:color w:val="auto"/>
          <w:kern w:val="0"/>
          <w:szCs w:val="21"/>
          <w:highlight w:val="none"/>
        </w:rPr>
        <w:t>，并计算出综合评估得分。</w:t>
      </w:r>
    </w:p>
    <w:p w14:paraId="7016AEF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rPr>
        <w:t>1</w:t>
      </w:r>
      <w:r>
        <w:rPr>
          <w:rFonts w:ascii="宋体" w:hAnsi="宋体"/>
          <w:color w:val="auto"/>
          <w:kern w:val="0"/>
          <w:szCs w:val="21"/>
          <w:highlight w:val="none"/>
        </w:rPr>
        <w:t>）目规定的评审因素和分值对技术方案计算出得分</w:t>
      </w:r>
      <w:r>
        <w:rPr>
          <w:rFonts w:hint="eastAsia" w:ascii="宋体" w:hAnsi="宋体"/>
          <w:color w:val="auto"/>
          <w:kern w:val="0"/>
          <w:szCs w:val="21"/>
          <w:highlight w:val="none"/>
        </w:rPr>
        <w:t>A；</w:t>
      </w:r>
    </w:p>
    <w:p w14:paraId="7AAC10C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）按本章第3.2.1（</w:t>
      </w:r>
      <w:r>
        <w:rPr>
          <w:rFonts w:hint="eastAsia" w:ascii="宋体" w:hAnsi="宋体"/>
          <w:color w:val="auto"/>
          <w:kern w:val="0"/>
          <w:szCs w:val="21"/>
          <w:highlight w:val="none"/>
        </w:rPr>
        <w:t>2</w:t>
      </w:r>
      <w:r>
        <w:rPr>
          <w:rFonts w:ascii="宋体" w:hAnsi="宋体"/>
          <w:color w:val="auto"/>
          <w:kern w:val="0"/>
          <w:szCs w:val="21"/>
          <w:highlight w:val="none"/>
        </w:rPr>
        <w:t>）目规定的评审因素和分值对</w:t>
      </w:r>
      <w:r>
        <w:rPr>
          <w:rFonts w:hint="eastAsia" w:ascii="宋体" w:hAnsi="宋体"/>
          <w:color w:val="auto"/>
          <w:kern w:val="0"/>
          <w:szCs w:val="21"/>
          <w:highlight w:val="none"/>
        </w:rPr>
        <w:t>竞选总报价</w:t>
      </w:r>
      <w:r>
        <w:rPr>
          <w:rFonts w:ascii="宋体" w:hAnsi="宋体"/>
          <w:color w:val="auto"/>
          <w:kern w:val="0"/>
          <w:szCs w:val="21"/>
          <w:highlight w:val="none"/>
        </w:rPr>
        <w:t>计算出得分</w:t>
      </w:r>
      <w:r>
        <w:rPr>
          <w:rFonts w:hint="eastAsia" w:ascii="宋体" w:hAnsi="宋体"/>
          <w:color w:val="auto"/>
          <w:kern w:val="0"/>
          <w:szCs w:val="21"/>
          <w:highlight w:val="none"/>
        </w:rPr>
        <w:t>B。</w:t>
      </w:r>
    </w:p>
    <w:p w14:paraId="06CFF28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0D6EEFD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3.2.3  </w:t>
      </w:r>
      <w:r>
        <w:rPr>
          <w:rFonts w:hint="eastAsia" w:ascii="宋体" w:hAnsi="宋体"/>
          <w:color w:val="auto"/>
          <w:kern w:val="0"/>
          <w:szCs w:val="21"/>
          <w:highlight w:val="none"/>
        </w:rPr>
        <w:t>竞选人</w:t>
      </w:r>
      <w:r>
        <w:rPr>
          <w:rFonts w:ascii="宋体" w:hAnsi="宋体"/>
          <w:color w:val="auto"/>
          <w:kern w:val="0"/>
          <w:szCs w:val="21"/>
          <w:highlight w:val="none"/>
        </w:rPr>
        <w:t>得分=A+B</w:t>
      </w:r>
      <w:r>
        <w:rPr>
          <w:rFonts w:hint="eastAsia" w:ascii="宋体" w:hAnsi="宋体"/>
          <w:color w:val="auto"/>
          <w:kern w:val="0"/>
          <w:szCs w:val="21"/>
          <w:highlight w:val="none"/>
        </w:rPr>
        <w:t>。</w:t>
      </w:r>
    </w:p>
    <w:p w14:paraId="7E4D6F17">
      <w:pPr>
        <w:pStyle w:val="5"/>
        <w:snapToGrid w:val="0"/>
        <w:spacing w:before="0" w:after="0" w:line="360" w:lineRule="auto"/>
        <w:rPr>
          <w:rFonts w:ascii="宋体" w:hAnsi="宋体"/>
          <w:b w:val="0"/>
          <w:snapToGrid w:val="0"/>
          <w:color w:val="auto"/>
          <w:sz w:val="24"/>
          <w:szCs w:val="24"/>
          <w:highlight w:val="none"/>
        </w:rPr>
      </w:pPr>
      <w:bookmarkStart w:id="658" w:name="_Toc57905904"/>
      <w:bookmarkStart w:id="659" w:name="_Toc29615"/>
      <w:bookmarkStart w:id="660" w:name="_Toc430530507"/>
      <w:bookmarkStart w:id="661" w:name="_Toc200513205"/>
      <w:bookmarkStart w:id="662" w:name="_Toc277082625"/>
      <w:bookmarkStart w:id="663" w:name="_Toc509218783"/>
      <w:bookmarkStart w:id="664" w:name="_Toc224103391"/>
      <w:bookmarkStart w:id="665" w:name="_Toc287607819"/>
      <w:bookmarkStart w:id="666" w:name="_Toc287620758"/>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的澄清和补正</w:t>
      </w:r>
      <w:bookmarkEnd w:id="658"/>
      <w:bookmarkEnd w:id="659"/>
      <w:bookmarkEnd w:id="660"/>
      <w:bookmarkEnd w:id="661"/>
      <w:bookmarkEnd w:id="662"/>
      <w:bookmarkEnd w:id="663"/>
      <w:bookmarkEnd w:id="664"/>
      <w:bookmarkEnd w:id="665"/>
      <w:bookmarkEnd w:id="666"/>
    </w:p>
    <w:p w14:paraId="3EA6C22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3.3.1  在评标过程中，评标委员会可以书面形式要求</w:t>
      </w:r>
      <w:r>
        <w:rPr>
          <w:rFonts w:hint="eastAsia" w:ascii="宋体" w:hAnsi="宋体"/>
          <w:color w:val="auto"/>
          <w:kern w:val="0"/>
          <w:szCs w:val="21"/>
          <w:highlight w:val="none"/>
        </w:rPr>
        <w:t>竞选人</w:t>
      </w:r>
      <w:r>
        <w:rPr>
          <w:rFonts w:ascii="宋体" w:hAnsi="宋体"/>
          <w:color w:val="auto"/>
          <w:kern w:val="0"/>
          <w:szCs w:val="21"/>
          <w:highlight w:val="none"/>
        </w:rPr>
        <w:t>对所提交</w:t>
      </w:r>
      <w:r>
        <w:rPr>
          <w:rFonts w:hint="eastAsia" w:ascii="宋体" w:hAnsi="宋体"/>
          <w:color w:val="auto"/>
          <w:kern w:val="0"/>
          <w:szCs w:val="21"/>
          <w:highlight w:val="none"/>
        </w:rPr>
        <w:t>竞选文件</w:t>
      </w:r>
      <w:r>
        <w:rPr>
          <w:rFonts w:ascii="宋体" w:hAnsi="宋体"/>
          <w:color w:val="auto"/>
          <w:kern w:val="0"/>
          <w:szCs w:val="21"/>
          <w:highlight w:val="none"/>
        </w:rPr>
        <w:t>中不明确的内容进行书面澄清或说明，或者对细微偏差进行补正。评标委员会不接受</w:t>
      </w:r>
      <w:r>
        <w:rPr>
          <w:rFonts w:hint="eastAsia" w:ascii="宋体" w:hAnsi="宋体"/>
          <w:color w:val="auto"/>
          <w:kern w:val="0"/>
          <w:szCs w:val="21"/>
          <w:highlight w:val="none"/>
        </w:rPr>
        <w:t>竞选人</w:t>
      </w:r>
      <w:r>
        <w:rPr>
          <w:rFonts w:ascii="宋体" w:hAnsi="宋体"/>
          <w:color w:val="auto"/>
          <w:kern w:val="0"/>
          <w:szCs w:val="21"/>
          <w:highlight w:val="none"/>
        </w:rPr>
        <w:t>主动提出的澄清、说明或补正。</w:t>
      </w:r>
    </w:p>
    <w:p w14:paraId="066ED80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rPr>
        <w:t>竞选文件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rPr>
        <w:t>竞选人</w:t>
      </w:r>
      <w:r>
        <w:rPr>
          <w:rFonts w:ascii="宋体" w:hAnsi="宋体"/>
          <w:color w:val="auto"/>
          <w:kern w:val="0"/>
          <w:szCs w:val="21"/>
          <w:highlight w:val="none"/>
        </w:rPr>
        <w:t>的书面澄清、说明和补正属于</w:t>
      </w:r>
      <w:r>
        <w:rPr>
          <w:rFonts w:hint="eastAsia" w:ascii="宋体" w:hAnsi="宋体"/>
          <w:color w:val="auto"/>
          <w:kern w:val="0"/>
          <w:szCs w:val="21"/>
          <w:highlight w:val="none"/>
        </w:rPr>
        <w:t>竞选文件</w:t>
      </w:r>
      <w:r>
        <w:rPr>
          <w:rFonts w:ascii="宋体" w:hAnsi="宋体"/>
          <w:color w:val="auto"/>
          <w:kern w:val="0"/>
          <w:szCs w:val="21"/>
          <w:highlight w:val="none"/>
        </w:rPr>
        <w:t>的组成部分。</w:t>
      </w:r>
    </w:p>
    <w:p w14:paraId="00B51CC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w:t>
      </w:r>
      <w:r>
        <w:rPr>
          <w:rFonts w:hint="eastAsia" w:ascii="宋体" w:hAnsi="宋体"/>
          <w:color w:val="auto"/>
          <w:kern w:val="0"/>
          <w:szCs w:val="21"/>
          <w:highlight w:val="none"/>
        </w:rPr>
        <w:t>竞选人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rPr>
        <w:t>竞选人</w:t>
      </w:r>
      <w:r>
        <w:rPr>
          <w:rFonts w:ascii="宋体" w:hAnsi="宋体"/>
          <w:color w:val="auto"/>
          <w:kern w:val="0"/>
          <w:szCs w:val="21"/>
          <w:highlight w:val="none"/>
        </w:rPr>
        <w:t>进一步澄清、说明或补正，直至满足评标委员会的要求。</w:t>
      </w:r>
    </w:p>
    <w:p w14:paraId="1DF12BE1">
      <w:pPr>
        <w:pStyle w:val="5"/>
        <w:snapToGrid w:val="0"/>
        <w:spacing w:before="0" w:after="0" w:line="360" w:lineRule="auto"/>
        <w:rPr>
          <w:rFonts w:ascii="宋体" w:hAnsi="宋体"/>
          <w:b w:val="0"/>
          <w:snapToGrid w:val="0"/>
          <w:color w:val="auto"/>
          <w:sz w:val="24"/>
          <w:szCs w:val="24"/>
          <w:highlight w:val="none"/>
        </w:rPr>
      </w:pPr>
      <w:bookmarkStart w:id="667" w:name="_Toc17868"/>
      <w:bookmarkStart w:id="668" w:name="_Toc200513206"/>
      <w:bookmarkStart w:id="669" w:name="_Toc509218784"/>
      <w:bookmarkStart w:id="670" w:name="_Toc224103392"/>
      <w:bookmarkStart w:id="671" w:name="_Toc277082626"/>
      <w:bookmarkStart w:id="672" w:name="_Toc287607820"/>
      <w:bookmarkStart w:id="673" w:name="_Toc287620759"/>
      <w:bookmarkStart w:id="674" w:name="_Toc57905905"/>
      <w:bookmarkStart w:id="675" w:name="_Toc430530508"/>
      <w:r>
        <w:rPr>
          <w:rFonts w:ascii="宋体" w:hAnsi="宋体"/>
          <w:b w:val="0"/>
          <w:snapToGrid w:val="0"/>
          <w:color w:val="auto"/>
          <w:sz w:val="24"/>
          <w:szCs w:val="24"/>
          <w:highlight w:val="none"/>
        </w:rPr>
        <w:t>3.4  评标结果</w:t>
      </w:r>
      <w:bookmarkEnd w:id="667"/>
      <w:bookmarkEnd w:id="668"/>
      <w:bookmarkEnd w:id="669"/>
      <w:bookmarkEnd w:id="670"/>
      <w:bookmarkEnd w:id="671"/>
      <w:bookmarkEnd w:id="672"/>
      <w:bookmarkEnd w:id="673"/>
      <w:bookmarkEnd w:id="674"/>
      <w:bookmarkEnd w:id="675"/>
    </w:p>
    <w:p w14:paraId="1BC50E5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rPr>
        <w:t>竞选人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w:t>
      </w:r>
    </w:p>
    <w:p w14:paraId="6811EBB3">
      <w:pPr>
        <w:autoSpaceDE w:val="0"/>
        <w:autoSpaceDN w:val="0"/>
        <w:adjustRightInd w:val="0"/>
        <w:snapToGrid w:val="0"/>
        <w:spacing w:line="360" w:lineRule="auto"/>
        <w:ind w:firstLine="424" w:firstLineChars="200"/>
        <w:rPr>
          <w:rFonts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rPr>
        <w:t>比选人</w:t>
      </w:r>
      <w:r>
        <w:rPr>
          <w:rFonts w:ascii="宋体" w:hAnsi="宋体"/>
          <w:color w:val="auto"/>
          <w:kern w:val="0"/>
          <w:szCs w:val="21"/>
          <w:highlight w:val="none"/>
        </w:rPr>
        <w:t>提交书面评标报告。</w:t>
      </w:r>
    </w:p>
    <w:p w14:paraId="0C6DCD51">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14:paraId="64A87E48">
      <w:pPr>
        <w:pStyle w:val="33"/>
        <w:spacing w:line="360" w:lineRule="auto"/>
        <w:rPr>
          <w:rFonts w:ascii="宋体" w:hAnsi="宋体"/>
          <w:b/>
          <w:color w:val="auto"/>
          <w:sz w:val="28"/>
          <w:szCs w:val="28"/>
          <w:highlight w:val="none"/>
          <w:u w:val="none"/>
          <w:lang w:eastAsia="zh-CN"/>
        </w:rPr>
      </w:pPr>
      <w:bookmarkStart w:id="676" w:name="招标文件04章合同条款及格式"/>
      <w:bookmarkEnd w:id="676"/>
      <w:bookmarkStart w:id="677" w:name="招标文件03章02评标办法综合评估法02附件02"/>
      <w:bookmarkEnd w:id="677"/>
      <w:bookmarkStart w:id="678" w:name="_Toc230410480"/>
      <w:bookmarkStart w:id="679" w:name="_Toc277082627"/>
      <w:r>
        <w:rPr>
          <w:rFonts w:ascii="宋体" w:hAnsi="宋体"/>
          <w:b/>
          <w:color w:val="auto"/>
          <w:sz w:val="28"/>
          <w:szCs w:val="28"/>
          <w:highlight w:val="none"/>
          <w:u w:val="none"/>
          <w:lang w:eastAsia="zh-CN"/>
        </w:rPr>
        <w:t>附件A：综合评估法否决投标情况一览表</w:t>
      </w:r>
      <w:bookmarkEnd w:id="678"/>
    </w:p>
    <w:bookmarkEnd w:id="679"/>
    <w:p w14:paraId="7556826F">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竞选文件存在本一览表下列情形之一的，竞选文件视为重大偏差并作否决投标处理，否则，评标委员会不得视为重大偏差而否决竞选人的竞选文件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6DAFA2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F11A925">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0AA5999E">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62036230">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3516F7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0F8013FF">
            <w:pPr>
              <w:spacing w:line="400" w:lineRule="exact"/>
              <w:jc w:val="center"/>
              <w:rPr>
                <w:rFonts w:ascii="宋体" w:hAnsi="宋体"/>
                <w:color w:val="auto"/>
                <w:szCs w:val="21"/>
                <w:highlight w:val="none"/>
              </w:rPr>
            </w:pPr>
          </w:p>
        </w:tc>
        <w:tc>
          <w:tcPr>
            <w:tcW w:w="1899" w:type="dxa"/>
            <w:vMerge w:val="restart"/>
            <w:vAlign w:val="center"/>
          </w:tcPr>
          <w:p w14:paraId="0BF7EDE8">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13F7D3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A-1竞选人的资质条件、营业执照及须满足竞选人须知前附表1.4.1项的要求，否则由评标委员会作否决投标处理。</w:t>
            </w:r>
          </w:p>
        </w:tc>
      </w:tr>
      <w:tr w14:paraId="017F9D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0C387C8">
            <w:pPr>
              <w:spacing w:line="400" w:lineRule="exact"/>
              <w:jc w:val="center"/>
              <w:rPr>
                <w:rFonts w:ascii="宋体" w:hAnsi="宋体"/>
                <w:color w:val="auto"/>
                <w:szCs w:val="21"/>
                <w:highlight w:val="none"/>
              </w:rPr>
            </w:pPr>
          </w:p>
        </w:tc>
        <w:tc>
          <w:tcPr>
            <w:tcW w:w="1899" w:type="dxa"/>
            <w:vMerge w:val="continue"/>
            <w:vAlign w:val="center"/>
          </w:tcPr>
          <w:p w14:paraId="4D39C532">
            <w:pPr>
              <w:spacing w:line="400" w:lineRule="exact"/>
              <w:jc w:val="center"/>
              <w:rPr>
                <w:rFonts w:ascii="宋体" w:hAnsi="宋体"/>
                <w:color w:val="auto"/>
                <w:szCs w:val="21"/>
                <w:highlight w:val="none"/>
              </w:rPr>
            </w:pPr>
          </w:p>
        </w:tc>
        <w:tc>
          <w:tcPr>
            <w:tcW w:w="6333" w:type="dxa"/>
            <w:vAlign w:val="center"/>
          </w:tcPr>
          <w:p w14:paraId="6F49FF0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A-2竞选人的财务须满足竞选人须知前附表第1.4.1项的要求，否则由评标委员会作否决投标处理（如有）。</w:t>
            </w:r>
          </w:p>
        </w:tc>
      </w:tr>
      <w:tr w14:paraId="55D71D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B9A8676">
            <w:pPr>
              <w:spacing w:line="400" w:lineRule="exact"/>
              <w:jc w:val="center"/>
              <w:rPr>
                <w:rFonts w:ascii="宋体" w:hAnsi="宋体"/>
                <w:color w:val="auto"/>
                <w:szCs w:val="21"/>
                <w:highlight w:val="none"/>
              </w:rPr>
            </w:pPr>
          </w:p>
        </w:tc>
        <w:tc>
          <w:tcPr>
            <w:tcW w:w="1899" w:type="dxa"/>
            <w:vMerge w:val="continue"/>
            <w:vAlign w:val="center"/>
          </w:tcPr>
          <w:p w14:paraId="7938265E">
            <w:pPr>
              <w:spacing w:line="400" w:lineRule="exact"/>
              <w:jc w:val="center"/>
              <w:rPr>
                <w:rFonts w:ascii="宋体" w:hAnsi="宋体"/>
                <w:color w:val="auto"/>
                <w:szCs w:val="21"/>
                <w:highlight w:val="none"/>
              </w:rPr>
            </w:pPr>
          </w:p>
        </w:tc>
        <w:tc>
          <w:tcPr>
            <w:tcW w:w="6333" w:type="dxa"/>
            <w:vAlign w:val="center"/>
          </w:tcPr>
          <w:p w14:paraId="1D329D0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A-3竞选人的业绩须满足竞选人须知前附表第1.4.1项的要求，否则由评标委员会作否决投标处理（如有）。</w:t>
            </w:r>
          </w:p>
        </w:tc>
      </w:tr>
      <w:tr w14:paraId="79362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6774EBF">
            <w:pPr>
              <w:spacing w:line="400" w:lineRule="exact"/>
              <w:jc w:val="center"/>
              <w:rPr>
                <w:rFonts w:ascii="宋体" w:hAnsi="宋体"/>
                <w:color w:val="auto"/>
                <w:szCs w:val="21"/>
                <w:highlight w:val="none"/>
              </w:rPr>
            </w:pPr>
          </w:p>
        </w:tc>
        <w:tc>
          <w:tcPr>
            <w:tcW w:w="1899" w:type="dxa"/>
            <w:vMerge w:val="continue"/>
            <w:vAlign w:val="center"/>
          </w:tcPr>
          <w:p w14:paraId="14E0C1D1">
            <w:pPr>
              <w:spacing w:line="400" w:lineRule="exact"/>
              <w:jc w:val="center"/>
              <w:rPr>
                <w:rFonts w:ascii="宋体" w:hAnsi="宋体"/>
                <w:color w:val="auto"/>
                <w:szCs w:val="21"/>
                <w:highlight w:val="none"/>
              </w:rPr>
            </w:pPr>
          </w:p>
        </w:tc>
        <w:tc>
          <w:tcPr>
            <w:tcW w:w="6333" w:type="dxa"/>
            <w:vAlign w:val="center"/>
          </w:tcPr>
          <w:p w14:paraId="7BAEE4A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A-4竞选人的投标截止日投标资格情况须满足竞选人须知前附表第1.4.1项的要求，否则由评标委员会作否决投标处理。</w:t>
            </w:r>
          </w:p>
        </w:tc>
      </w:tr>
      <w:tr w14:paraId="75FE1B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A963E22">
            <w:pPr>
              <w:spacing w:line="400" w:lineRule="exact"/>
              <w:jc w:val="center"/>
              <w:rPr>
                <w:rFonts w:ascii="宋体" w:hAnsi="宋体"/>
                <w:color w:val="auto"/>
                <w:szCs w:val="21"/>
                <w:highlight w:val="none"/>
              </w:rPr>
            </w:pPr>
          </w:p>
        </w:tc>
        <w:tc>
          <w:tcPr>
            <w:tcW w:w="1899" w:type="dxa"/>
            <w:vMerge w:val="continue"/>
            <w:vAlign w:val="center"/>
          </w:tcPr>
          <w:p w14:paraId="1BE19946">
            <w:pPr>
              <w:spacing w:line="400" w:lineRule="exact"/>
              <w:jc w:val="center"/>
              <w:rPr>
                <w:rFonts w:ascii="宋体" w:hAnsi="宋体"/>
                <w:color w:val="auto"/>
                <w:szCs w:val="21"/>
                <w:highlight w:val="none"/>
              </w:rPr>
            </w:pPr>
          </w:p>
        </w:tc>
        <w:tc>
          <w:tcPr>
            <w:tcW w:w="6333" w:type="dxa"/>
            <w:vAlign w:val="center"/>
          </w:tcPr>
          <w:p w14:paraId="002CCB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A-5竞选人的项目负责人资格须满足竞选人须知前附表第1.4.1项的要求，否则由评标委员会作否决投标处理。</w:t>
            </w:r>
          </w:p>
        </w:tc>
      </w:tr>
      <w:tr w14:paraId="619C25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ED8E80">
            <w:pPr>
              <w:spacing w:line="400" w:lineRule="exact"/>
              <w:jc w:val="center"/>
              <w:rPr>
                <w:rFonts w:ascii="宋体" w:hAnsi="宋体"/>
                <w:color w:val="auto"/>
                <w:szCs w:val="21"/>
                <w:highlight w:val="none"/>
              </w:rPr>
            </w:pPr>
          </w:p>
        </w:tc>
        <w:tc>
          <w:tcPr>
            <w:tcW w:w="1899" w:type="dxa"/>
            <w:vMerge w:val="continue"/>
            <w:vAlign w:val="center"/>
          </w:tcPr>
          <w:p w14:paraId="6496DAEE">
            <w:pPr>
              <w:spacing w:line="400" w:lineRule="exact"/>
              <w:jc w:val="center"/>
              <w:rPr>
                <w:rFonts w:ascii="宋体" w:hAnsi="宋体"/>
                <w:color w:val="auto"/>
                <w:szCs w:val="21"/>
                <w:highlight w:val="none"/>
              </w:rPr>
            </w:pPr>
          </w:p>
        </w:tc>
        <w:tc>
          <w:tcPr>
            <w:tcW w:w="6333" w:type="dxa"/>
            <w:vAlign w:val="center"/>
          </w:tcPr>
          <w:p w14:paraId="212D7AB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A-6竞选人的其他要求须满足竞选人须知前附表第1.4.1项的要求，否则由评标委员会作否决投标处理。</w:t>
            </w:r>
          </w:p>
        </w:tc>
      </w:tr>
      <w:tr w14:paraId="3210FB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CCEE670">
            <w:pPr>
              <w:spacing w:line="400" w:lineRule="exact"/>
              <w:jc w:val="center"/>
              <w:rPr>
                <w:rFonts w:ascii="宋体" w:hAnsi="宋体"/>
                <w:color w:val="auto"/>
                <w:szCs w:val="21"/>
                <w:highlight w:val="none"/>
              </w:rPr>
            </w:pPr>
          </w:p>
        </w:tc>
        <w:tc>
          <w:tcPr>
            <w:tcW w:w="1899" w:type="dxa"/>
            <w:vMerge w:val="continue"/>
            <w:vAlign w:val="center"/>
          </w:tcPr>
          <w:p w14:paraId="7F0BA9A0">
            <w:pPr>
              <w:spacing w:line="400" w:lineRule="exact"/>
              <w:jc w:val="center"/>
              <w:rPr>
                <w:rFonts w:ascii="宋体" w:hAnsi="宋体"/>
                <w:color w:val="auto"/>
                <w:szCs w:val="21"/>
                <w:highlight w:val="none"/>
              </w:rPr>
            </w:pPr>
          </w:p>
        </w:tc>
        <w:tc>
          <w:tcPr>
            <w:tcW w:w="6333" w:type="dxa"/>
            <w:vAlign w:val="center"/>
          </w:tcPr>
          <w:p w14:paraId="2FD9C0E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A-7若有联合体竞选人，则：</w:t>
            </w:r>
          </w:p>
          <w:p w14:paraId="5F6D1A8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（1）联合体各方应按照竞选文件提供的格式签订联合体协议书，明确联合体牵头人和各方权利义务；</w:t>
            </w:r>
          </w:p>
          <w:p w14:paraId="2800013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5A5F796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55B9FFF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14:paraId="0EE43A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8ABA6D">
            <w:pPr>
              <w:spacing w:line="400" w:lineRule="exact"/>
              <w:jc w:val="center"/>
              <w:rPr>
                <w:rFonts w:ascii="宋体" w:hAnsi="宋体"/>
                <w:color w:val="auto"/>
                <w:szCs w:val="21"/>
                <w:highlight w:val="none"/>
              </w:rPr>
            </w:pPr>
          </w:p>
        </w:tc>
        <w:tc>
          <w:tcPr>
            <w:tcW w:w="1899" w:type="dxa"/>
            <w:vMerge w:val="restart"/>
            <w:vAlign w:val="center"/>
          </w:tcPr>
          <w:p w14:paraId="1E2E5BC2">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12D6FD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A-8竞选人名称必须与营业执照、资质证书一致，依法变更名称的应提交相应证明材料，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40B32F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7642EC1">
            <w:pPr>
              <w:spacing w:line="400" w:lineRule="exact"/>
              <w:jc w:val="center"/>
              <w:rPr>
                <w:rFonts w:ascii="宋体" w:hAnsi="宋体"/>
                <w:color w:val="auto"/>
                <w:szCs w:val="21"/>
                <w:highlight w:val="none"/>
              </w:rPr>
            </w:pPr>
          </w:p>
        </w:tc>
        <w:tc>
          <w:tcPr>
            <w:tcW w:w="1899" w:type="dxa"/>
            <w:vMerge w:val="continue"/>
            <w:vAlign w:val="center"/>
          </w:tcPr>
          <w:p w14:paraId="73FABB4E">
            <w:pPr>
              <w:spacing w:line="400" w:lineRule="exact"/>
              <w:jc w:val="center"/>
              <w:rPr>
                <w:rFonts w:ascii="宋体" w:hAnsi="宋体"/>
                <w:color w:val="auto"/>
                <w:szCs w:val="21"/>
                <w:highlight w:val="none"/>
              </w:rPr>
            </w:pPr>
          </w:p>
        </w:tc>
        <w:tc>
          <w:tcPr>
            <w:tcW w:w="6333" w:type="dxa"/>
          </w:tcPr>
          <w:p w14:paraId="51AE3F2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A-9投标函格式规定签名、盖章的位置有法定代表人或其委托代理人签名（或盖章）、加盖单位法人章，否则由评标委员会作否决投标处理。</w:t>
            </w:r>
          </w:p>
        </w:tc>
      </w:tr>
      <w:tr w14:paraId="018F70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F43908E">
            <w:pPr>
              <w:spacing w:line="400" w:lineRule="exact"/>
              <w:jc w:val="center"/>
              <w:rPr>
                <w:rFonts w:ascii="宋体" w:hAnsi="宋体"/>
                <w:color w:val="auto"/>
                <w:szCs w:val="21"/>
                <w:highlight w:val="none"/>
              </w:rPr>
            </w:pPr>
          </w:p>
        </w:tc>
        <w:tc>
          <w:tcPr>
            <w:tcW w:w="1899" w:type="dxa"/>
            <w:vMerge w:val="continue"/>
            <w:vAlign w:val="center"/>
          </w:tcPr>
          <w:p w14:paraId="72676AA1">
            <w:pPr>
              <w:spacing w:line="400" w:lineRule="exact"/>
              <w:jc w:val="center"/>
              <w:rPr>
                <w:rFonts w:ascii="宋体" w:hAnsi="宋体"/>
                <w:color w:val="auto"/>
                <w:szCs w:val="21"/>
                <w:highlight w:val="none"/>
              </w:rPr>
            </w:pPr>
          </w:p>
        </w:tc>
        <w:tc>
          <w:tcPr>
            <w:tcW w:w="6333" w:type="dxa"/>
          </w:tcPr>
          <w:p w14:paraId="5076491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A-10竞选文件格式符合第二章“竞选人须知”第3.7款的要求，否则由评标委员会作否决投标处理。</w:t>
            </w:r>
          </w:p>
          <w:p w14:paraId="20F969B1">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编制竞选文件时不得对第六章“竞选文件格式”的相应要素作实质性修改，否则由评标委员会作否决投标处理。</w:t>
            </w:r>
          </w:p>
        </w:tc>
      </w:tr>
      <w:tr w14:paraId="59974B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42D488">
            <w:pPr>
              <w:spacing w:line="400" w:lineRule="exact"/>
              <w:jc w:val="center"/>
              <w:rPr>
                <w:rFonts w:ascii="宋体" w:hAnsi="宋体"/>
                <w:color w:val="auto"/>
                <w:szCs w:val="21"/>
                <w:highlight w:val="none"/>
              </w:rPr>
            </w:pPr>
          </w:p>
        </w:tc>
        <w:tc>
          <w:tcPr>
            <w:tcW w:w="1899" w:type="dxa"/>
            <w:vMerge w:val="continue"/>
            <w:vAlign w:val="center"/>
          </w:tcPr>
          <w:p w14:paraId="175BC94D">
            <w:pPr>
              <w:spacing w:line="400" w:lineRule="exact"/>
              <w:jc w:val="center"/>
              <w:rPr>
                <w:rFonts w:ascii="宋体" w:hAnsi="宋体"/>
                <w:color w:val="auto"/>
                <w:szCs w:val="21"/>
                <w:highlight w:val="none"/>
              </w:rPr>
            </w:pPr>
          </w:p>
        </w:tc>
        <w:tc>
          <w:tcPr>
            <w:tcW w:w="6333" w:type="dxa"/>
          </w:tcPr>
          <w:p w14:paraId="2DB61562">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A-11竞选文件份数符合第二章“竞选人须知”第3.7.4项的规定，</w:t>
            </w:r>
            <w:r>
              <w:rPr>
                <w:rFonts w:hint="eastAsia" w:ascii="宋体" w:hAnsi="宋体"/>
                <w:color w:val="auto"/>
                <w:kern w:val="0"/>
                <w:szCs w:val="21"/>
                <w:highlight w:val="none"/>
              </w:rPr>
              <w:t>否则由评标委员会作否决投标处理。</w:t>
            </w:r>
          </w:p>
        </w:tc>
      </w:tr>
      <w:tr w14:paraId="254BB7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416847A">
            <w:pPr>
              <w:spacing w:line="400" w:lineRule="exact"/>
              <w:jc w:val="center"/>
              <w:rPr>
                <w:rFonts w:ascii="宋体" w:hAnsi="宋体"/>
                <w:color w:val="auto"/>
                <w:szCs w:val="21"/>
                <w:highlight w:val="none"/>
              </w:rPr>
            </w:pPr>
          </w:p>
        </w:tc>
        <w:tc>
          <w:tcPr>
            <w:tcW w:w="1899" w:type="dxa"/>
            <w:vMerge w:val="continue"/>
            <w:vAlign w:val="center"/>
          </w:tcPr>
          <w:p w14:paraId="1480F43C">
            <w:pPr>
              <w:spacing w:line="400" w:lineRule="exact"/>
              <w:jc w:val="center"/>
              <w:rPr>
                <w:rFonts w:ascii="宋体" w:hAnsi="宋体"/>
                <w:color w:val="auto"/>
                <w:szCs w:val="21"/>
                <w:highlight w:val="none"/>
              </w:rPr>
            </w:pPr>
          </w:p>
        </w:tc>
        <w:tc>
          <w:tcPr>
            <w:tcW w:w="6333" w:type="dxa"/>
          </w:tcPr>
          <w:p w14:paraId="5B84CD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45C682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B637D4">
            <w:pPr>
              <w:spacing w:line="400" w:lineRule="exact"/>
              <w:jc w:val="center"/>
              <w:rPr>
                <w:rFonts w:ascii="宋体" w:hAnsi="宋体"/>
                <w:color w:val="auto"/>
                <w:szCs w:val="21"/>
                <w:highlight w:val="none"/>
              </w:rPr>
            </w:pPr>
          </w:p>
        </w:tc>
        <w:tc>
          <w:tcPr>
            <w:tcW w:w="1899" w:type="dxa"/>
            <w:vMerge w:val="continue"/>
            <w:vAlign w:val="center"/>
          </w:tcPr>
          <w:p w14:paraId="529ADFDF">
            <w:pPr>
              <w:spacing w:line="400" w:lineRule="exact"/>
              <w:jc w:val="center"/>
              <w:rPr>
                <w:rFonts w:ascii="宋体" w:hAnsi="宋体"/>
                <w:color w:val="auto"/>
                <w:szCs w:val="21"/>
                <w:highlight w:val="none"/>
              </w:rPr>
            </w:pPr>
          </w:p>
        </w:tc>
        <w:tc>
          <w:tcPr>
            <w:tcW w:w="6333" w:type="dxa"/>
          </w:tcPr>
          <w:p w14:paraId="400F8E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A-13只能有一个有效报价。在竞选文件没有规定的情况下，不得提交选择性报价，否则由评标委员会作否决投标处理。</w:t>
            </w:r>
          </w:p>
        </w:tc>
      </w:tr>
      <w:tr w14:paraId="33F591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42F919">
            <w:pPr>
              <w:spacing w:line="400" w:lineRule="exact"/>
              <w:jc w:val="center"/>
              <w:rPr>
                <w:rFonts w:ascii="宋体" w:hAnsi="宋体"/>
                <w:color w:val="auto"/>
                <w:szCs w:val="21"/>
                <w:highlight w:val="none"/>
              </w:rPr>
            </w:pPr>
          </w:p>
        </w:tc>
        <w:tc>
          <w:tcPr>
            <w:tcW w:w="1899" w:type="dxa"/>
            <w:vMerge w:val="continue"/>
            <w:vAlign w:val="center"/>
          </w:tcPr>
          <w:p w14:paraId="3F67F159">
            <w:pPr>
              <w:spacing w:line="400" w:lineRule="exact"/>
              <w:jc w:val="center"/>
              <w:rPr>
                <w:rFonts w:ascii="宋体" w:hAnsi="宋体"/>
                <w:color w:val="auto"/>
                <w:szCs w:val="21"/>
                <w:highlight w:val="none"/>
              </w:rPr>
            </w:pPr>
          </w:p>
        </w:tc>
        <w:tc>
          <w:tcPr>
            <w:tcW w:w="6333" w:type="dxa"/>
          </w:tcPr>
          <w:p w14:paraId="2198FBF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w:t>
            </w:r>
            <w:r>
              <w:rPr>
                <w:rFonts w:hint="eastAsia" w:ascii="宋体" w:hAnsi="宋体" w:cs="宋体"/>
                <w:color w:val="auto"/>
                <w:kern w:val="0"/>
                <w:highlight w:val="none"/>
              </w:rPr>
              <w:t>第六章 竞选文件格式要求法定代表人或其委托代理人签名（或盖章）的须齐全。</w:t>
            </w:r>
          </w:p>
        </w:tc>
      </w:tr>
      <w:tr w14:paraId="1056D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F6D85A0">
            <w:pPr>
              <w:spacing w:line="400" w:lineRule="exact"/>
              <w:jc w:val="center"/>
              <w:rPr>
                <w:rFonts w:ascii="宋体" w:hAnsi="宋体"/>
                <w:color w:val="auto"/>
                <w:szCs w:val="21"/>
                <w:highlight w:val="none"/>
              </w:rPr>
            </w:pPr>
          </w:p>
        </w:tc>
        <w:tc>
          <w:tcPr>
            <w:tcW w:w="1899" w:type="dxa"/>
            <w:vMerge w:val="continue"/>
            <w:vAlign w:val="center"/>
          </w:tcPr>
          <w:p w14:paraId="569CC1FA">
            <w:pPr>
              <w:spacing w:line="400" w:lineRule="exact"/>
              <w:jc w:val="center"/>
              <w:rPr>
                <w:rFonts w:ascii="宋体" w:hAnsi="宋体"/>
                <w:color w:val="auto"/>
                <w:szCs w:val="21"/>
                <w:highlight w:val="none"/>
              </w:rPr>
            </w:pPr>
          </w:p>
        </w:tc>
        <w:tc>
          <w:tcPr>
            <w:tcW w:w="6333" w:type="dxa"/>
          </w:tcPr>
          <w:p w14:paraId="3A38EF8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A-15竞选人法定代表人的委托代理人有法定代表人签署的授权委托书和竞选人为其缴纳的养老保险证明材料，否则由评标委员会作否决投标处理。</w:t>
            </w:r>
          </w:p>
        </w:tc>
      </w:tr>
      <w:tr w14:paraId="440AF3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F460173">
            <w:pPr>
              <w:spacing w:line="400" w:lineRule="exact"/>
              <w:jc w:val="center"/>
              <w:rPr>
                <w:rFonts w:ascii="宋体" w:hAnsi="宋体"/>
                <w:color w:val="auto"/>
                <w:szCs w:val="21"/>
                <w:highlight w:val="none"/>
              </w:rPr>
            </w:pPr>
          </w:p>
        </w:tc>
        <w:tc>
          <w:tcPr>
            <w:tcW w:w="1899" w:type="dxa"/>
            <w:vMerge w:val="restart"/>
            <w:vAlign w:val="center"/>
          </w:tcPr>
          <w:p w14:paraId="399260C6">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5386782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A-16竞选总报价不得高于比选人公布的竞选总报价最高限价，否则由评标委员会作否决投标处理。</w:t>
            </w:r>
          </w:p>
        </w:tc>
      </w:tr>
      <w:tr w14:paraId="2F56CB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29DFF9">
            <w:pPr>
              <w:spacing w:line="400" w:lineRule="exact"/>
              <w:jc w:val="center"/>
              <w:rPr>
                <w:rFonts w:ascii="宋体" w:hAnsi="宋体"/>
                <w:color w:val="auto"/>
                <w:szCs w:val="21"/>
                <w:highlight w:val="none"/>
              </w:rPr>
            </w:pPr>
          </w:p>
        </w:tc>
        <w:tc>
          <w:tcPr>
            <w:tcW w:w="1899" w:type="dxa"/>
            <w:vMerge w:val="continue"/>
            <w:vAlign w:val="center"/>
          </w:tcPr>
          <w:p w14:paraId="07842D68">
            <w:pPr>
              <w:spacing w:line="400" w:lineRule="exact"/>
              <w:jc w:val="center"/>
              <w:rPr>
                <w:rFonts w:ascii="宋体" w:hAnsi="宋体"/>
                <w:color w:val="auto"/>
                <w:szCs w:val="21"/>
                <w:highlight w:val="none"/>
              </w:rPr>
            </w:pPr>
          </w:p>
        </w:tc>
        <w:tc>
          <w:tcPr>
            <w:tcW w:w="6333" w:type="dxa"/>
            <w:vAlign w:val="center"/>
          </w:tcPr>
          <w:p w14:paraId="3CBA03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A-17投标内容符合第二章“竞选人须知”第1.3.1项规定，否则由评标委员会作否决投标处理。</w:t>
            </w:r>
          </w:p>
        </w:tc>
      </w:tr>
      <w:tr w14:paraId="528E3A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B2466C">
            <w:pPr>
              <w:spacing w:line="400" w:lineRule="exact"/>
              <w:jc w:val="center"/>
              <w:rPr>
                <w:rFonts w:ascii="宋体" w:hAnsi="宋体"/>
                <w:color w:val="auto"/>
                <w:szCs w:val="21"/>
                <w:highlight w:val="none"/>
              </w:rPr>
            </w:pPr>
          </w:p>
        </w:tc>
        <w:tc>
          <w:tcPr>
            <w:tcW w:w="1899" w:type="dxa"/>
            <w:vMerge w:val="continue"/>
            <w:vAlign w:val="center"/>
          </w:tcPr>
          <w:p w14:paraId="6549DA9A">
            <w:pPr>
              <w:spacing w:line="400" w:lineRule="exact"/>
              <w:jc w:val="center"/>
              <w:rPr>
                <w:rFonts w:ascii="宋体" w:hAnsi="宋体"/>
                <w:color w:val="auto"/>
                <w:szCs w:val="21"/>
                <w:highlight w:val="none"/>
              </w:rPr>
            </w:pPr>
          </w:p>
        </w:tc>
        <w:tc>
          <w:tcPr>
            <w:tcW w:w="6333" w:type="dxa"/>
            <w:vAlign w:val="center"/>
          </w:tcPr>
          <w:p w14:paraId="2E9341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A-18服务期限符合第二章“竞选人须知”第1.3.2项规定，否则由评标委员会作否决投标处理。</w:t>
            </w:r>
          </w:p>
        </w:tc>
      </w:tr>
      <w:tr w14:paraId="4D1298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B0825D3">
            <w:pPr>
              <w:spacing w:line="400" w:lineRule="exact"/>
              <w:jc w:val="center"/>
              <w:rPr>
                <w:rFonts w:ascii="宋体" w:hAnsi="宋体"/>
                <w:color w:val="auto"/>
                <w:szCs w:val="21"/>
                <w:highlight w:val="none"/>
              </w:rPr>
            </w:pPr>
          </w:p>
        </w:tc>
        <w:tc>
          <w:tcPr>
            <w:tcW w:w="1899" w:type="dxa"/>
            <w:vMerge w:val="continue"/>
            <w:vAlign w:val="center"/>
          </w:tcPr>
          <w:p w14:paraId="48BCAA04">
            <w:pPr>
              <w:spacing w:line="400" w:lineRule="exact"/>
              <w:jc w:val="center"/>
              <w:rPr>
                <w:rFonts w:ascii="宋体" w:hAnsi="宋体"/>
                <w:color w:val="auto"/>
                <w:szCs w:val="21"/>
                <w:highlight w:val="none"/>
              </w:rPr>
            </w:pPr>
          </w:p>
        </w:tc>
        <w:tc>
          <w:tcPr>
            <w:tcW w:w="6333" w:type="dxa"/>
            <w:vAlign w:val="center"/>
          </w:tcPr>
          <w:p w14:paraId="4528FCD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A-19工程质量符合第二章“竞选人须知”第1.3.3项规定，否则由评标委员会作否决投标处理。</w:t>
            </w:r>
          </w:p>
        </w:tc>
      </w:tr>
      <w:tr w14:paraId="095B23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84294D">
            <w:pPr>
              <w:spacing w:line="400" w:lineRule="exact"/>
              <w:jc w:val="center"/>
              <w:rPr>
                <w:rFonts w:ascii="宋体" w:hAnsi="宋体"/>
                <w:color w:val="auto"/>
                <w:szCs w:val="21"/>
                <w:highlight w:val="none"/>
              </w:rPr>
            </w:pPr>
          </w:p>
        </w:tc>
        <w:tc>
          <w:tcPr>
            <w:tcW w:w="1899" w:type="dxa"/>
            <w:vMerge w:val="continue"/>
            <w:vAlign w:val="center"/>
          </w:tcPr>
          <w:p w14:paraId="203DDAD0">
            <w:pPr>
              <w:spacing w:line="400" w:lineRule="exact"/>
              <w:jc w:val="center"/>
              <w:rPr>
                <w:rFonts w:ascii="宋体" w:hAnsi="宋体"/>
                <w:color w:val="auto"/>
                <w:szCs w:val="21"/>
                <w:highlight w:val="none"/>
              </w:rPr>
            </w:pPr>
          </w:p>
        </w:tc>
        <w:tc>
          <w:tcPr>
            <w:tcW w:w="6333" w:type="dxa"/>
            <w:vAlign w:val="center"/>
          </w:tcPr>
          <w:p w14:paraId="223330B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A-20投标有效期符合第二章“竞选人须知”第3.3.1项规定，否则由评标委员会作否决投标处理。</w:t>
            </w:r>
          </w:p>
        </w:tc>
      </w:tr>
      <w:tr w14:paraId="46CC63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1668C70">
            <w:pPr>
              <w:spacing w:line="400" w:lineRule="exact"/>
              <w:jc w:val="center"/>
              <w:rPr>
                <w:rFonts w:ascii="宋体" w:hAnsi="宋体"/>
                <w:color w:val="auto"/>
                <w:szCs w:val="21"/>
                <w:highlight w:val="none"/>
              </w:rPr>
            </w:pPr>
          </w:p>
        </w:tc>
        <w:tc>
          <w:tcPr>
            <w:tcW w:w="1899" w:type="dxa"/>
            <w:vMerge w:val="continue"/>
            <w:vAlign w:val="center"/>
          </w:tcPr>
          <w:p w14:paraId="12EED8BB">
            <w:pPr>
              <w:spacing w:line="400" w:lineRule="exact"/>
              <w:jc w:val="center"/>
              <w:rPr>
                <w:rFonts w:ascii="宋体" w:hAnsi="宋体"/>
                <w:color w:val="auto"/>
                <w:szCs w:val="21"/>
                <w:highlight w:val="none"/>
              </w:rPr>
            </w:pPr>
          </w:p>
        </w:tc>
        <w:tc>
          <w:tcPr>
            <w:tcW w:w="6333" w:type="dxa"/>
            <w:vAlign w:val="center"/>
          </w:tcPr>
          <w:p w14:paraId="15CCBEE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A-21竞选人</w:t>
            </w:r>
            <w:r>
              <w:rPr>
                <w:rFonts w:ascii="宋体" w:hAnsi="宋体"/>
                <w:color w:val="auto"/>
                <w:szCs w:val="21"/>
                <w:highlight w:val="none"/>
              </w:rPr>
              <w:t>应按</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w:t>
            </w:r>
            <w:r>
              <w:rPr>
                <w:rFonts w:hint="eastAsia" w:ascii="宋体" w:hAnsi="宋体"/>
                <w:color w:val="auto"/>
                <w:szCs w:val="21"/>
                <w:highlight w:val="none"/>
              </w:rPr>
              <w:t>竞选文件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09845E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84EC8F">
            <w:pPr>
              <w:spacing w:line="400" w:lineRule="exact"/>
              <w:jc w:val="center"/>
              <w:rPr>
                <w:rFonts w:ascii="宋体" w:hAnsi="宋体"/>
                <w:color w:val="auto"/>
                <w:szCs w:val="21"/>
                <w:highlight w:val="none"/>
              </w:rPr>
            </w:pPr>
          </w:p>
        </w:tc>
        <w:tc>
          <w:tcPr>
            <w:tcW w:w="1899" w:type="dxa"/>
            <w:vMerge w:val="continue"/>
            <w:vAlign w:val="center"/>
          </w:tcPr>
          <w:p w14:paraId="41295A30">
            <w:pPr>
              <w:spacing w:line="400" w:lineRule="exact"/>
              <w:jc w:val="center"/>
              <w:rPr>
                <w:rFonts w:ascii="宋体" w:hAnsi="宋体"/>
                <w:color w:val="auto"/>
                <w:szCs w:val="21"/>
                <w:highlight w:val="none"/>
              </w:rPr>
            </w:pPr>
          </w:p>
        </w:tc>
        <w:tc>
          <w:tcPr>
            <w:tcW w:w="6333" w:type="dxa"/>
            <w:vAlign w:val="center"/>
          </w:tcPr>
          <w:p w14:paraId="47A95F8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A-22符合第四章“合同条款及格式”规定，竞选文件不应附有比选人不能接受的条件，否则由评标委员会作否决投标处理。（由竞选人承诺，承诺书格式详见第六章竞选文件格式。）</w:t>
            </w:r>
          </w:p>
        </w:tc>
      </w:tr>
      <w:tr w14:paraId="68251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B42163">
            <w:pPr>
              <w:spacing w:line="400" w:lineRule="exact"/>
              <w:jc w:val="center"/>
              <w:rPr>
                <w:rFonts w:ascii="宋体" w:hAnsi="宋体"/>
                <w:color w:val="auto"/>
                <w:szCs w:val="21"/>
                <w:highlight w:val="none"/>
              </w:rPr>
            </w:pPr>
          </w:p>
        </w:tc>
        <w:tc>
          <w:tcPr>
            <w:tcW w:w="1899" w:type="dxa"/>
            <w:vMerge w:val="continue"/>
            <w:vAlign w:val="center"/>
          </w:tcPr>
          <w:p w14:paraId="6C53687C">
            <w:pPr>
              <w:spacing w:line="400" w:lineRule="exact"/>
              <w:jc w:val="center"/>
              <w:rPr>
                <w:rFonts w:ascii="宋体" w:hAnsi="宋体"/>
                <w:color w:val="auto"/>
                <w:szCs w:val="21"/>
                <w:highlight w:val="none"/>
              </w:rPr>
            </w:pPr>
          </w:p>
        </w:tc>
        <w:tc>
          <w:tcPr>
            <w:tcW w:w="6333" w:type="dxa"/>
            <w:vAlign w:val="center"/>
          </w:tcPr>
          <w:p w14:paraId="0E61FFD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A-23投标报价有算术错误的，按照第三章“评标办法”第3.1.3项规定执行，否则由评标委员会作否决投标处理</w:t>
            </w:r>
            <w:r>
              <w:rPr>
                <w:rFonts w:ascii="宋体" w:hAnsi="宋体"/>
                <w:color w:val="auto"/>
                <w:szCs w:val="21"/>
                <w:highlight w:val="none"/>
              </w:rPr>
              <w:t>。</w:t>
            </w:r>
          </w:p>
        </w:tc>
      </w:tr>
      <w:tr w14:paraId="3AA8EA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8008F81">
            <w:pPr>
              <w:spacing w:line="400" w:lineRule="exact"/>
              <w:jc w:val="center"/>
              <w:rPr>
                <w:rFonts w:ascii="宋体" w:hAnsi="宋体"/>
                <w:color w:val="auto"/>
                <w:szCs w:val="21"/>
                <w:highlight w:val="none"/>
              </w:rPr>
            </w:pPr>
          </w:p>
        </w:tc>
        <w:tc>
          <w:tcPr>
            <w:tcW w:w="1899" w:type="dxa"/>
            <w:vMerge w:val="continue"/>
            <w:vAlign w:val="center"/>
          </w:tcPr>
          <w:p w14:paraId="7859A613">
            <w:pPr>
              <w:spacing w:line="400" w:lineRule="exact"/>
              <w:jc w:val="center"/>
              <w:rPr>
                <w:rFonts w:ascii="宋体" w:hAnsi="宋体"/>
                <w:color w:val="auto"/>
                <w:szCs w:val="21"/>
                <w:highlight w:val="none"/>
              </w:rPr>
            </w:pPr>
          </w:p>
        </w:tc>
        <w:tc>
          <w:tcPr>
            <w:tcW w:w="6333" w:type="dxa"/>
            <w:vAlign w:val="center"/>
          </w:tcPr>
          <w:p w14:paraId="346A364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A-24竞选人有以下情形之一的，其竞选文件由评标委员会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03AC793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1.第二章“竞选人须知”第1.4.3项规定的任何一种情形的；</w:t>
            </w:r>
          </w:p>
          <w:p w14:paraId="090F43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4BDA0BD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2E62F6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6977787">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02446DD6">
            <w:pPr>
              <w:spacing w:line="400" w:lineRule="exact"/>
              <w:jc w:val="center"/>
              <w:rPr>
                <w:rFonts w:ascii="宋体" w:hAnsi="宋体"/>
                <w:color w:val="auto"/>
                <w:szCs w:val="21"/>
                <w:highlight w:val="none"/>
              </w:rPr>
            </w:pPr>
          </w:p>
        </w:tc>
        <w:tc>
          <w:tcPr>
            <w:tcW w:w="6333" w:type="dxa"/>
          </w:tcPr>
          <w:p w14:paraId="2C3B24E3">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[提示：比选人必须将所有否决投标条款集中罗列于此表，若无其他否决投标条款则在该条写无。]</w:t>
            </w:r>
          </w:p>
        </w:tc>
      </w:tr>
    </w:tbl>
    <w:p w14:paraId="104FFB3F">
      <w:pPr>
        <w:autoSpaceDE w:val="0"/>
        <w:autoSpaceDN w:val="0"/>
        <w:adjustRightInd w:val="0"/>
        <w:snapToGrid w:val="0"/>
        <w:spacing w:line="360" w:lineRule="auto"/>
        <w:jc w:val="left"/>
        <w:rPr>
          <w:rFonts w:ascii="宋体" w:hAnsi="宋体"/>
          <w:b/>
          <w:color w:val="auto"/>
          <w:kern w:val="0"/>
          <w:sz w:val="20"/>
          <w:szCs w:val="20"/>
          <w:highlight w:val="none"/>
        </w:rPr>
      </w:pPr>
    </w:p>
    <w:p w14:paraId="6585B476">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522CBCC0">
      <w:pPr>
        <w:pStyle w:val="3"/>
        <w:spacing w:line="360" w:lineRule="auto"/>
        <w:jc w:val="center"/>
        <w:rPr>
          <w:rFonts w:ascii="宋体" w:hAnsi="宋体"/>
          <w:color w:val="auto"/>
          <w:kern w:val="0"/>
          <w:highlight w:val="none"/>
        </w:rPr>
      </w:pPr>
      <w:bookmarkStart w:id="680" w:name="_Toc430530509"/>
      <w:bookmarkStart w:id="681" w:name="_Toc57905906"/>
      <w:bookmarkStart w:id="682" w:name="_Toc509218785"/>
      <w:bookmarkStart w:id="683" w:name="_Toc8427"/>
      <w:r>
        <w:rPr>
          <w:rFonts w:hint="eastAsia" w:ascii="宋体" w:hAnsi="宋体"/>
          <w:color w:val="auto"/>
          <w:kern w:val="0"/>
          <w:highlight w:val="none"/>
        </w:rPr>
        <w:t>第四章  合同条款及格式</w:t>
      </w:r>
      <w:bookmarkEnd w:id="680"/>
      <w:bookmarkEnd w:id="681"/>
      <w:bookmarkEnd w:id="682"/>
      <w:bookmarkEnd w:id="683"/>
    </w:p>
    <w:p w14:paraId="7AECF035">
      <w:pPr>
        <w:spacing w:line="360" w:lineRule="auto"/>
        <w:jc w:val="left"/>
        <w:rPr>
          <w:rFonts w:hint="eastAsia" w:ascii="宋体" w:hAnsi="宋体" w:cs="宋体"/>
          <w:color w:val="auto"/>
          <w:sz w:val="30"/>
          <w:szCs w:val="30"/>
          <w:highlight w:val="none"/>
        </w:rPr>
      </w:pPr>
      <w:bookmarkStart w:id="684" w:name="_Toc296890982"/>
      <w:bookmarkStart w:id="685" w:name="_Toc296503025"/>
      <w:bookmarkStart w:id="686" w:name="_Toc351203480"/>
      <w:r>
        <w:rPr>
          <w:rFonts w:hint="eastAsia" w:ascii="宋体" w:hAnsi="宋体" w:cs="宋体"/>
          <w:color w:val="auto"/>
          <w:sz w:val="30"/>
          <w:szCs w:val="30"/>
          <w:highlight w:val="none"/>
        </w:rPr>
        <w:t>合同编号：</w:t>
      </w:r>
    </w:p>
    <w:p w14:paraId="554E0E46">
      <w:pPr>
        <w:pStyle w:val="45"/>
        <w:ind w:firstLine="960"/>
        <w:rPr>
          <w:rFonts w:hint="eastAsia" w:ascii="宋体" w:cs="宋体"/>
          <w:color w:val="auto"/>
          <w:sz w:val="48"/>
          <w:szCs w:val="48"/>
          <w:highlight w:val="none"/>
        </w:rPr>
      </w:pPr>
    </w:p>
    <w:p w14:paraId="678C88B3">
      <w:pPr>
        <w:pStyle w:val="2"/>
        <w:rPr>
          <w:rFonts w:hint="eastAsia"/>
          <w:b/>
          <w:bCs/>
          <w:color w:val="auto"/>
          <w:sz w:val="40"/>
          <w:szCs w:val="40"/>
          <w:highlight w:val="none"/>
        </w:rPr>
      </w:pPr>
    </w:p>
    <w:p w14:paraId="645D3B05">
      <w:pPr>
        <w:pStyle w:val="2"/>
        <w:rPr>
          <w:b/>
          <w:bCs/>
          <w:color w:val="auto"/>
          <w:sz w:val="40"/>
          <w:szCs w:val="40"/>
          <w:highlight w:val="none"/>
        </w:rPr>
      </w:pPr>
    </w:p>
    <w:p w14:paraId="42A7084C">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技</w:t>
      </w:r>
    </w:p>
    <w:p w14:paraId="77AC3C99">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术</w:t>
      </w:r>
    </w:p>
    <w:p w14:paraId="1509742E">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服</w:t>
      </w:r>
    </w:p>
    <w:p w14:paraId="11F5D0C7">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务</w:t>
      </w:r>
    </w:p>
    <w:p w14:paraId="771B79A5">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合</w:t>
      </w:r>
    </w:p>
    <w:p w14:paraId="09AFC039">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同</w:t>
      </w:r>
    </w:p>
    <w:p w14:paraId="0AE149A6">
      <w:pPr>
        <w:spacing w:line="360" w:lineRule="auto"/>
        <w:rPr>
          <w:rFonts w:hint="eastAsia" w:ascii="宋体" w:hAnsi="宋体" w:cs="宋体"/>
          <w:color w:val="auto"/>
          <w:highlight w:val="none"/>
        </w:rPr>
      </w:pPr>
    </w:p>
    <w:p w14:paraId="6B752E43">
      <w:pPr>
        <w:spacing w:line="360" w:lineRule="auto"/>
        <w:rPr>
          <w:rFonts w:hint="eastAsia" w:ascii="宋体" w:hAnsi="宋体" w:cs="宋体"/>
          <w:color w:val="auto"/>
          <w:highlight w:val="none"/>
        </w:rPr>
      </w:pPr>
    </w:p>
    <w:p w14:paraId="0464C9DB">
      <w:pPr>
        <w:spacing w:line="360" w:lineRule="auto"/>
        <w:rPr>
          <w:rFonts w:hint="eastAsia" w:ascii="宋体" w:hAnsi="宋体" w:cs="宋体"/>
          <w:color w:val="auto"/>
          <w:highlight w:val="none"/>
        </w:rPr>
      </w:pPr>
    </w:p>
    <w:p w14:paraId="2E3707CC">
      <w:pPr>
        <w:spacing w:line="560" w:lineRule="exact"/>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 xml:space="preserve"> </w:t>
      </w:r>
    </w:p>
    <w:p w14:paraId="36EFDF02">
      <w:pPr>
        <w:spacing w:line="560" w:lineRule="exact"/>
        <w:ind w:firstLine="638" w:firstLineChars="266"/>
        <w:rPr>
          <w:rFonts w:hint="eastAsia" w:ascii="宋体" w:hAnsi="宋体" w:cs="宋体"/>
          <w:color w:val="auto"/>
          <w:sz w:val="24"/>
          <w:highlight w:val="none"/>
        </w:rPr>
      </w:pPr>
      <w:r>
        <w:rPr>
          <w:rFonts w:hint="eastAsia" w:ascii="宋体" w:hAnsi="宋体" w:cs="宋体"/>
          <w:color w:val="auto"/>
          <w:sz w:val="24"/>
          <w:highlight w:val="none"/>
        </w:rPr>
        <w:t>项  目  名  称：</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200B915D">
      <w:pPr>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     委    托    方：</w:t>
      </w:r>
      <w:r>
        <w:rPr>
          <w:rFonts w:hint="eastAsia" w:ascii="宋体" w:hAnsi="宋体" w:cs="宋体"/>
          <w:color w:val="auto"/>
          <w:sz w:val="24"/>
          <w:highlight w:val="none"/>
          <w:u w:val="single"/>
        </w:rPr>
        <w:t>重庆市南岸城市更新建设发展有限公司</w:t>
      </w:r>
      <w:r>
        <w:rPr>
          <w:rFonts w:ascii="宋体" w:hAnsi="宋体" w:cs="宋体"/>
          <w:color w:val="auto"/>
          <w:sz w:val="24"/>
          <w:highlight w:val="none"/>
          <w:u w:val="single"/>
        </w:rPr>
        <w:t xml:space="preserve"> </w:t>
      </w:r>
    </w:p>
    <w:p w14:paraId="10C35D9B">
      <w:pPr>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     受    托    方：</w:t>
      </w:r>
      <w:r>
        <w:rPr>
          <w:rFonts w:hint="eastAsia" w:ascii="宋体" w:hAnsi="宋体" w:cs="宋体"/>
          <w:color w:val="auto"/>
          <w:sz w:val="24"/>
          <w:highlight w:val="none"/>
          <w:u w:val="single"/>
        </w:rPr>
        <w:t xml:space="preserve">                  </w:t>
      </w:r>
    </w:p>
    <w:p w14:paraId="67112A52">
      <w:pPr>
        <w:spacing w:line="56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签  订  时  间：</w:t>
      </w:r>
      <w:r>
        <w:rPr>
          <w:rFonts w:hint="eastAsia" w:ascii="宋体" w:hAnsi="宋体" w:cs="宋体"/>
          <w:color w:val="auto"/>
          <w:sz w:val="24"/>
          <w:highlight w:val="none"/>
          <w:u w:val="single"/>
        </w:rPr>
        <w:t xml:space="preserve">            202</w:t>
      </w:r>
      <w:r>
        <w:rPr>
          <w:rFonts w:ascii="宋体" w:hAnsi="宋体" w:cs="宋体"/>
          <w:color w:val="auto"/>
          <w:sz w:val="24"/>
          <w:highlight w:val="none"/>
          <w:u w:val="single"/>
        </w:rPr>
        <w:t>5</w:t>
      </w:r>
      <w:r>
        <w:rPr>
          <w:rFonts w:hint="eastAsia" w:ascii="宋体" w:hAnsi="宋体" w:cs="宋体"/>
          <w:color w:val="auto"/>
          <w:sz w:val="24"/>
          <w:highlight w:val="none"/>
          <w:u w:val="single"/>
        </w:rPr>
        <w:t xml:space="preserve">年   月    日         </w:t>
      </w:r>
    </w:p>
    <w:p w14:paraId="4C5F0838">
      <w:pPr>
        <w:spacing w:line="56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签  订  地  点：</w:t>
      </w:r>
      <w:r>
        <w:rPr>
          <w:rFonts w:hint="eastAsia" w:ascii="宋体" w:hAnsi="宋体" w:cs="宋体"/>
          <w:color w:val="auto"/>
          <w:sz w:val="24"/>
          <w:highlight w:val="none"/>
          <w:u w:val="single"/>
        </w:rPr>
        <w:t xml:space="preserve">                        </w:t>
      </w:r>
    </w:p>
    <w:p w14:paraId="6BE82CCE">
      <w:pPr>
        <w:jc w:val="center"/>
        <w:rPr>
          <w:rFonts w:hint="eastAsia" w:ascii="宋体" w:hAnsi="宋体" w:cs="宋体"/>
          <w:b/>
          <w:bCs/>
          <w:color w:val="auto"/>
          <w:sz w:val="32"/>
          <w:szCs w:val="32"/>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目 录</w:t>
      </w:r>
    </w:p>
    <w:p w14:paraId="43E14AB3">
      <w:pPr>
        <w:pStyle w:val="2"/>
        <w:rPr>
          <w:rFonts w:hint="eastAsia" w:ascii="宋体" w:hAnsi="宋体" w:cs="宋体"/>
          <w:b/>
          <w:bCs/>
          <w:color w:val="auto"/>
          <w:sz w:val="32"/>
          <w:szCs w:val="32"/>
          <w:highlight w:val="none"/>
        </w:rPr>
      </w:pPr>
    </w:p>
    <w:p w14:paraId="3E5530E6">
      <w:pPr>
        <w:pStyle w:val="2"/>
        <w:rPr>
          <w:rFonts w:hint="eastAsia" w:ascii="宋体" w:hAnsi="宋体" w:cs="宋体"/>
          <w:b/>
          <w:bCs/>
          <w:color w:val="auto"/>
          <w:sz w:val="32"/>
          <w:szCs w:val="32"/>
          <w:highlight w:val="none"/>
        </w:rPr>
      </w:pPr>
    </w:p>
    <w:p w14:paraId="16CAB882">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_Toc16919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第一条 范围及内容</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_Toc16919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C9421FF">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第二条 工程费用及支付方式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8B57835">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_Toc7167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第三条 甲方的义务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_Toc7167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9B74F2E">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_Toc2789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第四条 乙方的义务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_Toc2789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587BF47">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_Toc26962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第五条 违约责任</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_Toc26962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271FA62">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_Toc6237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第六条 不可抗力</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_Toc6237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D24670E">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_Toc2356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第七条 争议解决</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_Toc2356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7EDD0BF">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_Toc26102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第八条 附则</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_Toc26102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46F826A">
      <w:pPr>
        <w:spacing w:line="480" w:lineRule="auto"/>
        <w:rPr>
          <w:rFonts w:hint="eastAsia" w:ascii="宋体" w:hAnsi="宋体" w:cs="宋体"/>
          <w:color w:val="auto"/>
          <w:highlight w:val="none"/>
        </w:rPr>
      </w:pPr>
      <w:r>
        <w:rPr>
          <w:rFonts w:hint="eastAsia" w:ascii="宋体" w:hAnsi="宋体" w:cs="宋体"/>
          <w:color w:val="auto"/>
          <w:sz w:val="24"/>
          <w:highlight w:val="none"/>
        </w:rPr>
        <w:fldChar w:fldCharType="end"/>
      </w:r>
    </w:p>
    <w:p w14:paraId="5C5147D7">
      <w:pPr>
        <w:rPr>
          <w:rFonts w:hint="eastAsia" w:ascii="宋体" w:hAnsi="宋体" w:cs="宋体"/>
          <w:color w:val="auto"/>
          <w:highlight w:val="none"/>
        </w:rPr>
      </w:pPr>
      <w:r>
        <w:rPr>
          <w:rFonts w:hint="eastAsia" w:ascii="宋体" w:hAnsi="宋体" w:cs="宋体"/>
          <w:color w:val="auto"/>
          <w:highlight w:val="none"/>
        </w:rPr>
        <w:t xml:space="preserve">                             </w:t>
      </w:r>
    </w:p>
    <w:p w14:paraId="4EE07233">
      <w:pPr>
        <w:spacing w:line="480" w:lineRule="auto"/>
        <w:jc w:val="center"/>
        <w:outlineLvl w:val="0"/>
        <w:rPr>
          <w:rFonts w:hint="eastAsia" w:ascii="宋体" w:hAnsi="宋体" w:cs="宋体"/>
          <w:color w:val="auto"/>
          <w:sz w:val="24"/>
          <w:highlight w:val="none"/>
        </w:rPr>
        <w:sectPr>
          <w:pgSz w:w="11906" w:h="16838"/>
          <w:pgMar w:top="1440" w:right="1286" w:bottom="1440" w:left="1800" w:header="851" w:footer="992" w:gutter="0"/>
          <w:cols w:space="720" w:num="1"/>
          <w:docGrid w:type="lines" w:linePitch="312" w:charSpace="0"/>
        </w:sectPr>
      </w:pPr>
    </w:p>
    <w:p w14:paraId="79BAC410">
      <w:pPr>
        <w:pStyle w:val="1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w:t>
      </w:r>
    </w:p>
    <w:p w14:paraId="1DBC3FA7">
      <w:pPr>
        <w:spacing w:line="480" w:lineRule="auto"/>
        <w:jc w:val="center"/>
        <w:rPr>
          <w:rFonts w:hint="eastAsia" w:ascii="宋体" w:hAnsi="宋体" w:cs="宋体"/>
          <w:color w:val="auto"/>
          <w:sz w:val="32"/>
          <w:szCs w:val="32"/>
          <w:highlight w:val="none"/>
        </w:rPr>
      </w:pPr>
      <w:r>
        <w:rPr>
          <w:rFonts w:hint="eastAsia" w:ascii="宋体" w:hAnsi="宋体" w:cs="宋体"/>
          <w:b/>
          <w:bCs/>
          <w:color w:val="auto"/>
          <w:sz w:val="32"/>
          <w:szCs w:val="32"/>
          <w:highlight w:val="none"/>
        </w:rPr>
        <w:t>合  同  书</w:t>
      </w:r>
    </w:p>
    <w:p w14:paraId="368597C4">
      <w:pPr>
        <w:spacing w:line="540" w:lineRule="exact"/>
        <w:rPr>
          <w:color w:val="auto"/>
          <w:sz w:val="21"/>
          <w:szCs w:val="21"/>
          <w:highlight w:val="none"/>
        </w:rPr>
      </w:pPr>
      <w:r>
        <w:rPr>
          <w:color w:val="auto"/>
          <w:sz w:val="21"/>
          <w:szCs w:val="21"/>
          <w:highlight w:val="none"/>
        </w:rPr>
        <w:t>甲方</w:t>
      </w:r>
      <w:r>
        <w:rPr>
          <w:rFonts w:hint="eastAsia"/>
          <w:color w:val="auto"/>
          <w:sz w:val="21"/>
          <w:szCs w:val="21"/>
          <w:highlight w:val="none"/>
        </w:rPr>
        <w:t>（委托方）</w:t>
      </w:r>
      <w:r>
        <w:rPr>
          <w:color w:val="auto"/>
          <w:sz w:val="21"/>
          <w:szCs w:val="21"/>
          <w:highlight w:val="none"/>
        </w:rPr>
        <w:t>：</w:t>
      </w:r>
      <w:r>
        <w:rPr>
          <w:rFonts w:hint="eastAsia"/>
          <w:b/>
          <w:color w:val="auto"/>
          <w:sz w:val="21"/>
          <w:szCs w:val="21"/>
          <w:highlight w:val="none"/>
        </w:rPr>
        <w:t>重庆市南岸城市更新建设发展有限公司</w:t>
      </w:r>
    </w:p>
    <w:p w14:paraId="151A5F7C">
      <w:pPr>
        <w:spacing w:line="540" w:lineRule="exact"/>
        <w:rPr>
          <w:color w:val="auto"/>
          <w:sz w:val="21"/>
          <w:szCs w:val="21"/>
          <w:highlight w:val="none"/>
          <w:u w:val="single"/>
        </w:rPr>
      </w:pPr>
      <w:r>
        <w:rPr>
          <w:color w:val="auto"/>
          <w:sz w:val="21"/>
          <w:szCs w:val="21"/>
          <w:highlight w:val="none"/>
        </w:rPr>
        <w:t>乙方</w:t>
      </w:r>
      <w:r>
        <w:rPr>
          <w:rFonts w:hint="eastAsia"/>
          <w:color w:val="auto"/>
          <w:sz w:val="21"/>
          <w:szCs w:val="21"/>
          <w:highlight w:val="none"/>
        </w:rPr>
        <w:t>（受托方）</w:t>
      </w:r>
      <w:r>
        <w:rPr>
          <w:color w:val="auto"/>
          <w:sz w:val="21"/>
          <w:szCs w:val="21"/>
          <w:highlight w:val="none"/>
        </w:rPr>
        <w:t>：</w:t>
      </w:r>
      <w:r>
        <w:rPr>
          <w:rFonts w:hint="eastAsia"/>
          <w:color w:val="auto"/>
          <w:sz w:val="21"/>
          <w:szCs w:val="21"/>
          <w:highlight w:val="none"/>
          <w:u w:val="single"/>
        </w:rPr>
        <w:t xml:space="preserve">  </w:t>
      </w:r>
    </w:p>
    <w:p w14:paraId="24EE65A8">
      <w:pPr>
        <w:spacing w:line="540" w:lineRule="exact"/>
        <w:rPr>
          <w:color w:val="auto"/>
          <w:sz w:val="21"/>
          <w:szCs w:val="21"/>
          <w:highlight w:val="none"/>
        </w:rPr>
      </w:pPr>
    </w:p>
    <w:p w14:paraId="4609EA3C">
      <w:pPr>
        <w:spacing w:line="540" w:lineRule="exact"/>
        <w:ind w:firstLine="420" w:firstLineChars="200"/>
        <w:rPr>
          <w:color w:val="auto"/>
          <w:sz w:val="21"/>
          <w:szCs w:val="21"/>
          <w:highlight w:val="none"/>
        </w:rPr>
      </w:pPr>
      <w:r>
        <w:rPr>
          <w:color w:val="auto"/>
          <w:sz w:val="21"/>
          <w:szCs w:val="21"/>
          <w:highlight w:val="none"/>
        </w:rPr>
        <w:t>为明确双方在合同履行过程中的权利和义务，双方本着自愿、平等、互利的原则，根据</w:t>
      </w:r>
      <w:r>
        <w:rPr>
          <w:rFonts w:hint="eastAsia"/>
          <w:color w:val="auto"/>
          <w:sz w:val="21"/>
          <w:szCs w:val="21"/>
          <w:highlight w:val="none"/>
        </w:rPr>
        <w:t>《中华人民共和国民法典》</w:t>
      </w:r>
      <w:r>
        <w:rPr>
          <w:color w:val="auto"/>
          <w:sz w:val="21"/>
          <w:szCs w:val="21"/>
          <w:highlight w:val="none"/>
        </w:rPr>
        <w:t>的有关规定制定本合同，双方应恪守诚实信用原则、依法全面履行合同。结合本工程的实际情况，经双方协商特订协议如下：</w:t>
      </w:r>
    </w:p>
    <w:p w14:paraId="6FDE0A1B">
      <w:pPr>
        <w:pStyle w:val="3"/>
        <w:spacing w:line="360" w:lineRule="auto"/>
        <w:rPr>
          <w:rFonts w:hint="eastAsia" w:ascii="宋体" w:hAnsi="宋体" w:cs="宋体"/>
          <w:color w:val="auto"/>
          <w:sz w:val="21"/>
          <w:szCs w:val="21"/>
          <w:highlight w:val="none"/>
        </w:rPr>
      </w:pPr>
      <w:bookmarkStart w:id="687" w:name="_Toc16919"/>
      <w:r>
        <w:rPr>
          <w:rFonts w:hint="eastAsia" w:ascii="宋体" w:hAnsi="宋体" w:cs="宋体"/>
          <w:color w:val="auto"/>
          <w:sz w:val="21"/>
          <w:szCs w:val="21"/>
          <w:highlight w:val="none"/>
        </w:rPr>
        <w:t>第一条 范围及内容</w:t>
      </w:r>
      <w:bookmarkEnd w:id="687"/>
    </w:p>
    <w:p w14:paraId="6A2309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b/>
          <w:bCs/>
          <w:color w:val="auto"/>
          <w:sz w:val="21"/>
          <w:szCs w:val="21"/>
          <w:highlight w:val="none"/>
        </w:rPr>
      </w:pPr>
      <w:r>
        <w:rPr>
          <w:color w:val="auto"/>
          <w:sz w:val="21"/>
          <w:szCs w:val="21"/>
          <w:highlight w:val="none"/>
        </w:rPr>
        <w:t>1、</w:t>
      </w:r>
      <w:r>
        <w:rPr>
          <w:rFonts w:hint="eastAsia"/>
          <w:color w:val="auto"/>
          <w:sz w:val="21"/>
          <w:szCs w:val="21"/>
          <w:highlight w:val="none"/>
        </w:rPr>
        <w:t>项目</w:t>
      </w:r>
      <w:r>
        <w:rPr>
          <w:color w:val="auto"/>
          <w:sz w:val="21"/>
          <w:szCs w:val="21"/>
          <w:highlight w:val="none"/>
        </w:rPr>
        <w:t>名</w:t>
      </w:r>
      <w:r>
        <w:rPr>
          <w:rFonts w:hint="eastAsia"/>
          <w:color w:val="auto"/>
          <w:sz w:val="21"/>
          <w:szCs w:val="21"/>
          <w:highlight w:val="none"/>
        </w:rPr>
        <w:t>称：</w:t>
      </w:r>
    </w:p>
    <w:p w14:paraId="725EEA71">
      <w:pPr>
        <w:spacing w:line="540" w:lineRule="exact"/>
        <w:jc w:val="left"/>
        <w:rPr>
          <w:rFonts w:hint="eastAsia"/>
          <w:color w:val="auto"/>
          <w:sz w:val="21"/>
          <w:szCs w:val="21"/>
          <w:highlight w:val="none"/>
        </w:rPr>
      </w:pPr>
      <w:r>
        <w:rPr>
          <w:color w:val="auto"/>
          <w:sz w:val="21"/>
          <w:szCs w:val="21"/>
          <w:highlight w:val="none"/>
        </w:rPr>
        <w:t>2、</w:t>
      </w:r>
      <w:r>
        <w:rPr>
          <w:rFonts w:hint="eastAsia"/>
          <w:color w:val="auto"/>
          <w:sz w:val="21"/>
          <w:szCs w:val="21"/>
          <w:highlight w:val="none"/>
        </w:rPr>
        <w:t>项目</w:t>
      </w:r>
      <w:r>
        <w:rPr>
          <w:color w:val="auto"/>
          <w:sz w:val="21"/>
          <w:szCs w:val="21"/>
          <w:highlight w:val="none"/>
        </w:rPr>
        <w:t>地点</w:t>
      </w:r>
      <w:r>
        <w:rPr>
          <w:rFonts w:hint="eastAsia"/>
          <w:color w:val="auto"/>
          <w:sz w:val="21"/>
          <w:szCs w:val="21"/>
          <w:highlight w:val="none"/>
        </w:rPr>
        <w:t>：</w:t>
      </w:r>
    </w:p>
    <w:p w14:paraId="06472336">
      <w:pPr>
        <w:spacing w:line="540" w:lineRule="exact"/>
        <w:jc w:val="left"/>
        <w:rPr>
          <w:rFonts w:hint="eastAsia" w:ascii="宋体" w:hAnsi="宋体" w:cs="宋体"/>
          <w:color w:val="auto"/>
          <w:kern w:val="0"/>
          <w:sz w:val="21"/>
          <w:szCs w:val="21"/>
          <w:highlight w:val="none"/>
        </w:rPr>
      </w:pPr>
      <w:r>
        <w:rPr>
          <w:color w:val="auto"/>
          <w:sz w:val="21"/>
          <w:szCs w:val="21"/>
          <w:highlight w:val="none"/>
        </w:rPr>
        <w:t>3、</w:t>
      </w:r>
      <w:r>
        <w:rPr>
          <w:rFonts w:hint="eastAsia"/>
          <w:color w:val="auto"/>
          <w:sz w:val="21"/>
          <w:szCs w:val="21"/>
          <w:highlight w:val="none"/>
        </w:rPr>
        <w:t>项目</w:t>
      </w:r>
      <w:r>
        <w:rPr>
          <w:color w:val="auto"/>
          <w:sz w:val="21"/>
          <w:szCs w:val="21"/>
          <w:highlight w:val="none"/>
        </w:rPr>
        <w:t>内容：</w:t>
      </w:r>
      <w:r>
        <w:rPr>
          <w:rFonts w:hint="eastAsia"/>
          <w:color w:val="auto"/>
          <w:sz w:val="21"/>
          <w:szCs w:val="21"/>
          <w:highlight w:val="none"/>
        </w:rPr>
        <w:t>根据国家相关技术标准，结合＊＊地质结构、市政工程施工规范等要求，在保证交</w:t>
      </w:r>
      <w:r>
        <w:rPr>
          <w:rFonts w:hint="eastAsia" w:ascii="宋体" w:hAnsi="宋体" w:cs="宋体"/>
          <w:color w:val="auto"/>
          <w:kern w:val="0"/>
          <w:sz w:val="21"/>
          <w:szCs w:val="21"/>
          <w:highlight w:val="none"/>
        </w:rPr>
        <w:t>通道路安全及自身安全的前提下完成：</w:t>
      </w:r>
    </w:p>
    <w:p w14:paraId="2B70568C">
      <w:pPr>
        <w:spacing w:line="54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（1）对南岸区道路指定范围进</w:t>
      </w:r>
      <w:r>
        <w:rPr>
          <w:rFonts w:hint="eastAsia" w:ascii="宋体" w:hAnsi="宋体" w:cs="宋体"/>
          <w:color w:val="auto"/>
          <w:sz w:val="21"/>
          <w:szCs w:val="21"/>
          <w:highlight w:val="none"/>
        </w:rPr>
        <w:t>行检测，</w:t>
      </w:r>
      <w:r>
        <w:rPr>
          <w:rFonts w:hint="eastAsia" w:ascii="宋体" w:hAnsi="宋体" w:cs="宋体"/>
          <w:color w:val="auto"/>
          <w:kern w:val="0"/>
          <w:sz w:val="21"/>
          <w:szCs w:val="21"/>
          <w:highlight w:val="none"/>
        </w:rPr>
        <w:t>使用车载三维探地雷达设备对</w:t>
      </w:r>
      <w:r>
        <w:rPr>
          <w:rFonts w:hint="eastAsia"/>
          <w:color w:val="auto"/>
          <w:sz w:val="21"/>
          <w:szCs w:val="21"/>
          <w:highlight w:val="none"/>
        </w:rPr>
        <w:t>指定区域</w:t>
      </w:r>
      <w:r>
        <w:rPr>
          <w:rFonts w:hint="eastAsia" w:ascii="宋体" w:hAnsi="宋体" w:cs="宋体"/>
          <w:color w:val="auto"/>
          <w:kern w:val="0"/>
          <w:sz w:val="21"/>
          <w:szCs w:val="21"/>
          <w:highlight w:val="none"/>
        </w:rPr>
        <w:t>地下空洞</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不良</w:t>
      </w:r>
      <w:r>
        <w:rPr>
          <w:rFonts w:ascii="宋体" w:hAnsi="宋体" w:cs="宋体"/>
          <w:color w:val="auto"/>
          <w:kern w:val="0"/>
          <w:sz w:val="21"/>
          <w:szCs w:val="21"/>
          <w:highlight w:val="none"/>
        </w:rPr>
        <w:t>地质情况</w:t>
      </w:r>
      <w:r>
        <w:rPr>
          <w:rFonts w:hint="eastAsia" w:ascii="宋体" w:hAnsi="宋体" w:cs="宋体"/>
          <w:color w:val="auto"/>
          <w:kern w:val="0"/>
          <w:sz w:val="21"/>
          <w:szCs w:val="21"/>
          <w:highlight w:val="none"/>
        </w:rPr>
        <w:t>、塌陷隐患等</w:t>
      </w:r>
      <w:r>
        <w:rPr>
          <w:rFonts w:ascii="宋体" w:hAnsi="宋体" w:cs="宋体"/>
          <w:color w:val="auto"/>
          <w:kern w:val="0"/>
          <w:sz w:val="21"/>
          <w:szCs w:val="21"/>
          <w:highlight w:val="none"/>
        </w:rPr>
        <w:t>病害</w:t>
      </w:r>
      <w:r>
        <w:rPr>
          <w:rFonts w:hint="eastAsia" w:ascii="宋体" w:hAnsi="宋体" w:cs="宋体"/>
          <w:color w:val="auto"/>
          <w:kern w:val="0"/>
          <w:sz w:val="21"/>
          <w:szCs w:val="21"/>
          <w:highlight w:val="none"/>
        </w:rPr>
        <w:t>进行排查，确定隐藏的道路空洞位置及范围、评定风险等级。</w:t>
      </w:r>
    </w:p>
    <w:p w14:paraId="32650A17">
      <w:pPr>
        <w:spacing w:line="540" w:lineRule="exact"/>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）根据城市道路地下介质复杂、管线密布等特点制定适合的探测技术方案，并提交具有真实性、可靠性的探测成果报告，探测过程采用无损性探测，不能损伤道路。</w:t>
      </w:r>
    </w:p>
    <w:p w14:paraId="7CB79EF3">
      <w:pPr>
        <w:spacing w:line="540" w:lineRule="exact"/>
        <w:ind w:firstLine="420" w:firstLineChars="200"/>
        <w:rPr>
          <w:rFonts w:hint="eastAsia"/>
          <w:color w:val="auto"/>
          <w:sz w:val="21"/>
          <w:szCs w:val="21"/>
          <w:highlight w:val="none"/>
        </w:rPr>
      </w:pPr>
      <w:r>
        <w:rPr>
          <w:rFonts w:hint="eastAsia"/>
          <w:color w:val="auto"/>
          <w:sz w:val="21"/>
          <w:szCs w:val="21"/>
          <w:highlight w:val="none"/>
        </w:rPr>
        <w:t>（3）对探测到的异常区域进行二次详查，对详查确定的病害体异常，协助业主方及区域地下管线权属单位现场判别指认，并负责对空洞、脱空、富水三种病害体钻探验证，土体疏松病害体进行记录。</w:t>
      </w:r>
    </w:p>
    <w:p w14:paraId="3ED59FF5">
      <w:pPr>
        <w:spacing w:line="540" w:lineRule="exact"/>
        <w:ind w:firstLine="420" w:firstLineChars="200"/>
        <w:rPr>
          <w:color w:val="auto"/>
          <w:sz w:val="21"/>
          <w:szCs w:val="21"/>
          <w:highlight w:val="none"/>
        </w:rPr>
      </w:pPr>
      <w:r>
        <w:rPr>
          <w:color w:val="auto"/>
          <w:sz w:val="21"/>
          <w:szCs w:val="21"/>
          <w:highlight w:val="none"/>
        </w:rPr>
        <w:t>4、合同工期：合同签订后30</w:t>
      </w:r>
      <w:r>
        <w:rPr>
          <w:rFonts w:hint="eastAsia"/>
          <w:color w:val="auto"/>
          <w:sz w:val="21"/>
          <w:szCs w:val="21"/>
          <w:highlight w:val="none"/>
        </w:rPr>
        <w:t>个工作日内。</w:t>
      </w:r>
    </w:p>
    <w:p w14:paraId="326AF967">
      <w:pPr>
        <w:pStyle w:val="3"/>
        <w:spacing w:line="360" w:lineRule="auto"/>
        <w:rPr>
          <w:rFonts w:hint="eastAsia" w:ascii="宋体" w:hAnsi="宋体" w:cs="宋体"/>
          <w:color w:val="auto"/>
          <w:sz w:val="21"/>
          <w:szCs w:val="21"/>
          <w:highlight w:val="none"/>
        </w:rPr>
      </w:pPr>
      <w:bookmarkStart w:id="688" w:name="_Toc26463"/>
      <w:r>
        <w:rPr>
          <w:rFonts w:hint="eastAsia" w:ascii="宋体" w:hAnsi="宋体" w:cs="宋体"/>
          <w:color w:val="auto"/>
          <w:sz w:val="21"/>
          <w:szCs w:val="21"/>
          <w:highlight w:val="none"/>
        </w:rPr>
        <w:t>第二条 工程费用及支付方式</w:t>
      </w:r>
      <w:bookmarkEnd w:id="688"/>
    </w:p>
    <w:p w14:paraId="6EF95F42">
      <w:pPr>
        <w:spacing w:line="540" w:lineRule="exact"/>
        <w:ind w:firstLine="420" w:firstLineChars="200"/>
        <w:rPr>
          <w:rFonts w:hint="eastAsia"/>
          <w:color w:val="auto"/>
          <w:sz w:val="21"/>
          <w:szCs w:val="21"/>
          <w:highlight w:val="none"/>
        </w:rPr>
      </w:pPr>
      <w:bookmarkStart w:id="689" w:name="_Toc7167"/>
      <w:r>
        <w:rPr>
          <w:rFonts w:hint="eastAsia"/>
          <w:color w:val="auto"/>
          <w:sz w:val="21"/>
          <w:szCs w:val="21"/>
          <w:highlight w:val="none"/>
          <w:lang w:val="en-US" w:eastAsia="zh-CN"/>
        </w:rPr>
        <w:t>1、</w:t>
      </w:r>
      <w:r>
        <w:rPr>
          <w:rFonts w:hint="eastAsia"/>
          <w:color w:val="auto"/>
          <w:sz w:val="21"/>
          <w:szCs w:val="21"/>
          <w:highlight w:val="none"/>
        </w:rPr>
        <w:t>本合同总合同额为¥：</w:t>
      </w:r>
      <w:r>
        <w:rPr>
          <w:color w:val="auto"/>
          <w:sz w:val="21"/>
          <w:szCs w:val="21"/>
          <w:highlight w:val="none"/>
        </w:rPr>
        <w:t xml:space="preserve">    </w:t>
      </w:r>
      <w:r>
        <w:rPr>
          <w:rFonts w:hint="eastAsia"/>
          <w:color w:val="auto"/>
          <w:sz w:val="21"/>
          <w:szCs w:val="21"/>
          <w:highlight w:val="none"/>
        </w:rPr>
        <w:t xml:space="preserve">元（大写： </w:t>
      </w:r>
      <w:r>
        <w:rPr>
          <w:color w:val="auto"/>
          <w:sz w:val="21"/>
          <w:szCs w:val="21"/>
          <w:highlight w:val="none"/>
        </w:rPr>
        <w:t xml:space="preserve">   </w:t>
      </w:r>
      <w:r>
        <w:rPr>
          <w:rFonts w:hint="eastAsia"/>
          <w:color w:val="auto"/>
          <w:sz w:val="21"/>
          <w:szCs w:val="21"/>
          <w:highlight w:val="none"/>
        </w:rPr>
        <w:t>元整）。甲方在收到乙方提供的检测报告及乙方开具的合法有效等额发票后</w:t>
      </w:r>
      <w:r>
        <w:rPr>
          <w:rFonts w:hint="eastAsia"/>
          <w:color w:val="auto"/>
          <w:sz w:val="21"/>
          <w:szCs w:val="21"/>
          <w:highlight w:val="none"/>
          <w:lang w:val="en-US" w:eastAsia="zh-CN"/>
        </w:rPr>
        <w:t>15</w:t>
      </w:r>
      <w:r>
        <w:rPr>
          <w:rFonts w:hint="eastAsia"/>
          <w:color w:val="auto"/>
          <w:sz w:val="21"/>
          <w:szCs w:val="21"/>
          <w:highlight w:val="none"/>
        </w:rPr>
        <w:t>个工作日内付清全部款项；若乙方未向甲方开具等额的增值税发票则视为付款条件未成就，甲方有权将付款时间顺延且不构成违约。</w:t>
      </w:r>
    </w:p>
    <w:p w14:paraId="705FB869">
      <w:pPr>
        <w:pStyle w:val="2"/>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rPr>
        <w:t>若存在下列情形时，下列情形作为付款条件之一，同时适用，若涉及进度款则不包括下列情形第3种：</w:t>
      </w:r>
    </w:p>
    <w:p w14:paraId="0B516F3F">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（1）每次付款前，</w:t>
      </w:r>
      <w:r>
        <w:rPr>
          <w:rFonts w:hint="eastAsia" w:ascii="Times New Roman" w:hAnsi="Times New Roman" w:eastAsia="宋体" w:cs="Times New Roman"/>
          <w:color w:val="auto"/>
          <w:sz w:val="21"/>
          <w:szCs w:val="21"/>
          <w:highlight w:val="none"/>
          <w:lang w:eastAsia="zh-CN"/>
        </w:rPr>
        <w:t>乙方</w:t>
      </w:r>
      <w:r>
        <w:rPr>
          <w:rFonts w:hint="eastAsia" w:ascii="Times New Roman" w:hAnsi="Times New Roman" w:eastAsia="宋体" w:cs="Times New Roman"/>
          <w:color w:val="auto"/>
          <w:sz w:val="21"/>
          <w:szCs w:val="21"/>
          <w:highlight w:val="none"/>
        </w:rPr>
        <w:t>须向甲方提供有效等额增值税专用发票。未足额提供的发票的，甲方有权拒绝付款；</w:t>
      </w:r>
    </w:p>
    <w:p w14:paraId="47A59E12">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（2）若本合同涉及财政资金或专项资金支持，在</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未收到财政资金或专项资金的情形下，</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有权迟延付款且不承担违约责任，在符合其他付款条件且收到财政资金或专项资金后付款；</w:t>
      </w:r>
    </w:p>
    <w:p w14:paraId="4FD009D8">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（3）若需对工程进行审计或财评，则在审计或财评结果未出之前，</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有权迟延付款且不承担违约责任。</w:t>
      </w:r>
    </w:p>
    <w:p w14:paraId="70F497DC">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本合同的审计包括</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委托第三方审计、重庆市南岸区财政局审计或重庆市南岸区审计局审计，若需重庆市南岸区财政局审计或重庆市南岸区审计局审计，则以重庆市南岸区财政局审计或重庆市南岸区审计局审计结果为准</w:t>
      </w:r>
    </w:p>
    <w:p w14:paraId="30F84904">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如有时）建设智慧平台管理第三方单位管理培训费：1000元（大写：壹仟元整），乙方在合同签订后一次性支付给第三方单位管理培训机构（若同一单位无需增加系统端口，则取最高签约合同金额缴费一次，不再重复缴费）。</w:t>
      </w:r>
    </w:p>
    <w:p w14:paraId="0C732E5F">
      <w:pPr>
        <w:pStyle w:val="3"/>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第三条 甲方的义务</w:t>
      </w:r>
      <w:bookmarkEnd w:id="689"/>
    </w:p>
    <w:p w14:paraId="7822C838">
      <w:pPr>
        <w:spacing w:line="540" w:lineRule="exact"/>
        <w:ind w:firstLine="420" w:firstLineChars="200"/>
        <w:rPr>
          <w:color w:val="auto"/>
          <w:sz w:val="21"/>
          <w:szCs w:val="21"/>
          <w:highlight w:val="none"/>
        </w:rPr>
      </w:pPr>
      <w:r>
        <w:rPr>
          <w:color w:val="auto"/>
          <w:sz w:val="21"/>
          <w:szCs w:val="21"/>
          <w:highlight w:val="none"/>
        </w:rPr>
        <w:t>1、自合同签订之日起</w:t>
      </w:r>
      <w:r>
        <w:rPr>
          <w:color w:val="auto"/>
          <w:sz w:val="21"/>
          <w:szCs w:val="21"/>
          <w:highlight w:val="none"/>
          <w:u w:val="single"/>
        </w:rPr>
        <w:t xml:space="preserve">  </w:t>
      </w:r>
      <w:r>
        <w:rPr>
          <w:rFonts w:hint="eastAsia"/>
          <w:color w:val="auto"/>
          <w:sz w:val="21"/>
          <w:szCs w:val="21"/>
          <w:highlight w:val="none"/>
          <w:u w:val="single"/>
          <w:lang w:val="en-US" w:eastAsia="zh-CN"/>
        </w:rPr>
        <w:t>3</w:t>
      </w:r>
      <w:r>
        <w:rPr>
          <w:color w:val="auto"/>
          <w:sz w:val="21"/>
          <w:szCs w:val="21"/>
          <w:highlight w:val="none"/>
          <w:u w:val="single"/>
        </w:rPr>
        <w:t xml:space="preserve"> </w:t>
      </w:r>
      <w:r>
        <w:rPr>
          <w:color w:val="auto"/>
          <w:sz w:val="21"/>
          <w:szCs w:val="21"/>
          <w:highlight w:val="none"/>
        </w:rPr>
        <w:t>日内向乙方</w:t>
      </w:r>
      <w:r>
        <w:rPr>
          <w:rFonts w:hint="eastAsia"/>
          <w:color w:val="auto"/>
          <w:sz w:val="21"/>
          <w:szCs w:val="21"/>
          <w:highlight w:val="none"/>
        </w:rPr>
        <w:t>提供</w:t>
      </w:r>
      <w:r>
        <w:rPr>
          <w:color w:val="auto"/>
          <w:sz w:val="21"/>
          <w:szCs w:val="21"/>
          <w:highlight w:val="none"/>
        </w:rPr>
        <w:t>项目有关资料。</w:t>
      </w:r>
    </w:p>
    <w:p w14:paraId="22DBCC93">
      <w:pPr>
        <w:spacing w:line="540" w:lineRule="exact"/>
        <w:ind w:firstLine="420" w:firstLineChars="200"/>
        <w:rPr>
          <w:rFonts w:hint="eastAsia"/>
          <w:color w:val="auto"/>
          <w:sz w:val="21"/>
          <w:szCs w:val="21"/>
          <w:highlight w:val="none"/>
        </w:rPr>
      </w:pPr>
      <w:r>
        <w:rPr>
          <w:color w:val="auto"/>
          <w:sz w:val="21"/>
          <w:szCs w:val="21"/>
          <w:highlight w:val="none"/>
        </w:rPr>
        <w:t>2、应当保证乙方的</w:t>
      </w:r>
      <w:r>
        <w:rPr>
          <w:rFonts w:hint="eastAsia"/>
          <w:color w:val="auto"/>
          <w:sz w:val="21"/>
          <w:szCs w:val="21"/>
          <w:highlight w:val="none"/>
        </w:rPr>
        <w:t>探测</w:t>
      </w:r>
      <w:r>
        <w:rPr>
          <w:color w:val="auto"/>
          <w:sz w:val="21"/>
          <w:szCs w:val="21"/>
          <w:highlight w:val="none"/>
        </w:rPr>
        <w:t>队伍顺利进入现场工作，协助乙方完成</w:t>
      </w:r>
      <w:r>
        <w:rPr>
          <w:rFonts w:hint="eastAsia"/>
          <w:color w:val="auto"/>
          <w:sz w:val="21"/>
          <w:szCs w:val="21"/>
          <w:highlight w:val="none"/>
        </w:rPr>
        <w:t>探测</w:t>
      </w:r>
      <w:r>
        <w:rPr>
          <w:color w:val="auto"/>
          <w:sz w:val="21"/>
          <w:szCs w:val="21"/>
          <w:highlight w:val="none"/>
        </w:rPr>
        <w:t>资料准备和现场踏勘工作，并对乙方进场人员的工作提供必要的条件。</w:t>
      </w:r>
    </w:p>
    <w:p w14:paraId="1D8012F5">
      <w:pPr>
        <w:spacing w:line="540" w:lineRule="exact"/>
        <w:ind w:firstLine="420" w:firstLineChars="200"/>
        <w:rPr>
          <w:color w:val="auto"/>
          <w:sz w:val="21"/>
          <w:szCs w:val="21"/>
          <w:highlight w:val="none"/>
        </w:rPr>
      </w:pPr>
      <w:r>
        <w:rPr>
          <w:rFonts w:hint="eastAsia"/>
          <w:color w:val="auto"/>
          <w:sz w:val="21"/>
          <w:szCs w:val="21"/>
          <w:highlight w:val="none"/>
        </w:rPr>
        <w:t>3、对乙方提供的技术资料和探测成果，甲方有保密义务。</w:t>
      </w:r>
    </w:p>
    <w:p w14:paraId="51AF111D">
      <w:pPr>
        <w:spacing w:line="480" w:lineRule="auto"/>
        <w:ind w:firstLine="420" w:firstLineChars="200"/>
        <w:rPr>
          <w:rFonts w:ascii="宋体" w:hAnsi="宋体" w:cs="宋体"/>
          <w:color w:val="auto"/>
          <w:sz w:val="21"/>
          <w:szCs w:val="21"/>
          <w:highlight w:val="none"/>
        </w:rPr>
      </w:pPr>
      <w:r>
        <w:rPr>
          <w:rFonts w:hint="eastAsia"/>
          <w:color w:val="auto"/>
          <w:sz w:val="21"/>
          <w:szCs w:val="21"/>
          <w:highlight w:val="none"/>
        </w:rPr>
        <w:t>4、</w:t>
      </w:r>
      <w:r>
        <w:rPr>
          <w:rFonts w:hint="eastAsia" w:ascii="宋体" w:hAnsi="宋体" w:cs="宋体"/>
          <w:color w:val="auto"/>
          <w:sz w:val="21"/>
          <w:szCs w:val="21"/>
          <w:highlight w:val="none"/>
        </w:rPr>
        <w:t>甲方应按照合同约定及时支付探测费用给乙方，甲方迟延支付探测费用超过十个工作日的，每逾期一日按合同总额的2</w:t>
      </w:r>
      <w:r>
        <w:rPr>
          <w:rFonts w:hint="eastAsia" w:ascii="MS Gothic" w:hAnsi="MS Gothic" w:eastAsia="MS Gothic" w:cs="MS Gothic"/>
          <w:color w:val="auto"/>
          <w:sz w:val="21"/>
          <w:szCs w:val="21"/>
          <w:highlight w:val="none"/>
        </w:rPr>
        <w:t>‱</w:t>
      </w:r>
      <w:r>
        <w:rPr>
          <w:rFonts w:hint="eastAsia" w:ascii="宋体" w:hAnsi="宋体" w:cs="宋体"/>
          <w:color w:val="auto"/>
          <w:sz w:val="21"/>
          <w:szCs w:val="21"/>
          <w:highlight w:val="none"/>
        </w:rPr>
        <w:t>向乙方支付违约金。</w:t>
      </w:r>
    </w:p>
    <w:p w14:paraId="3708737C">
      <w:pPr>
        <w:pStyle w:val="3"/>
        <w:spacing w:line="360" w:lineRule="auto"/>
        <w:rPr>
          <w:rFonts w:hint="eastAsia" w:ascii="宋体" w:hAnsi="宋体" w:cs="宋体"/>
          <w:color w:val="auto"/>
          <w:sz w:val="21"/>
          <w:szCs w:val="21"/>
          <w:highlight w:val="none"/>
        </w:rPr>
      </w:pPr>
      <w:bookmarkStart w:id="690" w:name="_Toc2789"/>
      <w:r>
        <w:rPr>
          <w:rFonts w:hint="eastAsia" w:ascii="宋体" w:hAnsi="宋体" w:cs="宋体"/>
          <w:color w:val="auto"/>
          <w:sz w:val="21"/>
          <w:szCs w:val="21"/>
          <w:highlight w:val="none"/>
        </w:rPr>
        <w:t>第四条 乙方的义务</w:t>
      </w:r>
      <w:bookmarkEnd w:id="690"/>
    </w:p>
    <w:p w14:paraId="4096285B">
      <w:pPr>
        <w:spacing w:line="540" w:lineRule="exact"/>
        <w:ind w:firstLine="420" w:firstLineChars="200"/>
        <w:rPr>
          <w:color w:val="auto"/>
          <w:sz w:val="21"/>
          <w:szCs w:val="21"/>
          <w:highlight w:val="none"/>
        </w:rPr>
      </w:pPr>
      <w:r>
        <w:rPr>
          <w:color w:val="auto"/>
          <w:sz w:val="21"/>
          <w:szCs w:val="21"/>
          <w:highlight w:val="none"/>
        </w:rPr>
        <w:t>1、自收到甲方的有关</w:t>
      </w:r>
      <w:r>
        <w:rPr>
          <w:rFonts w:hint="eastAsia"/>
          <w:color w:val="auto"/>
          <w:sz w:val="21"/>
          <w:szCs w:val="21"/>
          <w:highlight w:val="none"/>
        </w:rPr>
        <w:t>资料</w:t>
      </w:r>
      <w:r>
        <w:rPr>
          <w:color w:val="auto"/>
          <w:sz w:val="21"/>
          <w:szCs w:val="21"/>
          <w:highlight w:val="none"/>
        </w:rPr>
        <w:t>之日起</w:t>
      </w:r>
      <w:r>
        <w:rPr>
          <w:color w:val="auto"/>
          <w:sz w:val="21"/>
          <w:szCs w:val="21"/>
          <w:highlight w:val="none"/>
          <w:u w:val="single"/>
        </w:rPr>
        <w:t xml:space="preserve">  3  </w:t>
      </w:r>
      <w:r>
        <w:rPr>
          <w:color w:val="auto"/>
          <w:sz w:val="21"/>
          <w:szCs w:val="21"/>
          <w:highlight w:val="none"/>
        </w:rPr>
        <w:t>日内，乙方应按照</w:t>
      </w:r>
      <w:r>
        <w:rPr>
          <w:rFonts w:hint="eastAsia"/>
          <w:color w:val="auto"/>
          <w:sz w:val="21"/>
          <w:szCs w:val="21"/>
          <w:highlight w:val="none"/>
        </w:rPr>
        <w:t>相关要求</w:t>
      </w:r>
      <w:r>
        <w:rPr>
          <w:color w:val="auto"/>
          <w:sz w:val="21"/>
          <w:szCs w:val="21"/>
          <w:highlight w:val="none"/>
        </w:rPr>
        <w:t>提供服务，开展</w:t>
      </w:r>
      <w:r>
        <w:rPr>
          <w:rFonts w:hint="eastAsia"/>
          <w:color w:val="auto"/>
          <w:sz w:val="21"/>
          <w:szCs w:val="21"/>
          <w:highlight w:val="none"/>
        </w:rPr>
        <w:t>探测</w:t>
      </w:r>
      <w:r>
        <w:rPr>
          <w:color w:val="auto"/>
          <w:sz w:val="21"/>
          <w:szCs w:val="21"/>
          <w:highlight w:val="none"/>
        </w:rPr>
        <w:t>工作，提供技术服务，按时完成项目。</w:t>
      </w:r>
    </w:p>
    <w:p w14:paraId="024D9B30">
      <w:pPr>
        <w:spacing w:line="540" w:lineRule="exact"/>
        <w:ind w:firstLine="420" w:firstLineChars="200"/>
        <w:rPr>
          <w:color w:val="auto"/>
          <w:sz w:val="21"/>
          <w:szCs w:val="21"/>
          <w:highlight w:val="none"/>
        </w:rPr>
      </w:pPr>
      <w:r>
        <w:rPr>
          <w:color w:val="auto"/>
          <w:sz w:val="21"/>
          <w:szCs w:val="21"/>
          <w:highlight w:val="none"/>
        </w:rPr>
        <w:t>2、使用</w:t>
      </w:r>
      <w:r>
        <w:rPr>
          <w:rFonts w:hint="eastAsia" w:ascii="宋体" w:hAnsi="宋体" w:cs="宋体"/>
          <w:color w:val="auto"/>
          <w:kern w:val="0"/>
          <w:sz w:val="21"/>
          <w:szCs w:val="21"/>
          <w:highlight w:val="none"/>
        </w:rPr>
        <w:t>车载三维探地</w:t>
      </w:r>
      <w:r>
        <w:rPr>
          <w:color w:val="auto"/>
          <w:sz w:val="21"/>
          <w:szCs w:val="21"/>
          <w:highlight w:val="none"/>
        </w:rPr>
        <w:t>雷达系统，按期进场作业，仪器设备应满足性能稳定、结构合理、构件牢固可靠、防潮、抗震和绝缘性能良好的要求。仪器设备应定期进行检查、校准和保养。</w:t>
      </w:r>
    </w:p>
    <w:p w14:paraId="2DD7E72D">
      <w:pPr>
        <w:spacing w:line="540" w:lineRule="exact"/>
        <w:ind w:firstLine="420" w:firstLineChars="200"/>
        <w:rPr>
          <w:color w:val="auto"/>
          <w:sz w:val="21"/>
          <w:szCs w:val="21"/>
          <w:highlight w:val="none"/>
        </w:rPr>
      </w:pPr>
      <w:r>
        <w:rPr>
          <w:color w:val="auto"/>
          <w:sz w:val="21"/>
          <w:szCs w:val="21"/>
          <w:highlight w:val="none"/>
        </w:rPr>
        <w:t>3、乙方应当根据</w:t>
      </w:r>
      <w:r>
        <w:rPr>
          <w:rFonts w:hint="eastAsia"/>
          <w:color w:val="auto"/>
          <w:sz w:val="21"/>
          <w:szCs w:val="21"/>
          <w:highlight w:val="none"/>
        </w:rPr>
        <w:t>检测</w:t>
      </w:r>
      <w:r>
        <w:rPr>
          <w:color w:val="auto"/>
          <w:sz w:val="21"/>
          <w:szCs w:val="21"/>
          <w:highlight w:val="none"/>
        </w:rPr>
        <w:t>要求确保</w:t>
      </w:r>
      <w:r>
        <w:rPr>
          <w:rFonts w:hint="eastAsia"/>
          <w:color w:val="auto"/>
          <w:sz w:val="21"/>
          <w:szCs w:val="21"/>
          <w:highlight w:val="none"/>
        </w:rPr>
        <w:t>探测</w:t>
      </w:r>
      <w:r>
        <w:rPr>
          <w:color w:val="auto"/>
          <w:sz w:val="21"/>
          <w:szCs w:val="21"/>
          <w:highlight w:val="none"/>
        </w:rPr>
        <w:t>项目如期完成</w:t>
      </w:r>
      <w:r>
        <w:rPr>
          <w:rFonts w:hint="eastAsia"/>
          <w:color w:val="auto"/>
          <w:sz w:val="21"/>
          <w:szCs w:val="21"/>
          <w:highlight w:val="none"/>
        </w:rPr>
        <w:t>，并提交探测成果报告</w:t>
      </w:r>
      <w:r>
        <w:rPr>
          <w:rFonts w:hint="eastAsia"/>
          <w:color w:val="auto"/>
          <w:sz w:val="21"/>
          <w:szCs w:val="21"/>
          <w:highlight w:val="none"/>
          <w:u w:val="single"/>
        </w:rPr>
        <w:t xml:space="preserve">  贰  </w:t>
      </w:r>
      <w:r>
        <w:rPr>
          <w:rFonts w:hint="eastAsia"/>
          <w:color w:val="auto"/>
          <w:sz w:val="21"/>
          <w:szCs w:val="21"/>
          <w:highlight w:val="none"/>
        </w:rPr>
        <w:t>份。</w:t>
      </w:r>
    </w:p>
    <w:p w14:paraId="73048C10">
      <w:pPr>
        <w:spacing w:line="540" w:lineRule="exact"/>
        <w:ind w:firstLine="420" w:firstLineChars="200"/>
        <w:rPr>
          <w:rFonts w:hint="eastAsia"/>
          <w:color w:val="auto"/>
          <w:sz w:val="21"/>
          <w:szCs w:val="21"/>
          <w:highlight w:val="none"/>
        </w:rPr>
      </w:pPr>
      <w:r>
        <w:rPr>
          <w:color w:val="auto"/>
          <w:sz w:val="21"/>
          <w:szCs w:val="21"/>
          <w:highlight w:val="none"/>
        </w:rPr>
        <w:t>4、乙方组织经验丰富的专业技术人员组成项目组，负责</w:t>
      </w:r>
      <w:r>
        <w:rPr>
          <w:rFonts w:hint="eastAsia"/>
          <w:color w:val="auto"/>
          <w:sz w:val="21"/>
          <w:szCs w:val="21"/>
          <w:highlight w:val="none"/>
        </w:rPr>
        <w:t>探测</w:t>
      </w:r>
      <w:r>
        <w:rPr>
          <w:color w:val="auto"/>
          <w:sz w:val="21"/>
          <w:szCs w:val="21"/>
          <w:highlight w:val="none"/>
        </w:rPr>
        <w:t>测区道路下方的</w:t>
      </w:r>
      <w:r>
        <w:rPr>
          <w:rFonts w:hint="eastAsia"/>
          <w:color w:val="auto"/>
          <w:sz w:val="21"/>
          <w:szCs w:val="21"/>
          <w:highlight w:val="none"/>
        </w:rPr>
        <w:t>道路空洞</w:t>
      </w:r>
      <w:r>
        <w:rPr>
          <w:color w:val="auto"/>
          <w:sz w:val="21"/>
          <w:szCs w:val="21"/>
          <w:highlight w:val="none"/>
        </w:rPr>
        <w:t>，本次</w:t>
      </w:r>
      <w:r>
        <w:rPr>
          <w:rFonts w:hint="eastAsia"/>
          <w:color w:val="auto"/>
          <w:sz w:val="21"/>
          <w:szCs w:val="21"/>
          <w:highlight w:val="none"/>
        </w:rPr>
        <w:t>探测</w:t>
      </w:r>
      <w:r>
        <w:rPr>
          <w:color w:val="auto"/>
          <w:sz w:val="21"/>
          <w:szCs w:val="21"/>
          <w:highlight w:val="none"/>
        </w:rPr>
        <w:t>仅用于发现在</w:t>
      </w:r>
      <w:r>
        <w:rPr>
          <w:rFonts w:hint="eastAsia"/>
          <w:color w:val="auto"/>
          <w:sz w:val="21"/>
          <w:szCs w:val="21"/>
          <w:highlight w:val="none"/>
        </w:rPr>
        <w:t>探测</w:t>
      </w:r>
      <w:r>
        <w:rPr>
          <w:color w:val="auto"/>
          <w:sz w:val="21"/>
          <w:szCs w:val="21"/>
          <w:highlight w:val="none"/>
        </w:rPr>
        <w:t>当时且在有效深度内是否已经存在空洞。</w:t>
      </w:r>
    </w:p>
    <w:p w14:paraId="503B3407">
      <w:pPr>
        <w:spacing w:line="540" w:lineRule="exact"/>
        <w:ind w:firstLine="420" w:firstLineChars="200"/>
        <w:rPr>
          <w:color w:val="auto"/>
          <w:sz w:val="21"/>
          <w:szCs w:val="21"/>
          <w:highlight w:val="none"/>
        </w:rPr>
      </w:pPr>
      <w:r>
        <w:rPr>
          <w:rFonts w:hint="eastAsia"/>
          <w:color w:val="auto"/>
          <w:sz w:val="21"/>
          <w:szCs w:val="21"/>
          <w:highlight w:val="none"/>
        </w:rPr>
        <w:t>5</w:t>
      </w:r>
      <w:r>
        <w:rPr>
          <w:color w:val="auto"/>
          <w:sz w:val="21"/>
          <w:szCs w:val="21"/>
          <w:highlight w:val="none"/>
        </w:rPr>
        <w:t>、允许甲方内部使用乙方为执行本合同所提供的属乙方所有的</w:t>
      </w:r>
      <w:r>
        <w:rPr>
          <w:rFonts w:hint="eastAsia"/>
          <w:color w:val="auto"/>
          <w:sz w:val="21"/>
          <w:szCs w:val="21"/>
          <w:highlight w:val="none"/>
        </w:rPr>
        <w:t>探测</w:t>
      </w:r>
      <w:r>
        <w:rPr>
          <w:color w:val="auto"/>
          <w:sz w:val="21"/>
          <w:szCs w:val="21"/>
          <w:highlight w:val="none"/>
        </w:rPr>
        <w:t>成果。</w:t>
      </w:r>
    </w:p>
    <w:p w14:paraId="5D35D720">
      <w:pPr>
        <w:spacing w:line="540" w:lineRule="exact"/>
        <w:ind w:firstLine="420" w:firstLineChars="200"/>
        <w:rPr>
          <w:color w:val="auto"/>
          <w:sz w:val="21"/>
          <w:szCs w:val="21"/>
          <w:highlight w:val="none"/>
        </w:rPr>
      </w:pPr>
      <w:r>
        <w:rPr>
          <w:rFonts w:hint="eastAsia"/>
          <w:color w:val="auto"/>
          <w:sz w:val="21"/>
          <w:szCs w:val="21"/>
          <w:highlight w:val="none"/>
        </w:rPr>
        <w:t>6</w:t>
      </w:r>
      <w:r>
        <w:rPr>
          <w:color w:val="auto"/>
          <w:sz w:val="21"/>
          <w:szCs w:val="21"/>
          <w:highlight w:val="none"/>
        </w:rPr>
        <w:t>、未经甲方允许，乙方不得将本合同标的全部或部分转包给第三方。</w:t>
      </w:r>
    </w:p>
    <w:p w14:paraId="7165D5C8">
      <w:pPr>
        <w:spacing w:line="540" w:lineRule="exact"/>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、对于甲方提供的图纸和技术资料，乙方有保密义务不得</w:t>
      </w:r>
      <w:r>
        <w:rPr>
          <w:rFonts w:hint="eastAsia"/>
          <w:color w:val="auto"/>
          <w:sz w:val="21"/>
          <w:szCs w:val="21"/>
          <w:highlight w:val="none"/>
        </w:rPr>
        <w:t>用于合同外的其他商业目的或</w:t>
      </w:r>
      <w:r>
        <w:rPr>
          <w:color w:val="auto"/>
          <w:sz w:val="21"/>
          <w:szCs w:val="21"/>
          <w:highlight w:val="none"/>
        </w:rPr>
        <w:t>向第三人转让。</w:t>
      </w:r>
    </w:p>
    <w:p w14:paraId="66E18699">
      <w:pPr>
        <w:pStyle w:val="2"/>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8、乙方保证探测成果报告具有客观、真实和可靠性；对于甲方提出的合理地、有根据的异议，乙方应进行改正或者重做；但因改正和重做造成交付时间的延迟，乙方应承担违约责任。</w:t>
      </w:r>
    </w:p>
    <w:p w14:paraId="3BDC6FB0">
      <w:pPr>
        <w:pStyle w:val="2"/>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9、履行本合同的安全责任由乙方承担，合同有效期内若因乙方原因造成乙方员工或第三人人身、财产损害的，由乙方承担法律责任；若甲方因此承担责任的，有权向乙方全额追偿。</w:t>
      </w:r>
    </w:p>
    <w:p w14:paraId="3DAE3334">
      <w:pPr>
        <w:pStyle w:val="3"/>
        <w:spacing w:line="360" w:lineRule="auto"/>
        <w:rPr>
          <w:rFonts w:hint="eastAsia" w:ascii="宋体" w:hAnsi="宋体" w:cs="宋体"/>
          <w:color w:val="auto"/>
          <w:sz w:val="21"/>
          <w:szCs w:val="21"/>
          <w:highlight w:val="none"/>
        </w:rPr>
      </w:pPr>
      <w:bookmarkStart w:id="691" w:name="_Toc26962"/>
      <w:r>
        <w:rPr>
          <w:rFonts w:hint="eastAsia" w:ascii="宋体" w:hAnsi="宋体" w:cs="宋体"/>
          <w:color w:val="auto"/>
          <w:sz w:val="21"/>
          <w:szCs w:val="21"/>
          <w:highlight w:val="none"/>
        </w:rPr>
        <w:t>第五条 违约责任</w:t>
      </w:r>
      <w:bookmarkEnd w:id="691"/>
    </w:p>
    <w:p w14:paraId="6FB59E45">
      <w:pPr>
        <w:pStyle w:val="2"/>
        <w:tabs>
          <w:tab w:val="left" w:pos="0"/>
          <w:tab w:val="left" w:pos="1050"/>
        </w:tabs>
        <w:spacing w:line="520" w:lineRule="exact"/>
        <w:ind w:firstLine="424" w:firstLineChars="202"/>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乙方未经甲方同意将项目中的部分工作任务分包给第三方，或将项目转包给第三方承担，视为乙方违约，甲方有权要求解除合同且不补偿乙方损失，乙方应无条件交出已完成的所有相关资料</w:t>
      </w:r>
      <w:r>
        <w:rPr>
          <w:rFonts w:hint="eastAsia"/>
          <w:color w:val="auto"/>
          <w:sz w:val="21"/>
          <w:szCs w:val="21"/>
          <w:highlight w:val="none"/>
        </w:rPr>
        <w:t>并承担本合同签约金额3</w:t>
      </w:r>
      <w:r>
        <w:rPr>
          <w:color w:val="auto"/>
          <w:sz w:val="21"/>
          <w:szCs w:val="21"/>
          <w:highlight w:val="none"/>
        </w:rPr>
        <w:t>0</w:t>
      </w:r>
      <w:r>
        <w:rPr>
          <w:rFonts w:hint="eastAsia"/>
          <w:color w:val="auto"/>
          <w:sz w:val="21"/>
          <w:szCs w:val="21"/>
          <w:highlight w:val="none"/>
        </w:rPr>
        <w:t>%的违约金</w:t>
      </w:r>
      <w:r>
        <w:rPr>
          <w:color w:val="auto"/>
          <w:sz w:val="21"/>
          <w:szCs w:val="21"/>
          <w:highlight w:val="none"/>
        </w:rPr>
        <w:t>。</w:t>
      </w:r>
    </w:p>
    <w:p w14:paraId="72B21068">
      <w:pPr>
        <w:pStyle w:val="2"/>
        <w:tabs>
          <w:tab w:val="left" w:pos="0"/>
          <w:tab w:val="left" w:pos="1050"/>
        </w:tabs>
        <w:spacing w:line="520" w:lineRule="exact"/>
        <w:ind w:firstLine="424" w:firstLineChars="202"/>
        <w:rPr>
          <w:rFonts w:hint="eastAsia"/>
          <w:color w:val="auto"/>
          <w:sz w:val="21"/>
          <w:szCs w:val="21"/>
          <w:highlight w:val="none"/>
        </w:rPr>
      </w:pPr>
      <w:r>
        <w:rPr>
          <w:rFonts w:hint="eastAsia"/>
          <w:color w:val="auto"/>
          <w:sz w:val="21"/>
          <w:szCs w:val="21"/>
          <w:highlight w:val="none"/>
        </w:rPr>
        <w:t>2、乙方逾期完成合同任务的，按日向甲方承担本合同签约金额1％的违约金；逾期超过1</w:t>
      </w:r>
      <w:r>
        <w:rPr>
          <w:color w:val="auto"/>
          <w:sz w:val="21"/>
          <w:szCs w:val="21"/>
          <w:highlight w:val="none"/>
        </w:rPr>
        <w:t>0</w:t>
      </w:r>
      <w:r>
        <w:rPr>
          <w:rFonts w:hint="eastAsia"/>
          <w:color w:val="auto"/>
          <w:sz w:val="21"/>
          <w:szCs w:val="21"/>
          <w:highlight w:val="none"/>
        </w:rPr>
        <w:t>天（含本数）以上的，甲方有权解除合同</w:t>
      </w:r>
      <w:r>
        <w:rPr>
          <w:color w:val="auto"/>
          <w:sz w:val="21"/>
          <w:szCs w:val="21"/>
          <w:highlight w:val="none"/>
        </w:rPr>
        <w:t>且不补偿乙方损失</w:t>
      </w:r>
      <w:r>
        <w:rPr>
          <w:rFonts w:hint="eastAsia"/>
          <w:color w:val="auto"/>
          <w:sz w:val="21"/>
          <w:szCs w:val="21"/>
          <w:highlight w:val="none"/>
        </w:rPr>
        <w:t>，</w:t>
      </w:r>
      <w:r>
        <w:rPr>
          <w:color w:val="auto"/>
          <w:sz w:val="21"/>
          <w:szCs w:val="21"/>
          <w:highlight w:val="none"/>
        </w:rPr>
        <w:t>乙方应无条件交出已完成的所有相关资料</w:t>
      </w:r>
      <w:r>
        <w:rPr>
          <w:rFonts w:hint="eastAsia"/>
          <w:color w:val="auto"/>
          <w:sz w:val="21"/>
          <w:szCs w:val="21"/>
          <w:highlight w:val="none"/>
        </w:rPr>
        <w:t>并承担本合同签约金额3</w:t>
      </w:r>
      <w:r>
        <w:rPr>
          <w:color w:val="auto"/>
          <w:sz w:val="21"/>
          <w:szCs w:val="21"/>
          <w:highlight w:val="none"/>
        </w:rPr>
        <w:t>0</w:t>
      </w:r>
      <w:r>
        <w:rPr>
          <w:rFonts w:hint="eastAsia"/>
          <w:color w:val="auto"/>
          <w:sz w:val="21"/>
          <w:szCs w:val="21"/>
          <w:highlight w:val="none"/>
        </w:rPr>
        <w:t>%的违约金</w:t>
      </w:r>
      <w:r>
        <w:rPr>
          <w:color w:val="auto"/>
          <w:sz w:val="21"/>
          <w:szCs w:val="21"/>
          <w:highlight w:val="none"/>
        </w:rPr>
        <w:t>。</w:t>
      </w:r>
    </w:p>
    <w:p w14:paraId="13BA69E4">
      <w:pPr>
        <w:pStyle w:val="2"/>
        <w:tabs>
          <w:tab w:val="left" w:pos="0"/>
          <w:tab w:val="left" w:pos="1050"/>
        </w:tabs>
        <w:spacing w:line="520" w:lineRule="exact"/>
        <w:ind w:firstLine="0"/>
        <w:rPr>
          <w:color w:val="auto"/>
          <w:sz w:val="21"/>
          <w:szCs w:val="21"/>
          <w:highlight w:val="none"/>
        </w:rPr>
      </w:pPr>
      <w:r>
        <w:rPr>
          <w:color w:val="auto"/>
          <w:sz w:val="21"/>
          <w:szCs w:val="21"/>
          <w:highlight w:val="none"/>
        </w:rPr>
        <w:t xml:space="preserve">    3</w:t>
      </w:r>
      <w:r>
        <w:rPr>
          <w:rFonts w:hint="eastAsia"/>
          <w:color w:val="auto"/>
          <w:sz w:val="21"/>
          <w:szCs w:val="21"/>
          <w:highlight w:val="none"/>
        </w:rPr>
        <w:t>、</w:t>
      </w:r>
      <w:r>
        <w:rPr>
          <w:color w:val="auto"/>
          <w:sz w:val="21"/>
          <w:szCs w:val="21"/>
          <w:highlight w:val="none"/>
        </w:rPr>
        <w:t>违约方在接到对方关于违约的通知时，均应当就每一项违约向对方支付相当于合同金额5%的违约金</w:t>
      </w:r>
      <w:r>
        <w:rPr>
          <w:rFonts w:hint="eastAsia"/>
          <w:color w:val="auto"/>
          <w:sz w:val="21"/>
          <w:szCs w:val="21"/>
          <w:highlight w:val="none"/>
        </w:rPr>
        <w:t>（本合同另有约定的除外）</w:t>
      </w:r>
      <w:r>
        <w:rPr>
          <w:color w:val="auto"/>
          <w:sz w:val="21"/>
          <w:szCs w:val="21"/>
          <w:highlight w:val="none"/>
        </w:rPr>
        <w:t>。当违约行为给对方造成损失时，若违约金不足以弥补全部损失，违约方还应当赔偿对方因此所受全部损失。当构成严重违约时，对方可以单方面决定解除或终止合同履行，违约方同时还应当承担违约责任。</w:t>
      </w:r>
    </w:p>
    <w:p w14:paraId="09FD119A">
      <w:pPr>
        <w:pStyle w:val="2"/>
        <w:tabs>
          <w:tab w:val="left" w:pos="0"/>
          <w:tab w:val="left" w:pos="1050"/>
        </w:tabs>
        <w:spacing w:line="520" w:lineRule="exact"/>
        <w:ind w:firstLine="420" w:firstLineChars="200"/>
        <w:rPr>
          <w:color w:val="auto"/>
          <w:sz w:val="21"/>
          <w:szCs w:val="21"/>
          <w:highlight w:val="none"/>
        </w:rPr>
      </w:pPr>
      <w:r>
        <w:rPr>
          <w:rFonts w:hint="eastAsia"/>
          <w:color w:val="auto"/>
          <w:sz w:val="21"/>
          <w:szCs w:val="21"/>
          <w:highlight w:val="none"/>
        </w:rPr>
        <w:t>4、乙方违约，均由乙方承担甲方为维护自身权益而支出的一切费用，包括但不限于律师费、调查费、查档费、诉讼费、保全费、公告费、公证费、邮寄费、差旅费等相关费用</w:t>
      </w:r>
      <w:r>
        <w:rPr>
          <w:color w:val="auto"/>
          <w:sz w:val="21"/>
          <w:szCs w:val="21"/>
          <w:highlight w:val="none"/>
        </w:rPr>
        <w:t>。</w:t>
      </w:r>
    </w:p>
    <w:p w14:paraId="77C5B4E3">
      <w:pPr>
        <w:pStyle w:val="2"/>
        <w:tabs>
          <w:tab w:val="left" w:pos="0"/>
          <w:tab w:val="left" w:pos="1050"/>
        </w:tabs>
        <w:spacing w:line="520" w:lineRule="exact"/>
        <w:ind w:firstLine="420" w:firstLineChars="200"/>
        <w:rPr>
          <w:rFonts w:hint="eastAsia" w:eastAsia="宋体"/>
          <w:color w:val="auto"/>
          <w:sz w:val="21"/>
          <w:szCs w:val="21"/>
          <w:highlight w:val="none"/>
          <w:lang w:val="en-US" w:eastAsia="zh-CN"/>
        </w:rPr>
      </w:pPr>
      <w:r>
        <w:rPr>
          <w:rFonts w:hint="eastAsia"/>
          <w:color w:val="auto"/>
          <w:sz w:val="21"/>
          <w:szCs w:val="21"/>
          <w:highlight w:val="none"/>
          <w:lang w:val="en-US" w:eastAsia="zh-CN"/>
        </w:rPr>
        <w:t>5、本项目招标范围、实施内容及招标金额均为初步估算，最终以甲方在项目实施中确认的实施范围和内容为准。本工程项目如遇政策调整或甲方根据项目进展需要及实际情况等因素，甲方有权减少或调整工程实施范围及工程量等，最终实施范围及工程量，以工程实施中甲方确认的工程实施范围及工程量为准，甲方与乙方按照合同约定的计量计价原则进行支付和结算，乙方对此不持异议且不得提出任何费用索赔。乙方将该因素综合考虑在投标报价中。</w:t>
      </w:r>
    </w:p>
    <w:p w14:paraId="60471BFA">
      <w:pPr>
        <w:pStyle w:val="3"/>
        <w:spacing w:line="360" w:lineRule="auto"/>
        <w:rPr>
          <w:rFonts w:hint="eastAsia" w:ascii="宋体" w:hAnsi="宋体" w:cs="宋体"/>
          <w:color w:val="auto"/>
          <w:sz w:val="21"/>
          <w:szCs w:val="21"/>
          <w:highlight w:val="none"/>
        </w:rPr>
      </w:pPr>
      <w:bookmarkStart w:id="692" w:name="_Toc6237"/>
      <w:r>
        <w:rPr>
          <w:rFonts w:hint="eastAsia" w:ascii="宋体" w:hAnsi="宋体" w:cs="宋体"/>
          <w:color w:val="auto"/>
          <w:sz w:val="21"/>
          <w:szCs w:val="21"/>
          <w:highlight w:val="none"/>
        </w:rPr>
        <w:t>第六条 不可抗力</w:t>
      </w:r>
      <w:bookmarkEnd w:id="692"/>
    </w:p>
    <w:p w14:paraId="3E45BA93">
      <w:pPr>
        <w:spacing w:line="540" w:lineRule="exact"/>
        <w:ind w:firstLine="420" w:firstLineChars="200"/>
        <w:rPr>
          <w:color w:val="auto"/>
          <w:sz w:val="21"/>
          <w:szCs w:val="21"/>
          <w:highlight w:val="none"/>
        </w:rPr>
      </w:pPr>
      <w:r>
        <w:rPr>
          <w:color w:val="auto"/>
          <w:sz w:val="21"/>
          <w:szCs w:val="21"/>
          <w:highlight w:val="none"/>
        </w:rPr>
        <w:t>由于不可抗力，致使合同无法履行时，双方应按有关法律规定及时协商处理。</w:t>
      </w:r>
      <w:r>
        <w:rPr>
          <w:rFonts w:hint="eastAsia"/>
          <w:color w:val="auto"/>
          <w:sz w:val="21"/>
          <w:szCs w:val="21"/>
          <w:highlight w:val="none"/>
        </w:rPr>
        <w:t>不可抗力是指甲、乙双方无法预见、不能避免且不能克服的履行合同条件的变化，如：战争、火灾、台风、洪水、地震、跟</w:t>
      </w:r>
      <w:r>
        <w:rPr>
          <w:color w:val="auto"/>
          <w:sz w:val="21"/>
          <w:szCs w:val="21"/>
          <w:highlight w:val="none"/>
        </w:rPr>
        <w:t>本项目施工</w:t>
      </w:r>
      <w:r>
        <w:rPr>
          <w:rFonts w:hint="eastAsia"/>
          <w:color w:val="auto"/>
          <w:sz w:val="21"/>
          <w:szCs w:val="21"/>
          <w:highlight w:val="none"/>
        </w:rPr>
        <w:t>无关</w:t>
      </w:r>
      <w:r>
        <w:rPr>
          <w:color w:val="auto"/>
          <w:sz w:val="21"/>
          <w:szCs w:val="21"/>
          <w:highlight w:val="none"/>
        </w:rPr>
        <w:t>的</w:t>
      </w:r>
      <w:r>
        <w:rPr>
          <w:rFonts w:hint="eastAsia"/>
          <w:color w:val="auto"/>
          <w:sz w:val="21"/>
          <w:szCs w:val="21"/>
          <w:highlight w:val="none"/>
        </w:rPr>
        <w:t>管道爆管、跟</w:t>
      </w:r>
      <w:r>
        <w:rPr>
          <w:color w:val="auto"/>
          <w:sz w:val="21"/>
          <w:szCs w:val="21"/>
          <w:highlight w:val="none"/>
        </w:rPr>
        <w:t>本项目施工</w:t>
      </w:r>
      <w:r>
        <w:rPr>
          <w:rFonts w:hint="eastAsia"/>
          <w:color w:val="auto"/>
          <w:sz w:val="21"/>
          <w:szCs w:val="21"/>
          <w:highlight w:val="none"/>
        </w:rPr>
        <w:t>无关</w:t>
      </w:r>
      <w:r>
        <w:rPr>
          <w:color w:val="auto"/>
          <w:sz w:val="21"/>
          <w:szCs w:val="21"/>
          <w:highlight w:val="none"/>
        </w:rPr>
        <w:t>的</w:t>
      </w:r>
      <w:r>
        <w:rPr>
          <w:rFonts w:hint="eastAsia"/>
          <w:color w:val="auto"/>
          <w:sz w:val="21"/>
          <w:szCs w:val="21"/>
          <w:highlight w:val="none"/>
        </w:rPr>
        <w:t>地下工程施工事故或其它双方公认为属于不可抗力的原因。</w:t>
      </w:r>
    </w:p>
    <w:p w14:paraId="1923B70E">
      <w:pPr>
        <w:spacing w:line="540" w:lineRule="exact"/>
        <w:ind w:firstLine="420" w:firstLineChars="200"/>
        <w:rPr>
          <w:color w:val="auto"/>
          <w:sz w:val="21"/>
          <w:szCs w:val="21"/>
          <w:highlight w:val="none"/>
        </w:rPr>
      </w:pPr>
      <w:r>
        <w:rPr>
          <w:color w:val="auto"/>
          <w:sz w:val="21"/>
          <w:szCs w:val="21"/>
          <w:highlight w:val="none"/>
        </w:rPr>
        <w:t>本合同执行过程中的未尽事宜，双方应本着实事求是、友好协商的态度加以解决。双方协商一致的，签订补充协议。补充协议与本合同具有同等效力。</w:t>
      </w:r>
    </w:p>
    <w:p w14:paraId="20BF27EE">
      <w:pPr>
        <w:pStyle w:val="3"/>
        <w:spacing w:line="360" w:lineRule="auto"/>
        <w:rPr>
          <w:rFonts w:hint="default" w:ascii="宋体" w:hAnsi="宋体" w:eastAsia="宋体" w:cs="宋体"/>
          <w:color w:val="auto"/>
          <w:sz w:val="21"/>
          <w:szCs w:val="21"/>
          <w:highlight w:val="none"/>
        </w:rPr>
      </w:pPr>
      <w:bookmarkStart w:id="693" w:name="_Toc2356"/>
      <w:r>
        <w:rPr>
          <w:rFonts w:hint="default" w:ascii="宋体" w:hAnsi="宋体" w:eastAsia="宋体" w:cs="宋体"/>
          <w:color w:val="auto"/>
          <w:sz w:val="21"/>
          <w:szCs w:val="21"/>
          <w:highlight w:val="none"/>
        </w:rPr>
        <w:t xml:space="preserve">第七条 </w:t>
      </w:r>
      <w:r>
        <w:rPr>
          <w:rFonts w:hint="default" w:ascii="宋体" w:hAnsi="宋体" w:eastAsia="宋体" w:cs="宋体"/>
          <w:color w:val="auto"/>
          <w:sz w:val="21"/>
          <w:szCs w:val="21"/>
          <w:highlight w:val="none"/>
          <w:lang w:val="en-US" w:eastAsia="zh-CN"/>
        </w:rPr>
        <w:t>履约保证金</w:t>
      </w:r>
    </w:p>
    <w:p w14:paraId="4508A265">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rPr>
        <w:t>履约担保的形式：现金或履约保函；采用保函形式的,保函的开立人应当是具有相应资格的且</w:t>
      </w:r>
      <w:r>
        <w:rPr>
          <w:rFonts w:hint="eastAsia" w:ascii="Times New Roman" w:hAnsi="Times New Roman" w:eastAsia="宋体" w:cs="Times New Roman"/>
          <w:b w:val="0"/>
          <w:color w:val="auto"/>
          <w:kern w:val="2"/>
          <w:sz w:val="21"/>
          <w:szCs w:val="21"/>
          <w:highlight w:val="none"/>
          <w:lang w:eastAsia="zh-CN"/>
        </w:rPr>
        <w:t>甲方</w:t>
      </w:r>
      <w:r>
        <w:rPr>
          <w:rFonts w:hint="default" w:ascii="Times New Roman" w:hAnsi="Times New Roman" w:eastAsia="宋体" w:cs="Times New Roman"/>
          <w:b w:val="0"/>
          <w:color w:val="auto"/>
          <w:kern w:val="2"/>
          <w:sz w:val="21"/>
          <w:szCs w:val="21"/>
          <w:highlight w:val="none"/>
        </w:rPr>
        <w:t>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rPr>
        <w:t>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rPr>
        <w:t>对所提交的保函的真实性、合法性、有效性负责</w:t>
      </w:r>
      <w:r>
        <w:rPr>
          <w:rFonts w:hint="default" w:ascii="Times New Roman" w:hAnsi="Times New Roman" w:eastAsia="宋体" w:cs="Times New Roman"/>
          <w:b w:val="0"/>
          <w:color w:val="auto"/>
          <w:kern w:val="2"/>
          <w:sz w:val="21"/>
          <w:szCs w:val="21"/>
          <w:highlight w:val="none"/>
          <w:lang w:eastAsia="zh-CN"/>
        </w:rPr>
        <w:t>。</w:t>
      </w:r>
    </w:p>
    <w:p w14:paraId="4995E4D2">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lang w:eastAsia="zh-CN"/>
        </w:rPr>
        <w:t>履约保证金的金额：为签约合同价的 10 %。</w:t>
      </w:r>
    </w:p>
    <w:p w14:paraId="3681F857">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lang w:eastAsia="zh-CN"/>
        </w:rPr>
        <w:t>履约保证金的提交时间：合同签订前。</w:t>
      </w:r>
    </w:p>
    <w:p w14:paraId="38D3E959">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lang w:eastAsia="zh-CN"/>
        </w:rPr>
        <w:t>履约保证金的期限：乙方提交合格的成果资料且通过审核并经甲方认可后退还（履约保证金不计算利息）。</w:t>
      </w:r>
    </w:p>
    <w:p w14:paraId="324A9776">
      <w:pPr>
        <w:spacing w:line="5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color w:val="auto"/>
          <w:kern w:val="2"/>
          <w:sz w:val="21"/>
          <w:szCs w:val="21"/>
          <w:highlight w:val="none"/>
          <w:lang w:eastAsia="zh-CN"/>
        </w:rPr>
        <w:t>履约保证金的退还时间：</w:t>
      </w:r>
      <w:r>
        <w:rPr>
          <w:rFonts w:hint="eastAsia" w:ascii="Times New Roman" w:hAnsi="Times New Roman" w:eastAsia="宋体" w:cs="Times New Roman"/>
          <w:b w:val="0"/>
          <w:color w:val="auto"/>
          <w:kern w:val="2"/>
          <w:sz w:val="21"/>
          <w:szCs w:val="21"/>
          <w:highlight w:val="none"/>
          <w:lang w:val="en-US" w:eastAsia="zh-CN"/>
        </w:rPr>
        <w:t xml:space="preserve">① </w:t>
      </w:r>
      <w:r>
        <w:rPr>
          <w:rFonts w:hint="default" w:ascii="Times New Roman" w:hAnsi="Times New Roman" w:eastAsia="宋体" w:cs="Times New Roman"/>
          <w:b w:val="0"/>
          <w:color w:val="auto"/>
          <w:kern w:val="2"/>
          <w:sz w:val="21"/>
          <w:szCs w:val="21"/>
          <w:highlight w:val="none"/>
          <w:lang w:eastAsia="zh-CN"/>
        </w:rPr>
        <w:t>现金担保，合同履行期间</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lang w:eastAsia="zh-CN"/>
        </w:rPr>
        <w:t>无违约，提交合格的成果资料之日起28日内无息退还。</w:t>
      </w:r>
      <w:r>
        <w:rPr>
          <w:rFonts w:hint="eastAsia" w:ascii="Times New Roman" w:hAnsi="Times New Roman" w:eastAsia="宋体" w:cs="Times New Roman"/>
          <w:b w:val="0"/>
          <w:color w:val="auto"/>
          <w:kern w:val="2"/>
          <w:sz w:val="21"/>
          <w:szCs w:val="21"/>
          <w:highlight w:val="none"/>
          <w:lang w:val="en-US" w:eastAsia="zh-CN"/>
        </w:rPr>
        <w:t xml:space="preserve">② </w:t>
      </w:r>
      <w:r>
        <w:rPr>
          <w:rFonts w:hint="default" w:ascii="Times New Roman" w:hAnsi="Times New Roman" w:eastAsia="宋体" w:cs="Times New Roman"/>
          <w:b w:val="0"/>
          <w:color w:val="auto"/>
          <w:kern w:val="2"/>
          <w:sz w:val="21"/>
          <w:szCs w:val="21"/>
          <w:highlight w:val="none"/>
          <w:lang w:eastAsia="zh-CN"/>
        </w:rPr>
        <w:t>保函担保，合同履行期间</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lang w:eastAsia="zh-CN"/>
        </w:rPr>
        <w:t>无违约，提交合格的成果资料之日起 28 日后失效</w:t>
      </w:r>
      <w:r>
        <w:rPr>
          <w:rFonts w:ascii="Times New Roman" w:hAnsi="Times New Roman" w:eastAsia="宋体" w:cs="Times New Roman"/>
          <w:color w:val="auto"/>
          <w:sz w:val="21"/>
          <w:szCs w:val="21"/>
          <w:highlight w:val="none"/>
        </w:rPr>
        <w:t>，</w:t>
      </w:r>
    </w:p>
    <w:p w14:paraId="38198D59">
      <w:pPr>
        <w:pStyle w:val="3"/>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八</w:t>
      </w:r>
      <w:r>
        <w:rPr>
          <w:rFonts w:hint="default" w:ascii="宋体" w:hAnsi="宋体" w:eastAsia="宋体" w:cs="宋体"/>
          <w:color w:val="auto"/>
          <w:sz w:val="21"/>
          <w:szCs w:val="21"/>
          <w:highlight w:val="none"/>
        </w:rPr>
        <w:t>条 争议解决</w:t>
      </w:r>
      <w:bookmarkEnd w:id="693"/>
    </w:p>
    <w:p w14:paraId="13051064">
      <w:pPr>
        <w:spacing w:line="540" w:lineRule="exact"/>
        <w:ind w:firstLine="420" w:firstLineChars="200"/>
        <w:rPr>
          <w:color w:val="auto"/>
          <w:sz w:val="21"/>
          <w:szCs w:val="21"/>
          <w:highlight w:val="none"/>
        </w:rPr>
      </w:pPr>
      <w:r>
        <w:rPr>
          <w:color w:val="auto"/>
          <w:sz w:val="21"/>
          <w:szCs w:val="21"/>
          <w:highlight w:val="none"/>
        </w:rPr>
        <w:t>因本合同发生争议，由双方当事人协商解决或由双方主管部门调解，协商或调解不成的，当事人双方同意可向</w:t>
      </w:r>
      <w:r>
        <w:rPr>
          <w:rFonts w:hint="eastAsia"/>
          <w:color w:val="auto"/>
          <w:sz w:val="21"/>
          <w:szCs w:val="21"/>
          <w:highlight w:val="none"/>
        </w:rPr>
        <w:t>甲方所在</w:t>
      </w:r>
      <w:r>
        <w:rPr>
          <w:color w:val="auto"/>
          <w:sz w:val="21"/>
          <w:szCs w:val="21"/>
          <w:highlight w:val="none"/>
        </w:rPr>
        <w:t>地人民法院起诉。</w:t>
      </w:r>
    </w:p>
    <w:p w14:paraId="26E47012">
      <w:pPr>
        <w:pStyle w:val="2"/>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各方一致确认本合同</w:t>
      </w:r>
      <w:r>
        <w:rPr>
          <w:rFonts w:hint="default" w:ascii="Times New Roman" w:hAnsi="Times New Roman" w:eastAsia="宋体" w:cs="Times New Roman"/>
          <w:color w:val="auto"/>
          <w:sz w:val="21"/>
          <w:szCs w:val="21"/>
          <w:highlight w:val="none"/>
        </w:rPr>
        <w:t>尾部</w:t>
      </w:r>
      <w:r>
        <w:rPr>
          <w:rFonts w:ascii="Times New Roman" w:hAnsi="Times New Roman" w:eastAsia="宋体" w:cs="Times New Roman"/>
          <w:color w:val="auto"/>
          <w:sz w:val="21"/>
          <w:szCs w:val="21"/>
          <w:highlight w:val="none"/>
        </w:rPr>
        <w:t>载明的通信地址及联系方式为各方履行合同义务、解决合同争议时接收其他方文件信函或司法机关（法院、仲裁机构）诉讼、仲裁文书的唯一送达地址及联系方式。一方未填写的，以该方注册地为送达地址；各方按照前述地址送达相关文件的，受送达人拒收亦不影响送达的效力。当面送达的，以被接收方签收之日为送达之日；邮寄方式送达的，以邮件发出之日起第三日为送达之日；任何一方如需变更送达地址的，应以书面形式将变更后的送达地址通知对方，否则前述送达地址仍为有效送达地址。</w:t>
      </w:r>
      <w:r>
        <w:rPr>
          <w:rFonts w:hint="default" w:ascii="Times New Roman" w:hAnsi="Times New Roman" w:eastAsia="宋体" w:cs="Times New Roman"/>
          <w:b w:val="0"/>
          <w:color w:val="auto"/>
          <w:sz w:val="21"/>
          <w:szCs w:val="21"/>
          <w:highlight w:val="none"/>
        </w:rPr>
        <w:t>若通讯地址为空白，则以国家企业信用信息公示系统上查询的住所作为通讯地址。</w:t>
      </w:r>
    </w:p>
    <w:p w14:paraId="0FF6A4D3">
      <w:pPr>
        <w:pStyle w:val="3"/>
        <w:spacing w:line="360" w:lineRule="auto"/>
        <w:rPr>
          <w:rFonts w:hint="eastAsia" w:ascii="宋体" w:hAnsi="宋体" w:cs="宋体"/>
          <w:color w:val="auto"/>
          <w:sz w:val="21"/>
          <w:szCs w:val="21"/>
          <w:highlight w:val="none"/>
        </w:rPr>
      </w:pPr>
      <w:bookmarkStart w:id="694" w:name="_Toc26102"/>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九</w:t>
      </w:r>
      <w:r>
        <w:rPr>
          <w:rFonts w:hint="eastAsia" w:ascii="宋体" w:hAnsi="宋体" w:cs="宋体"/>
          <w:color w:val="auto"/>
          <w:sz w:val="21"/>
          <w:szCs w:val="21"/>
          <w:highlight w:val="none"/>
        </w:rPr>
        <w:t>条 附则</w:t>
      </w:r>
      <w:bookmarkEnd w:id="694"/>
    </w:p>
    <w:p w14:paraId="4A400C84">
      <w:pPr>
        <w:spacing w:line="540" w:lineRule="exact"/>
        <w:ind w:firstLine="420" w:firstLineChars="2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1、本合同由双方盖章即生效。全部成果交接完毕和工程款结清后，本合同终止。</w:t>
      </w:r>
    </w:p>
    <w:p w14:paraId="2E65FB62">
      <w:pPr>
        <w:spacing w:line="540" w:lineRule="exact"/>
        <w:ind w:firstLine="420" w:firstLineChars="200"/>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2、本合同一式</w:t>
      </w:r>
      <w:r>
        <w:rPr>
          <w:rFonts w:hint="default" w:ascii="Times New Roman" w:hAnsi="Times New Roman" w:eastAsia="宋体" w:cs="Times New Roman"/>
          <w:color w:val="auto"/>
          <w:sz w:val="21"/>
          <w:szCs w:val="21"/>
          <w:highlight w:val="none"/>
          <w:u w:val="none"/>
        </w:rPr>
        <w:t>陆</w:t>
      </w:r>
      <w:r>
        <w:rPr>
          <w:rFonts w:ascii="Times New Roman" w:hAnsi="Times New Roman" w:eastAsia="宋体" w:cs="Times New Roman"/>
          <w:color w:val="auto"/>
          <w:sz w:val="21"/>
          <w:szCs w:val="21"/>
          <w:highlight w:val="none"/>
        </w:rPr>
        <w:t>份，甲方</w:t>
      </w:r>
      <w:r>
        <w:rPr>
          <w:rFonts w:hint="default" w:ascii="Times New Roman" w:hAnsi="Times New Roman" w:eastAsia="宋体" w:cs="Times New Roman"/>
          <w:color w:val="auto"/>
          <w:sz w:val="21"/>
          <w:szCs w:val="21"/>
          <w:highlight w:val="none"/>
          <w:u w:val="none"/>
        </w:rPr>
        <w:t>叁</w:t>
      </w:r>
      <w:r>
        <w:rPr>
          <w:rFonts w:ascii="Times New Roman" w:hAnsi="Times New Roman" w:eastAsia="宋体" w:cs="Times New Roman"/>
          <w:color w:val="auto"/>
          <w:sz w:val="21"/>
          <w:szCs w:val="21"/>
          <w:highlight w:val="none"/>
        </w:rPr>
        <w:t>份，乙方</w:t>
      </w:r>
      <w:r>
        <w:rPr>
          <w:rFonts w:hint="default" w:ascii="Times New Roman" w:hAnsi="Times New Roman" w:eastAsia="宋体" w:cs="Times New Roman"/>
          <w:color w:val="auto"/>
          <w:sz w:val="21"/>
          <w:szCs w:val="21"/>
          <w:highlight w:val="none"/>
          <w:u w:val="none"/>
        </w:rPr>
        <w:t>叁</w:t>
      </w:r>
      <w:r>
        <w:rPr>
          <w:rFonts w:ascii="Times New Roman" w:hAnsi="Times New Roman" w:eastAsia="宋体" w:cs="Times New Roman"/>
          <w:color w:val="auto"/>
          <w:sz w:val="21"/>
          <w:szCs w:val="21"/>
          <w:highlight w:val="none"/>
        </w:rPr>
        <w:t>份</w:t>
      </w:r>
      <w:r>
        <w:rPr>
          <w:rFonts w:hint="default" w:ascii="Times New Roman" w:hAnsi="Times New Roman" w:eastAsia="宋体" w:cs="Times New Roman"/>
          <w:color w:val="auto"/>
          <w:sz w:val="21"/>
          <w:szCs w:val="21"/>
          <w:highlight w:val="none"/>
        </w:rPr>
        <w:t>，具有同等法律效力</w:t>
      </w:r>
      <w:r>
        <w:rPr>
          <w:rFonts w:ascii="Times New Roman" w:hAnsi="Times New Roman" w:eastAsia="宋体" w:cs="Times New Roman"/>
          <w:color w:val="auto"/>
          <w:sz w:val="21"/>
          <w:szCs w:val="21"/>
          <w:highlight w:val="none"/>
        </w:rPr>
        <w:t>。</w:t>
      </w:r>
    </w:p>
    <w:p w14:paraId="2B71621D">
      <w:pPr>
        <w:spacing w:line="540" w:lineRule="exact"/>
        <w:ind w:firstLine="420" w:firstLineChars="20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3、本合同正文若出现手写内容，手写内容未经双方盖章确认则无效。本合同载明的委托代理人或经办人未经书面授权，仅代表在本合同签名，其他单方承诺或认可内容无效。</w:t>
      </w:r>
    </w:p>
    <w:p w14:paraId="401FA132">
      <w:pPr>
        <w:spacing w:line="540" w:lineRule="exact"/>
        <w:ind w:firstLine="420" w:firstLineChars="200"/>
        <w:jc w:val="center"/>
        <w:rPr>
          <w:color w:val="auto"/>
          <w:sz w:val="21"/>
          <w:szCs w:val="21"/>
          <w:highlight w:val="none"/>
        </w:rPr>
      </w:pPr>
      <w:r>
        <w:rPr>
          <w:color w:val="auto"/>
          <w:sz w:val="21"/>
          <w:szCs w:val="21"/>
          <w:highlight w:val="none"/>
        </w:rPr>
        <w:t>（以下无正文</w:t>
      </w:r>
      <w:r>
        <w:rPr>
          <w:rFonts w:hint="eastAsia"/>
          <w:color w:val="auto"/>
          <w:sz w:val="21"/>
          <w:szCs w:val="21"/>
          <w:highlight w:val="none"/>
        </w:rPr>
        <w:t>，为签章页</w:t>
      </w:r>
      <w:r>
        <w:rPr>
          <w:color w:val="auto"/>
          <w:sz w:val="21"/>
          <w:szCs w:val="21"/>
          <w:highlight w:val="none"/>
        </w:rPr>
        <w:t>）</w:t>
      </w:r>
    </w:p>
    <w:p w14:paraId="7AA169E3">
      <w:pPr>
        <w:spacing w:line="520" w:lineRule="exact"/>
        <w:rPr>
          <w:rFonts w:ascii="宋体" w:hAnsi="宋体"/>
          <w:color w:val="auto"/>
          <w:sz w:val="21"/>
          <w:szCs w:val="21"/>
          <w:highlight w:val="none"/>
        </w:rPr>
      </w:pPr>
    </w:p>
    <w:p w14:paraId="5DA43535">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委托方（甲方）单位名称：          受托方单位（甲方）名称：</w:t>
      </w:r>
    </w:p>
    <w:p w14:paraId="273B7B74">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p>
    <w:p w14:paraId="644A1EDE">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(盖章)                          (盖章)</w:t>
      </w:r>
    </w:p>
    <w:p w14:paraId="11F02C09">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法定代表人：                     法定代表人：</w:t>
      </w:r>
    </w:p>
    <w:p w14:paraId="4FF332A9">
      <w:pPr>
        <w:spacing w:line="520" w:lineRule="exact"/>
        <w:rPr>
          <w:rFonts w:hint="eastAsia" w:ascii="宋体" w:hAnsi="宋体"/>
          <w:color w:val="auto"/>
          <w:sz w:val="21"/>
          <w:szCs w:val="21"/>
          <w:highlight w:val="none"/>
        </w:rPr>
      </w:pPr>
    </w:p>
    <w:p w14:paraId="3C87D6B2">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或其委托代理人：                或其委托代理人：</w:t>
      </w:r>
    </w:p>
    <w:p w14:paraId="26ED8377">
      <w:pPr>
        <w:spacing w:line="520" w:lineRule="exact"/>
        <w:rPr>
          <w:rFonts w:hint="eastAsia" w:ascii="宋体" w:hAnsi="宋体"/>
          <w:color w:val="auto"/>
          <w:sz w:val="21"/>
          <w:szCs w:val="21"/>
          <w:highlight w:val="none"/>
        </w:rPr>
      </w:pPr>
    </w:p>
    <w:p w14:paraId="691537FE">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经办人：                        经办人：</w:t>
      </w:r>
    </w:p>
    <w:p w14:paraId="2BB96064">
      <w:pPr>
        <w:spacing w:line="520" w:lineRule="exact"/>
        <w:rPr>
          <w:rFonts w:hint="eastAsia" w:ascii="宋体" w:hAnsi="宋体"/>
          <w:color w:val="auto"/>
          <w:sz w:val="21"/>
          <w:szCs w:val="21"/>
          <w:highlight w:val="none"/>
        </w:rPr>
      </w:pPr>
    </w:p>
    <w:p w14:paraId="2EAB4F75">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单位地址：                      单位地址：</w:t>
      </w:r>
    </w:p>
    <w:p w14:paraId="07F79BBD">
      <w:pPr>
        <w:spacing w:line="520" w:lineRule="exact"/>
        <w:ind w:firstLine="1890" w:firstLineChars="900"/>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6BD820AD">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电话：</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电话：</w:t>
      </w:r>
    </w:p>
    <w:p w14:paraId="5F75EF08">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联系人：                        联系人：：</w:t>
      </w:r>
    </w:p>
    <w:p w14:paraId="2A4BA775">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开户名:                         开户名: </w:t>
      </w:r>
    </w:p>
    <w:p w14:paraId="262189AF">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开户银行：                      开户银行：</w:t>
      </w:r>
    </w:p>
    <w:p w14:paraId="4953F0C9">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银行帐号：                      银行帐号：</w:t>
      </w:r>
    </w:p>
    <w:p w14:paraId="30856C44">
      <w:pPr>
        <w:spacing w:line="520" w:lineRule="exact"/>
        <w:rPr>
          <w:rFonts w:hint="eastAsia" w:ascii="宋体" w:hAnsi="宋体"/>
          <w:color w:val="auto"/>
          <w:sz w:val="21"/>
          <w:szCs w:val="21"/>
          <w:highlight w:val="none"/>
        </w:rPr>
      </w:pPr>
    </w:p>
    <w:p w14:paraId="10A587AE">
      <w:pPr>
        <w:spacing w:line="520" w:lineRule="exact"/>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 xml:space="preserve">                签约时间：   年    月    日　　</w:t>
      </w:r>
    </w:p>
    <w:p w14:paraId="4656192B">
      <w:pPr>
        <w:spacing w:line="520" w:lineRule="exact"/>
        <w:rPr>
          <w:rFonts w:ascii="宋体" w:hAnsi="宋体"/>
          <w:b/>
          <w:color w:val="auto"/>
          <w:sz w:val="24"/>
          <w:highlight w:val="none"/>
        </w:rPr>
      </w:pPr>
    </w:p>
    <w:p w14:paraId="56227F14">
      <w:pPr>
        <w:spacing w:line="520" w:lineRule="exact"/>
        <w:rPr>
          <w:rFonts w:ascii="宋体" w:hAnsi="宋体"/>
          <w:b/>
          <w:color w:val="auto"/>
          <w:sz w:val="24"/>
          <w:highlight w:val="none"/>
        </w:rPr>
      </w:pPr>
    </w:p>
    <w:p w14:paraId="1FE5ECB5">
      <w:pPr>
        <w:spacing w:line="520" w:lineRule="exact"/>
        <w:rPr>
          <w:rFonts w:ascii="宋体" w:hAnsi="宋体"/>
          <w:b/>
          <w:color w:val="auto"/>
          <w:sz w:val="24"/>
          <w:highlight w:val="none"/>
        </w:rPr>
      </w:pPr>
    </w:p>
    <w:p w14:paraId="588C6F3F">
      <w:pPr>
        <w:pStyle w:val="2"/>
        <w:rPr>
          <w:rFonts w:hint="eastAsia"/>
          <w:color w:val="auto"/>
          <w:highlight w:val="none"/>
        </w:rPr>
      </w:pPr>
    </w:p>
    <w:p w14:paraId="2A07C197">
      <w:pPr>
        <w:rPr>
          <w:rFonts w:ascii="宋体" w:hAnsi="宋体"/>
          <w:color w:val="auto"/>
          <w:sz w:val="44"/>
          <w:szCs w:val="44"/>
          <w:highlight w:val="none"/>
        </w:rPr>
      </w:pPr>
      <w:r>
        <w:rPr>
          <w:rFonts w:ascii="宋体" w:hAnsi="宋体"/>
          <w:color w:val="auto"/>
          <w:sz w:val="44"/>
          <w:szCs w:val="44"/>
          <w:highlight w:val="none"/>
        </w:rPr>
        <w:br w:type="page"/>
      </w:r>
    </w:p>
    <w:p w14:paraId="43A1CE1A">
      <w:pPr>
        <w:pStyle w:val="2"/>
        <w:rPr>
          <w:color w:val="auto"/>
          <w:highlight w:val="none"/>
        </w:rPr>
      </w:pPr>
    </w:p>
    <w:p w14:paraId="6746B7B9">
      <w:pPr>
        <w:pStyle w:val="3"/>
        <w:spacing w:before="0" w:after="0" w:line="360" w:lineRule="auto"/>
        <w:jc w:val="center"/>
        <w:rPr>
          <w:rFonts w:ascii="宋体" w:hAnsi="宋体"/>
          <w:color w:val="auto"/>
          <w:sz w:val="52"/>
          <w:szCs w:val="52"/>
          <w:highlight w:val="none"/>
        </w:rPr>
      </w:pPr>
      <w:bookmarkStart w:id="695" w:name="招标文件06章图纸"/>
      <w:bookmarkEnd w:id="695"/>
      <w:bookmarkStart w:id="696" w:name="_Toc8804"/>
      <w:bookmarkStart w:id="697" w:name="_Toc57905913"/>
      <w:r>
        <w:rPr>
          <w:rFonts w:hint="eastAsia" w:ascii="宋体" w:hAnsi="宋体"/>
          <w:color w:val="auto"/>
          <w:sz w:val="52"/>
          <w:szCs w:val="52"/>
          <w:highlight w:val="none"/>
        </w:rPr>
        <w:t>第 二 卷</w:t>
      </w:r>
      <w:bookmarkEnd w:id="696"/>
      <w:bookmarkEnd w:id="697"/>
      <w:bookmarkStart w:id="698" w:name="_Toc509218847"/>
      <w:bookmarkStart w:id="699" w:name="_Toc536628344"/>
      <w:bookmarkStart w:id="700" w:name="_Toc536619968"/>
      <w:bookmarkStart w:id="701" w:name="_Toc536620100"/>
      <w:bookmarkStart w:id="702" w:name="_Toc536796986"/>
      <w:bookmarkStart w:id="703" w:name="_Toc13210772"/>
      <w:bookmarkStart w:id="704" w:name="_Toc13211206"/>
      <w:bookmarkStart w:id="705" w:name="_Toc536797255"/>
      <w:bookmarkStart w:id="706" w:name="_Toc536796850"/>
      <w:bookmarkStart w:id="707" w:name="_Toc534185826"/>
      <w:bookmarkStart w:id="708" w:name="_Toc13211764"/>
      <w:bookmarkStart w:id="709" w:name="_Toc536797121"/>
      <w:bookmarkStart w:id="710" w:name="_Toc536621880"/>
      <w:bookmarkStart w:id="711" w:name="_Toc536797390"/>
    </w:p>
    <w:bookmarkEnd w:id="698"/>
    <w:p w14:paraId="0945C0F8">
      <w:pPr>
        <w:rPr>
          <w:color w:val="auto"/>
          <w:highlight w:val="none"/>
        </w:rPr>
      </w:pPr>
      <w:r>
        <w:rPr>
          <w:color w:val="auto"/>
          <w:highlight w:val="none"/>
        </w:rPr>
        <w:br w:type="page"/>
      </w:r>
      <w:bookmarkEnd w:id="699"/>
      <w:bookmarkEnd w:id="700"/>
      <w:bookmarkEnd w:id="701"/>
      <w:bookmarkEnd w:id="702"/>
      <w:bookmarkEnd w:id="703"/>
      <w:bookmarkEnd w:id="704"/>
      <w:bookmarkEnd w:id="705"/>
      <w:bookmarkEnd w:id="706"/>
      <w:bookmarkEnd w:id="707"/>
      <w:bookmarkEnd w:id="708"/>
      <w:bookmarkEnd w:id="709"/>
      <w:bookmarkEnd w:id="710"/>
      <w:bookmarkEnd w:id="711"/>
    </w:p>
    <w:p w14:paraId="4946DFA3">
      <w:pPr>
        <w:pStyle w:val="3"/>
        <w:spacing w:line="360" w:lineRule="auto"/>
        <w:jc w:val="center"/>
        <w:rPr>
          <w:rFonts w:ascii="宋体" w:hAnsi="宋体"/>
          <w:color w:val="auto"/>
          <w:highlight w:val="none"/>
        </w:rPr>
      </w:pPr>
      <w:bookmarkStart w:id="712" w:name="招标文件07章技术标准和要求"/>
      <w:bookmarkEnd w:id="712"/>
      <w:bookmarkStart w:id="713" w:name="_Toc57905914"/>
      <w:bookmarkStart w:id="714" w:name="_Toc17170"/>
      <w:r>
        <w:rPr>
          <w:rFonts w:ascii="宋体" w:hAnsi="宋体"/>
          <w:color w:val="auto"/>
          <w:highlight w:val="none"/>
        </w:rPr>
        <w:t>第</w:t>
      </w:r>
      <w:r>
        <w:rPr>
          <w:rFonts w:hint="eastAsia" w:ascii="宋体" w:hAnsi="宋体"/>
          <w:color w:val="auto"/>
          <w:highlight w:val="none"/>
        </w:rPr>
        <w:t>五</w:t>
      </w:r>
      <w:r>
        <w:rPr>
          <w:rFonts w:ascii="宋体" w:hAnsi="宋体"/>
          <w:color w:val="auto"/>
          <w:highlight w:val="none"/>
        </w:rPr>
        <w:t>章</w:t>
      </w:r>
      <w:r>
        <w:rPr>
          <w:rFonts w:hint="eastAsia" w:ascii="宋体" w:hAnsi="宋体"/>
          <w:color w:val="auto"/>
          <w:highlight w:val="none"/>
        </w:rPr>
        <w:t xml:space="preserve">  </w:t>
      </w:r>
      <w:r>
        <w:rPr>
          <w:rFonts w:ascii="宋体" w:hAnsi="宋体"/>
          <w:color w:val="auto"/>
          <w:highlight w:val="none"/>
        </w:rPr>
        <w:t>技术标准和要求</w:t>
      </w:r>
      <w:bookmarkEnd w:id="713"/>
      <w:bookmarkEnd w:id="714"/>
      <w:bookmarkStart w:id="715" w:name="招标文件07章技术标准和要求01"/>
      <w:bookmarkEnd w:id="715"/>
      <w:bookmarkStart w:id="716" w:name="_Toc430530524"/>
      <w:bookmarkStart w:id="717" w:name="_Toc287620808"/>
    </w:p>
    <w:bookmarkEnd w:id="716"/>
    <w:bookmarkEnd w:id="717"/>
    <w:tbl>
      <w:tblPr>
        <w:tblStyle w:val="46"/>
        <w:tblW w:w="9080" w:type="dxa"/>
        <w:tblInd w:w="96" w:type="dxa"/>
        <w:tblLayout w:type="autofit"/>
        <w:tblCellMar>
          <w:top w:w="0" w:type="dxa"/>
          <w:left w:w="108" w:type="dxa"/>
          <w:bottom w:w="0" w:type="dxa"/>
          <w:right w:w="108" w:type="dxa"/>
        </w:tblCellMar>
      </w:tblPr>
      <w:tblGrid>
        <w:gridCol w:w="887"/>
        <w:gridCol w:w="1638"/>
        <w:gridCol w:w="1638"/>
        <w:gridCol w:w="1638"/>
        <w:gridCol w:w="1638"/>
        <w:gridCol w:w="1641"/>
      </w:tblGrid>
      <w:tr w14:paraId="7190C87C">
        <w:tblPrEx>
          <w:tblCellMar>
            <w:top w:w="0" w:type="dxa"/>
            <w:left w:w="108" w:type="dxa"/>
            <w:bottom w:w="0" w:type="dxa"/>
            <w:right w:w="108" w:type="dxa"/>
          </w:tblCellMar>
        </w:tblPrEx>
        <w:trPr>
          <w:trHeight w:val="483" w:hRule="atLeast"/>
        </w:trPr>
        <w:tc>
          <w:tcPr>
            <w:tcW w:w="9080" w:type="dxa"/>
            <w:gridSpan w:val="6"/>
            <w:tcBorders>
              <w:top w:val="single" w:color="000000" w:sz="4" w:space="0"/>
              <w:left w:val="single" w:color="000000" w:sz="4" w:space="0"/>
              <w:bottom w:val="single" w:color="000000" w:sz="4" w:space="0"/>
              <w:right w:val="nil"/>
            </w:tcBorders>
            <w:shd w:val="clear" w:color="auto" w:fill="auto"/>
            <w:noWrap/>
            <w:vAlign w:val="center"/>
          </w:tcPr>
          <w:p w14:paraId="7CDBB88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附件：</w:t>
            </w:r>
          </w:p>
        </w:tc>
      </w:tr>
      <w:tr w14:paraId="25E723AE">
        <w:tblPrEx>
          <w:tblCellMar>
            <w:top w:w="0" w:type="dxa"/>
            <w:left w:w="108" w:type="dxa"/>
            <w:bottom w:w="0" w:type="dxa"/>
            <w:right w:w="108" w:type="dxa"/>
          </w:tblCellMar>
        </w:tblPrEx>
        <w:trPr>
          <w:trHeight w:val="48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256D">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序号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11DE">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道路名称</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9A7B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起止点</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CD0E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道路长度（km）</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1DD9">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车道数量（条）</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5EB80">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车道长度（km）</w:t>
            </w:r>
          </w:p>
        </w:tc>
      </w:tr>
      <w:tr w14:paraId="2DFF7F02">
        <w:tblPrEx>
          <w:tblCellMar>
            <w:top w:w="0" w:type="dxa"/>
            <w:left w:w="108" w:type="dxa"/>
            <w:bottom w:w="0" w:type="dxa"/>
            <w:right w:w="108" w:type="dxa"/>
          </w:tblCellMar>
        </w:tblPrEx>
        <w:trPr>
          <w:trHeight w:val="759" w:hRule="atLeast"/>
        </w:trPr>
        <w:tc>
          <w:tcPr>
            <w:tcW w:w="9080" w:type="dxa"/>
            <w:gridSpan w:val="6"/>
            <w:tcBorders>
              <w:top w:val="single" w:color="000000" w:sz="4" w:space="0"/>
              <w:left w:val="single" w:color="000000" w:sz="4" w:space="0"/>
              <w:bottom w:val="single" w:color="000000" w:sz="4" w:space="0"/>
              <w:right w:val="nil"/>
            </w:tcBorders>
            <w:shd w:val="clear" w:color="auto" w:fill="auto"/>
            <w:vAlign w:val="center"/>
          </w:tcPr>
          <w:p w14:paraId="3CC887FB">
            <w:pPr>
              <w:widowControl/>
              <w:jc w:val="left"/>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二、弹子石片区</w:t>
            </w:r>
          </w:p>
        </w:tc>
      </w:tr>
      <w:tr w14:paraId="159DC05D">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B08C">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7F8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腾黄路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ECB0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洋人街转盘-黄角湾立交</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CF0D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4F40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5635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6.72</w:t>
            </w:r>
          </w:p>
        </w:tc>
      </w:tr>
      <w:tr w14:paraId="5583FB0F">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FD71">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74A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BK线</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EF6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腾黄路-盘龙花园二期A区断头处</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A2AE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1.255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7A87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FA6E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5.02</w:t>
            </w:r>
          </w:p>
        </w:tc>
      </w:tr>
      <w:tr w14:paraId="70BFF135">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B42C">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912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瑞祥路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2030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318车站-腾龙大道</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11BF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0.426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0C6F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B66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1.704</w:t>
            </w:r>
          </w:p>
        </w:tc>
      </w:tr>
      <w:tr w14:paraId="313DD1A0">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3803">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7A4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98AA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洋人街转盘-弹子石新街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E863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2.96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950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374D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17.76</w:t>
            </w:r>
          </w:p>
        </w:tc>
      </w:tr>
      <w:tr w14:paraId="290DFE8A">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7AC6">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D2A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福民路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1C19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拓展路-黄桷湾公园</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58C4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4DE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5B09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7.6</w:t>
            </w:r>
          </w:p>
        </w:tc>
      </w:tr>
      <w:tr w14:paraId="6DFF8DB1">
        <w:tblPrEx>
          <w:tblCellMar>
            <w:top w:w="0" w:type="dxa"/>
            <w:left w:w="108" w:type="dxa"/>
            <w:bottom w:w="0" w:type="dxa"/>
            <w:right w:w="108" w:type="dxa"/>
          </w:tblCellMar>
        </w:tblPrEx>
        <w:trPr>
          <w:trHeight w:val="93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4C9D">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7A4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腾龙大道延伸段</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ABA3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洋人街转盘-腾龙立交渝航大道匝道入口</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71DB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0.24254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0C3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8</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0EF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1.94032</w:t>
            </w:r>
          </w:p>
        </w:tc>
      </w:tr>
      <w:tr w14:paraId="0AD74E0E">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F76B">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C18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F4C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腾龙大道-南滨路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9F10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1.5378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57B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9EBD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6.1512</w:t>
            </w:r>
          </w:p>
        </w:tc>
      </w:tr>
      <w:tr w14:paraId="64DC9BC2">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502B">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8</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EB3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开泰路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3EAB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腾龙大道-福民路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5376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2.7</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B23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6EB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10.8</w:t>
            </w:r>
          </w:p>
        </w:tc>
      </w:tr>
      <w:tr w14:paraId="63D0AE44">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DA42">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9</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DC6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拓展路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661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腾滨路-小沙溪公园</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F50A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4BD2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8C02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3.36</w:t>
            </w:r>
          </w:p>
        </w:tc>
      </w:tr>
      <w:tr w14:paraId="6214ACBC">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5F7D">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F5B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东西干道</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296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朝天门大桥-黄桷湾</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12F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0.562</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B77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FA80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3.372</w:t>
            </w:r>
          </w:p>
        </w:tc>
      </w:tr>
      <w:tr w14:paraId="1F7B47C6">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9A84">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D63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弹子石新街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D702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群慧路-大石坝</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8DCA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1.22</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24EB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306E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4.88</w:t>
            </w:r>
          </w:p>
        </w:tc>
      </w:tr>
      <w:tr w14:paraId="1979B4F9">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1244">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682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群慧路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D7C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腾龙大道-弹子石新街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22D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6448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5B7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1.96</w:t>
            </w:r>
          </w:p>
        </w:tc>
      </w:tr>
      <w:tr w14:paraId="653F19AB">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7B85">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4F9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卫国路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F1A7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群慧路-南滨路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383F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C7CF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537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3.76</w:t>
            </w:r>
          </w:p>
        </w:tc>
      </w:tr>
      <w:tr w14:paraId="2FDB1F0B">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90F4">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3DD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朝天门大桥引道</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493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朝天门大桥南桥头-腾龙大道</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F152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1.0286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3482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BCD4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2.0572</w:t>
            </w:r>
          </w:p>
        </w:tc>
      </w:tr>
      <w:tr w14:paraId="7B463E1A">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8AFF">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735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上新街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4FE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龙门路-龙黄路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514D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1C2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7EF0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w:t>
            </w:r>
          </w:p>
        </w:tc>
      </w:tr>
      <w:tr w14:paraId="1CC328A2">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F687">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A51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海棠溪新街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FCFE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龙黄路-江南体育中心立交桥</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B810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30A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D9A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r>
      <w:tr w14:paraId="6F03B277">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2C65">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688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御盛路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D60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海棠溪轻轨站-御峰小区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F34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A15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F0D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6.4</w:t>
            </w:r>
          </w:p>
        </w:tc>
      </w:tr>
      <w:tr w14:paraId="754877EA">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A36B">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18</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222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御泰路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F09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海棠溪轻轨站-罗家坝轻轨站</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9E4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914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DC77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1.96</w:t>
            </w:r>
          </w:p>
        </w:tc>
      </w:tr>
      <w:tr w14:paraId="3A826319">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82EF">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19</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D24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盛峰路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9B86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烟雨路-御盛路A段交叉口</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80C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0.39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2AE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B8DF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1.56</w:t>
            </w:r>
          </w:p>
        </w:tc>
      </w:tr>
      <w:tr w14:paraId="1C08B33B">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3250">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217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龙门路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B63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上新街-索道站</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815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0.584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943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265F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1.168</w:t>
            </w:r>
          </w:p>
        </w:tc>
      </w:tr>
      <w:tr w14:paraId="397BC81F">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87B2">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027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涂山路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E54C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上新街-弹广路（大石坝）</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028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4.53</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84F8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CEFB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18.12</w:t>
            </w:r>
          </w:p>
        </w:tc>
      </w:tr>
      <w:tr w14:paraId="07472E4D">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8606">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A6B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慈云路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1D6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重庆市第五人民医院-南滨路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77B5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1.765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23C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4C6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3.53</w:t>
            </w:r>
          </w:p>
        </w:tc>
      </w:tr>
      <w:tr w14:paraId="1E85E878">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E2C6">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5C4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滕江路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8BC0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腾龙大道-南滨路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6B95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0.928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784A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A1D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3.712</w:t>
            </w:r>
          </w:p>
        </w:tc>
      </w:tr>
      <w:tr w14:paraId="1CC5E833">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A459">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3DB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弹广路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663E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大石坝-东海星洲后门</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806F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0.9124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E4FF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BE8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0.9124</w:t>
            </w:r>
          </w:p>
        </w:tc>
      </w:tr>
      <w:tr w14:paraId="3A89AA86">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0A80">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C9B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BK2支路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8F40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BK线-腾黄路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116D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0.37</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E87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9CC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0.74</w:t>
            </w:r>
          </w:p>
        </w:tc>
      </w:tr>
      <w:tr w14:paraId="6D2BC291">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F6FC">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545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文德路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1010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BK线-腾黄路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AD29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0.36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7CD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350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0.72</w:t>
            </w:r>
          </w:p>
        </w:tc>
      </w:tr>
      <w:tr w14:paraId="44692BC9">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A857">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9ED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学苑路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2825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腾龙大道至雅云苑后门</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017A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0.72</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E1DD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08BB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2.88</w:t>
            </w:r>
          </w:p>
        </w:tc>
      </w:tr>
      <w:tr w14:paraId="35D88604">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A2B5">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28</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41B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大佛段正街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B7A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群慧路-弹子石环线轻轨站</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88D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4EAE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B39D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0.49</w:t>
            </w:r>
          </w:p>
        </w:tc>
      </w:tr>
      <w:tr w14:paraId="0C991AA2">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7564">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29</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5DE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文化馆支路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C22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304车站-38中老校区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1B07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EACB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FBAC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w:t>
            </w:r>
          </w:p>
        </w:tc>
      </w:tr>
      <w:tr w14:paraId="21F7318E">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7BA1">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733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前驱路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04A1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上新街-杨家山人行天桥</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D3FD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078C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6AF9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w:t>
            </w:r>
          </w:p>
        </w:tc>
      </w:tr>
      <w:tr w14:paraId="23D06FCD">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9F6C">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381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南坪东路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F73F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响水路口-海棠溪跨线桥</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9FC1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14B4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C320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9.6</w:t>
            </w:r>
          </w:p>
        </w:tc>
      </w:tr>
      <w:tr w14:paraId="38EEE66F">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FB52">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D7D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福红路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F616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南坪东路-宏声路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BF3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0.83</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6439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CC69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3.32</w:t>
            </w:r>
          </w:p>
        </w:tc>
      </w:tr>
      <w:tr w14:paraId="081C93D9">
        <w:tblPrEx>
          <w:tblCellMar>
            <w:top w:w="0" w:type="dxa"/>
            <w:left w:w="108" w:type="dxa"/>
            <w:bottom w:w="0" w:type="dxa"/>
            <w:right w:w="108" w:type="dxa"/>
          </w:tblCellMar>
        </w:tblPrEx>
        <w:trPr>
          <w:trHeight w:val="93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2603">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4A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辅仁路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5BD6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南南路下穿道进口-海棠晓月路口、四海路口</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4DC0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2.86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E878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07BA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11.44</w:t>
            </w:r>
          </w:p>
        </w:tc>
      </w:tr>
      <w:tr w14:paraId="6BF43936">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566C">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227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江南大道（北）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313E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南立交-工贸跨线桥</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A0EF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FCF0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08F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9.4</w:t>
            </w:r>
          </w:p>
        </w:tc>
      </w:tr>
      <w:tr w14:paraId="74E80063">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F6E7">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E8D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江南大道（南）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3A26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响水路口-四公里立交</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44A7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15B9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DA05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5.4</w:t>
            </w:r>
          </w:p>
        </w:tc>
      </w:tr>
      <w:tr w14:paraId="6624AB83">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4388">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92B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宏声路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0E66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南坪东路-南滨路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8F5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627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E5B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r>
      <w:tr w14:paraId="403D72DB">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3EFB">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7C2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响水路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BDC3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南城大道-南坪东路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7586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E17B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BF5A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2.24</w:t>
            </w:r>
          </w:p>
        </w:tc>
      </w:tr>
      <w:tr w14:paraId="349D3061">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E0AD">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38</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76E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晓月路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71C8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南坪东路-南滨路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C60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0.535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F12B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B19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2.14</w:t>
            </w:r>
          </w:p>
        </w:tc>
      </w:tr>
      <w:tr w14:paraId="005AD2AF">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9B5F">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39</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02F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亚太路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378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南铜路口-南坪北路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62D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0.762</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3029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9BEA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3.048</w:t>
            </w:r>
          </w:p>
        </w:tc>
      </w:tr>
      <w:tr w14:paraId="51AFEF2F">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E788">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0B4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烟雨路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18E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江南立交-江南体育馆</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399B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3.22</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DF1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2D6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12.88</w:t>
            </w:r>
          </w:p>
        </w:tc>
      </w:tr>
      <w:tr w14:paraId="4F9591AE">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7FBA">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486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桂花支路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608F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上新街-桂花支路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D05E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0.474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ACC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41AE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0.948</w:t>
            </w:r>
          </w:p>
        </w:tc>
      </w:tr>
      <w:tr w14:paraId="13B3C4C7">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5506">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E09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后堡二支路</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829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后堡21幢-后堡19幢</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501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0.11</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D2F6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79F6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0.22</w:t>
            </w:r>
          </w:p>
        </w:tc>
      </w:tr>
      <w:tr w14:paraId="15F40945">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FCC6">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454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后堡一支路</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6AB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实验幼儿园-后堡4幢</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A92B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0.118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7D80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0A3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0.236</w:t>
            </w:r>
          </w:p>
        </w:tc>
      </w:tr>
      <w:tr w14:paraId="23E4C59A">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8B37">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399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后堡支路</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575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花园酒家-后堡4幢</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239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0.365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4E0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7828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0.73</w:t>
            </w:r>
          </w:p>
        </w:tc>
      </w:tr>
      <w:tr w14:paraId="6D61180F">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5F3D">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47D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海铜路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DB75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南铜路-南坪北路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F97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664F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995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3.54</w:t>
            </w:r>
          </w:p>
        </w:tc>
      </w:tr>
      <w:tr w14:paraId="5714928B">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5D5A">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033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南坪西路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B201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重庆印象-方舟路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73B5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1.03</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D90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C77B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4.12</w:t>
            </w:r>
          </w:p>
        </w:tc>
      </w:tr>
      <w:tr w14:paraId="444D0DEB">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0754">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AF3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南坪新街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219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工行路口-后堡中医院路口</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459D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1.484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5884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50CE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2.968</w:t>
            </w:r>
          </w:p>
        </w:tc>
      </w:tr>
      <w:tr w14:paraId="19DAC539">
        <w:tblPrEx>
          <w:tblCellMar>
            <w:top w:w="0" w:type="dxa"/>
            <w:left w:w="108" w:type="dxa"/>
            <w:bottom w:w="0" w:type="dxa"/>
            <w:right w:w="108" w:type="dxa"/>
          </w:tblCellMar>
        </w:tblPrEx>
        <w:trPr>
          <w:trHeight w:val="94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EDF9">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48</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614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南坪正街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816F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东环路路口-南坪新街南坪实验幼儿园路口</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91B2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0.61</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ED64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3E7F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1.22</w:t>
            </w:r>
          </w:p>
        </w:tc>
      </w:tr>
    </w:tbl>
    <w:p w14:paraId="4AA21E6A">
      <w:pPr>
        <w:pStyle w:val="18"/>
        <w:spacing w:after="0" w:line="500" w:lineRule="exact"/>
        <w:rPr>
          <w:rFonts w:ascii="宋体" w:hAnsi="宋体"/>
          <w:snapToGrid w:val="0"/>
          <w:color w:val="auto"/>
          <w:kern w:val="0"/>
          <w:szCs w:val="21"/>
          <w:highlight w:val="none"/>
        </w:rPr>
      </w:pPr>
    </w:p>
    <w:p w14:paraId="4E826E2B">
      <w:pPr>
        <w:spacing w:line="360" w:lineRule="auto"/>
        <w:rPr>
          <w:rFonts w:ascii="宋体" w:hAnsi="宋体"/>
          <w:color w:val="auto"/>
          <w:highlight w:val="none"/>
        </w:rPr>
      </w:pPr>
      <w:r>
        <w:rPr>
          <w:rFonts w:ascii="宋体" w:hAnsi="宋体"/>
          <w:color w:val="auto"/>
          <w:highlight w:val="none"/>
        </w:rPr>
        <w:br w:type="page"/>
      </w:r>
    </w:p>
    <w:p w14:paraId="577139B9">
      <w:pPr>
        <w:pStyle w:val="3"/>
        <w:spacing w:before="0" w:after="0" w:line="360" w:lineRule="auto"/>
        <w:jc w:val="center"/>
        <w:rPr>
          <w:rFonts w:ascii="宋体" w:hAnsi="宋体"/>
          <w:color w:val="auto"/>
          <w:sz w:val="52"/>
          <w:szCs w:val="52"/>
          <w:highlight w:val="none"/>
        </w:rPr>
      </w:pPr>
      <w:bookmarkStart w:id="718" w:name="_Toc57905915"/>
      <w:bookmarkStart w:id="719" w:name="_Toc534185827"/>
      <w:bookmarkStart w:id="720" w:name="_Toc509218849"/>
      <w:bookmarkStart w:id="721" w:name="_Toc18822"/>
      <w:r>
        <w:rPr>
          <w:rFonts w:ascii="宋体" w:hAnsi="宋体"/>
          <w:color w:val="auto"/>
          <w:sz w:val="52"/>
          <w:szCs w:val="52"/>
          <w:highlight w:val="none"/>
        </w:rPr>
        <w:t xml:space="preserve">第 </w:t>
      </w:r>
      <w:r>
        <w:rPr>
          <w:rFonts w:hint="eastAsia" w:ascii="宋体" w:hAnsi="宋体"/>
          <w:color w:val="auto"/>
          <w:sz w:val="52"/>
          <w:szCs w:val="52"/>
          <w:highlight w:val="none"/>
        </w:rPr>
        <w:t>三</w:t>
      </w:r>
      <w:r>
        <w:rPr>
          <w:rFonts w:ascii="宋体" w:hAnsi="宋体"/>
          <w:color w:val="auto"/>
          <w:sz w:val="52"/>
          <w:szCs w:val="52"/>
          <w:highlight w:val="none"/>
        </w:rPr>
        <w:t xml:space="preserve"> 卷</w:t>
      </w:r>
      <w:bookmarkEnd w:id="718"/>
      <w:bookmarkEnd w:id="719"/>
      <w:bookmarkEnd w:id="720"/>
      <w:bookmarkEnd w:id="721"/>
      <w:bookmarkStart w:id="722" w:name="_Toc536797393"/>
      <w:bookmarkStart w:id="723" w:name="_Toc536619970"/>
      <w:bookmarkStart w:id="724" w:name="_Toc536620102"/>
      <w:bookmarkStart w:id="725" w:name="_Toc536621883"/>
      <w:bookmarkStart w:id="726" w:name="_Toc13211209"/>
      <w:bookmarkStart w:id="727" w:name="_Toc536797258"/>
      <w:bookmarkStart w:id="728" w:name="_Toc536796853"/>
      <w:bookmarkStart w:id="729" w:name="_Toc13210775"/>
      <w:bookmarkStart w:id="730" w:name="_Toc534185828"/>
      <w:bookmarkStart w:id="731" w:name="_Toc536796989"/>
      <w:bookmarkStart w:id="732" w:name="_Toc536628347"/>
      <w:bookmarkStart w:id="733" w:name="_Toc536797124"/>
      <w:bookmarkStart w:id="734" w:name="_Toc13211767"/>
      <w:bookmarkStart w:id="735" w:name="_Toc509218850"/>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14:paraId="09CFE616">
      <w:pPr>
        <w:rPr>
          <w:color w:val="auto"/>
          <w:highlight w:val="none"/>
        </w:rPr>
      </w:pPr>
      <w:r>
        <w:rPr>
          <w:color w:val="auto"/>
          <w:highlight w:val="none"/>
        </w:rPr>
        <w:br w:type="page"/>
      </w:r>
      <w:bookmarkStart w:id="736" w:name="招标文件08章投标文件格式"/>
      <w:bookmarkEnd w:id="736"/>
      <w:bookmarkStart w:id="737" w:name="_Toc287620812"/>
      <w:bookmarkStart w:id="738" w:name="_Toc287607865"/>
    </w:p>
    <w:p w14:paraId="48A76F0A">
      <w:pPr>
        <w:pStyle w:val="3"/>
        <w:spacing w:line="360" w:lineRule="auto"/>
        <w:jc w:val="center"/>
        <w:rPr>
          <w:rFonts w:ascii="宋体" w:hAnsi="宋体"/>
          <w:color w:val="auto"/>
          <w:highlight w:val="none"/>
        </w:rPr>
      </w:pPr>
      <w:bookmarkStart w:id="739" w:name="_Toc534185829"/>
      <w:bookmarkStart w:id="740" w:name="_Toc430530528"/>
      <w:bookmarkStart w:id="741" w:name="_Toc23843"/>
      <w:bookmarkStart w:id="742" w:name="_Toc509218852"/>
      <w:bookmarkStart w:id="743" w:name="_Toc57905916"/>
      <w:r>
        <w:rPr>
          <w:rFonts w:hint="eastAsia" w:ascii="宋体" w:hAnsi="宋体"/>
          <w:color w:val="auto"/>
          <w:highlight w:val="none"/>
        </w:rPr>
        <w:t>第六章  竞选文件格式</w:t>
      </w:r>
      <w:bookmarkEnd w:id="737"/>
      <w:bookmarkEnd w:id="738"/>
      <w:bookmarkEnd w:id="739"/>
      <w:bookmarkEnd w:id="740"/>
      <w:bookmarkEnd w:id="741"/>
      <w:bookmarkEnd w:id="742"/>
      <w:bookmarkEnd w:id="743"/>
    </w:p>
    <w:p w14:paraId="2F5590EC">
      <w:pPr>
        <w:spacing w:line="360" w:lineRule="auto"/>
        <w:rPr>
          <w:rFonts w:ascii="宋体" w:hAnsi="宋体"/>
          <w:color w:val="auto"/>
          <w:sz w:val="32"/>
          <w:szCs w:val="32"/>
          <w:highlight w:val="none"/>
        </w:rPr>
      </w:pPr>
    </w:p>
    <w:p w14:paraId="3D1B8F2F">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744" w:name="_Toc224103493"/>
      <w:r>
        <w:rPr>
          <w:rFonts w:hint="eastAsia" w:ascii="宋体" w:hAnsi="宋体"/>
          <w:color w:val="auto"/>
          <w:sz w:val="36"/>
          <w:szCs w:val="36"/>
          <w:highlight w:val="none"/>
        </w:rPr>
        <w:t>目  录</w:t>
      </w:r>
      <w:bookmarkEnd w:id="744"/>
    </w:p>
    <w:p w14:paraId="26621BE7">
      <w:pPr>
        <w:spacing w:line="360" w:lineRule="auto"/>
        <w:jc w:val="center"/>
        <w:rPr>
          <w:rFonts w:ascii="宋体" w:hAnsi="宋体"/>
          <w:color w:val="auto"/>
          <w:szCs w:val="20"/>
          <w:highlight w:val="none"/>
        </w:rPr>
      </w:pPr>
    </w:p>
    <w:p w14:paraId="4EE5F130">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2A944F5D">
      <w:pPr>
        <w:spacing w:line="360" w:lineRule="auto"/>
        <w:ind w:firstLine="420" w:firstLineChars="200"/>
        <w:rPr>
          <w:rFonts w:ascii="宋体" w:hAnsi="宋体"/>
          <w:color w:val="auto"/>
          <w:highlight w:val="none"/>
        </w:rPr>
      </w:pPr>
      <w:r>
        <w:rPr>
          <w:rFonts w:ascii="宋体" w:hAnsi="宋体"/>
          <w:color w:val="auto"/>
          <w:highlight w:val="none"/>
        </w:rPr>
        <w:t>（一）投标函</w:t>
      </w:r>
    </w:p>
    <w:p w14:paraId="331E0448">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14:paraId="35D1C9F2">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w:t>
      </w:r>
      <w:r>
        <w:rPr>
          <w:rFonts w:hint="eastAsia" w:ascii="宋体" w:hAnsi="宋体"/>
          <w:color w:val="auto"/>
          <w:highlight w:val="none"/>
        </w:rPr>
        <w:t>清单明细报价</w:t>
      </w:r>
    </w:p>
    <w:p w14:paraId="00982303">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、技术部分</w:t>
      </w:r>
    </w:p>
    <w:p w14:paraId="346620CF">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w:t>
      </w:r>
      <w:r>
        <w:rPr>
          <w:rFonts w:hint="eastAsia" w:ascii="宋体" w:hAnsi="宋体"/>
          <w:b/>
          <w:color w:val="auto"/>
          <w:highlight w:val="none"/>
        </w:rPr>
        <w:t>资格审查部分</w:t>
      </w:r>
    </w:p>
    <w:p w14:paraId="6B6197C1">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2DF9A05F">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竞选人</w:t>
      </w:r>
      <w:r>
        <w:rPr>
          <w:rFonts w:ascii="宋体" w:hAnsi="宋体"/>
          <w:color w:val="auto"/>
          <w:highlight w:val="none"/>
        </w:rPr>
        <w:t>基本情况表</w:t>
      </w:r>
    </w:p>
    <w:p w14:paraId="6B7C8745">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378A6F24">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733C6D5B">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4638A20F">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745" w:name="_Toc224103494"/>
      <w:bookmarkStart w:id="746" w:name="_Toc287607866"/>
      <w:bookmarkStart w:id="747" w:name="_Toc287620813"/>
      <w:bookmarkStart w:id="748" w:name="_Toc277082642"/>
      <w:bookmarkStart w:id="749" w:name="_Toc430530529"/>
    </w:p>
    <w:p w14:paraId="69EE0691">
      <w:pPr>
        <w:pStyle w:val="4"/>
        <w:spacing w:line="360" w:lineRule="auto"/>
        <w:jc w:val="center"/>
        <w:rPr>
          <w:rFonts w:ascii="宋体" w:hAnsi="宋体"/>
          <w:b w:val="0"/>
          <w:bCs w:val="0"/>
          <w:color w:val="auto"/>
          <w:sz w:val="44"/>
          <w:szCs w:val="44"/>
          <w:highlight w:val="none"/>
        </w:rPr>
      </w:pPr>
      <w:bookmarkStart w:id="750" w:name="_Toc57905918"/>
      <w:bookmarkStart w:id="751" w:name="_Toc19476"/>
      <w:r>
        <w:rPr>
          <w:rFonts w:hint="eastAsia" w:ascii="宋体" w:hAnsi="宋体"/>
          <w:b w:val="0"/>
          <w:bCs w:val="0"/>
          <w:color w:val="auto"/>
          <w:sz w:val="44"/>
          <w:szCs w:val="44"/>
          <w:highlight w:val="none"/>
        </w:rPr>
        <w:t>一、投标函部分</w:t>
      </w:r>
      <w:bookmarkEnd w:id="745"/>
      <w:bookmarkEnd w:id="746"/>
      <w:bookmarkEnd w:id="747"/>
      <w:bookmarkEnd w:id="748"/>
      <w:bookmarkEnd w:id="749"/>
      <w:bookmarkEnd w:id="750"/>
      <w:bookmarkEnd w:id="751"/>
    </w:p>
    <w:p w14:paraId="18278385">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19F145D8">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473A7CA0">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2CCDE8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495019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2D10EE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2A908B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F20587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C119C9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245662C5">
      <w:pPr>
        <w:autoSpaceDE w:val="0"/>
        <w:autoSpaceDN w:val="0"/>
        <w:adjustRightInd w:val="0"/>
        <w:snapToGrid w:val="0"/>
        <w:spacing w:line="360" w:lineRule="auto"/>
        <w:jc w:val="left"/>
        <w:rPr>
          <w:rFonts w:ascii="宋体" w:hAnsi="宋体"/>
          <w:color w:val="auto"/>
          <w:kern w:val="0"/>
          <w:sz w:val="16"/>
          <w:szCs w:val="16"/>
          <w:highlight w:val="none"/>
        </w:rPr>
      </w:pPr>
    </w:p>
    <w:p w14:paraId="22E0E34F">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315C99A8">
      <w:pPr>
        <w:autoSpaceDE w:val="0"/>
        <w:autoSpaceDN w:val="0"/>
        <w:adjustRightInd w:val="0"/>
        <w:snapToGrid w:val="0"/>
        <w:spacing w:line="360" w:lineRule="auto"/>
        <w:jc w:val="left"/>
        <w:rPr>
          <w:rFonts w:ascii="宋体" w:hAnsi="宋体"/>
          <w:b/>
          <w:color w:val="auto"/>
          <w:kern w:val="0"/>
          <w:sz w:val="20"/>
          <w:szCs w:val="20"/>
          <w:highlight w:val="none"/>
        </w:rPr>
      </w:pPr>
    </w:p>
    <w:p w14:paraId="0C31198A">
      <w:pPr>
        <w:autoSpaceDE w:val="0"/>
        <w:autoSpaceDN w:val="0"/>
        <w:adjustRightInd w:val="0"/>
        <w:snapToGrid w:val="0"/>
        <w:spacing w:line="360" w:lineRule="auto"/>
        <w:jc w:val="left"/>
        <w:rPr>
          <w:rFonts w:ascii="宋体" w:hAnsi="宋体"/>
          <w:b/>
          <w:color w:val="auto"/>
          <w:kern w:val="0"/>
          <w:sz w:val="20"/>
          <w:szCs w:val="20"/>
          <w:highlight w:val="none"/>
        </w:rPr>
      </w:pPr>
    </w:p>
    <w:p w14:paraId="55D589F1">
      <w:pPr>
        <w:autoSpaceDE w:val="0"/>
        <w:autoSpaceDN w:val="0"/>
        <w:adjustRightInd w:val="0"/>
        <w:snapToGrid w:val="0"/>
        <w:spacing w:line="360" w:lineRule="auto"/>
        <w:jc w:val="left"/>
        <w:rPr>
          <w:rFonts w:ascii="宋体" w:hAnsi="宋体"/>
          <w:b/>
          <w:color w:val="auto"/>
          <w:kern w:val="0"/>
          <w:sz w:val="20"/>
          <w:szCs w:val="20"/>
          <w:highlight w:val="none"/>
        </w:rPr>
      </w:pPr>
    </w:p>
    <w:p w14:paraId="305FC0EE">
      <w:pPr>
        <w:autoSpaceDE w:val="0"/>
        <w:autoSpaceDN w:val="0"/>
        <w:adjustRightInd w:val="0"/>
        <w:snapToGrid w:val="0"/>
        <w:spacing w:line="360" w:lineRule="auto"/>
        <w:jc w:val="left"/>
        <w:rPr>
          <w:rFonts w:ascii="宋体" w:hAnsi="宋体"/>
          <w:b/>
          <w:color w:val="auto"/>
          <w:kern w:val="0"/>
          <w:sz w:val="20"/>
          <w:szCs w:val="20"/>
          <w:highlight w:val="none"/>
        </w:rPr>
      </w:pPr>
    </w:p>
    <w:p w14:paraId="0354BBAD">
      <w:pPr>
        <w:autoSpaceDE w:val="0"/>
        <w:autoSpaceDN w:val="0"/>
        <w:adjustRightInd w:val="0"/>
        <w:snapToGrid w:val="0"/>
        <w:spacing w:line="360" w:lineRule="auto"/>
        <w:jc w:val="left"/>
        <w:rPr>
          <w:rFonts w:ascii="宋体" w:hAnsi="宋体"/>
          <w:b/>
          <w:color w:val="auto"/>
          <w:kern w:val="0"/>
          <w:sz w:val="20"/>
          <w:szCs w:val="20"/>
          <w:highlight w:val="none"/>
        </w:rPr>
      </w:pPr>
    </w:p>
    <w:p w14:paraId="7C8EAE47">
      <w:pPr>
        <w:autoSpaceDE w:val="0"/>
        <w:autoSpaceDN w:val="0"/>
        <w:adjustRightInd w:val="0"/>
        <w:snapToGrid w:val="0"/>
        <w:spacing w:line="360" w:lineRule="auto"/>
        <w:jc w:val="left"/>
        <w:rPr>
          <w:rFonts w:ascii="宋体" w:hAnsi="宋体"/>
          <w:b/>
          <w:color w:val="auto"/>
          <w:kern w:val="0"/>
          <w:sz w:val="20"/>
          <w:szCs w:val="20"/>
          <w:highlight w:val="none"/>
        </w:rPr>
      </w:pPr>
    </w:p>
    <w:p w14:paraId="2794D82D">
      <w:pPr>
        <w:autoSpaceDE w:val="0"/>
        <w:autoSpaceDN w:val="0"/>
        <w:adjustRightInd w:val="0"/>
        <w:snapToGrid w:val="0"/>
        <w:spacing w:line="360" w:lineRule="auto"/>
        <w:jc w:val="left"/>
        <w:rPr>
          <w:rFonts w:ascii="宋体" w:hAnsi="宋体"/>
          <w:b/>
          <w:color w:val="auto"/>
          <w:kern w:val="0"/>
          <w:sz w:val="20"/>
          <w:szCs w:val="20"/>
          <w:highlight w:val="none"/>
        </w:rPr>
      </w:pPr>
    </w:p>
    <w:p w14:paraId="7C08D2D6">
      <w:pPr>
        <w:autoSpaceDE w:val="0"/>
        <w:autoSpaceDN w:val="0"/>
        <w:adjustRightInd w:val="0"/>
        <w:snapToGrid w:val="0"/>
        <w:spacing w:line="360" w:lineRule="auto"/>
        <w:jc w:val="left"/>
        <w:rPr>
          <w:rFonts w:ascii="宋体" w:hAnsi="宋体"/>
          <w:b/>
          <w:color w:val="auto"/>
          <w:kern w:val="0"/>
          <w:sz w:val="20"/>
          <w:szCs w:val="20"/>
          <w:highlight w:val="none"/>
        </w:rPr>
      </w:pPr>
    </w:p>
    <w:p w14:paraId="1116B30F">
      <w:pPr>
        <w:autoSpaceDE w:val="0"/>
        <w:autoSpaceDN w:val="0"/>
        <w:adjustRightInd w:val="0"/>
        <w:snapToGrid w:val="0"/>
        <w:spacing w:line="360" w:lineRule="auto"/>
        <w:jc w:val="left"/>
        <w:rPr>
          <w:rFonts w:ascii="宋体" w:hAnsi="宋体"/>
          <w:b/>
          <w:color w:val="auto"/>
          <w:kern w:val="0"/>
          <w:sz w:val="20"/>
          <w:szCs w:val="20"/>
          <w:highlight w:val="none"/>
        </w:rPr>
      </w:pPr>
    </w:p>
    <w:p w14:paraId="45CA9D08">
      <w:pPr>
        <w:autoSpaceDE w:val="0"/>
        <w:autoSpaceDN w:val="0"/>
        <w:adjustRightInd w:val="0"/>
        <w:snapToGrid w:val="0"/>
        <w:spacing w:line="360" w:lineRule="auto"/>
        <w:jc w:val="left"/>
        <w:rPr>
          <w:rFonts w:ascii="宋体" w:hAnsi="宋体"/>
          <w:b/>
          <w:color w:val="auto"/>
          <w:kern w:val="0"/>
          <w:sz w:val="20"/>
          <w:szCs w:val="20"/>
          <w:highlight w:val="none"/>
        </w:rPr>
      </w:pPr>
    </w:p>
    <w:p w14:paraId="51A0AF2E">
      <w:pPr>
        <w:autoSpaceDE w:val="0"/>
        <w:autoSpaceDN w:val="0"/>
        <w:adjustRightInd w:val="0"/>
        <w:snapToGrid w:val="0"/>
        <w:spacing w:line="360" w:lineRule="auto"/>
        <w:jc w:val="left"/>
        <w:rPr>
          <w:rFonts w:ascii="宋体" w:hAnsi="宋体"/>
          <w:b/>
          <w:color w:val="auto"/>
          <w:kern w:val="0"/>
          <w:sz w:val="20"/>
          <w:szCs w:val="20"/>
          <w:highlight w:val="none"/>
        </w:rPr>
      </w:pPr>
    </w:p>
    <w:p w14:paraId="726A1D10">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55C6DE1">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6266FE3">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3D526BB">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50B9BB60">
      <w:pPr>
        <w:autoSpaceDE w:val="0"/>
        <w:autoSpaceDN w:val="0"/>
        <w:adjustRightInd w:val="0"/>
        <w:snapToGrid w:val="0"/>
        <w:spacing w:line="360" w:lineRule="auto"/>
        <w:jc w:val="left"/>
        <w:rPr>
          <w:rFonts w:ascii="宋体" w:hAnsi="宋体"/>
          <w:color w:val="auto"/>
          <w:kern w:val="0"/>
          <w:sz w:val="24"/>
          <w:szCs w:val="21"/>
          <w:highlight w:val="none"/>
        </w:rPr>
      </w:pPr>
    </w:p>
    <w:p w14:paraId="37C3305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6937F3B1">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二</w:t>
      </w:r>
      <w:r>
        <w:rPr>
          <w:rFonts w:ascii="宋体" w:hAnsi="宋体"/>
          <w:color w:val="auto"/>
          <w:kern w:val="0"/>
          <w:sz w:val="24"/>
          <w:highlight w:val="none"/>
        </w:rPr>
        <w:t>）</w:t>
      </w:r>
      <w:r>
        <w:rPr>
          <w:rFonts w:hint="eastAsia" w:ascii="宋体" w:hAnsi="宋体"/>
          <w:color w:val="auto"/>
          <w:kern w:val="0"/>
          <w:sz w:val="24"/>
          <w:highlight w:val="none"/>
        </w:rPr>
        <w:t>法定代表人身份证明或附有法定代表人身份证明的授权委托书</w:t>
      </w:r>
    </w:p>
    <w:p w14:paraId="201CBB20">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三</w:t>
      </w:r>
      <w:r>
        <w:rPr>
          <w:rFonts w:ascii="宋体" w:hAnsi="宋体"/>
          <w:color w:val="auto"/>
          <w:kern w:val="0"/>
          <w:sz w:val="24"/>
          <w:highlight w:val="none"/>
        </w:rPr>
        <w:t>）</w:t>
      </w:r>
      <w:r>
        <w:rPr>
          <w:rFonts w:hint="eastAsia" w:ascii="宋体" w:hAnsi="宋体"/>
          <w:color w:val="auto"/>
          <w:kern w:val="0"/>
          <w:sz w:val="24"/>
          <w:highlight w:val="none"/>
        </w:rPr>
        <w:t>清单明细报价</w:t>
      </w:r>
    </w:p>
    <w:p w14:paraId="05B3D6E0">
      <w:pPr>
        <w:autoSpaceDE w:val="0"/>
        <w:autoSpaceDN w:val="0"/>
        <w:adjustRightInd w:val="0"/>
        <w:spacing w:line="360" w:lineRule="auto"/>
        <w:ind w:firstLine="480" w:firstLineChars="200"/>
        <w:jc w:val="left"/>
        <w:rPr>
          <w:rFonts w:ascii="宋体" w:hAnsi="宋体"/>
          <w:color w:val="auto"/>
          <w:kern w:val="0"/>
          <w:sz w:val="24"/>
          <w:highlight w:val="none"/>
        </w:rPr>
      </w:pPr>
    </w:p>
    <w:p w14:paraId="62007C20">
      <w:pPr>
        <w:autoSpaceDE w:val="0"/>
        <w:autoSpaceDN w:val="0"/>
        <w:adjustRightInd w:val="0"/>
        <w:snapToGrid w:val="0"/>
        <w:spacing w:line="360" w:lineRule="auto"/>
        <w:jc w:val="left"/>
        <w:rPr>
          <w:rFonts w:ascii="宋体" w:hAnsi="宋体"/>
          <w:color w:val="auto"/>
          <w:w w:val="99"/>
          <w:kern w:val="0"/>
          <w:sz w:val="28"/>
          <w:szCs w:val="28"/>
          <w:highlight w:val="none"/>
        </w:rPr>
      </w:pPr>
    </w:p>
    <w:p w14:paraId="7B3FAC06">
      <w:pPr>
        <w:pStyle w:val="5"/>
        <w:spacing w:before="0" w:after="0" w:line="400" w:lineRule="exact"/>
        <w:jc w:val="center"/>
        <w:rPr>
          <w:rFonts w:ascii="宋体" w:hAnsi="宋体"/>
          <w:b w:val="0"/>
          <w:color w:val="auto"/>
          <w:highlight w:val="none"/>
        </w:rPr>
      </w:pPr>
      <w:bookmarkStart w:id="752" w:name="_Toc534185831"/>
      <w:bookmarkStart w:id="753" w:name="_Toc430530530"/>
      <w:bookmarkStart w:id="754" w:name="_Toc287607867"/>
      <w:bookmarkStart w:id="755" w:name="_Toc224103495"/>
      <w:bookmarkStart w:id="756" w:name="_Toc287620814"/>
      <w:bookmarkStart w:id="757" w:name="_Toc509218854"/>
      <w:bookmarkStart w:id="758" w:name="_Toc277082643"/>
      <w:r>
        <w:rPr>
          <w:rFonts w:ascii="宋体" w:hAnsi="宋体"/>
          <w:color w:val="auto"/>
          <w:highlight w:val="none"/>
        </w:rPr>
        <w:br w:type="page"/>
      </w:r>
      <w:bookmarkStart w:id="759" w:name="_Toc26071"/>
      <w:bookmarkStart w:id="760" w:name="_Toc57905919"/>
      <w:r>
        <w:rPr>
          <w:rFonts w:hint="eastAsia"/>
          <w:color w:val="auto"/>
          <w:highlight w:val="none"/>
        </w:rPr>
        <w:t>（一）投标函</w:t>
      </w:r>
      <w:bookmarkEnd w:id="752"/>
      <w:bookmarkEnd w:id="753"/>
      <w:bookmarkEnd w:id="754"/>
      <w:bookmarkEnd w:id="755"/>
      <w:bookmarkEnd w:id="756"/>
      <w:bookmarkEnd w:id="757"/>
      <w:bookmarkEnd w:id="758"/>
      <w:bookmarkEnd w:id="759"/>
      <w:bookmarkEnd w:id="760"/>
    </w:p>
    <w:p w14:paraId="55363C7A">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289F7D05">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竞选总报价</w:t>
      </w:r>
      <w:r>
        <w:rPr>
          <w:rFonts w:ascii="宋体" w:hAnsi="宋体"/>
          <w:snapToGrid w:val="0"/>
          <w:color w:val="auto"/>
          <w:kern w:val="0"/>
          <w:szCs w:val="21"/>
          <w:highlight w:val="none"/>
        </w:rPr>
        <w:t>进行报价，该工程</w:t>
      </w:r>
      <w:r>
        <w:rPr>
          <w:color w:val="auto"/>
          <w:spacing w:val="-10"/>
          <w:szCs w:val="21"/>
          <w:highlight w:val="none"/>
        </w:rPr>
        <w:t>项目负责人</w:t>
      </w:r>
      <w:r>
        <w:rPr>
          <w:rFonts w:ascii="宋体" w:hAnsi="宋体"/>
          <w:snapToGrid w:val="0"/>
          <w:color w:val="auto"/>
          <w:kern w:val="0"/>
          <w:highlight w:val="none"/>
        </w:rPr>
        <w:t>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达到竞选文件的要求</w:t>
      </w:r>
      <w:r>
        <w:rPr>
          <w:rFonts w:ascii="宋体" w:hAnsi="宋体"/>
          <w:snapToGrid w:val="0"/>
          <w:color w:val="auto"/>
          <w:kern w:val="0"/>
          <w:szCs w:val="21"/>
          <w:highlight w:val="none"/>
        </w:rPr>
        <w:t>，服务质量达到</w:t>
      </w:r>
      <w:r>
        <w:rPr>
          <w:rFonts w:hint="eastAsia" w:ascii="宋体" w:hAnsi="宋体"/>
          <w:snapToGrid w:val="0"/>
          <w:color w:val="auto"/>
          <w:kern w:val="0"/>
          <w:szCs w:val="21"/>
          <w:highlight w:val="none"/>
        </w:rPr>
        <w:t>竞选文件的要求</w:t>
      </w:r>
      <w:r>
        <w:rPr>
          <w:rFonts w:ascii="宋体" w:hAnsi="宋体"/>
          <w:snapToGrid w:val="0"/>
          <w:color w:val="auto"/>
          <w:kern w:val="0"/>
          <w:szCs w:val="21"/>
          <w:highlight w:val="none"/>
        </w:rPr>
        <w:t>，按合同约定完成检测工作。</w:t>
      </w:r>
    </w:p>
    <w:p w14:paraId="3BB4D9C0">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响应竞选文件规定的投标有效期，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615A95CC">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3C4DD145">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3C14F98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18C9C97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3071CC7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规定向你方递交履约担保。</w:t>
      </w:r>
    </w:p>
    <w:p w14:paraId="00DE6BA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632F927A">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rPr>
        <w:t>竞选人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B29E47D">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29AEA24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D60552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36F287E4">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C77DE27">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D16356E">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7BBB715">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558F99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BE220A3">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1720324">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D16F834">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6CF54139">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7881D0FB">
      <w:pPr>
        <w:pStyle w:val="5"/>
        <w:jc w:val="center"/>
        <w:rPr>
          <w:rFonts w:ascii="宋体" w:hAnsi="宋体"/>
          <w:b w:val="0"/>
          <w:snapToGrid w:val="0"/>
          <w:color w:val="auto"/>
          <w:kern w:val="0"/>
          <w:sz w:val="30"/>
          <w:szCs w:val="30"/>
          <w:highlight w:val="none"/>
        </w:rPr>
      </w:pPr>
      <w:bookmarkStart w:id="761" w:name="_Toc277082644"/>
      <w:bookmarkStart w:id="762" w:name="_Toc430530531"/>
      <w:bookmarkStart w:id="763" w:name="_Toc287607868"/>
      <w:bookmarkStart w:id="764" w:name="_Toc224103496"/>
      <w:bookmarkStart w:id="765" w:name="_Toc287620815"/>
      <w:r>
        <w:rPr>
          <w:rFonts w:ascii="宋体" w:hAnsi="宋体"/>
          <w:color w:val="auto"/>
          <w:sz w:val="28"/>
          <w:highlight w:val="none"/>
        </w:rPr>
        <w:br w:type="page"/>
      </w:r>
      <w:bookmarkEnd w:id="761"/>
      <w:bookmarkEnd w:id="762"/>
      <w:bookmarkEnd w:id="763"/>
      <w:bookmarkEnd w:id="764"/>
      <w:bookmarkEnd w:id="765"/>
      <w:bookmarkStart w:id="766" w:name="_Toc287620816"/>
      <w:bookmarkStart w:id="767" w:name="_Toc277082645"/>
      <w:bookmarkStart w:id="768" w:name="_Toc57905921"/>
      <w:bookmarkStart w:id="769" w:name="_Toc8650"/>
      <w:bookmarkStart w:id="770" w:name="_Toc430530532"/>
      <w:bookmarkStart w:id="771" w:name="_Toc224103497"/>
      <w:bookmarkStart w:id="772" w:name="_Toc287607869"/>
      <w:r>
        <w:rPr>
          <w:color w:val="auto"/>
          <w:sz w:val="30"/>
          <w:szCs w:val="30"/>
          <w:highlight w:val="none"/>
        </w:rPr>
        <w:t>（</w:t>
      </w:r>
      <w:r>
        <w:rPr>
          <w:rFonts w:hint="eastAsia"/>
          <w:color w:val="auto"/>
          <w:sz w:val="30"/>
          <w:szCs w:val="30"/>
          <w:highlight w:val="none"/>
        </w:rPr>
        <w:t>二</w:t>
      </w:r>
      <w:r>
        <w:rPr>
          <w:color w:val="auto"/>
          <w:sz w:val="30"/>
          <w:szCs w:val="30"/>
          <w:highlight w:val="none"/>
        </w:rPr>
        <w:t>）</w:t>
      </w:r>
      <w:r>
        <w:rPr>
          <w:rFonts w:hint="eastAsia"/>
          <w:color w:val="auto"/>
          <w:sz w:val="30"/>
          <w:szCs w:val="30"/>
          <w:highlight w:val="none"/>
        </w:rPr>
        <w:t>法定代表人身份证明或附有法定代表人身份证明的授权委托书</w:t>
      </w:r>
      <w:bookmarkEnd w:id="766"/>
      <w:bookmarkEnd w:id="767"/>
      <w:bookmarkEnd w:id="768"/>
      <w:bookmarkEnd w:id="769"/>
      <w:bookmarkEnd w:id="770"/>
      <w:bookmarkEnd w:id="771"/>
      <w:bookmarkEnd w:id="772"/>
    </w:p>
    <w:p w14:paraId="1071091D">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118D544">
      <w:pPr>
        <w:spacing w:line="480" w:lineRule="auto"/>
        <w:jc w:val="center"/>
        <w:rPr>
          <w:rFonts w:ascii="宋体" w:hAnsi="宋体"/>
          <w:color w:val="auto"/>
          <w:highlight w:val="none"/>
        </w:rPr>
      </w:pPr>
    </w:p>
    <w:p w14:paraId="7308E0DC">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F63085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D688B7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2045518">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0BEA2B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4C89F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B65AEE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4868F05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0190FE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0D8B191">
      <w:pPr>
        <w:pStyle w:val="18"/>
        <w:spacing w:after="0" w:line="360" w:lineRule="auto"/>
        <w:rPr>
          <w:rFonts w:ascii="宋体" w:hAnsi="宋体"/>
          <w:color w:val="auto"/>
          <w:szCs w:val="21"/>
          <w:highlight w:val="none"/>
        </w:rPr>
      </w:pPr>
    </w:p>
    <w:p w14:paraId="21FC7338">
      <w:pPr>
        <w:pStyle w:val="18"/>
        <w:spacing w:after="0" w:line="360" w:lineRule="auto"/>
        <w:rPr>
          <w:rFonts w:ascii="宋体" w:hAnsi="宋体"/>
          <w:color w:val="auto"/>
          <w:szCs w:val="21"/>
          <w:highlight w:val="none"/>
        </w:rPr>
      </w:pPr>
    </w:p>
    <w:p w14:paraId="335B5B93">
      <w:pPr>
        <w:pStyle w:val="18"/>
        <w:spacing w:after="0" w:line="360" w:lineRule="auto"/>
        <w:rPr>
          <w:rFonts w:ascii="宋体" w:hAnsi="宋体"/>
          <w:color w:val="auto"/>
          <w:szCs w:val="21"/>
          <w:highlight w:val="none"/>
        </w:rPr>
      </w:pPr>
    </w:p>
    <w:p w14:paraId="44C2824D">
      <w:pPr>
        <w:pStyle w:val="18"/>
        <w:spacing w:after="0" w:line="360" w:lineRule="auto"/>
        <w:rPr>
          <w:rFonts w:ascii="宋体" w:hAnsi="宋体"/>
          <w:color w:val="auto"/>
          <w:szCs w:val="21"/>
          <w:highlight w:val="none"/>
        </w:rPr>
      </w:pPr>
    </w:p>
    <w:p w14:paraId="4ECE3FE6">
      <w:pPr>
        <w:pStyle w:val="18"/>
        <w:spacing w:after="0" w:line="360" w:lineRule="auto"/>
        <w:rPr>
          <w:rFonts w:ascii="宋体" w:hAnsi="宋体"/>
          <w:color w:val="auto"/>
          <w:szCs w:val="21"/>
          <w:highlight w:val="none"/>
        </w:rPr>
      </w:pPr>
    </w:p>
    <w:p w14:paraId="40C015B7">
      <w:pPr>
        <w:pStyle w:val="18"/>
        <w:spacing w:after="0" w:line="360" w:lineRule="auto"/>
        <w:rPr>
          <w:rFonts w:ascii="宋体" w:hAnsi="宋体"/>
          <w:color w:val="auto"/>
          <w:szCs w:val="21"/>
          <w:highlight w:val="none"/>
        </w:rPr>
      </w:pPr>
    </w:p>
    <w:p w14:paraId="003F9DA3">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4DD56F8">
      <w:pPr>
        <w:autoSpaceDE w:val="0"/>
        <w:autoSpaceDN w:val="0"/>
        <w:adjustRightInd w:val="0"/>
        <w:snapToGrid w:val="0"/>
        <w:spacing w:line="480" w:lineRule="auto"/>
        <w:jc w:val="left"/>
        <w:rPr>
          <w:rFonts w:ascii="宋体" w:hAnsi="宋体"/>
          <w:color w:val="auto"/>
          <w:kern w:val="0"/>
          <w:sz w:val="20"/>
          <w:szCs w:val="20"/>
          <w:highlight w:val="none"/>
        </w:rPr>
      </w:pPr>
    </w:p>
    <w:p w14:paraId="688DE24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B630398">
      <w:pPr>
        <w:autoSpaceDE w:val="0"/>
        <w:autoSpaceDN w:val="0"/>
        <w:adjustRightInd w:val="0"/>
        <w:snapToGrid w:val="0"/>
        <w:spacing w:line="360" w:lineRule="auto"/>
        <w:jc w:val="left"/>
        <w:rPr>
          <w:rFonts w:ascii="宋体" w:hAnsi="宋体"/>
          <w:color w:val="auto"/>
          <w:kern w:val="0"/>
          <w:highlight w:val="none"/>
        </w:rPr>
      </w:pPr>
    </w:p>
    <w:p w14:paraId="5906FDBA">
      <w:pPr>
        <w:autoSpaceDE w:val="0"/>
        <w:autoSpaceDN w:val="0"/>
        <w:adjustRightInd w:val="0"/>
        <w:snapToGrid w:val="0"/>
        <w:spacing w:line="360" w:lineRule="auto"/>
        <w:jc w:val="left"/>
        <w:rPr>
          <w:rFonts w:ascii="宋体" w:hAnsi="宋体"/>
          <w:color w:val="auto"/>
          <w:kern w:val="0"/>
          <w:highlight w:val="none"/>
        </w:rPr>
      </w:pPr>
    </w:p>
    <w:p w14:paraId="6735264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F86EAF6">
      <w:pPr>
        <w:autoSpaceDE w:val="0"/>
        <w:autoSpaceDN w:val="0"/>
        <w:adjustRightInd w:val="0"/>
        <w:snapToGrid w:val="0"/>
        <w:spacing w:line="360" w:lineRule="auto"/>
        <w:jc w:val="left"/>
        <w:rPr>
          <w:rFonts w:ascii="宋体" w:hAnsi="宋体"/>
          <w:color w:val="auto"/>
          <w:kern w:val="0"/>
          <w:highlight w:val="none"/>
        </w:rPr>
      </w:pPr>
    </w:p>
    <w:p w14:paraId="11DE8A8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4E8D6EE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42458BE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7A13D22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25308D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0622759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3FA4810">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F298C5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296640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20F01E9">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B6C2034">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7B41361">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7FF6D78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2A56A9F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ED74CF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67E88D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E887E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F9F892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F1FC5F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FC2812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F70E66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780AD7F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5DBA412E">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7EF35B1">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13948E08">
      <w:pPr>
        <w:pStyle w:val="5"/>
        <w:spacing w:before="0" w:after="0" w:line="400" w:lineRule="exact"/>
        <w:jc w:val="center"/>
        <w:rPr>
          <w:rFonts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3.授权委托书</w:t>
      </w:r>
      <w:r>
        <w:rPr>
          <w:rFonts w:ascii="宋体" w:hAnsi="宋体"/>
          <w:b w:val="0"/>
          <w:bCs w:val="0"/>
          <w:color w:val="auto"/>
          <w:kern w:val="0"/>
          <w:sz w:val="21"/>
          <w:szCs w:val="21"/>
          <w:highlight w:val="none"/>
        </w:rPr>
        <w:t>需按上述格式填写完整，不可缺少内容。在此基础上增加内容的不影响其有效性。</w:t>
      </w:r>
    </w:p>
    <w:p w14:paraId="33070202">
      <w:pPr>
        <w:pStyle w:val="5"/>
        <w:spacing w:before="0" w:after="156" w:afterLines="50" w:line="400" w:lineRule="exact"/>
        <w:jc w:val="center"/>
        <w:rPr>
          <w:rFonts w:ascii="宋体" w:hAnsi="宋体"/>
          <w:b w:val="0"/>
          <w:color w:val="auto"/>
          <w:highlight w:val="none"/>
        </w:rPr>
      </w:pPr>
      <w:r>
        <w:rPr>
          <w:rFonts w:ascii="宋体" w:hAnsi="宋体"/>
          <w:b w:val="0"/>
          <w:bCs w:val="0"/>
          <w:color w:val="auto"/>
          <w:kern w:val="0"/>
          <w:sz w:val="21"/>
          <w:szCs w:val="21"/>
          <w:highlight w:val="none"/>
        </w:rPr>
        <w:br w:type="column"/>
      </w:r>
      <w:r>
        <w:rPr>
          <w:rFonts w:hint="eastAsia"/>
          <w:color w:val="auto"/>
          <w:highlight w:val="none"/>
        </w:rPr>
        <w:t>（三）清单报价明细</w:t>
      </w:r>
    </w:p>
    <w:tbl>
      <w:tblPr>
        <w:tblStyle w:val="46"/>
        <w:tblW w:w="962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85"/>
        <w:gridCol w:w="1867"/>
        <w:gridCol w:w="853"/>
        <w:gridCol w:w="846"/>
        <w:gridCol w:w="810"/>
        <w:gridCol w:w="997"/>
        <w:gridCol w:w="1134"/>
        <w:gridCol w:w="876"/>
        <w:gridCol w:w="847"/>
      </w:tblGrid>
      <w:tr w14:paraId="5D5F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 w:type="dxa"/>
            <w:shd w:val="clear" w:color="auto" w:fill="auto"/>
            <w:vAlign w:val="center"/>
          </w:tcPr>
          <w:p w14:paraId="773C8370">
            <w:pPr>
              <w:spacing w:line="260" w:lineRule="exact"/>
              <w:jc w:val="center"/>
              <w:rPr>
                <w:color w:val="auto"/>
                <w:szCs w:val="21"/>
                <w:highlight w:val="none"/>
              </w:rPr>
            </w:pPr>
            <w:r>
              <w:rPr>
                <w:rFonts w:hint="eastAsia"/>
                <w:color w:val="auto"/>
                <w:szCs w:val="21"/>
                <w:highlight w:val="none"/>
              </w:rPr>
              <w:t>序号</w:t>
            </w:r>
          </w:p>
        </w:tc>
        <w:tc>
          <w:tcPr>
            <w:tcW w:w="885" w:type="dxa"/>
            <w:shd w:val="clear" w:color="auto" w:fill="auto"/>
            <w:vAlign w:val="center"/>
          </w:tcPr>
          <w:p w14:paraId="6AE7B7DE">
            <w:pPr>
              <w:spacing w:line="260" w:lineRule="exact"/>
              <w:jc w:val="center"/>
              <w:rPr>
                <w:color w:val="auto"/>
                <w:szCs w:val="21"/>
                <w:highlight w:val="none"/>
              </w:rPr>
            </w:pPr>
            <w:r>
              <w:rPr>
                <w:rFonts w:hint="eastAsia"/>
                <w:color w:val="auto"/>
                <w:szCs w:val="21"/>
                <w:highlight w:val="none"/>
              </w:rPr>
              <w:t>道路名称</w:t>
            </w:r>
          </w:p>
        </w:tc>
        <w:tc>
          <w:tcPr>
            <w:tcW w:w="1867" w:type="dxa"/>
            <w:shd w:val="clear" w:color="auto" w:fill="FFFFFF"/>
            <w:vAlign w:val="center"/>
          </w:tcPr>
          <w:p w14:paraId="2B60E8AF">
            <w:pPr>
              <w:spacing w:line="260" w:lineRule="exact"/>
              <w:jc w:val="center"/>
              <w:rPr>
                <w:color w:val="auto"/>
                <w:szCs w:val="21"/>
                <w:highlight w:val="none"/>
              </w:rPr>
            </w:pPr>
            <w:r>
              <w:rPr>
                <w:rFonts w:hint="eastAsia"/>
                <w:color w:val="auto"/>
                <w:szCs w:val="21"/>
                <w:highlight w:val="none"/>
              </w:rPr>
              <w:t>起止点</w:t>
            </w:r>
          </w:p>
        </w:tc>
        <w:tc>
          <w:tcPr>
            <w:tcW w:w="853" w:type="dxa"/>
            <w:shd w:val="clear" w:color="auto" w:fill="FFFFFF"/>
            <w:vAlign w:val="center"/>
          </w:tcPr>
          <w:p w14:paraId="161ACD85">
            <w:pPr>
              <w:spacing w:line="260" w:lineRule="exact"/>
              <w:jc w:val="center"/>
              <w:rPr>
                <w:color w:val="auto"/>
                <w:szCs w:val="21"/>
                <w:highlight w:val="none"/>
              </w:rPr>
            </w:pPr>
            <w:r>
              <w:rPr>
                <w:rFonts w:hint="eastAsia"/>
                <w:color w:val="auto"/>
                <w:szCs w:val="21"/>
                <w:highlight w:val="none"/>
              </w:rPr>
              <w:t>道路长度（km）</w:t>
            </w:r>
          </w:p>
        </w:tc>
        <w:tc>
          <w:tcPr>
            <w:tcW w:w="846" w:type="dxa"/>
            <w:shd w:val="clear" w:color="auto" w:fill="FFFFFF"/>
            <w:vAlign w:val="center"/>
          </w:tcPr>
          <w:p w14:paraId="5E6807CD">
            <w:pPr>
              <w:spacing w:line="260" w:lineRule="exact"/>
              <w:jc w:val="center"/>
              <w:rPr>
                <w:color w:val="auto"/>
                <w:szCs w:val="21"/>
                <w:highlight w:val="none"/>
              </w:rPr>
            </w:pPr>
            <w:r>
              <w:rPr>
                <w:rFonts w:hint="eastAsia"/>
                <w:color w:val="auto"/>
                <w:szCs w:val="21"/>
                <w:highlight w:val="none"/>
              </w:rPr>
              <w:t>车道数量（条）</w:t>
            </w:r>
          </w:p>
        </w:tc>
        <w:tc>
          <w:tcPr>
            <w:tcW w:w="810" w:type="dxa"/>
            <w:shd w:val="clear" w:color="auto" w:fill="FFFFFF"/>
            <w:vAlign w:val="center"/>
          </w:tcPr>
          <w:p w14:paraId="61E146BD">
            <w:pPr>
              <w:spacing w:line="260" w:lineRule="exact"/>
              <w:jc w:val="center"/>
              <w:rPr>
                <w:color w:val="auto"/>
                <w:szCs w:val="21"/>
                <w:highlight w:val="none"/>
              </w:rPr>
            </w:pPr>
            <w:r>
              <w:rPr>
                <w:rFonts w:hint="eastAsia"/>
                <w:color w:val="auto"/>
                <w:szCs w:val="21"/>
                <w:highlight w:val="none"/>
              </w:rPr>
              <w:t>车道总长度（km）</w:t>
            </w:r>
          </w:p>
        </w:tc>
        <w:tc>
          <w:tcPr>
            <w:tcW w:w="997" w:type="dxa"/>
            <w:shd w:val="clear" w:color="auto" w:fill="FFFFFF"/>
            <w:vAlign w:val="center"/>
          </w:tcPr>
          <w:p w14:paraId="19838335">
            <w:pPr>
              <w:spacing w:line="260" w:lineRule="exact"/>
              <w:jc w:val="center"/>
              <w:rPr>
                <w:color w:val="auto"/>
                <w:szCs w:val="21"/>
                <w:highlight w:val="none"/>
              </w:rPr>
            </w:pPr>
            <w:r>
              <w:rPr>
                <w:rFonts w:hint="eastAsia"/>
                <w:color w:val="auto"/>
                <w:szCs w:val="21"/>
                <w:highlight w:val="none"/>
              </w:rPr>
              <w:t>全费用综合单价限价（元）</w:t>
            </w:r>
          </w:p>
        </w:tc>
        <w:tc>
          <w:tcPr>
            <w:tcW w:w="1134" w:type="dxa"/>
            <w:shd w:val="clear" w:color="auto" w:fill="FFFFFF"/>
            <w:vAlign w:val="center"/>
          </w:tcPr>
          <w:p w14:paraId="0545E195">
            <w:pPr>
              <w:spacing w:line="260" w:lineRule="exact"/>
              <w:jc w:val="center"/>
              <w:rPr>
                <w:color w:val="auto"/>
                <w:szCs w:val="21"/>
                <w:highlight w:val="none"/>
              </w:rPr>
            </w:pPr>
            <w:r>
              <w:rPr>
                <w:rFonts w:hint="eastAsia"/>
                <w:color w:val="auto"/>
                <w:szCs w:val="21"/>
                <w:highlight w:val="none"/>
              </w:rPr>
              <w:t>全费用综合单价投标报价（元）</w:t>
            </w:r>
          </w:p>
        </w:tc>
        <w:tc>
          <w:tcPr>
            <w:tcW w:w="876" w:type="dxa"/>
            <w:shd w:val="clear" w:color="auto" w:fill="FFFFFF"/>
            <w:vAlign w:val="center"/>
          </w:tcPr>
          <w:p w14:paraId="1F881F67">
            <w:pPr>
              <w:spacing w:line="260" w:lineRule="exact"/>
              <w:jc w:val="center"/>
              <w:rPr>
                <w:color w:val="auto"/>
                <w:szCs w:val="21"/>
                <w:highlight w:val="none"/>
              </w:rPr>
            </w:pPr>
            <w:r>
              <w:rPr>
                <w:rFonts w:hint="eastAsia"/>
                <w:color w:val="auto"/>
                <w:szCs w:val="21"/>
                <w:highlight w:val="none"/>
              </w:rPr>
              <w:t>合价（元）</w:t>
            </w:r>
          </w:p>
        </w:tc>
        <w:tc>
          <w:tcPr>
            <w:tcW w:w="847" w:type="dxa"/>
            <w:shd w:val="clear" w:color="auto" w:fill="FFFFFF"/>
            <w:vAlign w:val="center"/>
          </w:tcPr>
          <w:p w14:paraId="4A5AFDF7">
            <w:pPr>
              <w:spacing w:line="260" w:lineRule="exact"/>
              <w:jc w:val="center"/>
              <w:rPr>
                <w:color w:val="auto"/>
                <w:szCs w:val="21"/>
                <w:highlight w:val="none"/>
              </w:rPr>
            </w:pPr>
            <w:r>
              <w:rPr>
                <w:rFonts w:hint="eastAsia"/>
                <w:color w:val="auto"/>
                <w:szCs w:val="21"/>
                <w:highlight w:val="none"/>
              </w:rPr>
              <w:t>备注</w:t>
            </w:r>
          </w:p>
        </w:tc>
      </w:tr>
      <w:tr w14:paraId="7516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536925B">
            <w:pPr>
              <w:jc w:val="center"/>
              <w:rPr>
                <w:color w:val="auto"/>
                <w:szCs w:val="21"/>
                <w:highlight w:val="none"/>
              </w:rPr>
            </w:pPr>
            <w:r>
              <w:rPr>
                <w:color w:val="auto"/>
                <w:szCs w:val="21"/>
                <w:highlight w:val="none"/>
              </w:rPr>
              <w:t>1</w:t>
            </w:r>
          </w:p>
        </w:tc>
        <w:tc>
          <w:tcPr>
            <w:tcW w:w="885" w:type="dxa"/>
            <w:shd w:val="clear" w:color="auto" w:fill="FFFFFF"/>
            <w:vAlign w:val="center"/>
          </w:tcPr>
          <w:p w14:paraId="75A8D96F">
            <w:pPr>
              <w:jc w:val="center"/>
              <w:rPr>
                <w:color w:val="auto"/>
                <w:szCs w:val="21"/>
                <w:highlight w:val="none"/>
              </w:rPr>
            </w:pPr>
            <w:r>
              <w:rPr>
                <w:color w:val="auto"/>
                <w:szCs w:val="21"/>
                <w:highlight w:val="none"/>
              </w:rPr>
              <w:t>腾黄路</w:t>
            </w:r>
          </w:p>
        </w:tc>
        <w:tc>
          <w:tcPr>
            <w:tcW w:w="1867" w:type="dxa"/>
            <w:shd w:val="clear" w:color="auto" w:fill="FFFFFF"/>
            <w:vAlign w:val="center"/>
          </w:tcPr>
          <w:p w14:paraId="5E18CF67">
            <w:pPr>
              <w:jc w:val="center"/>
              <w:rPr>
                <w:color w:val="auto"/>
                <w:szCs w:val="21"/>
                <w:highlight w:val="none"/>
              </w:rPr>
            </w:pPr>
            <w:r>
              <w:rPr>
                <w:color w:val="auto"/>
                <w:szCs w:val="21"/>
                <w:highlight w:val="none"/>
              </w:rPr>
              <w:t>洋人街转盘-黄角湾立交</w:t>
            </w:r>
          </w:p>
        </w:tc>
        <w:tc>
          <w:tcPr>
            <w:tcW w:w="853" w:type="dxa"/>
            <w:shd w:val="clear" w:color="auto" w:fill="FFFFFF"/>
            <w:vAlign w:val="center"/>
          </w:tcPr>
          <w:p w14:paraId="554585C2">
            <w:pPr>
              <w:jc w:val="center"/>
              <w:rPr>
                <w:color w:val="auto"/>
                <w:szCs w:val="21"/>
                <w:highlight w:val="none"/>
              </w:rPr>
            </w:pPr>
            <w:r>
              <w:rPr>
                <w:color w:val="auto"/>
                <w:szCs w:val="21"/>
                <w:highlight w:val="none"/>
              </w:rPr>
              <w:t>1.68</w:t>
            </w:r>
          </w:p>
        </w:tc>
        <w:tc>
          <w:tcPr>
            <w:tcW w:w="846" w:type="dxa"/>
            <w:shd w:val="clear" w:color="auto" w:fill="FFFFFF"/>
            <w:vAlign w:val="center"/>
          </w:tcPr>
          <w:p w14:paraId="3B7192CE">
            <w:pPr>
              <w:jc w:val="center"/>
              <w:rPr>
                <w:color w:val="auto"/>
                <w:szCs w:val="21"/>
                <w:highlight w:val="none"/>
              </w:rPr>
            </w:pPr>
            <w:r>
              <w:rPr>
                <w:color w:val="auto"/>
                <w:szCs w:val="21"/>
                <w:highlight w:val="none"/>
              </w:rPr>
              <w:t>4</w:t>
            </w:r>
          </w:p>
        </w:tc>
        <w:tc>
          <w:tcPr>
            <w:tcW w:w="810" w:type="dxa"/>
            <w:shd w:val="clear" w:color="auto" w:fill="FFFFFF"/>
            <w:vAlign w:val="center"/>
          </w:tcPr>
          <w:p w14:paraId="3A553D3F">
            <w:pPr>
              <w:jc w:val="center"/>
              <w:rPr>
                <w:color w:val="auto"/>
                <w:szCs w:val="21"/>
                <w:highlight w:val="none"/>
              </w:rPr>
            </w:pPr>
            <w:r>
              <w:rPr>
                <w:color w:val="auto"/>
                <w:szCs w:val="21"/>
                <w:highlight w:val="none"/>
              </w:rPr>
              <w:t>6.72</w:t>
            </w:r>
          </w:p>
        </w:tc>
        <w:tc>
          <w:tcPr>
            <w:tcW w:w="997" w:type="dxa"/>
            <w:shd w:val="clear" w:color="auto" w:fill="FFFFFF"/>
            <w:vAlign w:val="center"/>
          </w:tcPr>
          <w:p w14:paraId="4BA1F881">
            <w:pPr>
              <w:jc w:val="center"/>
              <w:rPr>
                <w:color w:val="auto"/>
                <w:szCs w:val="21"/>
                <w:highlight w:val="none"/>
              </w:rPr>
            </w:pPr>
            <w:r>
              <w:rPr>
                <w:color w:val="auto"/>
                <w:szCs w:val="21"/>
                <w:highlight w:val="none"/>
              </w:rPr>
              <w:t>4340.00</w:t>
            </w:r>
          </w:p>
        </w:tc>
        <w:tc>
          <w:tcPr>
            <w:tcW w:w="1134" w:type="dxa"/>
            <w:shd w:val="clear" w:color="auto" w:fill="FFFFFF"/>
            <w:vAlign w:val="center"/>
          </w:tcPr>
          <w:p w14:paraId="71F97BB2">
            <w:pPr>
              <w:jc w:val="center"/>
              <w:rPr>
                <w:color w:val="auto"/>
                <w:szCs w:val="21"/>
                <w:highlight w:val="none"/>
              </w:rPr>
            </w:pPr>
          </w:p>
        </w:tc>
        <w:tc>
          <w:tcPr>
            <w:tcW w:w="876" w:type="dxa"/>
            <w:shd w:val="clear" w:color="auto" w:fill="FFFFFF"/>
            <w:vAlign w:val="center"/>
          </w:tcPr>
          <w:p w14:paraId="6E5512A5">
            <w:pPr>
              <w:jc w:val="center"/>
              <w:rPr>
                <w:color w:val="auto"/>
                <w:szCs w:val="21"/>
                <w:highlight w:val="none"/>
              </w:rPr>
            </w:pPr>
          </w:p>
        </w:tc>
        <w:tc>
          <w:tcPr>
            <w:tcW w:w="847" w:type="dxa"/>
            <w:vMerge w:val="restart"/>
            <w:shd w:val="clear" w:color="auto" w:fill="auto"/>
            <w:vAlign w:val="center"/>
          </w:tcPr>
          <w:p w14:paraId="69986390">
            <w:pPr>
              <w:jc w:val="center"/>
              <w:rPr>
                <w:color w:val="auto"/>
                <w:szCs w:val="21"/>
                <w:highlight w:val="none"/>
              </w:rPr>
            </w:pPr>
            <w:r>
              <w:rPr>
                <w:rFonts w:hint="eastAsia"/>
                <w:color w:val="auto"/>
                <w:szCs w:val="21"/>
                <w:highlight w:val="none"/>
              </w:rPr>
              <w:t>上述全费用综合单价为乙方与甲方签订合同的定价依据，包含为完成清单内容可能发生的一切费用（机械费、人工费、管理费、利润、相关措施费、规费、因检测技术问题引起的返工等费用），且满足甲方要求。其它乙方因履行本合同而产生的其他费用由乙方自行承担。</w:t>
            </w:r>
          </w:p>
        </w:tc>
      </w:tr>
      <w:tr w14:paraId="4C6D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26B29A8">
            <w:pPr>
              <w:jc w:val="center"/>
              <w:rPr>
                <w:color w:val="auto"/>
                <w:szCs w:val="21"/>
                <w:highlight w:val="none"/>
              </w:rPr>
            </w:pPr>
            <w:r>
              <w:rPr>
                <w:color w:val="auto"/>
                <w:szCs w:val="21"/>
                <w:highlight w:val="none"/>
              </w:rPr>
              <w:t>2</w:t>
            </w:r>
          </w:p>
        </w:tc>
        <w:tc>
          <w:tcPr>
            <w:tcW w:w="885" w:type="dxa"/>
            <w:shd w:val="clear" w:color="auto" w:fill="FFFFFF"/>
            <w:vAlign w:val="center"/>
          </w:tcPr>
          <w:p w14:paraId="2D447571">
            <w:pPr>
              <w:jc w:val="center"/>
              <w:rPr>
                <w:color w:val="auto"/>
                <w:szCs w:val="21"/>
                <w:highlight w:val="none"/>
              </w:rPr>
            </w:pPr>
            <w:r>
              <w:rPr>
                <w:color w:val="auto"/>
                <w:szCs w:val="21"/>
                <w:highlight w:val="none"/>
              </w:rPr>
              <w:t>BK线</w:t>
            </w:r>
          </w:p>
        </w:tc>
        <w:tc>
          <w:tcPr>
            <w:tcW w:w="1867" w:type="dxa"/>
            <w:shd w:val="clear" w:color="auto" w:fill="FFFFFF"/>
            <w:vAlign w:val="center"/>
          </w:tcPr>
          <w:p w14:paraId="7D5C76CB">
            <w:pPr>
              <w:jc w:val="center"/>
              <w:rPr>
                <w:color w:val="auto"/>
                <w:szCs w:val="21"/>
                <w:highlight w:val="none"/>
              </w:rPr>
            </w:pPr>
            <w:r>
              <w:rPr>
                <w:color w:val="auto"/>
                <w:szCs w:val="21"/>
                <w:highlight w:val="none"/>
              </w:rPr>
              <w:t>腾黄路-盘龙花园二期A区断头处</w:t>
            </w:r>
          </w:p>
        </w:tc>
        <w:tc>
          <w:tcPr>
            <w:tcW w:w="853" w:type="dxa"/>
            <w:shd w:val="clear" w:color="auto" w:fill="FFFFFF"/>
            <w:vAlign w:val="center"/>
          </w:tcPr>
          <w:p w14:paraId="180AB64B">
            <w:pPr>
              <w:jc w:val="center"/>
              <w:rPr>
                <w:color w:val="auto"/>
                <w:szCs w:val="21"/>
                <w:highlight w:val="none"/>
              </w:rPr>
            </w:pPr>
            <w:r>
              <w:rPr>
                <w:color w:val="auto"/>
                <w:szCs w:val="21"/>
                <w:highlight w:val="none"/>
              </w:rPr>
              <w:t>1.26</w:t>
            </w:r>
          </w:p>
        </w:tc>
        <w:tc>
          <w:tcPr>
            <w:tcW w:w="846" w:type="dxa"/>
            <w:shd w:val="clear" w:color="auto" w:fill="FFFFFF"/>
            <w:vAlign w:val="center"/>
          </w:tcPr>
          <w:p w14:paraId="03192D9B">
            <w:pPr>
              <w:jc w:val="center"/>
              <w:rPr>
                <w:color w:val="auto"/>
                <w:szCs w:val="21"/>
                <w:highlight w:val="none"/>
              </w:rPr>
            </w:pPr>
            <w:r>
              <w:rPr>
                <w:color w:val="auto"/>
                <w:szCs w:val="21"/>
                <w:highlight w:val="none"/>
              </w:rPr>
              <w:t>4</w:t>
            </w:r>
          </w:p>
        </w:tc>
        <w:tc>
          <w:tcPr>
            <w:tcW w:w="810" w:type="dxa"/>
            <w:shd w:val="clear" w:color="auto" w:fill="FFFFFF"/>
            <w:vAlign w:val="center"/>
          </w:tcPr>
          <w:p w14:paraId="1688D9D0">
            <w:pPr>
              <w:jc w:val="center"/>
              <w:rPr>
                <w:color w:val="auto"/>
                <w:szCs w:val="21"/>
                <w:highlight w:val="none"/>
              </w:rPr>
            </w:pPr>
            <w:r>
              <w:rPr>
                <w:color w:val="auto"/>
                <w:szCs w:val="21"/>
                <w:highlight w:val="none"/>
              </w:rPr>
              <w:t>5.02</w:t>
            </w:r>
          </w:p>
        </w:tc>
        <w:tc>
          <w:tcPr>
            <w:tcW w:w="997" w:type="dxa"/>
            <w:shd w:val="clear" w:color="auto" w:fill="FFFFFF"/>
            <w:vAlign w:val="center"/>
          </w:tcPr>
          <w:p w14:paraId="2DE1E231">
            <w:pPr>
              <w:jc w:val="center"/>
              <w:rPr>
                <w:color w:val="auto"/>
                <w:szCs w:val="21"/>
                <w:highlight w:val="none"/>
              </w:rPr>
            </w:pPr>
            <w:r>
              <w:rPr>
                <w:color w:val="auto"/>
                <w:szCs w:val="21"/>
                <w:highlight w:val="none"/>
              </w:rPr>
              <w:t>4340.00</w:t>
            </w:r>
          </w:p>
        </w:tc>
        <w:tc>
          <w:tcPr>
            <w:tcW w:w="1134" w:type="dxa"/>
            <w:shd w:val="clear" w:color="auto" w:fill="FFFFFF"/>
            <w:vAlign w:val="center"/>
          </w:tcPr>
          <w:p w14:paraId="2A5049C7">
            <w:pPr>
              <w:jc w:val="center"/>
              <w:rPr>
                <w:color w:val="auto"/>
                <w:szCs w:val="21"/>
                <w:highlight w:val="none"/>
              </w:rPr>
            </w:pPr>
          </w:p>
        </w:tc>
        <w:tc>
          <w:tcPr>
            <w:tcW w:w="876" w:type="dxa"/>
            <w:shd w:val="clear" w:color="auto" w:fill="FFFFFF"/>
            <w:vAlign w:val="center"/>
          </w:tcPr>
          <w:p w14:paraId="4D262DE3">
            <w:pPr>
              <w:jc w:val="center"/>
              <w:rPr>
                <w:color w:val="auto"/>
                <w:szCs w:val="21"/>
                <w:highlight w:val="none"/>
              </w:rPr>
            </w:pPr>
          </w:p>
        </w:tc>
        <w:tc>
          <w:tcPr>
            <w:tcW w:w="847" w:type="dxa"/>
            <w:vMerge w:val="continue"/>
            <w:shd w:val="clear" w:color="auto" w:fill="auto"/>
            <w:vAlign w:val="center"/>
          </w:tcPr>
          <w:p w14:paraId="6551A92B">
            <w:pPr>
              <w:jc w:val="center"/>
              <w:rPr>
                <w:color w:val="auto"/>
                <w:szCs w:val="21"/>
                <w:highlight w:val="none"/>
              </w:rPr>
            </w:pPr>
          </w:p>
        </w:tc>
      </w:tr>
      <w:tr w14:paraId="3111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D8D0DB0">
            <w:pPr>
              <w:jc w:val="center"/>
              <w:rPr>
                <w:color w:val="auto"/>
                <w:szCs w:val="21"/>
                <w:highlight w:val="none"/>
              </w:rPr>
            </w:pPr>
            <w:r>
              <w:rPr>
                <w:color w:val="auto"/>
                <w:szCs w:val="21"/>
                <w:highlight w:val="none"/>
              </w:rPr>
              <w:t>3</w:t>
            </w:r>
          </w:p>
        </w:tc>
        <w:tc>
          <w:tcPr>
            <w:tcW w:w="885" w:type="dxa"/>
            <w:shd w:val="clear" w:color="auto" w:fill="FFFFFF"/>
            <w:vAlign w:val="center"/>
          </w:tcPr>
          <w:p w14:paraId="45ADCBD7">
            <w:pPr>
              <w:jc w:val="center"/>
              <w:rPr>
                <w:color w:val="auto"/>
                <w:szCs w:val="21"/>
                <w:highlight w:val="none"/>
              </w:rPr>
            </w:pPr>
            <w:r>
              <w:rPr>
                <w:color w:val="auto"/>
                <w:szCs w:val="21"/>
                <w:highlight w:val="none"/>
              </w:rPr>
              <w:t>瑞祥路</w:t>
            </w:r>
          </w:p>
        </w:tc>
        <w:tc>
          <w:tcPr>
            <w:tcW w:w="1867" w:type="dxa"/>
            <w:shd w:val="clear" w:color="auto" w:fill="FFFFFF"/>
            <w:vAlign w:val="center"/>
          </w:tcPr>
          <w:p w14:paraId="7FAEB88D">
            <w:pPr>
              <w:jc w:val="center"/>
              <w:rPr>
                <w:color w:val="auto"/>
                <w:szCs w:val="21"/>
                <w:highlight w:val="none"/>
              </w:rPr>
            </w:pPr>
            <w:r>
              <w:rPr>
                <w:color w:val="auto"/>
                <w:szCs w:val="21"/>
                <w:highlight w:val="none"/>
              </w:rPr>
              <w:t>318车站-腾龙大道</w:t>
            </w:r>
          </w:p>
        </w:tc>
        <w:tc>
          <w:tcPr>
            <w:tcW w:w="853" w:type="dxa"/>
            <w:shd w:val="clear" w:color="auto" w:fill="FFFFFF"/>
            <w:vAlign w:val="center"/>
          </w:tcPr>
          <w:p w14:paraId="7C240E34">
            <w:pPr>
              <w:jc w:val="center"/>
              <w:rPr>
                <w:color w:val="auto"/>
                <w:szCs w:val="21"/>
                <w:highlight w:val="none"/>
              </w:rPr>
            </w:pPr>
            <w:r>
              <w:rPr>
                <w:color w:val="auto"/>
                <w:szCs w:val="21"/>
                <w:highlight w:val="none"/>
              </w:rPr>
              <w:t>0.43</w:t>
            </w:r>
          </w:p>
        </w:tc>
        <w:tc>
          <w:tcPr>
            <w:tcW w:w="846" w:type="dxa"/>
            <w:shd w:val="clear" w:color="auto" w:fill="FFFFFF"/>
            <w:vAlign w:val="center"/>
          </w:tcPr>
          <w:p w14:paraId="0389947D">
            <w:pPr>
              <w:jc w:val="center"/>
              <w:rPr>
                <w:color w:val="auto"/>
                <w:szCs w:val="21"/>
                <w:highlight w:val="none"/>
              </w:rPr>
            </w:pPr>
            <w:r>
              <w:rPr>
                <w:color w:val="auto"/>
                <w:szCs w:val="21"/>
                <w:highlight w:val="none"/>
              </w:rPr>
              <w:t>4</w:t>
            </w:r>
          </w:p>
        </w:tc>
        <w:tc>
          <w:tcPr>
            <w:tcW w:w="810" w:type="dxa"/>
            <w:shd w:val="clear" w:color="auto" w:fill="FFFFFF"/>
            <w:vAlign w:val="center"/>
          </w:tcPr>
          <w:p w14:paraId="43D09073">
            <w:pPr>
              <w:jc w:val="center"/>
              <w:rPr>
                <w:color w:val="auto"/>
                <w:szCs w:val="21"/>
                <w:highlight w:val="none"/>
              </w:rPr>
            </w:pPr>
            <w:r>
              <w:rPr>
                <w:color w:val="auto"/>
                <w:szCs w:val="21"/>
                <w:highlight w:val="none"/>
              </w:rPr>
              <w:t>1.70</w:t>
            </w:r>
          </w:p>
        </w:tc>
        <w:tc>
          <w:tcPr>
            <w:tcW w:w="997" w:type="dxa"/>
            <w:shd w:val="clear" w:color="auto" w:fill="FFFFFF"/>
            <w:vAlign w:val="center"/>
          </w:tcPr>
          <w:p w14:paraId="22F1B0AD">
            <w:pPr>
              <w:jc w:val="center"/>
              <w:rPr>
                <w:color w:val="auto"/>
                <w:szCs w:val="21"/>
                <w:highlight w:val="none"/>
              </w:rPr>
            </w:pPr>
            <w:r>
              <w:rPr>
                <w:color w:val="auto"/>
                <w:szCs w:val="21"/>
                <w:highlight w:val="none"/>
              </w:rPr>
              <w:t>4340.00</w:t>
            </w:r>
          </w:p>
        </w:tc>
        <w:tc>
          <w:tcPr>
            <w:tcW w:w="1134" w:type="dxa"/>
            <w:shd w:val="clear" w:color="auto" w:fill="FFFFFF"/>
            <w:vAlign w:val="center"/>
          </w:tcPr>
          <w:p w14:paraId="7BD97C92">
            <w:pPr>
              <w:jc w:val="center"/>
              <w:rPr>
                <w:color w:val="auto"/>
                <w:szCs w:val="21"/>
                <w:highlight w:val="none"/>
              </w:rPr>
            </w:pPr>
          </w:p>
        </w:tc>
        <w:tc>
          <w:tcPr>
            <w:tcW w:w="876" w:type="dxa"/>
            <w:shd w:val="clear" w:color="auto" w:fill="FFFFFF"/>
            <w:vAlign w:val="center"/>
          </w:tcPr>
          <w:p w14:paraId="26538D3F">
            <w:pPr>
              <w:jc w:val="center"/>
              <w:rPr>
                <w:color w:val="auto"/>
                <w:szCs w:val="21"/>
                <w:highlight w:val="none"/>
              </w:rPr>
            </w:pPr>
          </w:p>
        </w:tc>
        <w:tc>
          <w:tcPr>
            <w:tcW w:w="847" w:type="dxa"/>
            <w:vMerge w:val="continue"/>
            <w:shd w:val="clear" w:color="auto" w:fill="auto"/>
            <w:vAlign w:val="center"/>
          </w:tcPr>
          <w:p w14:paraId="26EA8FBC">
            <w:pPr>
              <w:jc w:val="center"/>
              <w:rPr>
                <w:color w:val="auto"/>
                <w:szCs w:val="21"/>
                <w:highlight w:val="none"/>
              </w:rPr>
            </w:pPr>
          </w:p>
        </w:tc>
      </w:tr>
      <w:tr w14:paraId="702C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AE6F3DA">
            <w:pPr>
              <w:jc w:val="center"/>
              <w:rPr>
                <w:color w:val="auto"/>
                <w:szCs w:val="21"/>
                <w:highlight w:val="none"/>
              </w:rPr>
            </w:pPr>
            <w:r>
              <w:rPr>
                <w:color w:val="auto"/>
                <w:szCs w:val="21"/>
                <w:highlight w:val="none"/>
              </w:rPr>
              <w:t>4</w:t>
            </w:r>
          </w:p>
        </w:tc>
        <w:tc>
          <w:tcPr>
            <w:tcW w:w="885" w:type="dxa"/>
            <w:shd w:val="clear" w:color="auto" w:fill="FFFFFF"/>
            <w:vAlign w:val="center"/>
          </w:tcPr>
          <w:p w14:paraId="667BBF12">
            <w:pPr>
              <w:jc w:val="center"/>
              <w:rPr>
                <w:color w:val="auto"/>
                <w:szCs w:val="21"/>
                <w:highlight w:val="none"/>
              </w:rPr>
            </w:pPr>
            <w:r>
              <w:rPr>
                <w:color w:val="auto"/>
                <w:szCs w:val="21"/>
                <w:highlight w:val="none"/>
              </w:rPr>
              <w:t>腾龙大道</w:t>
            </w:r>
          </w:p>
        </w:tc>
        <w:tc>
          <w:tcPr>
            <w:tcW w:w="1867" w:type="dxa"/>
            <w:shd w:val="clear" w:color="auto" w:fill="FFFFFF"/>
            <w:vAlign w:val="center"/>
          </w:tcPr>
          <w:p w14:paraId="4B82413C">
            <w:pPr>
              <w:jc w:val="center"/>
              <w:rPr>
                <w:color w:val="auto"/>
                <w:szCs w:val="21"/>
                <w:highlight w:val="none"/>
              </w:rPr>
            </w:pPr>
            <w:r>
              <w:rPr>
                <w:color w:val="auto"/>
                <w:szCs w:val="21"/>
                <w:highlight w:val="none"/>
              </w:rPr>
              <w:t>洋人街转盘-弹子石新街</w:t>
            </w:r>
          </w:p>
        </w:tc>
        <w:tc>
          <w:tcPr>
            <w:tcW w:w="853" w:type="dxa"/>
            <w:shd w:val="clear" w:color="auto" w:fill="FFFFFF"/>
            <w:vAlign w:val="center"/>
          </w:tcPr>
          <w:p w14:paraId="47185E05">
            <w:pPr>
              <w:jc w:val="center"/>
              <w:rPr>
                <w:color w:val="auto"/>
                <w:szCs w:val="21"/>
                <w:highlight w:val="none"/>
              </w:rPr>
            </w:pPr>
            <w:r>
              <w:rPr>
                <w:color w:val="auto"/>
                <w:szCs w:val="21"/>
                <w:highlight w:val="none"/>
              </w:rPr>
              <w:t>2.96</w:t>
            </w:r>
          </w:p>
        </w:tc>
        <w:tc>
          <w:tcPr>
            <w:tcW w:w="846" w:type="dxa"/>
            <w:shd w:val="clear" w:color="auto" w:fill="FFFFFF"/>
            <w:vAlign w:val="center"/>
          </w:tcPr>
          <w:p w14:paraId="1C335D52">
            <w:pPr>
              <w:jc w:val="center"/>
              <w:rPr>
                <w:color w:val="auto"/>
                <w:szCs w:val="21"/>
                <w:highlight w:val="none"/>
              </w:rPr>
            </w:pPr>
            <w:r>
              <w:rPr>
                <w:color w:val="auto"/>
                <w:szCs w:val="21"/>
                <w:highlight w:val="none"/>
              </w:rPr>
              <w:t>6</w:t>
            </w:r>
          </w:p>
        </w:tc>
        <w:tc>
          <w:tcPr>
            <w:tcW w:w="810" w:type="dxa"/>
            <w:shd w:val="clear" w:color="auto" w:fill="FFFFFF"/>
            <w:vAlign w:val="center"/>
          </w:tcPr>
          <w:p w14:paraId="42A180A7">
            <w:pPr>
              <w:jc w:val="center"/>
              <w:rPr>
                <w:color w:val="auto"/>
                <w:szCs w:val="21"/>
                <w:highlight w:val="none"/>
              </w:rPr>
            </w:pPr>
            <w:r>
              <w:rPr>
                <w:color w:val="auto"/>
                <w:szCs w:val="21"/>
                <w:highlight w:val="none"/>
              </w:rPr>
              <w:t>17.76</w:t>
            </w:r>
          </w:p>
        </w:tc>
        <w:tc>
          <w:tcPr>
            <w:tcW w:w="997" w:type="dxa"/>
            <w:shd w:val="clear" w:color="auto" w:fill="FFFFFF"/>
            <w:vAlign w:val="center"/>
          </w:tcPr>
          <w:p w14:paraId="18E511F7">
            <w:pPr>
              <w:jc w:val="center"/>
              <w:rPr>
                <w:color w:val="auto"/>
                <w:szCs w:val="21"/>
                <w:highlight w:val="none"/>
              </w:rPr>
            </w:pPr>
            <w:r>
              <w:rPr>
                <w:color w:val="auto"/>
                <w:szCs w:val="21"/>
                <w:highlight w:val="none"/>
              </w:rPr>
              <w:t>4340.00</w:t>
            </w:r>
          </w:p>
        </w:tc>
        <w:tc>
          <w:tcPr>
            <w:tcW w:w="1134" w:type="dxa"/>
            <w:shd w:val="clear" w:color="auto" w:fill="FFFFFF"/>
            <w:vAlign w:val="center"/>
          </w:tcPr>
          <w:p w14:paraId="527A0C1F">
            <w:pPr>
              <w:jc w:val="center"/>
              <w:rPr>
                <w:color w:val="auto"/>
                <w:szCs w:val="21"/>
                <w:highlight w:val="none"/>
              </w:rPr>
            </w:pPr>
          </w:p>
        </w:tc>
        <w:tc>
          <w:tcPr>
            <w:tcW w:w="876" w:type="dxa"/>
            <w:shd w:val="clear" w:color="auto" w:fill="FFFFFF"/>
            <w:vAlign w:val="center"/>
          </w:tcPr>
          <w:p w14:paraId="4DE8E29E">
            <w:pPr>
              <w:jc w:val="center"/>
              <w:rPr>
                <w:color w:val="auto"/>
                <w:szCs w:val="21"/>
                <w:highlight w:val="none"/>
              </w:rPr>
            </w:pPr>
          </w:p>
        </w:tc>
        <w:tc>
          <w:tcPr>
            <w:tcW w:w="847" w:type="dxa"/>
            <w:vMerge w:val="continue"/>
            <w:shd w:val="clear" w:color="auto" w:fill="auto"/>
            <w:vAlign w:val="center"/>
          </w:tcPr>
          <w:p w14:paraId="513F6862">
            <w:pPr>
              <w:jc w:val="center"/>
              <w:rPr>
                <w:color w:val="auto"/>
                <w:szCs w:val="21"/>
                <w:highlight w:val="none"/>
              </w:rPr>
            </w:pPr>
          </w:p>
        </w:tc>
      </w:tr>
      <w:tr w14:paraId="055B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C9558F7">
            <w:pPr>
              <w:jc w:val="center"/>
              <w:rPr>
                <w:color w:val="auto"/>
                <w:szCs w:val="21"/>
                <w:highlight w:val="none"/>
              </w:rPr>
            </w:pPr>
            <w:r>
              <w:rPr>
                <w:color w:val="auto"/>
                <w:szCs w:val="21"/>
                <w:highlight w:val="none"/>
              </w:rPr>
              <w:t>5</w:t>
            </w:r>
          </w:p>
        </w:tc>
        <w:tc>
          <w:tcPr>
            <w:tcW w:w="885" w:type="dxa"/>
            <w:shd w:val="clear" w:color="auto" w:fill="FFFFFF"/>
            <w:vAlign w:val="center"/>
          </w:tcPr>
          <w:p w14:paraId="335F650A">
            <w:pPr>
              <w:jc w:val="center"/>
              <w:rPr>
                <w:color w:val="auto"/>
                <w:szCs w:val="21"/>
                <w:highlight w:val="none"/>
              </w:rPr>
            </w:pPr>
            <w:r>
              <w:rPr>
                <w:color w:val="auto"/>
                <w:szCs w:val="21"/>
                <w:highlight w:val="none"/>
              </w:rPr>
              <w:t>福民路</w:t>
            </w:r>
          </w:p>
        </w:tc>
        <w:tc>
          <w:tcPr>
            <w:tcW w:w="1867" w:type="dxa"/>
            <w:shd w:val="clear" w:color="auto" w:fill="FFFFFF"/>
            <w:vAlign w:val="center"/>
          </w:tcPr>
          <w:p w14:paraId="7ECDEDAC">
            <w:pPr>
              <w:jc w:val="center"/>
              <w:rPr>
                <w:color w:val="auto"/>
                <w:szCs w:val="21"/>
                <w:highlight w:val="none"/>
              </w:rPr>
            </w:pPr>
            <w:r>
              <w:rPr>
                <w:color w:val="auto"/>
                <w:szCs w:val="21"/>
                <w:highlight w:val="none"/>
              </w:rPr>
              <w:t>拓展路-黄桷湾公园</w:t>
            </w:r>
          </w:p>
        </w:tc>
        <w:tc>
          <w:tcPr>
            <w:tcW w:w="853" w:type="dxa"/>
            <w:shd w:val="clear" w:color="auto" w:fill="FFFFFF"/>
            <w:vAlign w:val="center"/>
          </w:tcPr>
          <w:p w14:paraId="2EA3FDCC">
            <w:pPr>
              <w:jc w:val="center"/>
              <w:rPr>
                <w:color w:val="auto"/>
                <w:szCs w:val="21"/>
                <w:highlight w:val="none"/>
              </w:rPr>
            </w:pPr>
            <w:r>
              <w:rPr>
                <w:color w:val="auto"/>
                <w:szCs w:val="21"/>
                <w:highlight w:val="none"/>
              </w:rPr>
              <w:t>1.90</w:t>
            </w:r>
          </w:p>
        </w:tc>
        <w:tc>
          <w:tcPr>
            <w:tcW w:w="846" w:type="dxa"/>
            <w:shd w:val="clear" w:color="auto" w:fill="FFFFFF"/>
            <w:vAlign w:val="center"/>
          </w:tcPr>
          <w:p w14:paraId="4262E878">
            <w:pPr>
              <w:jc w:val="center"/>
              <w:rPr>
                <w:color w:val="auto"/>
                <w:szCs w:val="21"/>
                <w:highlight w:val="none"/>
              </w:rPr>
            </w:pPr>
            <w:r>
              <w:rPr>
                <w:color w:val="auto"/>
                <w:szCs w:val="21"/>
                <w:highlight w:val="none"/>
              </w:rPr>
              <w:t>4</w:t>
            </w:r>
          </w:p>
        </w:tc>
        <w:tc>
          <w:tcPr>
            <w:tcW w:w="810" w:type="dxa"/>
            <w:shd w:val="clear" w:color="auto" w:fill="FFFFFF"/>
            <w:vAlign w:val="center"/>
          </w:tcPr>
          <w:p w14:paraId="72127502">
            <w:pPr>
              <w:jc w:val="center"/>
              <w:rPr>
                <w:color w:val="auto"/>
                <w:szCs w:val="21"/>
                <w:highlight w:val="none"/>
              </w:rPr>
            </w:pPr>
            <w:r>
              <w:rPr>
                <w:color w:val="auto"/>
                <w:szCs w:val="21"/>
                <w:highlight w:val="none"/>
              </w:rPr>
              <w:t>7.60</w:t>
            </w:r>
          </w:p>
        </w:tc>
        <w:tc>
          <w:tcPr>
            <w:tcW w:w="997" w:type="dxa"/>
            <w:shd w:val="clear" w:color="auto" w:fill="FFFFFF"/>
            <w:vAlign w:val="center"/>
          </w:tcPr>
          <w:p w14:paraId="4E8CF15D">
            <w:pPr>
              <w:jc w:val="center"/>
              <w:rPr>
                <w:color w:val="auto"/>
                <w:szCs w:val="21"/>
                <w:highlight w:val="none"/>
              </w:rPr>
            </w:pPr>
            <w:r>
              <w:rPr>
                <w:color w:val="auto"/>
                <w:szCs w:val="21"/>
                <w:highlight w:val="none"/>
              </w:rPr>
              <w:t>4340.00</w:t>
            </w:r>
          </w:p>
        </w:tc>
        <w:tc>
          <w:tcPr>
            <w:tcW w:w="1134" w:type="dxa"/>
            <w:shd w:val="clear" w:color="auto" w:fill="FFFFFF"/>
            <w:vAlign w:val="center"/>
          </w:tcPr>
          <w:p w14:paraId="7192888D">
            <w:pPr>
              <w:jc w:val="center"/>
              <w:rPr>
                <w:color w:val="auto"/>
                <w:szCs w:val="21"/>
                <w:highlight w:val="none"/>
              </w:rPr>
            </w:pPr>
          </w:p>
        </w:tc>
        <w:tc>
          <w:tcPr>
            <w:tcW w:w="876" w:type="dxa"/>
            <w:shd w:val="clear" w:color="auto" w:fill="FFFFFF"/>
            <w:vAlign w:val="center"/>
          </w:tcPr>
          <w:p w14:paraId="5C123DAE">
            <w:pPr>
              <w:jc w:val="center"/>
              <w:rPr>
                <w:color w:val="auto"/>
                <w:szCs w:val="21"/>
                <w:highlight w:val="none"/>
              </w:rPr>
            </w:pPr>
          </w:p>
        </w:tc>
        <w:tc>
          <w:tcPr>
            <w:tcW w:w="847" w:type="dxa"/>
            <w:vMerge w:val="continue"/>
            <w:shd w:val="clear" w:color="auto" w:fill="auto"/>
            <w:vAlign w:val="center"/>
          </w:tcPr>
          <w:p w14:paraId="1E844A15">
            <w:pPr>
              <w:jc w:val="center"/>
              <w:rPr>
                <w:color w:val="auto"/>
                <w:szCs w:val="21"/>
                <w:highlight w:val="none"/>
              </w:rPr>
            </w:pPr>
          </w:p>
        </w:tc>
      </w:tr>
      <w:tr w14:paraId="7093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 w:type="dxa"/>
            <w:shd w:val="clear" w:color="auto" w:fill="auto"/>
            <w:vAlign w:val="center"/>
          </w:tcPr>
          <w:p w14:paraId="01A64EFA">
            <w:pPr>
              <w:jc w:val="center"/>
              <w:rPr>
                <w:color w:val="auto"/>
                <w:szCs w:val="21"/>
                <w:highlight w:val="none"/>
              </w:rPr>
            </w:pPr>
            <w:r>
              <w:rPr>
                <w:color w:val="auto"/>
                <w:szCs w:val="21"/>
                <w:highlight w:val="none"/>
              </w:rPr>
              <w:t>6</w:t>
            </w:r>
          </w:p>
        </w:tc>
        <w:tc>
          <w:tcPr>
            <w:tcW w:w="885" w:type="dxa"/>
            <w:shd w:val="clear" w:color="auto" w:fill="FFFFFF"/>
            <w:vAlign w:val="center"/>
          </w:tcPr>
          <w:p w14:paraId="74CA294B">
            <w:pPr>
              <w:jc w:val="center"/>
              <w:rPr>
                <w:color w:val="auto"/>
                <w:szCs w:val="21"/>
                <w:highlight w:val="none"/>
              </w:rPr>
            </w:pPr>
            <w:r>
              <w:rPr>
                <w:color w:val="auto"/>
                <w:szCs w:val="21"/>
                <w:highlight w:val="none"/>
              </w:rPr>
              <w:t>腾龙大道延伸段</w:t>
            </w:r>
          </w:p>
        </w:tc>
        <w:tc>
          <w:tcPr>
            <w:tcW w:w="1867" w:type="dxa"/>
            <w:shd w:val="clear" w:color="auto" w:fill="FFFFFF"/>
            <w:vAlign w:val="center"/>
          </w:tcPr>
          <w:p w14:paraId="0C6AF3D4">
            <w:pPr>
              <w:jc w:val="center"/>
              <w:rPr>
                <w:color w:val="auto"/>
                <w:szCs w:val="21"/>
                <w:highlight w:val="none"/>
              </w:rPr>
            </w:pPr>
            <w:r>
              <w:rPr>
                <w:color w:val="auto"/>
                <w:szCs w:val="21"/>
                <w:highlight w:val="none"/>
              </w:rPr>
              <w:t>洋人街转盘-腾龙立交渝航大道匝道入口</w:t>
            </w:r>
          </w:p>
        </w:tc>
        <w:tc>
          <w:tcPr>
            <w:tcW w:w="853" w:type="dxa"/>
            <w:shd w:val="clear" w:color="auto" w:fill="FFFFFF"/>
            <w:vAlign w:val="center"/>
          </w:tcPr>
          <w:p w14:paraId="03323DAF">
            <w:pPr>
              <w:jc w:val="center"/>
              <w:rPr>
                <w:color w:val="auto"/>
                <w:szCs w:val="21"/>
                <w:highlight w:val="none"/>
              </w:rPr>
            </w:pPr>
            <w:r>
              <w:rPr>
                <w:color w:val="auto"/>
                <w:szCs w:val="21"/>
                <w:highlight w:val="none"/>
              </w:rPr>
              <w:t>0.24</w:t>
            </w:r>
          </w:p>
        </w:tc>
        <w:tc>
          <w:tcPr>
            <w:tcW w:w="846" w:type="dxa"/>
            <w:shd w:val="clear" w:color="auto" w:fill="FFFFFF"/>
            <w:vAlign w:val="center"/>
          </w:tcPr>
          <w:p w14:paraId="067CB32D">
            <w:pPr>
              <w:jc w:val="center"/>
              <w:rPr>
                <w:color w:val="auto"/>
                <w:szCs w:val="21"/>
                <w:highlight w:val="none"/>
              </w:rPr>
            </w:pPr>
            <w:r>
              <w:rPr>
                <w:color w:val="auto"/>
                <w:szCs w:val="21"/>
                <w:highlight w:val="none"/>
              </w:rPr>
              <w:t>8</w:t>
            </w:r>
          </w:p>
        </w:tc>
        <w:tc>
          <w:tcPr>
            <w:tcW w:w="810" w:type="dxa"/>
            <w:shd w:val="clear" w:color="auto" w:fill="FFFFFF"/>
            <w:vAlign w:val="center"/>
          </w:tcPr>
          <w:p w14:paraId="62DD1B5E">
            <w:pPr>
              <w:jc w:val="center"/>
              <w:rPr>
                <w:color w:val="auto"/>
                <w:szCs w:val="21"/>
                <w:highlight w:val="none"/>
              </w:rPr>
            </w:pPr>
            <w:r>
              <w:rPr>
                <w:color w:val="auto"/>
                <w:szCs w:val="21"/>
                <w:highlight w:val="none"/>
              </w:rPr>
              <w:t>1.94</w:t>
            </w:r>
          </w:p>
        </w:tc>
        <w:tc>
          <w:tcPr>
            <w:tcW w:w="997" w:type="dxa"/>
            <w:shd w:val="clear" w:color="auto" w:fill="FFFFFF"/>
            <w:vAlign w:val="center"/>
          </w:tcPr>
          <w:p w14:paraId="4E9002BB">
            <w:pPr>
              <w:jc w:val="center"/>
              <w:rPr>
                <w:color w:val="auto"/>
                <w:szCs w:val="21"/>
                <w:highlight w:val="none"/>
              </w:rPr>
            </w:pPr>
            <w:r>
              <w:rPr>
                <w:color w:val="auto"/>
                <w:szCs w:val="21"/>
                <w:highlight w:val="none"/>
              </w:rPr>
              <w:t>4340.00</w:t>
            </w:r>
          </w:p>
        </w:tc>
        <w:tc>
          <w:tcPr>
            <w:tcW w:w="1134" w:type="dxa"/>
            <w:shd w:val="clear" w:color="auto" w:fill="FFFFFF"/>
            <w:vAlign w:val="center"/>
          </w:tcPr>
          <w:p w14:paraId="7EFA9105">
            <w:pPr>
              <w:jc w:val="center"/>
              <w:rPr>
                <w:color w:val="auto"/>
                <w:szCs w:val="21"/>
                <w:highlight w:val="none"/>
              </w:rPr>
            </w:pPr>
          </w:p>
        </w:tc>
        <w:tc>
          <w:tcPr>
            <w:tcW w:w="876" w:type="dxa"/>
            <w:shd w:val="clear" w:color="auto" w:fill="FFFFFF"/>
            <w:vAlign w:val="center"/>
          </w:tcPr>
          <w:p w14:paraId="7FEBE1E3">
            <w:pPr>
              <w:jc w:val="center"/>
              <w:rPr>
                <w:color w:val="auto"/>
                <w:szCs w:val="21"/>
                <w:highlight w:val="none"/>
              </w:rPr>
            </w:pPr>
          </w:p>
        </w:tc>
        <w:tc>
          <w:tcPr>
            <w:tcW w:w="847" w:type="dxa"/>
            <w:vMerge w:val="continue"/>
            <w:shd w:val="clear" w:color="auto" w:fill="auto"/>
            <w:vAlign w:val="center"/>
          </w:tcPr>
          <w:p w14:paraId="558C826D">
            <w:pPr>
              <w:jc w:val="center"/>
              <w:rPr>
                <w:color w:val="auto"/>
                <w:szCs w:val="21"/>
                <w:highlight w:val="none"/>
              </w:rPr>
            </w:pPr>
          </w:p>
        </w:tc>
      </w:tr>
      <w:tr w14:paraId="5570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406A21E8">
            <w:pPr>
              <w:jc w:val="center"/>
              <w:rPr>
                <w:color w:val="auto"/>
                <w:szCs w:val="21"/>
                <w:highlight w:val="none"/>
              </w:rPr>
            </w:pPr>
            <w:r>
              <w:rPr>
                <w:color w:val="auto"/>
                <w:szCs w:val="21"/>
                <w:highlight w:val="none"/>
              </w:rPr>
              <w:t>7</w:t>
            </w:r>
          </w:p>
        </w:tc>
        <w:tc>
          <w:tcPr>
            <w:tcW w:w="885" w:type="dxa"/>
            <w:shd w:val="clear" w:color="auto" w:fill="FFFFFF"/>
            <w:vAlign w:val="center"/>
          </w:tcPr>
          <w:p w14:paraId="6136EB6F">
            <w:pPr>
              <w:jc w:val="center"/>
              <w:rPr>
                <w:color w:val="auto"/>
                <w:szCs w:val="21"/>
                <w:highlight w:val="none"/>
              </w:rPr>
            </w:pPr>
            <w:r>
              <w:rPr>
                <w:color w:val="auto"/>
                <w:szCs w:val="21"/>
                <w:highlight w:val="none"/>
              </w:rPr>
              <w:t>腾滨路</w:t>
            </w:r>
          </w:p>
        </w:tc>
        <w:tc>
          <w:tcPr>
            <w:tcW w:w="1867" w:type="dxa"/>
            <w:shd w:val="clear" w:color="auto" w:fill="FFFFFF"/>
            <w:vAlign w:val="center"/>
          </w:tcPr>
          <w:p w14:paraId="6C16C9E6">
            <w:pPr>
              <w:jc w:val="center"/>
              <w:rPr>
                <w:color w:val="auto"/>
                <w:szCs w:val="21"/>
                <w:highlight w:val="none"/>
              </w:rPr>
            </w:pPr>
            <w:r>
              <w:rPr>
                <w:color w:val="auto"/>
                <w:szCs w:val="21"/>
                <w:highlight w:val="none"/>
              </w:rPr>
              <w:t>腾龙大道-南滨路</w:t>
            </w:r>
          </w:p>
        </w:tc>
        <w:tc>
          <w:tcPr>
            <w:tcW w:w="853" w:type="dxa"/>
            <w:shd w:val="clear" w:color="auto" w:fill="FFFFFF"/>
            <w:vAlign w:val="center"/>
          </w:tcPr>
          <w:p w14:paraId="3351434A">
            <w:pPr>
              <w:jc w:val="center"/>
              <w:rPr>
                <w:color w:val="auto"/>
                <w:szCs w:val="21"/>
                <w:highlight w:val="none"/>
              </w:rPr>
            </w:pPr>
            <w:r>
              <w:rPr>
                <w:color w:val="auto"/>
                <w:szCs w:val="21"/>
                <w:highlight w:val="none"/>
              </w:rPr>
              <w:t>1.54</w:t>
            </w:r>
          </w:p>
        </w:tc>
        <w:tc>
          <w:tcPr>
            <w:tcW w:w="846" w:type="dxa"/>
            <w:shd w:val="clear" w:color="auto" w:fill="FFFFFF"/>
            <w:vAlign w:val="center"/>
          </w:tcPr>
          <w:p w14:paraId="65975326">
            <w:pPr>
              <w:jc w:val="center"/>
              <w:rPr>
                <w:color w:val="auto"/>
                <w:szCs w:val="21"/>
                <w:highlight w:val="none"/>
              </w:rPr>
            </w:pPr>
            <w:r>
              <w:rPr>
                <w:color w:val="auto"/>
                <w:szCs w:val="21"/>
                <w:highlight w:val="none"/>
              </w:rPr>
              <w:t>4</w:t>
            </w:r>
          </w:p>
        </w:tc>
        <w:tc>
          <w:tcPr>
            <w:tcW w:w="810" w:type="dxa"/>
            <w:shd w:val="clear" w:color="auto" w:fill="FFFFFF"/>
            <w:vAlign w:val="center"/>
          </w:tcPr>
          <w:p w14:paraId="1162B29C">
            <w:pPr>
              <w:jc w:val="center"/>
              <w:rPr>
                <w:color w:val="auto"/>
                <w:szCs w:val="21"/>
                <w:highlight w:val="none"/>
              </w:rPr>
            </w:pPr>
            <w:r>
              <w:rPr>
                <w:color w:val="auto"/>
                <w:szCs w:val="21"/>
                <w:highlight w:val="none"/>
              </w:rPr>
              <w:t>6.15</w:t>
            </w:r>
          </w:p>
        </w:tc>
        <w:tc>
          <w:tcPr>
            <w:tcW w:w="997" w:type="dxa"/>
            <w:shd w:val="clear" w:color="auto" w:fill="FFFFFF"/>
            <w:vAlign w:val="center"/>
          </w:tcPr>
          <w:p w14:paraId="0397D222">
            <w:pPr>
              <w:jc w:val="center"/>
              <w:rPr>
                <w:color w:val="auto"/>
                <w:szCs w:val="21"/>
                <w:highlight w:val="none"/>
              </w:rPr>
            </w:pPr>
            <w:r>
              <w:rPr>
                <w:color w:val="auto"/>
                <w:szCs w:val="21"/>
                <w:highlight w:val="none"/>
              </w:rPr>
              <w:t>4340.00</w:t>
            </w:r>
          </w:p>
        </w:tc>
        <w:tc>
          <w:tcPr>
            <w:tcW w:w="1134" w:type="dxa"/>
            <w:shd w:val="clear" w:color="auto" w:fill="FFFFFF"/>
            <w:vAlign w:val="center"/>
          </w:tcPr>
          <w:p w14:paraId="3289CE51">
            <w:pPr>
              <w:jc w:val="center"/>
              <w:rPr>
                <w:color w:val="auto"/>
                <w:szCs w:val="21"/>
                <w:highlight w:val="none"/>
              </w:rPr>
            </w:pPr>
          </w:p>
        </w:tc>
        <w:tc>
          <w:tcPr>
            <w:tcW w:w="876" w:type="dxa"/>
            <w:shd w:val="clear" w:color="auto" w:fill="FFFFFF"/>
            <w:vAlign w:val="center"/>
          </w:tcPr>
          <w:p w14:paraId="6F081673">
            <w:pPr>
              <w:jc w:val="center"/>
              <w:rPr>
                <w:color w:val="auto"/>
                <w:szCs w:val="21"/>
                <w:highlight w:val="none"/>
              </w:rPr>
            </w:pPr>
          </w:p>
        </w:tc>
        <w:tc>
          <w:tcPr>
            <w:tcW w:w="847" w:type="dxa"/>
            <w:vMerge w:val="continue"/>
            <w:shd w:val="clear" w:color="auto" w:fill="auto"/>
            <w:vAlign w:val="center"/>
          </w:tcPr>
          <w:p w14:paraId="5FC1CFC7">
            <w:pPr>
              <w:jc w:val="center"/>
              <w:rPr>
                <w:color w:val="auto"/>
                <w:szCs w:val="21"/>
                <w:highlight w:val="none"/>
              </w:rPr>
            </w:pPr>
          </w:p>
        </w:tc>
      </w:tr>
      <w:tr w14:paraId="50E7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5DAA147C">
            <w:pPr>
              <w:jc w:val="center"/>
              <w:rPr>
                <w:color w:val="auto"/>
                <w:szCs w:val="21"/>
                <w:highlight w:val="none"/>
              </w:rPr>
            </w:pPr>
            <w:r>
              <w:rPr>
                <w:color w:val="auto"/>
                <w:szCs w:val="21"/>
                <w:highlight w:val="none"/>
              </w:rPr>
              <w:t>8</w:t>
            </w:r>
          </w:p>
        </w:tc>
        <w:tc>
          <w:tcPr>
            <w:tcW w:w="885" w:type="dxa"/>
            <w:shd w:val="clear" w:color="auto" w:fill="FFFFFF"/>
            <w:vAlign w:val="center"/>
          </w:tcPr>
          <w:p w14:paraId="1BB6CDE5">
            <w:pPr>
              <w:jc w:val="center"/>
              <w:rPr>
                <w:color w:val="auto"/>
                <w:szCs w:val="21"/>
                <w:highlight w:val="none"/>
              </w:rPr>
            </w:pPr>
            <w:r>
              <w:rPr>
                <w:color w:val="auto"/>
                <w:szCs w:val="21"/>
                <w:highlight w:val="none"/>
              </w:rPr>
              <w:t>开泰路</w:t>
            </w:r>
          </w:p>
        </w:tc>
        <w:tc>
          <w:tcPr>
            <w:tcW w:w="1867" w:type="dxa"/>
            <w:shd w:val="clear" w:color="auto" w:fill="FFFFFF"/>
            <w:vAlign w:val="center"/>
          </w:tcPr>
          <w:p w14:paraId="32FC9B21">
            <w:pPr>
              <w:jc w:val="center"/>
              <w:rPr>
                <w:color w:val="auto"/>
                <w:szCs w:val="21"/>
                <w:highlight w:val="none"/>
              </w:rPr>
            </w:pPr>
            <w:r>
              <w:rPr>
                <w:color w:val="auto"/>
                <w:szCs w:val="21"/>
                <w:highlight w:val="none"/>
              </w:rPr>
              <w:t>腾龙大道-福民路</w:t>
            </w:r>
          </w:p>
        </w:tc>
        <w:tc>
          <w:tcPr>
            <w:tcW w:w="853" w:type="dxa"/>
            <w:shd w:val="clear" w:color="auto" w:fill="FFFFFF"/>
            <w:vAlign w:val="center"/>
          </w:tcPr>
          <w:p w14:paraId="515008A6">
            <w:pPr>
              <w:jc w:val="center"/>
              <w:rPr>
                <w:color w:val="auto"/>
                <w:szCs w:val="21"/>
                <w:highlight w:val="none"/>
              </w:rPr>
            </w:pPr>
            <w:r>
              <w:rPr>
                <w:color w:val="auto"/>
                <w:szCs w:val="21"/>
                <w:highlight w:val="none"/>
              </w:rPr>
              <w:t>2.70</w:t>
            </w:r>
          </w:p>
        </w:tc>
        <w:tc>
          <w:tcPr>
            <w:tcW w:w="846" w:type="dxa"/>
            <w:shd w:val="clear" w:color="auto" w:fill="FFFFFF"/>
            <w:vAlign w:val="center"/>
          </w:tcPr>
          <w:p w14:paraId="3741BC6D">
            <w:pPr>
              <w:jc w:val="center"/>
              <w:rPr>
                <w:color w:val="auto"/>
                <w:szCs w:val="21"/>
                <w:highlight w:val="none"/>
              </w:rPr>
            </w:pPr>
            <w:r>
              <w:rPr>
                <w:color w:val="auto"/>
                <w:szCs w:val="21"/>
                <w:highlight w:val="none"/>
              </w:rPr>
              <w:t>4</w:t>
            </w:r>
          </w:p>
        </w:tc>
        <w:tc>
          <w:tcPr>
            <w:tcW w:w="810" w:type="dxa"/>
            <w:shd w:val="clear" w:color="auto" w:fill="FFFFFF"/>
            <w:vAlign w:val="center"/>
          </w:tcPr>
          <w:p w14:paraId="21C13D13">
            <w:pPr>
              <w:jc w:val="center"/>
              <w:rPr>
                <w:color w:val="auto"/>
                <w:szCs w:val="21"/>
                <w:highlight w:val="none"/>
              </w:rPr>
            </w:pPr>
            <w:r>
              <w:rPr>
                <w:color w:val="auto"/>
                <w:szCs w:val="21"/>
                <w:highlight w:val="none"/>
              </w:rPr>
              <w:t>10.80</w:t>
            </w:r>
          </w:p>
        </w:tc>
        <w:tc>
          <w:tcPr>
            <w:tcW w:w="997" w:type="dxa"/>
            <w:shd w:val="clear" w:color="auto" w:fill="FFFFFF"/>
            <w:vAlign w:val="center"/>
          </w:tcPr>
          <w:p w14:paraId="352FAFC4">
            <w:pPr>
              <w:jc w:val="center"/>
              <w:rPr>
                <w:color w:val="auto"/>
                <w:szCs w:val="21"/>
                <w:highlight w:val="none"/>
              </w:rPr>
            </w:pPr>
            <w:r>
              <w:rPr>
                <w:color w:val="auto"/>
                <w:szCs w:val="21"/>
                <w:highlight w:val="none"/>
              </w:rPr>
              <w:t>4340.00</w:t>
            </w:r>
          </w:p>
        </w:tc>
        <w:tc>
          <w:tcPr>
            <w:tcW w:w="1134" w:type="dxa"/>
            <w:shd w:val="clear" w:color="auto" w:fill="FFFFFF"/>
            <w:vAlign w:val="center"/>
          </w:tcPr>
          <w:p w14:paraId="0256C4DF">
            <w:pPr>
              <w:jc w:val="center"/>
              <w:rPr>
                <w:color w:val="auto"/>
                <w:szCs w:val="21"/>
                <w:highlight w:val="none"/>
              </w:rPr>
            </w:pPr>
          </w:p>
        </w:tc>
        <w:tc>
          <w:tcPr>
            <w:tcW w:w="876" w:type="dxa"/>
            <w:shd w:val="clear" w:color="auto" w:fill="FFFFFF"/>
            <w:vAlign w:val="center"/>
          </w:tcPr>
          <w:p w14:paraId="127E3CEA">
            <w:pPr>
              <w:jc w:val="center"/>
              <w:rPr>
                <w:color w:val="auto"/>
                <w:szCs w:val="21"/>
                <w:highlight w:val="none"/>
              </w:rPr>
            </w:pPr>
          </w:p>
        </w:tc>
        <w:tc>
          <w:tcPr>
            <w:tcW w:w="847" w:type="dxa"/>
            <w:vMerge w:val="continue"/>
            <w:shd w:val="clear" w:color="auto" w:fill="auto"/>
            <w:vAlign w:val="center"/>
          </w:tcPr>
          <w:p w14:paraId="711290A3">
            <w:pPr>
              <w:jc w:val="center"/>
              <w:rPr>
                <w:color w:val="auto"/>
                <w:szCs w:val="21"/>
                <w:highlight w:val="none"/>
              </w:rPr>
            </w:pPr>
          </w:p>
        </w:tc>
      </w:tr>
      <w:tr w14:paraId="2A15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4DD0AAC4">
            <w:pPr>
              <w:jc w:val="center"/>
              <w:rPr>
                <w:color w:val="auto"/>
                <w:szCs w:val="21"/>
                <w:highlight w:val="none"/>
              </w:rPr>
            </w:pPr>
            <w:r>
              <w:rPr>
                <w:color w:val="auto"/>
                <w:szCs w:val="21"/>
                <w:highlight w:val="none"/>
              </w:rPr>
              <w:t>9</w:t>
            </w:r>
          </w:p>
        </w:tc>
        <w:tc>
          <w:tcPr>
            <w:tcW w:w="885" w:type="dxa"/>
            <w:shd w:val="clear" w:color="auto" w:fill="FFFFFF"/>
            <w:vAlign w:val="center"/>
          </w:tcPr>
          <w:p w14:paraId="41C69A4C">
            <w:pPr>
              <w:jc w:val="center"/>
              <w:rPr>
                <w:color w:val="auto"/>
                <w:szCs w:val="21"/>
                <w:highlight w:val="none"/>
              </w:rPr>
            </w:pPr>
            <w:r>
              <w:rPr>
                <w:color w:val="auto"/>
                <w:szCs w:val="21"/>
                <w:highlight w:val="none"/>
              </w:rPr>
              <w:t>拓展路</w:t>
            </w:r>
          </w:p>
        </w:tc>
        <w:tc>
          <w:tcPr>
            <w:tcW w:w="1867" w:type="dxa"/>
            <w:shd w:val="clear" w:color="auto" w:fill="FFFFFF"/>
            <w:vAlign w:val="center"/>
          </w:tcPr>
          <w:p w14:paraId="3254260E">
            <w:pPr>
              <w:jc w:val="center"/>
              <w:rPr>
                <w:color w:val="auto"/>
                <w:szCs w:val="21"/>
                <w:highlight w:val="none"/>
              </w:rPr>
            </w:pPr>
            <w:r>
              <w:rPr>
                <w:color w:val="auto"/>
                <w:szCs w:val="21"/>
                <w:highlight w:val="none"/>
              </w:rPr>
              <w:t>腾滨路-小沙溪公园</w:t>
            </w:r>
          </w:p>
        </w:tc>
        <w:tc>
          <w:tcPr>
            <w:tcW w:w="853" w:type="dxa"/>
            <w:shd w:val="clear" w:color="auto" w:fill="FFFFFF"/>
            <w:vAlign w:val="center"/>
          </w:tcPr>
          <w:p w14:paraId="40FD3CD9">
            <w:pPr>
              <w:jc w:val="center"/>
              <w:rPr>
                <w:color w:val="auto"/>
                <w:szCs w:val="21"/>
                <w:highlight w:val="none"/>
              </w:rPr>
            </w:pPr>
            <w:r>
              <w:rPr>
                <w:color w:val="auto"/>
                <w:szCs w:val="21"/>
                <w:highlight w:val="none"/>
              </w:rPr>
              <w:t>0.84</w:t>
            </w:r>
          </w:p>
        </w:tc>
        <w:tc>
          <w:tcPr>
            <w:tcW w:w="846" w:type="dxa"/>
            <w:shd w:val="clear" w:color="auto" w:fill="FFFFFF"/>
            <w:vAlign w:val="center"/>
          </w:tcPr>
          <w:p w14:paraId="063253F3">
            <w:pPr>
              <w:jc w:val="center"/>
              <w:rPr>
                <w:color w:val="auto"/>
                <w:szCs w:val="21"/>
                <w:highlight w:val="none"/>
              </w:rPr>
            </w:pPr>
            <w:r>
              <w:rPr>
                <w:color w:val="auto"/>
                <w:szCs w:val="21"/>
                <w:highlight w:val="none"/>
              </w:rPr>
              <w:t>4</w:t>
            </w:r>
          </w:p>
        </w:tc>
        <w:tc>
          <w:tcPr>
            <w:tcW w:w="810" w:type="dxa"/>
            <w:shd w:val="clear" w:color="auto" w:fill="FFFFFF"/>
            <w:vAlign w:val="center"/>
          </w:tcPr>
          <w:p w14:paraId="589D3847">
            <w:pPr>
              <w:jc w:val="center"/>
              <w:rPr>
                <w:color w:val="auto"/>
                <w:szCs w:val="21"/>
                <w:highlight w:val="none"/>
              </w:rPr>
            </w:pPr>
            <w:r>
              <w:rPr>
                <w:color w:val="auto"/>
                <w:szCs w:val="21"/>
                <w:highlight w:val="none"/>
              </w:rPr>
              <w:t>3.36</w:t>
            </w:r>
          </w:p>
        </w:tc>
        <w:tc>
          <w:tcPr>
            <w:tcW w:w="997" w:type="dxa"/>
            <w:shd w:val="clear" w:color="auto" w:fill="FFFFFF"/>
            <w:vAlign w:val="center"/>
          </w:tcPr>
          <w:p w14:paraId="00652EC5">
            <w:pPr>
              <w:jc w:val="center"/>
              <w:rPr>
                <w:color w:val="auto"/>
                <w:szCs w:val="21"/>
                <w:highlight w:val="none"/>
              </w:rPr>
            </w:pPr>
            <w:r>
              <w:rPr>
                <w:color w:val="auto"/>
                <w:szCs w:val="21"/>
                <w:highlight w:val="none"/>
              </w:rPr>
              <w:t>4340.00</w:t>
            </w:r>
          </w:p>
        </w:tc>
        <w:tc>
          <w:tcPr>
            <w:tcW w:w="1134" w:type="dxa"/>
            <w:shd w:val="clear" w:color="auto" w:fill="FFFFFF"/>
            <w:vAlign w:val="center"/>
          </w:tcPr>
          <w:p w14:paraId="6E865A49">
            <w:pPr>
              <w:jc w:val="center"/>
              <w:rPr>
                <w:color w:val="auto"/>
                <w:szCs w:val="21"/>
                <w:highlight w:val="none"/>
              </w:rPr>
            </w:pPr>
          </w:p>
        </w:tc>
        <w:tc>
          <w:tcPr>
            <w:tcW w:w="876" w:type="dxa"/>
            <w:shd w:val="clear" w:color="auto" w:fill="FFFFFF"/>
            <w:vAlign w:val="center"/>
          </w:tcPr>
          <w:p w14:paraId="1181A6A3">
            <w:pPr>
              <w:jc w:val="center"/>
              <w:rPr>
                <w:color w:val="auto"/>
                <w:szCs w:val="21"/>
                <w:highlight w:val="none"/>
              </w:rPr>
            </w:pPr>
          </w:p>
        </w:tc>
        <w:tc>
          <w:tcPr>
            <w:tcW w:w="847" w:type="dxa"/>
            <w:vMerge w:val="continue"/>
            <w:shd w:val="clear" w:color="auto" w:fill="auto"/>
            <w:vAlign w:val="center"/>
          </w:tcPr>
          <w:p w14:paraId="4D9A09B9">
            <w:pPr>
              <w:jc w:val="center"/>
              <w:rPr>
                <w:color w:val="auto"/>
                <w:szCs w:val="21"/>
                <w:highlight w:val="none"/>
              </w:rPr>
            </w:pPr>
          </w:p>
        </w:tc>
      </w:tr>
      <w:tr w14:paraId="0276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079C854">
            <w:pPr>
              <w:jc w:val="center"/>
              <w:rPr>
                <w:color w:val="auto"/>
                <w:szCs w:val="21"/>
                <w:highlight w:val="none"/>
              </w:rPr>
            </w:pPr>
            <w:r>
              <w:rPr>
                <w:color w:val="auto"/>
                <w:szCs w:val="21"/>
                <w:highlight w:val="none"/>
              </w:rPr>
              <w:t>10</w:t>
            </w:r>
          </w:p>
        </w:tc>
        <w:tc>
          <w:tcPr>
            <w:tcW w:w="885" w:type="dxa"/>
            <w:shd w:val="clear" w:color="auto" w:fill="FFFFFF"/>
            <w:vAlign w:val="center"/>
          </w:tcPr>
          <w:p w14:paraId="7622C199">
            <w:pPr>
              <w:jc w:val="center"/>
              <w:rPr>
                <w:color w:val="auto"/>
                <w:szCs w:val="21"/>
                <w:highlight w:val="none"/>
              </w:rPr>
            </w:pPr>
            <w:r>
              <w:rPr>
                <w:color w:val="auto"/>
                <w:szCs w:val="21"/>
                <w:highlight w:val="none"/>
              </w:rPr>
              <w:t>东西干道</w:t>
            </w:r>
          </w:p>
        </w:tc>
        <w:tc>
          <w:tcPr>
            <w:tcW w:w="1867" w:type="dxa"/>
            <w:shd w:val="clear" w:color="auto" w:fill="FFFFFF"/>
            <w:vAlign w:val="center"/>
          </w:tcPr>
          <w:p w14:paraId="6029A4E8">
            <w:pPr>
              <w:jc w:val="center"/>
              <w:rPr>
                <w:color w:val="auto"/>
                <w:szCs w:val="21"/>
                <w:highlight w:val="none"/>
              </w:rPr>
            </w:pPr>
            <w:r>
              <w:rPr>
                <w:color w:val="auto"/>
                <w:szCs w:val="21"/>
                <w:highlight w:val="none"/>
              </w:rPr>
              <w:t>朝天门大桥-黄桷湾</w:t>
            </w:r>
          </w:p>
        </w:tc>
        <w:tc>
          <w:tcPr>
            <w:tcW w:w="853" w:type="dxa"/>
            <w:shd w:val="clear" w:color="auto" w:fill="FFFFFF"/>
            <w:vAlign w:val="center"/>
          </w:tcPr>
          <w:p w14:paraId="799ECBEE">
            <w:pPr>
              <w:jc w:val="center"/>
              <w:rPr>
                <w:color w:val="auto"/>
                <w:szCs w:val="21"/>
                <w:highlight w:val="none"/>
              </w:rPr>
            </w:pPr>
            <w:r>
              <w:rPr>
                <w:color w:val="auto"/>
                <w:szCs w:val="21"/>
                <w:highlight w:val="none"/>
              </w:rPr>
              <w:t>0.56</w:t>
            </w:r>
          </w:p>
        </w:tc>
        <w:tc>
          <w:tcPr>
            <w:tcW w:w="846" w:type="dxa"/>
            <w:shd w:val="clear" w:color="auto" w:fill="FFFFFF"/>
            <w:vAlign w:val="center"/>
          </w:tcPr>
          <w:p w14:paraId="649830D3">
            <w:pPr>
              <w:jc w:val="center"/>
              <w:rPr>
                <w:color w:val="auto"/>
                <w:szCs w:val="21"/>
                <w:highlight w:val="none"/>
              </w:rPr>
            </w:pPr>
            <w:r>
              <w:rPr>
                <w:color w:val="auto"/>
                <w:szCs w:val="21"/>
                <w:highlight w:val="none"/>
              </w:rPr>
              <w:t>6</w:t>
            </w:r>
          </w:p>
        </w:tc>
        <w:tc>
          <w:tcPr>
            <w:tcW w:w="810" w:type="dxa"/>
            <w:shd w:val="clear" w:color="auto" w:fill="FFFFFF"/>
            <w:vAlign w:val="center"/>
          </w:tcPr>
          <w:p w14:paraId="4FF67477">
            <w:pPr>
              <w:jc w:val="center"/>
              <w:rPr>
                <w:color w:val="auto"/>
                <w:szCs w:val="21"/>
                <w:highlight w:val="none"/>
              </w:rPr>
            </w:pPr>
            <w:r>
              <w:rPr>
                <w:color w:val="auto"/>
                <w:szCs w:val="21"/>
                <w:highlight w:val="none"/>
              </w:rPr>
              <w:t>3.37</w:t>
            </w:r>
          </w:p>
        </w:tc>
        <w:tc>
          <w:tcPr>
            <w:tcW w:w="997" w:type="dxa"/>
            <w:shd w:val="clear" w:color="auto" w:fill="FFFFFF"/>
            <w:vAlign w:val="center"/>
          </w:tcPr>
          <w:p w14:paraId="5D01A61A">
            <w:pPr>
              <w:jc w:val="center"/>
              <w:rPr>
                <w:color w:val="auto"/>
                <w:szCs w:val="21"/>
                <w:highlight w:val="none"/>
              </w:rPr>
            </w:pPr>
            <w:r>
              <w:rPr>
                <w:color w:val="auto"/>
                <w:szCs w:val="21"/>
                <w:highlight w:val="none"/>
              </w:rPr>
              <w:t>4340.00</w:t>
            </w:r>
          </w:p>
        </w:tc>
        <w:tc>
          <w:tcPr>
            <w:tcW w:w="1134" w:type="dxa"/>
            <w:shd w:val="clear" w:color="auto" w:fill="FFFFFF"/>
            <w:vAlign w:val="center"/>
          </w:tcPr>
          <w:p w14:paraId="63E2203E">
            <w:pPr>
              <w:jc w:val="center"/>
              <w:rPr>
                <w:color w:val="auto"/>
                <w:szCs w:val="21"/>
                <w:highlight w:val="none"/>
              </w:rPr>
            </w:pPr>
          </w:p>
        </w:tc>
        <w:tc>
          <w:tcPr>
            <w:tcW w:w="876" w:type="dxa"/>
            <w:shd w:val="clear" w:color="auto" w:fill="FFFFFF"/>
            <w:vAlign w:val="center"/>
          </w:tcPr>
          <w:p w14:paraId="2A39AA18">
            <w:pPr>
              <w:jc w:val="center"/>
              <w:rPr>
                <w:color w:val="auto"/>
                <w:szCs w:val="21"/>
                <w:highlight w:val="none"/>
              </w:rPr>
            </w:pPr>
          </w:p>
        </w:tc>
        <w:tc>
          <w:tcPr>
            <w:tcW w:w="847" w:type="dxa"/>
            <w:vMerge w:val="continue"/>
            <w:shd w:val="clear" w:color="auto" w:fill="auto"/>
            <w:vAlign w:val="center"/>
          </w:tcPr>
          <w:p w14:paraId="10E37481">
            <w:pPr>
              <w:jc w:val="center"/>
              <w:rPr>
                <w:color w:val="auto"/>
                <w:szCs w:val="21"/>
                <w:highlight w:val="none"/>
              </w:rPr>
            </w:pPr>
          </w:p>
        </w:tc>
      </w:tr>
      <w:tr w14:paraId="4AD8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19E8E341">
            <w:pPr>
              <w:jc w:val="center"/>
              <w:rPr>
                <w:color w:val="auto"/>
                <w:szCs w:val="21"/>
                <w:highlight w:val="none"/>
              </w:rPr>
            </w:pPr>
            <w:r>
              <w:rPr>
                <w:color w:val="auto"/>
                <w:szCs w:val="21"/>
                <w:highlight w:val="none"/>
              </w:rPr>
              <w:t>11</w:t>
            </w:r>
          </w:p>
        </w:tc>
        <w:tc>
          <w:tcPr>
            <w:tcW w:w="885" w:type="dxa"/>
            <w:shd w:val="clear" w:color="auto" w:fill="FFFFFF"/>
            <w:vAlign w:val="center"/>
          </w:tcPr>
          <w:p w14:paraId="6F8EE86F">
            <w:pPr>
              <w:jc w:val="center"/>
              <w:rPr>
                <w:color w:val="auto"/>
                <w:szCs w:val="21"/>
                <w:highlight w:val="none"/>
              </w:rPr>
            </w:pPr>
            <w:r>
              <w:rPr>
                <w:color w:val="auto"/>
                <w:szCs w:val="21"/>
                <w:highlight w:val="none"/>
              </w:rPr>
              <w:t>弹子石新街</w:t>
            </w:r>
          </w:p>
        </w:tc>
        <w:tc>
          <w:tcPr>
            <w:tcW w:w="1867" w:type="dxa"/>
            <w:shd w:val="clear" w:color="auto" w:fill="FFFFFF"/>
            <w:vAlign w:val="center"/>
          </w:tcPr>
          <w:p w14:paraId="647994BA">
            <w:pPr>
              <w:jc w:val="center"/>
              <w:rPr>
                <w:color w:val="auto"/>
                <w:szCs w:val="21"/>
                <w:highlight w:val="none"/>
              </w:rPr>
            </w:pPr>
            <w:r>
              <w:rPr>
                <w:color w:val="auto"/>
                <w:szCs w:val="21"/>
                <w:highlight w:val="none"/>
              </w:rPr>
              <w:t>群慧路-大石坝</w:t>
            </w:r>
          </w:p>
        </w:tc>
        <w:tc>
          <w:tcPr>
            <w:tcW w:w="853" w:type="dxa"/>
            <w:shd w:val="clear" w:color="auto" w:fill="FFFFFF"/>
            <w:vAlign w:val="center"/>
          </w:tcPr>
          <w:p w14:paraId="2D16FD5A">
            <w:pPr>
              <w:jc w:val="center"/>
              <w:rPr>
                <w:color w:val="auto"/>
                <w:szCs w:val="21"/>
                <w:highlight w:val="none"/>
              </w:rPr>
            </w:pPr>
            <w:r>
              <w:rPr>
                <w:color w:val="auto"/>
                <w:szCs w:val="21"/>
                <w:highlight w:val="none"/>
              </w:rPr>
              <w:t>1.22</w:t>
            </w:r>
          </w:p>
        </w:tc>
        <w:tc>
          <w:tcPr>
            <w:tcW w:w="846" w:type="dxa"/>
            <w:shd w:val="clear" w:color="auto" w:fill="FFFFFF"/>
            <w:vAlign w:val="center"/>
          </w:tcPr>
          <w:p w14:paraId="63615276">
            <w:pPr>
              <w:jc w:val="center"/>
              <w:rPr>
                <w:color w:val="auto"/>
                <w:szCs w:val="21"/>
                <w:highlight w:val="none"/>
              </w:rPr>
            </w:pPr>
            <w:r>
              <w:rPr>
                <w:color w:val="auto"/>
                <w:szCs w:val="21"/>
                <w:highlight w:val="none"/>
              </w:rPr>
              <w:t>4</w:t>
            </w:r>
          </w:p>
        </w:tc>
        <w:tc>
          <w:tcPr>
            <w:tcW w:w="810" w:type="dxa"/>
            <w:shd w:val="clear" w:color="auto" w:fill="FFFFFF"/>
            <w:vAlign w:val="center"/>
          </w:tcPr>
          <w:p w14:paraId="72680E4F">
            <w:pPr>
              <w:jc w:val="center"/>
              <w:rPr>
                <w:color w:val="auto"/>
                <w:szCs w:val="21"/>
                <w:highlight w:val="none"/>
              </w:rPr>
            </w:pPr>
            <w:r>
              <w:rPr>
                <w:color w:val="auto"/>
                <w:szCs w:val="21"/>
                <w:highlight w:val="none"/>
              </w:rPr>
              <w:t>4.88</w:t>
            </w:r>
          </w:p>
        </w:tc>
        <w:tc>
          <w:tcPr>
            <w:tcW w:w="997" w:type="dxa"/>
            <w:shd w:val="clear" w:color="auto" w:fill="FFFFFF"/>
            <w:vAlign w:val="center"/>
          </w:tcPr>
          <w:p w14:paraId="3C0710EF">
            <w:pPr>
              <w:jc w:val="center"/>
              <w:rPr>
                <w:color w:val="auto"/>
                <w:szCs w:val="21"/>
                <w:highlight w:val="none"/>
              </w:rPr>
            </w:pPr>
            <w:r>
              <w:rPr>
                <w:color w:val="auto"/>
                <w:szCs w:val="21"/>
                <w:highlight w:val="none"/>
              </w:rPr>
              <w:t>4340.00</w:t>
            </w:r>
          </w:p>
        </w:tc>
        <w:tc>
          <w:tcPr>
            <w:tcW w:w="1134" w:type="dxa"/>
            <w:shd w:val="clear" w:color="auto" w:fill="FFFFFF"/>
            <w:vAlign w:val="center"/>
          </w:tcPr>
          <w:p w14:paraId="140E23B7">
            <w:pPr>
              <w:jc w:val="center"/>
              <w:rPr>
                <w:color w:val="auto"/>
                <w:szCs w:val="21"/>
                <w:highlight w:val="none"/>
              </w:rPr>
            </w:pPr>
          </w:p>
        </w:tc>
        <w:tc>
          <w:tcPr>
            <w:tcW w:w="876" w:type="dxa"/>
            <w:shd w:val="clear" w:color="auto" w:fill="FFFFFF"/>
            <w:vAlign w:val="center"/>
          </w:tcPr>
          <w:p w14:paraId="4B1F8CF5">
            <w:pPr>
              <w:jc w:val="center"/>
              <w:rPr>
                <w:color w:val="auto"/>
                <w:szCs w:val="21"/>
                <w:highlight w:val="none"/>
              </w:rPr>
            </w:pPr>
          </w:p>
        </w:tc>
        <w:tc>
          <w:tcPr>
            <w:tcW w:w="847" w:type="dxa"/>
            <w:vMerge w:val="continue"/>
            <w:shd w:val="clear" w:color="auto" w:fill="auto"/>
            <w:vAlign w:val="center"/>
          </w:tcPr>
          <w:p w14:paraId="061FA9DE">
            <w:pPr>
              <w:jc w:val="center"/>
              <w:rPr>
                <w:color w:val="auto"/>
                <w:szCs w:val="21"/>
                <w:highlight w:val="none"/>
              </w:rPr>
            </w:pPr>
          </w:p>
        </w:tc>
      </w:tr>
      <w:tr w14:paraId="7511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C097546">
            <w:pPr>
              <w:jc w:val="center"/>
              <w:rPr>
                <w:color w:val="auto"/>
                <w:szCs w:val="21"/>
                <w:highlight w:val="none"/>
              </w:rPr>
            </w:pPr>
            <w:r>
              <w:rPr>
                <w:color w:val="auto"/>
                <w:szCs w:val="21"/>
                <w:highlight w:val="none"/>
              </w:rPr>
              <w:t>12</w:t>
            </w:r>
          </w:p>
        </w:tc>
        <w:tc>
          <w:tcPr>
            <w:tcW w:w="885" w:type="dxa"/>
            <w:shd w:val="clear" w:color="auto" w:fill="FFFFFF"/>
            <w:vAlign w:val="center"/>
          </w:tcPr>
          <w:p w14:paraId="375EB418">
            <w:pPr>
              <w:jc w:val="center"/>
              <w:rPr>
                <w:color w:val="auto"/>
                <w:szCs w:val="21"/>
                <w:highlight w:val="none"/>
              </w:rPr>
            </w:pPr>
            <w:r>
              <w:rPr>
                <w:color w:val="auto"/>
                <w:szCs w:val="21"/>
                <w:highlight w:val="none"/>
              </w:rPr>
              <w:t>群慧路</w:t>
            </w:r>
          </w:p>
        </w:tc>
        <w:tc>
          <w:tcPr>
            <w:tcW w:w="1867" w:type="dxa"/>
            <w:shd w:val="clear" w:color="auto" w:fill="FFFFFF"/>
            <w:vAlign w:val="center"/>
          </w:tcPr>
          <w:p w14:paraId="34E18320">
            <w:pPr>
              <w:jc w:val="center"/>
              <w:rPr>
                <w:color w:val="auto"/>
                <w:szCs w:val="21"/>
                <w:highlight w:val="none"/>
              </w:rPr>
            </w:pPr>
            <w:r>
              <w:rPr>
                <w:color w:val="auto"/>
                <w:szCs w:val="21"/>
                <w:highlight w:val="none"/>
              </w:rPr>
              <w:t>腾龙大道-弹子石新街</w:t>
            </w:r>
          </w:p>
        </w:tc>
        <w:tc>
          <w:tcPr>
            <w:tcW w:w="853" w:type="dxa"/>
            <w:shd w:val="clear" w:color="auto" w:fill="FFFFFF"/>
            <w:vAlign w:val="center"/>
          </w:tcPr>
          <w:p w14:paraId="2B1B3AF4">
            <w:pPr>
              <w:jc w:val="center"/>
              <w:rPr>
                <w:color w:val="auto"/>
                <w:szCs w:val="21"/>
                <w:highlight w:val="none"/>
              </w:rPr>
            </w:pPr>
            <w:r>
              <w:rPr>
                <w:color w:val="auto"/>
                <w:szCs w:val="21"/>
                <w:highlight w:val="none"/>
              </w:rPr>
              <w:t>0.49</w:t>
            </w:r>
          </w:p>
        </w:tc>
        <w:tc>
          <w:tcPr>
            <w:tcW w:w="846" w:type="dxa"/>
            <w:shd w:val="clear" w:color="auto" w:fill="FFFFFF"/>
            <w:vAlign w:val="center"/>
          </w:tcPr>
          <w:p w14:paraId="55BC876C">
            <w:pPr>
              <w:jc w:val="center"/>
              <w:rPr>
                <w:color w:val="auto"/>
                <w:szCs w:val="21"/>
                <w:highlight w:val="none"/>
              </w:rPr>
            </w:pPr>
            <w:r>
              <w:rPr>
                <w:color w:val="auto"/>
                <w:szCs w:val="21"/>
                <w:highlight w:val="none"/>
              </w:rPr>
              <w:t>4</w:t>
            </w:r>
          </w:p>
        </w:tc>
        <w:tc>
          <w:tcPr>
            <w:tcW w:w="810" w:type="dxa"/>
            <w:shd w:val="clear" w:color="auto" w:fill="FFFFFF"/>
            <w:vAlign w:val="center"/>
          </w:tcPr>
          <w:p w14:paraId="3652545F">
            <w:pPr>
              <w:jc w:val="center"/>
              <w:rPr>
                <w:color w:val="auto"/>
                <w:szCs w:val="21"/>
                <w:highlight w:val="none"/>
              </w:rPr>
            </w:pPr>
            <w:r>
              <w:rPr>
                <w:color w:val="auto"/>
                <w:szCs w:val="21"/>
                <w:highlight w:val="none"/>
              </w:rPr>
              <w:t>1.96</w:t>
            </w:r>
          </w:p>
        </w:tc>
        <w:tc>
          <w:tcPr>
            <w:tcW w:w="997" w:type="dxa"/>
            <w:shd w:val="clear" w:color="auto" w:fill="FFFFFF"/>
            <w:vAlign w:val="center"/>
          </w:tcPr>
          <w:p w14:paraId="3F3C4A4D">
            <w:pPr>
              <w:jc w:val="center"/>
              <w:rPr>
                <w:color w:val="auto"/>
                <w:szCs w:val="21"/>
                <w:highlight w:val="none"/>
              </w:rPr>
            </w:pPr>
            <w:r>
              <w:rPr>
                <w:color w:val="auto"/>
                <w:szCs w:val="21"/>
                <w:highlight w:val="none"/>
              </w:rPr>
              <w:t>4340.00</w:t>
            </w:r>
          </w:p>
        </w:tc>
        <w:tc>
          <w:tcPr>
            <w:tcW w:w="1134" w:type="dxa"/>
            <w:shd w:val="clear" w:color="auto" w:fill="FFFFFF"/>
            <w:vAlign w:val="center"/>
          </w:tcPr>
          <w:p w14:paraId="5746180D">
            <w:pPr>
              <w:jc w:val="center"/>
              <w:rPr>
                <w:color w:val="auto"/>
                <w:szCs w:val="21"/>
                <w:highlight w:val="none"/>
              </w:rPr>
            </w:pPr>
          </w:p>
        </w:tc>
        <w:tc>
          <w:tcPr>
            <w:tcW w:w="876" w:type="dxa"/>
            <w:shd w:val="clear" w:color="auto" w:fill="FFFFFF"/>
            <w:vAlign w:val="center"/>
          </w:tcPr>
          <w:p w14:paraId="73AD0AB1">
            <w:pPr>
              <w:jc w:val="center"/>
              <w:rPr>
                <w:color w:val="auto"/>
                <w:szCs w:val="21"/>
                <w:highlight w:val="none"/>
              </w:rPr>
            </w:pPr>
          </w:p>
        </w:tc>
        <w:tc>
          <w:tcPr>
            <w:tcW w:w="847" w:type="dxa"/>
            <w:vMerge w:val="continue"/>
            <w:shd w:val="clear" w:color="auto" w:fill="auto"/>
            <w:vAlign w:val="center"/>
          </w:tcPr>
          <w:p w14:paraId="2A1654C8">
            <w:pPr>
              <w:jc w:val="center"/>
              <w:rPr>
                <w:color w:val="auto"/>
                <w:szCs w:val="21"/>
                <w:highlight w:val="none"/>
              </w:rPr>
            </w:pPr>
          </w:p>
        </w:tc>
      </w:tr>
      <w:tr w14:paraId="42AE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0B85D234">
            <w:pPr>
              <w:jc w:val="center"/>
              <w:rPr>
                <w:color w:val="auto"/>
                <w:szCs w:val="21"/>
                <w:highlight w:val="none"/>
              </w:rPr>
            </w:pPr>
            <w:r>
              <w:rPr>
                <w:color w:val="auto"/>
                <w:szCs w:val="21"/>
                <w:highlight w:val="none"/>
              </w:rPr>
              <w:t>13</w:t>
            </w:r>
          </w:p>
        </w:tc>
        <w:tc>
          <w:tcPr>
            <w:tcW w:w="885" w:type="dxa"/>
            <w:shd w:val="clear" w:color="auto" w:fill="FFFFFF"/>
            <w:vAlign w:val="center"/>
          </w:tcPr>
          <w:p w14:paraId="0D18BD01">
            <w:pPr>
              <w:jc w:val="center"/>
              <w:rPr>
                <w:color w:val="auto"/>
                <w:szCs w:val="21"/>
                <w:highlight w:val="none"/>
              </w:rPr>
            </w:pPr>
            <w:r>
              <w:rPr>
                <w:color w:val="auto"/>
                <w:szCs w:val="21"/>
                <w:highlight w:val="none"/>
              </w:rPr>
              <w:t>卫国路</w:t>
            </w:r>
          </w:p>
        </w:tc>
        <w:tc>
          <w:tcPr>
            <w:tcW w:w="1867" w:type="dxa"/>
            <w:shd w:val="clear" w:color="auto" w:fill="FFFFFF"/>
            <w:vAlign w:val="center"/>
          </w:tcPr>
          <w:p w14:paraId="53A64F55">
            <w:pPr>
              <w:jc w:val="center"/>
              <w:rPr>
                <w:color w:val="auto"/>
                <w:szCs w:val="21"/>
                <w:highlight w:val="none"/>
              </w:rPr>
            </w:pPr>
            <w:r>
              <w:rPr>
                <w:color w:val="auto"/>
                <w:szCs w:val="21"/>
                <w:highlight w:val="none"/>
              </w:rPr>
              <w:t>群慧路-南滨路</w:t>
            </w:r>
          </w:p>
        </w:tc>
        <w:tc>
          <w:tcPr>
            <w:tcW w:w="853" w:type="dxa"/>
            <w:shd w:val="clear" w:color="auto" w:fill="FFFFFF"/>
            <w:vAlign w:val="center"/>
          </w:tcPr>
          <w:p w14:paraId="1B5364C1">
            <w:pPr>
              <w:jc w:val="center"/>
              <w:rPr>
                <w:color w:val="auto"/>
                <w:szCs w:val="21"/>
                <w:highlight w:val="none"/>
              </w:rPr>
            </w:pPr>
            <w:r>
              <w:rPr>
                <w:color w:val="auto"/>
                <w:szCs w:val="21"/>
                <w:highlight w:val="none"/>
              </w:rPr>
              <w:t>1.88</w:t>
            </w:r>
          </w:p>
        </w:tc>
        <w:tc>
          <w:tcPr>
            <w:tcW w:w="846" w:type="dxa"/>
            <w:shd w:val="clear" w:color="auto" w:fill="FFFFFF"/>
            <w:vAlign w:val="center"/>
          </w:tcPr>
          <w:p w14:paraId="75D30F47">
            <w:pPr>
              <w:jc w:val="center"/>
              <w:rPr>
                <w:color w:val="auto"/>
                <w:szCs w:val="21"/>
                <w:highlight w:val="none"/>
              </w:rPr>
            </w:pPr>
            <w:r>
              <w:rPr>
                <w:color w:val="auto"/>
                <w:szCs w:val="21"/>
                <w:highlight w:val="none"/>
              </w:rPr>
              <w:t>2</w:t>
            </w:r>
          </w:p>
        </w:tc>
        <w:tc>
          <w:tcPr>
            <w:tcW w:w="810" w:type="dxa"/>
            <w:shd w:val="clear" w:color="auto" w:fill="FFFFFF"/>
            <w:vAlign w:val="center"/>
          </w:tcPr>
          <w:p w14:paraId="38949319">
            <w:pPr>
              <w:jc w:val="center"/>
              <w:rPr>
                <w:color w:val="auto"/>
                <w:szCs w:val="21"/>
                <w:highlight w:val="none"/>
              </w:rPr>
            </w:pPr>
            <w:r>
              <w:rPr>
                <w:color w:val="auto"/>
                <w:szCs w:val="21"/>
                <w:highlight w:val="none"/>
              </w:rPr>
              <w:t>3.76</w:t>
            </w:r>
          </w:p>
        </w:tc>
        <w:tc>
          <w:tcPr>
            <w:tcW w:w="997" w:type="dxa"/>
            <w:shd w:val="clear" w:color="auto" w:fill="FFFFFF"/>
            <w:vAlign w:val="center"/>
          </w:tcPr>
          <w:p w14:paraId="35AA9EC9">
            <w:pPr>
              <w:jc w:val="center"/>
              <w:rPr>
                <w:color w:val="auto"/>
                <w:szCs w:val="21"/>
                <w:highlight w:val="none"/>
              </w:rPr>
            </w:pPr>
            <w:r>
              <w:rPr>
                <w:color w:val="auto"/>
                <w:szCs w:val="21"/>
                <w:highlight w:val="none"/>
              </w:rPr>
              <w:t>4340.00</w:t>
            </w:r>
          </w:p>
        </w:tc>
        <w:tc>
          <w:tcPr>
            <w:tcW w:w="1134" w:type="dxa"/>
            <w:shd w:val="clear" w:color="auto" w:fill="FFFFFF"/>
            <w:vAlign w:val="center"/>
          </w:tcPr>
          <w:p w14:paraId="744B17F4">
            <w:pPr>
              <w:jc w:val="center"/>
              <w:rPr>
                <w:color w:val="auto"/>
                <w:szCs w:val="21"/>
                <w:highlight w:val="none"/>
              </w:rPr>
            </w:pPr>
          </w:p>
        </w:tc>
        <w:tc>
          <w:tcPr>
            <w:tcW w:w="876" w:type="dxa"/>
            <w:shd w:val="clear" w:color="auto" w:fill="FFFFFF"/>
            <w:vAlign w:val="center"/>
          </w:tcPr>
          <w:p w14:paraId="6A4D5D03">
            <w:pPr>
              <w:jc w:val="center"/>
              <w:rPr>
                <w:color w:val="auto"/>
                <w:szCs w:val="21"/>
                <w:highlight w:val="none"/>
              </w:rPr>
            </w:pPr>
          </w:p>
        </w:tc>
        <w:tc>
          <w:tcPr>
            <w:tcW w:w="847" w:type="dxa"/>
            <w:vMerge w:val="continue"/>
            <w:shd w:val="clear" w:color="auto" w:fill="auto"/>
            <w:vAlign w:val="center"/>
          </w:tcPr>
          <w:p w14:paraId="1349AC86">
            <w:pPr>
              <w:jc w:val="center"/>
              <w:rPr>
                <w:color w:val="auto"/>
                <w:szCs w:val="21"/>
                <w:highlight w:val="none"/>
              </w:rPr>
            </w:pPr>
          </w:p>
        </w:tc>
      </w:tr>
      <w:tr w14:paraId="705E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9F89A7C">
            <w:pPr>
              <w:jc w:val="center"/>
              <w:rPr>
                <w:color w:val="auto"/>
                <w:szCs w:val="21"/>
                <w:highlight w:val="none"/>
              </w:rPr>
            </w:pPr>
            <w:r>
              <w:rPr>
                <w:color w:val="auto"/>
                <w:szCs w:val="21"/>
                <w:highlight w:val="none"/>
              </w:rPr>
              <w:t>14</w:t>
            </w:r>
          </w:p>
        </w:tc>
        <w:tc>
          <w:tcPr>
            <w:tcW w:w="885" w:type="dxa"/>
            <w:shd w:val="clear" w:color="auto" w:fill="FFFFFF"/>
            <w:vAlign w:val="center"/>
          </w:tcPr>
          <w:p w14:paraId="105E92B4">
            <w:pPr>
              <w:jc w:val="center"/>
              <w:rPr>
                <w:color w:val="auto"/>
                <w:szCs w:val="21"/>
                <w:highlight w:val="none"/>
              </w:rPr>
            </w:pPr>
            <w:r>
              <w:rPr>
                <w:color w:val="auto"/>
                <w:szCs w:val="21"/>
                <w:highlight w:val="none"/>
              </w:rPr>
              <w:t>朝天门大桥引道</w:t>
            </w:r>
          </w:p>
        </w:tc>
        <w:tc>
          <w:tcPr>
            <w:tcW w:w="1867" w:type="dxa"/>
            <w:shd w:val="clear" w:color="auto" w:fill="FFFFFF"/>
            <w:vAlign w:val="center"/>
          </w:tcPr>
          <w:p w14:paraId="5C8EAB47">
            <w:pPr>
              <w:jc w:val="center"/>
              <w:rPr>
                <w:color w:val="auto"/>
                <w:szCs w:val="21"/>
                <w:highlight w:val="none"/>
              </w:rPr>
            </w:pPr>
            <w:r>
              <w:rPr>
                <w:color w:val="auto"/>
                <w:szCs w:val="21"/>
                <w:highlight w:val="none"/>
              </w:rPr>
              <w:t>朝天门大桥南桥头-腾龙大道</w:t>
            </w:r>
          </w:p>
        </w:tc>
        <w:tc>
          <w:tcPr>
            <w:tcW w:w="853" w:type="dxa"/>
            <w:shd w:val="clear" w:color="auto" w:fill="FFFFFF"/>
            <w:vAlign w:val="center"/>
          </w:tcPr>
          <w:p w14:paraId="0B7D7444">
            <w:pPr>
              <w:jc w:val="center"/>
              <w:rPr>
                <w:color w:val="auto"/>
                <w:szCs w:val="21"/>
                <w:highlight w:val="none"/>
              </w:rPr>
            </w:pPr>
            <w:r>
              <w:rPr>
                <w:color w:val="auto"/>
                <w:szCs w:val="21"/>
                <w:highlight w:val="none"/>
              </w:rPr>
              <w:t>1.03</w:t>
            </w:r>
          </w:p>
        </w:tc>
        <w:tc>
          <w:tcPr>
            <w:tcW w:w="846" w:type="dxa"/>
            <w:shd w:val="clear" w:color="auto" w:fill="FFFFFF"/>
            <w:vAlign w:val="center"/>
          </w:tcPr>
          <w:p w14:paraId="28C9EB6F">
            <w:pPr>
              <w:jc w:val="center"/>
              <w:rPr>
                <w:color w:val="auto"/>
                <w:szCs w:val="21"/>
                <w:highlight w:val="none"/>
              </w:rPr>
            </w:pPr>
            <w:r>
              <w:rPr>
                <w:color w:val="auto"/>
                <w:szCs w:val="21"/>
                <w:highlight w:val="none"/>
              </w:rPr>
              <w:t>2</w:t>
            </w:r>
          </w:p>
        </w:tc>
        <w:tc>
          <w:tcPr>
            <w:tcW w:w="810" w:type="dxa"/>
            <w:shd w:val="clear" w:color="auto" w:fill="FFFFFF"/>
            <w:vAlign w:val="center"/>
          </w:tcPr>
          <w:p w14:paraId="11C652FF">
            <w:pPr>
              <w:jc w:val="center"/>
              <w:rPr>
                <w:color w:val="auto"/>
                <w:szCs w:val="21"/>
                <w:highlight w:val="none"/>
              </w:rPr>
            </w:pPr>
            <w:r>
              <w:rPr>
                <w:color w:val="auto"/>
                <w:szCs w:val="21"/>
                <w:highlight w:val="none"/>
              </w:rPr>
              <w:t>2.06</w:t>
            </w:r>
          </w:p>
        </w:tc>
        <w:tc>
          <w:tcPr>
            <w:tcW w:w="997" w:type="dxa"/>
            <w:shd w:val="clear" w:color="auto" w:fill="FFFFFF"/>
            <w:vAlign w:val="center"/>
          </w:tcPr>
          <w:p w14:paraId="0ECCFB85">
            <w:pPr>
              <w:jc w:val="center"/>
              <w:rPr>
                <w:color w:val="auto"/>
                <w:szCs w:val="21"/>
                <w:highlight w:val="none"/>
              </w:rPr>
            </w:pPr>
            <w:r>
              <w:rPr>
                <w:color w:val="auto"/>
                <w:szCs w:val="21"/>
                <w:highlight w:val="none"/>
              </w:rPr>
              <w:t>4340.00</w:t>
            </w:r>
          </w:p>
        </w:tc>
        <w:tc>
          <w:tcPr>
            <w:tcW w:w="1134" w:type="dxa"/>
            <w:shd w:val="clear" w:color="auto" w:fill="FFFFFF"/>
            <w:vAlign w:val="center"/>
          </w:tcPr>
          <w:p w14:paraId="698F5B25">
            <w:pPr>
              <w:jc w:val="center"/>
              <w:rPr>
                <w:color w:val="auto"/>
                <w:szCs w:val="21"/>
                <w:highlight w:val="none"/>
              </w:rPr>
            </w:pPr>
          </w:p>
        </w:tc>
        <w:tc>
          <w:tcPr>
            <w:tcW w:w="876" w:type="dxa"/>
            <w:shd w:val="clear" w:color="auto" w:fill="FFFFFF"/>
            <w:vAlign w:val="center"/>
          </w:tcPr>
          <w:p w14:paraId="255E6D97">
            <w:pPr>
              <w:jc w:val="center"/>
              <w:rPr>
                <w:color w:val="auto"/>
                <w:szCs w:val="21"/>
                <w:highlight w:val="none"/>
              </w:rPr>
            </w:pPr>
          </w:p>
        </w:tc>
        <w:tc>
          <w:tcPr>
            <w:tcW w:w="847" w:type="dxa"/>
            <w:vMerge w:val="continue"/>
            <w:shd w:val="clear" w:color="auto" w:fill="auto"/>
            <w:vAlign w:val="center"/>
          </w:tcPr>
          <w:p w14:paraId="71F9D2BB">
            <w:pPr>
              <w:jc w:val="center"/>
              <w:rPr>
                <w:color w:val="auto"/>
                <w:szCs w:val="21"/>
                <w:highlight w:val="none"/>
              </w:rPr>
            </w:pPr>
          </w:p>
        </w:tc>
      </w:tr>
      <w:tr w14:paraId="43CD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2935B719">
            <w:pPr>
              <w:jc w:val="center"/>
              <w:rPr>
                <w:color w:val="auto"/>
                <w:szCs w:val="21"/>
                <w:highlight w:val="none"/>
              </w:rPr>
            </w:pPr>
            <w:r>
              <w:rPr>
                <w:color w:val="auto"/>
                <w:szCs w:val="21"/>
                <w:highlight w:val="none"/>
              </w:rPr>
              <w:t>15</w:t>
            </w:r>
          </w:p>
        </w:tc>
        <w:tc>
          <w:tcPr>
            <w:tcW w:w="885" w:type="dxa"/>
            <w:shd w:val="clear" w:color="auto" w:fill="FFFFFF"/>
            <w:vAlign w:val="center"/>
          </w:tcPr>
          <w:p w14:paraId="43F8BE1E">
            <w:pPr>
              <w:jc w:val="center"/>
              <w:rPr>
                <w:color w:val="auto"/>
                <w:szCs w:val="21"/>
                <w:highlight w:val="none"/>
              </w:rPr>
            </w:pPr>
            <w:r>
              <w:rPr>
                <w:color w:val="auto"/>
                <w:szCs w:val="21"/>
                <w:highlight w:val="none"/>
              </w:rPr>
              <w:t>上新街</w:t>
            </w:r>
          </w:p>
        </w:tc>
        <w:tc>
          <w:tcPr>
            <w:tcW w:w="1867" w:type="dxa"/>
            <w:shd w:val="clear" w:color="auto" w:fill="FFFFFF"/>
            <w:vAlign w:val="center"/>
          </w:tcPr>
          <w:p w14:paraId="5D6979B8">
            <w:pPr>
              <w:jc w:val="center"/>
              <w:rPr>
                <w:color w:val="auto"/>
                <w:szCs w:val="21"/>
                <w:highlight w:val="none"/>
              </w:rPr>
            </w:pPr>
            <w:r>
              <w:rPr>
                <w:color w:val="auto"/>
                <w:szCs w:val="21"/>
                <w:highlight w:val="none"/>
              </w:rPr>
              <w:t>龙门路-龙黄路</w:t>
            </w:r>
          </w:p>
        </w:tc>
        <w:tc>
          <w:tcPr>
            <w:tcW w:w="853" w:type="dxa"/>
            <w:shd w:val="clear" w:color="auto" w:fill="FFFFFF"/>
            <w:vAlign w:val="center"/>
          </w:tcPr>
          <w:p w14:paraId="490B1A0D">
            <w:pPr>
              <w:jc w:val="center"/>
              <w:rPr>
                <w:color w:val="auto"/>
                <w:szCs w:val="21"/>
                <w:highlight w:val="none"/>
              </w:rPr>
            </w:pPr>
            <w:r>
              <w:rPr>
                <w:color w:val="auto"/>
                <w:szCs w:val="21"/>
                <w:highlight w:val="none"/>
              </w:rPr>
              <w:t>0.40</w:t>
            </w:r>
          </w:p>
        </w:tc>
        <w:tc>
          <w:tcPr>
            <w:tcW w:w="846" w:type="dxa"/>
            <w:shd w:val="clear" w:color="auto" w:fill="FFFFFF"/>
            <w:vAlign w:val="center"/>
          </w:tcPr>
          <w:p w14:paraId="0F39AF97">
            <w:pPr>
              <w:jc w:val="center"/>
              <w:rPr>
                <w:color w:val="auto"/>
                <w:szCs w:val="21"/>
                <w:highlight w:val="none"/>
              </w:rPr>
            </w:pPr>
            <w:r>
              <w:rPr>
                <w:color w:val="auto"/>
                <w:szCs w:val="21"/>
                <w:highlight w:val="none"/>
              </w:rPr>
              <w:t>4</w:t>
            </w:r>
          </w:p>
        </w:tc>
        <w:tc>
          <w:tcPr>
            <w:tcW w:w="810" w:type="dxa"/>
            <w:shd w:val="clear" w:color="auto" w:fill="FFFFFF"/>
            <w:vAlign w:val="center"/>
          </w:tcPr>
          <w:p w14:paraId="03019C47">
            <w:pPr>
              <w:jc w:val="center"/>
              <w:rPr>
                <w:color w:val="auto"/>
                <w:szCs w:val="21"/>
                <w:highlight w:val="none"/>
              </w:rPr>
            </w:pPr>
            <w:r>
              <w:rPr>
                <w:color w:val="auto"/>
                <w:szCs w:val="21"/>
                <w:highlight w:val="none"/>
              </w:rPr>
              <w:t>1.60</w:t>
            </w:r>
          </w:p>
        </w:tc>
        <w:tc>
          <w:tcPr>
            <w:tcW w:w="997" w:type="dxa"/>
            <w:shd w:val="clear" w:color="auto" w:fill="FFFFFF"/>
            <w:vAlign w:val="center"/>
          </w:tcPr>
          <w:p w14:paraId="40805D26">
            <w:pPr>
              <w:jc w:val="center"/>
              <w:rPr>
                <w:color w:val="auto"/>
                <w:szCs w:val="21"/>
                <w:highlight w:val="none"/>
              </w:rPr>
            </w:pPr>
            <w:r>
              <w:rPr>
                <w:color w:val="auto"/>
                <w:szCs w:val="21"/>
                <w:highlight w:val="none"/>
              </w:rPr>
              <w:t>4340.00</w:t>
            </w:r>
          </w:p>
        </w:tc>
        <w:tc>
          <w:tcPr>
            <w:tcW w:w="1134" w:type="dxa"/>
            <w:shd w:val="clear" w:color="auto" w:fill="FFFFFF"/>
            <w:vAlign w:val="center"/>
          </w:tcPr>
          <w:p w14:paraId="33AA5BB4">
            <w:pPr>
              <w:jc w:val="center"/>
              <w:rPr>
                <w:color w:val="auto"/>
                <w:szCs w:val="21"/>
                <w:highlight w:val="none"/>
              </w:rPr>
            </w:pPr>
          </w:p>
        </w:tc>
        <w:tc>
          <w:tcPr>
            <w:tcW w:w="876" w:type="dxa"/>
            <w:shd w:val="clear" w:color="auto" w:fill="FFFFFF"/>
            <w:vAlign w:val="center"/>
          </w:tcPr>
          <w:p w14:paraId="25F69213">
            <w:pPr>
              <w:jc w:val="center"/>
              <w:rPr>
                <w:color w:val="auto"/>
                <w:szCs w:val="21"/>
                <w:highlight w:val="none"/>
              </w:rPr>
            </w:pPr>
          </w:p>
        </w:tc>
        <w:tc>
          <w:tcPr>
            <w:tcW w:w="847" w:type="dxa"/>
            <w:vMerge w:val="continue"/>
            <w:shd w:val="clear" w:color="auto" w:fill="auto"/>
            <w:vAlign w:val="center"/>
          </w:tcPr>
          <w:p w14:paraId="5510DA37">
            <w:pPr>
              <w:jc w:val="center"/>
              <w:rPr>
                <w:color w:val="auto"/>
                <w:szCs w:val="21"/>
                <w:highlight w:val="none"/>
              </w:rPr>
            </w:pPr>
          </w:p>
        </w:tc>
      </w:tr>
      <w:tr w14:paraId="1672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6E7243EF">
            <w:pPr>
              <w:jc w:val="center"/>
              <w:rPr>
                <w:color w:val="auto"/>
                <w:szCs w:val="21"/>
                <w:highlight w:val="none"/>
              </w:rPr>
            </w:pPr>
            <w:r>
              <w:rPr>
                <w:color w:val="auto"/>
                <w:szCs w:val="21"/>
                <w:highlight w:val="none"/>
              </w:rPr>
              <w:t>16</w:t>
            </w:r>
          </w:p>
        </w:tc>
        <w:tc>
          <w:tcPr>
            <w:tcW w:w="885" w:type="dxa"/>
            <w:shd w:val="clear" w:color="auto" w:fill="FFFFFF"/>
            <w:vAlign w:val="center"/>
          </w:tcPr>
          <w:p w14:paraId="35237473">
            <w:pPr>
              <w:jc w:val="center"/>
              <w:rPr>
                <w:color w:val="auto"/>
                <w:szCs w:val="21"/>
                <w:highlight w:val="none"/>
              </w:rPr>
            </w:pPr>
            <w:r>
              <w:rPr>
                <w:color w:val="auto"/>
                <w:szCs w:val="21"/>
                <w:highlight w:val="none"/>
              </w:rPr>
              <w:t>海棠溪新街</w:t>
            </w:r>
          </w:p>
        </w:tc>
        <w:tc>
          <w:tcPr>
            <w:tcW w:w="1867" w:type="dxa"/>
            <w:shd w:val="clear" w:color="auto" w:fill="FFFFFF"/>
            <w:vAlign w:val="center"/>
          </w:tcPr>
          <w:p w14:paraId="10A3AB71">
            <w:pPr>
              <w:jc w:val="center"/>
              <w:rPr>
                <w:color w:val="auto"/>
                <w:szCs w:val="21"/>
                <w:highlight w:val="none"/>
              </w:rPr>
            </w:pPr>
            <w:r>
              <w:rPr>
                <w:color w:val="auto"/>
                <w:szCs w:val="21"/>
                <w:highlight w:val="none"/>
              </w:rPr>
              <w:t>龙黄路-江南体育中心立交桥</w:t>
            </w:r>
          </w:p>
        </w:tc>
        <w:tc>
          <w:tcPr>
            <w:tcW w:w="853" w:type="dxa"/>
            <w:shd w:val="clear" w:color="auto" w:fill="FFFFFF"/>
            <w:vAlign w:val="center"/>
          </w:tcPr>
          <w:p w14:paraId="1F08FB08">
            <w:pPr>
              <w:jc w:val="center"/>
              <w:rPr>
                <w:color w:val="auto"/>
                <w:szCs w:val="21"/>
                <w:highlight w:val="none"/>
              </w:rPr>
            </w:pPr>
            <w:r>
              <w:rPr>
                <w:color w:val="auto"/>
                <w:szCs w:val="21"/>
                <w:highlight w:val="none"/>
              </w:rPr>
              <w:t>1.50</w:t>
            </w:r>
          </w:p>
        </w:tc>
        <w:tc>
          <w:tcPr>
            <w:tcW w:w="846" w:type="dxa"/>
            <w:shd w:val="clear" w:color="auto" w:fill="FFFFFF"/>
            <w:vAlign w:val="center"/>
          </w:tcPr>
          <w:p w14:paraId="763EFB67">
            <w:pPr>
              <w:jc w:val="center"/>
              <w:rPr>
                <w:color w:val="auto"/>
                <w:szCs w:val="21"/>
                <w:highlight w:val="none"/>
              </w:rPr>
            </w:pPr>
            <w:r>
              <w:rPr>
                <w:color w:val="auto"/>
                <w:szCs w:val="21"/>
                <w:highlight w:val="none"/>
              </w:rPr>
              <w:t>4</w:t>
            </w:r>
          </w:p>
        </w:tc>
        <w:tc>
          <w:tcPr>
            <w:tcW w:w="810" w:type="dxa"/>
            <w:shd w:val="clear" w:color="auto" w:fill="FFFFFF"/>
            <w:vAlign w:val="center"/>
          </w:tcPr>
          <w:p w14:paraId="79B87CDF">
            <w:pPr>
              <w:jc w:val="center"/>
              <w:rPr>
                <w:color w:val="auto"/>
                <w:szCs w:val="21"/>
                <w:highlight w:val="none"/>
              </w:rPr>
            </w:pPr>
            <w:r>
              <w:rPr>
                <w:color w:val="auto"/>
                <w:szCs w:val="21"/>
                <w:highlight w:val="none"/>
              </w:rPr>
              <w:t>6.00</w:t>
            </w:r>
          </w:p>
        </w:tc>
        <w:tc>
          <w:tcPr>
            <w:tcW w:w="997" w:type="dxa"/>
            <w:shd w:val="clear" w:color="auto" w:fill="FFFFFF"/>
            <w:vAlign w:val="center"/>
          </w:tcPr>
          <w:p w14:paraId="39CE187A">
            <w:pPr>
              <w:jc w:val="center"/>
              <w:rPr>
                <w:color w:val="auto"/>
                <w:szCs w:val="21"/>
                <w:highlight w:val="none"/>
              </w:rPr>
            </w:pPr>
            <w:r>
              <w:rPr>
                <w:color w:val="auto"/>
                <w:szCs w:val="21"/>
                <w:highlight w:val="none"/>
              </w:rPr>
              <w:t>4340.00</w:t>
            </w:r>
          </w:p>
        </w:tc>
        <w:tc>
          <w:tcPr>
            <w:tcW w:w="1134" w:type="dxa"/>
            <w:shd w:val="clear" w:color="auto" w:fill="FFFFFF"/>
            <w:vAlign w:val="center"/>
          </w:tcPr>
          <w:p w14:paraId="10D93A06">
            <w:pPr>
              <w:jc w:val="center"/>
              <w:rPr>
                <w:color w:val="auto"/>
                <w:szCs w:val="21"/>
                <w:highlight w:val="none"/>
              </w:rPr>
            </w:pPr>
          </w:p>
        </w:tc>
        <w:tc>
          <w:tcPr>
            <w:tcW w:w="876" w:type="dxa"/>
            <w:shd w:val="clear" w:color="auto" w:fill="FFFFFF"/>
            <w:vAlign w:val="center"/>
          </w:tcPr>
          <w:p w14:paraId="61538F09">
            <w:pPr>
              <w:jc w:val="center"/>
              <w:rPr>
                <w:color w:val="auto"/>
                <w:szCs w:val="21"/>
                <w:highlight w:val="none"/>
              </w:rPr>
            </w:pPr>
          </w:p>
        </w:tc>
        <w:tc>
          <w:tcPr>
            <w:tcW w:w="847" w:type="dxa"/>
            <w:vMerge w:val="continue"/>
            <w:shd w:val="clear" w:color="auto" w:fill="auto"/>
            <w:vAlign w:val="center"/>
          </w:tcPr>
          <w:p w14:paraId="5713B0AF">
            <w:pPr>
              <w:jc w:val="center"/>
              <w:rPr>
                <w:color w:val="auto"/>
                <w:szCs w:val="21"/>
                <w:highlight w:val="none"/>
              </w:rPr>
            </w:pPr>
          </w:p>
        </w:tc>
      </w:tr>
      <w:tr w14:paraId="1732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D4324F7">
            <w:pPr>
              <w:jc w:val="center"/>
              <w:rPr>
                <w:color w:val="auto"/>
                <w:szCs w:val="21"/>
                <w:highlight w:val="none"/>
              </w:rPr>
            </w:pPr>
            <w:r>
              <w:rPr>
                <w:color w:val="auto"/>
                <w:szCs w:val="21"/>
                <w:highlight w:val="none"/>
              </w:rPr>
              <w:t>17</w:t>
            </w:r>
          </w:p>
        </w:tc>
        <w:tc>
          <w:tcPr>
            <w:tcW w:w="885" w:type="dxa"/>
            <w:shd w:val="clear" w:color="auto" w:fill="FFFFFF"/>
            <w:vAlign w:val="center"/>
          </w:tcPr>
          <w:p w14:paraId="2B961CA4">
            <w:pPr>
              <w:jc w:val="center"/>
              <w:rPr>
                <w:color w:val="auto"/>
                <w:szCs w:val="21"/>
                <w:highlight w:val="none"/>
              </w:rPr>
            </w:pPr>
            <w:r>
              <w:rPr>
                <w:color w:val="auto"/>
                <w:szCs w:val="21"/>
                <w:highlight w:val="none"/>
              </w:rPr>
              <w:t>御盛路</w:t>
            </w:r>
          </w:p>
        </w:tc>
        <w:tc>
          <w:tcPr>
            <w:tcW w:w="1867" w:type="dxa"/>
            <w:shd w:val="clear" w:color="auto" w:fill="FFFFFF"/>
            <w:vAlign w:val="center"/>
          </w:tcPr>
          <w:p w14:paraId="0D0E6C4D">
            <w:pPr>
              <w:jc w:val="center"/>
              <w:rPr>
                <w:color w:val="auto"/>
                <w:szCs w:val="21"/>
                <w:highlight w:val="none"/>
              </w:rPr>
            </w:pPr>
            <w:r>
              <w:rPr>
                <w:color w:val="auto"/>
                <w:szCs w:val="21"/>
                <w:highlight w:val="none"/>
              </w:rPr>
              <w:t>海棠溪轻轨站-御峰小区</w:t>
            </w:r>
          </w:p>
        </w:tc>
        <w:tc>
          <w:tcPr>
            <w:tcW w:w="853" w:type="dxa"/>
            <w:shd w:val="clear" w:color="auto" w:fill="FFFFFF"/>
            <w:vAlign w:val="center"/>
          </w:tcPr>
          <w:p w14:paraId="0CD81C43">
            <w:pPr>
              <w:jc w:val="center"/>
              <w:rPr>
                <w:color w:val="auto"/>
                <w:szCs w:val="21"/>
                <w:highlight w:val="none"/>
              </w:rPr>
            </w:pPr>
            <w:r>
              <w:rPr>
                <w:color w:val="auto"/>
                <w:szCs w:val="21"/>
                <w:highlight w:val="none"/>
              </w:rPr>
              <w:t>1.60</w:t>
            </w:r>
          </w:p>
        </w:tc>
        <w:tc>
          <w:tcPr>
            <w:tcW w:w="846" w:type="dxa"/>
            <w:shd w:val="clear" w:color="auto" w:fill="FFFFFF"/>
            <w:vAlign w:val="center"/>
          </w:tcPr>
          <w:p w14:paraId="14DE64FF">
            <w:pPr>
              <w:jc w:val="center"/>
              <w:rPr>
                <w:color w:val="auto"/>
                <w:szCs w:val="21"/>
                <w:highlight w:val="none"/>
              </w:rPr>
            </w:pPr>
            <w:r>
              <w:rPr>
                <w:color w:val="auto"/>
                <w:szCs w:val="21"/>
                <w:highlight w:val="none"/>
              </w:rPr>
              <w:t>4</w:t>
            </w:r>
          </w:p>
        </w:tc>
        <w:tc>
          <w:tcPr>
            <w:tcW w:w="810" w:type="dxa"/>
            <w:shd w:val="clear" w:color="auto" w:fill="FFFFFF"/>
            <w:vAlign w:val="center"/>
          </w:tcPr>
          <w:p w14:paraId="2A5D7E05">
            <w:pPr>
              <w:jc w:val="center"/>
              <w:rPr>
                <w:color w:val="auto"/>
                <w:szCs w:val="21"/>
                <w:highlight w:val="none"/>
              </w:rPr>
            </w:pPr>
            <w:r>
              <w:rPr>
                <w:color w:val="auto"/>
                <w:szCs w:val="21"/>
                <w:highlight w:val="none"/>
              </w:rPr>
              <w:t>6.40</w:t>
            </w:r>
          </w:p>
        </w:tc>
        <w:tc>
          <w:tcPr>
            <w:tcW w:w="997" w:type="dxa"/>
            <w:shd w:val="clear" w:color="auto" w:fill="FFFFFF"/>
            <w:vAlign w:val="center"/>
          </w:tcPr>
          <w:p w14:paraId="00BAEE2C">
            <w:pPr>
              <w:jc w:val="center"/>
              <w:rPr>
                <w:color w:val="auto"/>
                <w:szCs w:val="21"/>
                <w:highlight w:val="none"/>
              </w:rPr>
            </w:pPr>
            <w:r>
              <w:rPr>
                <w:color w:val="auto"/>
                <w:szCs w:val="21"/>
                <w:highlight w:val="none"/>
              </w:rPr>
              <w:t>4340.00</w:t>
            </w:r>
          </w:p>
        </w:tc>
        <w:tc>
          <w:tcPr>
            <w:tcW w:w="1134" w:type="dxa"/>
            <w:shd w:val="clear" w:color="auto" w:fill="FFFFFF"/>
            <w:vAlign w:val="center"/>
          </w:tcPr>
          <w:p w14:paraId="2ADEDD59">
            <w:pPr>
              <w:jc w:val="center"/>
              <w:rPr>
                <w:color w:val="auto"/>
                <w:szCs w:val="21"/>
                <w:highlight w:val="none"/>
              </w:rPr>
            </w:pPr>
          </w:p>
        </w:tc>
        <w:tc>
          <w:tcPr>
            <w:tcW w:w="876" w:type="dxa"/>
            <w:shd w:val="clear" w:color="auto" w:fill="FFFFFF"/>
            <w:vAlign w:val="center"/>
          </w:tcPr>
          <w:p w14:paraId="0CE16CD8">
            <w:pPr>
              <w:jc w:val="center"/>
              <w:rPr>
                <w:color w:val="auto"/>
                <w:szCs w:val="21"/>
                <w:highlight w:val="none"/>
              </w:rPr>
            </w:pPr>
          </w:p>
        </w:tc>
        <w:tc>
          <w:tcPr>
            <w:tcW w:w="847" w:type="dxa"/>
            <w:vMerge w:val="continue"/>
            <w:shd w:val="clear" w:color="auto" w:fill="auto"/>
            <w:vAlign w:val="center"/>
          </w:tcPr>
          <w:p w14:paraId="37728157">
            <w:pPr>
              <w:jc w:val="center"/>
              <w:rPr>
                <w:color w:val="auto"/>
                <w:szCs w:val="21"/>
                <w:highlight w:val="none"/>
              </w:rPr>
            </w:pPr>
          </w:p>
        </w:tc>
      </w:tr>
      <w:tr w14:paraId="58D1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4F5D894">
            <w:pPr>
              <w:jc w:val="center"/>
              <w:rPr>
                <w:color w:val="auto"/>
                <w:szCs w:val="21"/>
                <w:highlight w:val="none"/>
              </w:rPr>
            </w:pPr>
            <w:r>
              <w:rPr>
                <w:color w:val="auto"/>
                <w:szCs w:val="21"/>
                <w:highlight w:val="none"/>
              </w:rPr>
              <w:t>18</w:t>
            </w:r>
          </w:p>
        </w:tc>
        <w:tc>
          <w:tcPr>
            <w:tcW w:w="885" w:type="dxa"/>
            <w:shd w:val="clear" w:color="auto" w:fill="FFFFFF"/>
            <w:vAlign w:val="center"/>
          </w:tcPr>
          <w:p w14:paraId="6B5DE6C2">
            <w:pPr>
              <w:jc w:val="center"/>
              <w:rPr>
                <w:color w:val="auto"/>
                <w:szCs w:val="21"/>
                <w:highlight w:val="none"/>
              </w:rPr>
            </w:pPr>
            <w:r>
              <w:rPr>
                <w:color w:val="auto"/>
                <w:szCs w:val="21"/>
                <w:highlight w:val="none"/>
              </w:rPr>
              <w:t>御泰路</w:t>
            </w:r>
          </w:p>
        </w:tc>
        <w:tc>
          <w:tcPr>
            <w:tcW w:w="1867" w:type="dxa"/>
            <w:shd w:val="clear" w:color="auto" w:fill="FFFFFF"/>
            <w:vAlign w:val="center"/>
          </w:tcPr>
          <w:p w14:paraId="1AEDCF77">
            <w:pPr>
              <w:jc w:val="center"/>
              <w:rPr>
                <w:color w:val="auto"/>
                <w:szCs w:val="21"/>
                <w:highlight w:val="none"/>
              </w:rPr>
            </w:pPr>
            <w:r>
              <w:rPr>
                <w:color w:val="auto"/>
                <w:szCs w:val="21"/>
                <w:highlight w:val="none"/>
              </w:rPr>
              <w:t>海棠溪轻轨站-罗家坝轻轨站</w:t>
            </w:r>
          </w:p>
        </w:tc>
        <w:tc>
          <w:tcPr>
            <w:tcW w:w="853" w:type="dxa"/>
            <w:shd w:val="clear" w:color="auto" w:fill="FFFFFF"/>
            <w:vAlign w:val="center"/>
          </w:tcPr>
          <w:p w14:paraId="759F3FF3">
            <w:pPr>
              <w:jc w:val="center"/>
              <w:rPr>
                <w:color w:val="auto"/>
                <w:szCs w:val="21"/>
                <w:highlight w:val="none"/>
              </w:rPr>
            </w:pPr>
            <w:r>
              <w:rPr>
                <w:color w:val="auto"/>
                <w:szCs w:val="21"/>
                <w:highlight w:val="none"/>
              </w:rPr>
              <w:t>0.98</w:t>
            </w:r>
          </w:p>
        </w:tc>
        <w:tc>
          <w:tcPr>
            <w:tcW w:w="846" w:type="dxa"/>
            <w:shd w:val="clear" w:color="auto" w:fill="FFFFFF"/>
            <w:vAlign w:val="center"/>
          </w:tcPr>
          <w:p w14:paraId="6AD113D8">
            <w:pPr>
              <w:jc w:val="center"/>
              <w:rPr>
                <w:color w:val="auto"/>
                <w:szCs w:val="21"/>
                <w:highlight w:val="none"/>
              </w:rPr>
            </w:pPr>
            <w:r>
              <w:rPr>
                <w:color w:val="auto"/>
                <w:szCs w:val="21"/>
                <w:highlight w:val="none"/>
              </w:rPr>
              <w:t>2</w:t>
            </w:r>
          </w:p>
        </w:tc>
        <w:tc>
          <w:tcPr>
            <w:tcW w:w="810" w:type="dxa"/>
            <w:shd w:val="clear" w:color="auto" w:fill="FFFFFF"/>
            <w:vAlign w:val="center"/>
          </w:tcPr>
          <w:p w14:paraId="76E8B0E5">
            <w:pPr>
              <w:jc w:val="center"/>
              <w:rPr>
                <w:color w:val="auto"/>
                <w:szCs w:val="21"/>
                <w:highlight w:val="none"/>
              </w:rPr>
            </w:pPr>
            <w:r>
              <w:rPr>
                <w:color w:val="auto"/>
                <w:szCs w:val="21"/>
                <w:highlight w:val="none"/>
              </w:rPr>
              <w:t>1.96</w:t>
            </w:r>
          </w:p>
        </w:tc>
        <w:tc>
          <w:tcPr>
            <w:tcW w:w="997" w:type="dxa"/>
            <w:shd w:val="clear" w:color="auto" w:fill="FFFFFF"/>
            <w:vAlign w:val="center"/>
          </w:tcPr>
          <w:p w14:paraId="5985A7B6">
            <w:pPr>
              <w:jc w:val="center"/>
              <w:rPr>
                <w:color w:val="auto"/>
                <w:szCs w:val="21"/>
                <w:highlight w:val="none"/>
              </w:rPr>
            </w:pPr>
            <w:r>
              <w:rPr>
                <w:color w:val="auto"/>
                <w:szCs w:val="21"/>
                <w:highlight w:val="none"/>
              </w:rPr>
              <w:t>4340.00</w:t>
            </w:r>
          </w:p>
        </w:tc>
        <w:tc>
          <w:tcPr>
            <w:tcW w:w="1134" w:type="dxa"/>
            <w:shd w:val="clear" w:color="auto" w:fill="FFFFFF"/>
            <w:vAlign w:val="center"/>
          </w:tcPr>
          <w:p w14:paraId="2530615B">
            <w:pPr>
              <w:jc w:val="center"/>
              <w:rPr>
                <w:color w:val="auto"/>
                <w:szCs w:val="21"/>
                <w:highlight w:val="none"/>
              </w:rPr>
            </w:pPr>
          </w:p>
        </w:tc>
        <w:tc>
          <w:tcPr>
            <w:tcW w:w="876" w:type="dxa"/>
            <w:shd w:val="clear" w:color="auto" w:fill="FFFFFF"/>
            <w:vAlign w:val="center"/>
          </w:tcPr>
          <w:p w14:paraId="363F7F98">
            <w:pPr>
              <w:jc w:val="center"/>
              <w:rPr>
                <w:color w:val="auto"/>
                <w:szCs w:val="21"/>
                <w:highlight w:val="none"/>
              </w:rPr>
            </w:pPr>
          </w:p>
        </w:tc>
        <w:tc>
          <w:tcPr>
            <w:tcW w:w="847" w:type="dxa"/>
            <w:vMerge w:val="continue"/>
            <w:shd w:val="clear" w:color="auto" w:fill="auto"/>
            <w:vAlign w:val="center"/>
          </w:tcPr>
          <w:p w14:paraId="7390D3C1">
            <w:pPr>
              <w:jc w:val="center"/>
              <w:rPr>
                <w:color w:val="auto"/>
                <w:szCs w:val="21"/>
                <w:highlight w:val="none"/>
              </w:rPr>
            </w:pPr>
          </w:p>
        </w:tc>
      </w:tr>
      <w:tr w14:paraId="77C4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07121B2D">
            <w:pPr>
              <w:jc w:val="center"/>
              <w:rPr>
                <w:color w:val="auto"/>
                <w:szCs w:val="21"/>
                <w:highlight w:val="none"/>
              </w:rPr>
            </w:pPr>
            <w:r>
              <w:rPr>
                <w:color w:val="auto"/>
                <w:szCs w:val="21"/>
                <w:highlight w:val="none"/>
              </w:rPr>
              <w:t>19</w:t>
            </w:r>
          </w:p>
        </w:tc>
        <w:tc>
          <w:tcPr>
            <w:tcW w:w="885" w:type="dxa"/>
            <w:shd w:val="clear" w:color="auto" w:fill="FFFFFF"/>
            <w:vAlign w:val="center"/>
          </w:tcPr>
          <w:p w14:paraId="323E19B6">
            <w:pPr>
              <w:jc w:val="center"/>
              <w:rPr>
                <w:color w:val="auto"/>
                <w:szCs w:val="21"/>
                <w:highlight w:val="none"/>
              </w:rPr>
            </w:pPr>
            <w:r>
              <w:rPr>
                <w:color w:val="auto"/>
                <w:szCs w:val="21"/>
                <w:highlight w:val="none"/>
              </w:rPr>
              <w:t>盛峰路</w:t>
            </w:r>
          </w:p>
        </w:tc>
        <w:tc>
          <w:tcPr>
            <w:tcW w:w="1867" w:type="dxa"/>
            <w:shd w:val="clear" w:color="auto" w:fill="FFFFFF"/>
            <w:vAlign w:val="center"/>
          </w:tcPr>
          <w:p w14:paraId="4406C996">
            <w:pPr>
              <w:jc w:val="center"/>
              <w:rPr>
                <w:color w:val="auto"/>
                <w:szCs w:val="21"/>
                <w:highlight w:val="none"/>
              </w:rPr>
            </w:pPr>
            <w:r>
              <w:rPr>
                <w:color w:val="auto"/>
                <w:szCs w:val="21"/>
                <w:highlight w:val="none"/>
              </w:rPr>
              <w:t>烟雨路-御盛路A段交叉口</w:t>
            </w:r>
          </w:p>
        </w:tc>
        <w:tc>
          <w:tcPr>
            <w:tcW w:w="853" w:type="dxa"/>
            <w:shd w:val="clear" w:color="auto" w:fill="FFFFFF"/>
            <w:vAlign w:val="center"/>
          </w:tcPr>
          <w:p w14:paraId="6D4FA28C">
            <w:pPr>
              <w:jc w:val="center"/>
              <w:rPr>
                <w:color w:val="auto"/>
                <w:szCs w:val="21"/>
                <w:highlight w:val="none"/>
              </w:rPr>
            </w:pPr>
            <w:r>
              <w:rPr>
                <w:color w:val="auto"/>
                <w:szCs w:val="21"/>
                <w:highlight w:val="none"/>
              </w:rPr>
              <w:t>0.39</w:t>
            </w:r>
          </w:p>
        </w:tc>
        <w:tc>
          <w:tcPr>
            <w:tcW w:w="846" w:type="dxa"/>
            <w:shd w:val="clear" w:color="auto" w:fill="FFFFFF"/>
            <w:vAlign w:val="center"/>
          </w:tcPr>
          <w:p w14:paraId="2DA94E39">
            <w:pPr>
              <w:jc w:val="center"/>
              <w:rPr>
                <w:color w:val="auto"/>
                <w:szCs w:val="21"/>
                <w:highlight w:val="none"/>
              </w:rPr>
            </w:pPr>
            <w:r>
              <w:rPr>
                <w:color w:val="auto"/>
                <w:szCs w:val="21"/>
                <w:highlight w:val="none"/>
              </w:rPr>
              <w:t>4</w:t>
            </w:r>
          </w:p>
        </w:tc>
        <w:tc>
          <w:tcPr>
            <w:tcW w:w="810" w:type="dxa"/>
            <w:shd w:val="clear" w:color="auto" w:fill="FFFFFF"/>
            <w:vAlign w:val="center"/>
          </w:tcPr>
          <w:p w14:paraId="7E152288">
            <w:pPr>
              <w:jc w:val="center"/>
              <w:rPr>
                <w:color w:val="auto"/>
                <w:szCs w:val="21"/>
                <w:highlight w:val="none"/>
              </w:rPr>
            </w:pPr>
            <w:r>
              <w:rPr>
                <w:color w:val="auto"/>
                <w:szCs w:val="21"/>
                <w:highlight w:val="none"/>
              </w:rPr>
              <w:t>1.56</w:t>
            </w:r>
          </w:p>
        </w:tc>
        <w:tc>
          <w:tcPr>
            <w:tcW w:w="997" w:type="dxa"/>
            <w:shd w:val="clear" w:color="auto" w:fill="FFFFFF"/>
            <w:vAlign w:val="center"/>
          </w:tcPr>
          <w:p w14:paraId="780F5193">
            <w:pPr>
              <w:jc w:val="center"/>
              <w:rPr>
                <w:color w:val="auto"/>
                <w:szCs w:val="21"/>
                <w:highlight w:val="none"/>
              </w:rPr>
            </w:pPr>
            <w:r>
              <w:rPr>
                <w:color w:val="auto"/>
                <w:szCs w:val="21"/>
                <w:highlight w:val="none"/>
              </w:rPr>
              <w:t>4340.00</w:t>
            </w:r>
          </w:p>
        </w:tc>
        <w:tc>
          <w:tcPr>
            <w:tcW w:w="1134" w:type="dxa"/>
            <w:shd w:val="clear" w:color="auto" w:fill="FFFFFF"/>
            <w:vAlign w:val="center"/>
          </w:tcPr>
          <w:p w14:paraId="1C6F783A">
            <w:pPr>
              <w:jc w:val="center"/>
              <w:rPr>
                <w:color w:val="auto"/>
                <w:szCs w:val="21"/>
                <w:highlight w:val="none"/>
              </w:rPr>
            </w:pPr>
          </w:p>
        </w:tc>
        <w:tc>
          <w:tcPr>
            <w:tcW w:w="876" w:type="dxa"/>
            <w:shd w:val="clear" w:color="auto" w:fill="FFFFFF"/>
            <w:vAlign w:val="center"/>
          </w:tcPr>
          <w:p w14:paraId="62144013">
            <w:pPr>
              <w:jc w:val="center"/>
              <w:rPr>
                <w:color w:val="auto"/>
                <w:szCs w:val="21"/>
                <w:highlight w:val="none"/>
              </w:rPr>
            </w:pPr>
          </w:p>
        </w:tc>
        <w:tc>
          <w:tcPr>
            <w:tcW w:w="847" w:type="dxa"/>
            <w:vMerge w:val="continue"/>
            <w:shd w:val="clear" w:color="auto" w:fill="auto"/>
            <w:vAlign w:val="center"/>
          </w:tcPr>
          <w:p w14:paraId="72F620DC">
            <w:pPr>
              <w:jc w:val="center"/>
              <w:rPr>
                <w:color w:val="auto"/>
                <w:szCs w:val="21"/>
                <w:highlight w:val="none"/>
              </w:rPr>
            </w:pPr>
          </w:p>
        </w:tc>
      </w:tr>
      <w:tr w14:paraId="2D2F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dxa"/>
            <w:shd w:val="clear" w:color="auto" w:fill="auto"/>
            <w:vAlign w:val="center"/>
          </w:tcPr>
          <w:p w14:paraId="2161F01E">
            <w:pPr>
              <w:jc w:val="center"/>
              <w:rPr>
                <w:color w:val="auto"/>
                <w:szCs w:val="21"/>
                <w:highlight w:val="none"/>
              </w:rPr>
            </w:pPr>
            <w:r>
              <w:rPr>
                <w:color w:val="auto"/>
                <w:szCs w:val="21"/>
                <w:highlight w:val="none"/>
              </w:rPr>
              <w:t>20</w:t>
            </w:r>
          </w:p>
        </w:tc>
        <w:tc>
          <w:tcPr>
            <w:tcW w:w="885" w:type="dxa"/>
            <w:shd w:val="clear" w:color="auto" w:fill="FFFFFF"/>
            <w:vAlign w:val="center"/>
          </w:tcPr>
          <w:p w14:paraId="3CC9C4AE">
            <w:pPr>
              <w:jc w:val="center"/>
              <w:rPr>
                <w:color w:val="auto"/>
                <w:szCs w:val="21"/>
                <w:highlight w:val="none"/>
              </w:rPr>
            </w:pPr>
            <w:r>
              <w:rPr>
                <w:color w:val="auto"/>
                <w:szCs w:val="21"/>
                <w:highlight w:val="none"/>
              </w:rPr>
              <w:t>龙门路</w:t>
            </w:r>
          </w:p>
        </w:tc>
        <w:tc>
          <w:tcPr>
            <w:tcW w:w="1867" w:type="dxa"/>
            <w:shd w:val="clear" w:color="auto" w:fill="FFFFFF"/>
            <w:vAlign w:val="center"/>
          </w:tcPr>
          <w:p w14:paraId="4688375B">
            <w:pPr>
              <w:jc w:val="center"/>
              <w:rPr>
                <w:color w:val="auto"/>
                <w:szCs w:val="21"/>
                <w:highlight w:val="none"/>
              </w:rPr>
            </w:pPr>
            <w:r>
              <w:rPr>
                <w:color w:val="auto"/>
                <w:szCs w:val="21"/>
                <w:highlight w:val="none"/>
              </w:rPr>
              <w:t>上新街-索道站</w:t>
            </w:r>
          </w:p>
        </w:tc>
        <w:tc>
          <w:tcPr>
            <w:tcW w:w="853" w:type="dxa"/>
            <w:shd w:val="clear" w:color="auto" w:fill="FFFFFF"/>
            <w:vAlign w:val="center"/>
          </w:tcPr>
          <w:p w14:paraId="3AA3746D">
            <w:pPr>
              <w:jc w:val="center"/>
              <w:rPr>
                <w:color w:val="auto"/>
                <w:szCs w:val="21"/>
                <w:highlight w:val="none"/>
              </w:rPr>
            </w:pPr>
            <w:r>
              <w:rPr>
                <w:color w:val="auto"/>
                <w:szCs w:val="21"/>
                <w:highlight w:val="none"/>
              </w:rPr>
              <w:t>0.58</w:t>
            </w:r>
          </w:p>
        </w:tc>
        <w:tc>
          <w:tcPr>
            <w:tcW w:w="846" w:type="dxa"/>
            <w:shd w:val="clear" w:color="auto" w:fill="FFFFFF"/>
            <w:vAlign w:val="center"/>
          </w:tcPr>
          <w:p w14:paraId="0165A4CC">
            <w:pPr>
              <w:jc w:val="center"/>
              <w:rPr>
                <w:color w:val="auto"/>
                <w:szCs w:val="21"/>
                <w:highlight w:val="none"/>
              </w:rPr>
            </w:pPr>
            <w:r>
              <w:rPr>
                <w:color w:val="auto"/>
                <w:szCs w:val="21"/>
                <w:highlight w:val="none"/>
              </w:rPr>
              <w:t>2</w:t>
            </w:r>
          </w:p>
        </w:tc>
        <w:tc>
          <w:tcPr>
            <w:tcW w:w="810" w:type="dxa"/>
            <w:shd w:val="clear" w:color="auto" w:fill="FFFFFF"/>
            <w:vAlign w:val="center"/>
          </w:tcPr>
          <w:p w14:paraId="4EB36A24">
            <w:pPr>
              <w:jc w:val="center"/>
              <w:rPr>
                <w:color w:val="auto"/>
                <w:szCs w:val="21"/>
                <w:highlight w:val="none"/>
              </w:rPr>
            </w:pPr>
            <w:r>
              <w:rPr>
                <w:color w:val="auto"/>
                <w:szCs w:val="21"/>
                <w:highlight w:val="none"/>
              </w:rPr>
              <w:t>1.17</w:t>
            </w:r>
          </w:p>
        </w:tc>
        <w:tc>
          <w:tcPr>
            <w:tcW w:w="997" w:type="dxa"/>
            <w:shd w:val="clear" w:color="auto" w:fill="FFFFFF"/>
            <w:vAlign w:val="center"/>
          </w:tcPr>
          <w:p w14:paraId="725CCEAE">
            <w:pPr>
              <w:jc w:val="center"/>
              <w:rPr>
                <w:color w:val="auto"/>
                <w:szCs w:val="21"/>
                <w:highlight w:val="none"/>
              </w:rPr>
            </w:pPr>
            <w:r>
              <w:rPr>
                <w:color w:val="auto"/>
                <w:szCs w:val="21"/>
                <w:highlight w:val="none"/>
              </w:rPr>
              <w:t>4340.00</w:t>
            </w:r>
          </w:p>
        </w:tc>
        <w:tc>
          <w:tcPr>
            <w:tcW w:w="1134" w:type="dxa"/>
            <w:shd w:val="clear" w:color="auto" w:fill="FFFFFF"/>
            <w:vAlign w:val="center"/>
          </w:tcPr>
          <w:p w14:paraId="4F911D76">
            <w:pPr>
              <w:jc w:val="center"/>
              <w:rPr>
                <w:color w:val="auto"/>
                <w:szCs w:val="21"/>
                <w:highlight w:val="none"/>
              </w:rPr>
            </w:pPr>
          </w:p>
        </w:tc>
        <w:tc>
          <w:tcPr>
            <w:tcW w:w="876" w:type="dxa"/>
            <w:shd w:val="clear" w:color="auto" w:fill="FFFFFF"/>
            <w:vAlign w:val="center"/>
          </w:tcPr>
          <w:p w14:paraId="106809A3">
            <w:pPr>
              <w:jc w:val="center"/>
              <w:rPr>
                <w:color w:val="auto"/>
                <w:szCs w:val="21"/>
                <w:highlight w:val="none"/>
              </w:rPr>
            </w:pPr>
          </w:p>
        </w:tc>
        <w:tc>
          <w:tcPr>
            <w:tcW w:w="847" w:type="dxa"/>
            <w:vMerge w:val="continue"/>
            <w:shd w:val="clear" w:color="auto" w:fill="auto"/>
            <w:vAlign w:val="center"/>
          </w:tcPr>
          <w:p w14:paraId="24CEE88F">
            <w:pPr>
              <w:jc w:val="center"/>
              <w:rPr>
                <w:color w:val="auto"/>
                <w:szCs w:val="21"/>
                <w:highlight w:val="none"/>
              </w:rPr>
            </w:pPr>
          </w:p>
        </w:tc>
      </w:tr>
      <w:tr w14:paraId="1904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076206EC">
            <w:pPr>
              <w:jc w:val="center"/>
              <w:rPr>
                <w:color w:val="auto"/>
                <w:szCs w:val="21"/>
                <w:highlight w:val="none"/>
              </w:rPr>
            </w:pPr>
            <w:r>
              <w:rPr>
                <w:color w:val="auto"/>
                <w:szCs w:val="21"/>
                <w:highlight w:val="none"/>
              </w:rPr>
              <w:t>21</w:t>
            </w:r>
          </w:p>
        </w:tc>
        <w:tc>
          <w:tcPr>
            <w:tcW w:w="885" w:type="dxa"/>
            <w:shd w:val="clear" w:color="auto" w:fill="FFFFFF"/>
            <w:vAlign w:val="center"/>
          </w:tcPr>
          <w:p w14:paraId="0A58A19D">
            <w:pPr>
              <w:jc w:val="center"/>
              <w:rPr>
                <w:color w:val="auto"/>
                <w:szCs w:val="21"/>
                <w:highlight w:val="none"/>
              </w:rPr>
            </w:pPr>
            <w:r>
              <w:rPr>
                <w:color w:val="auto"/>
                <w:szCs w:val="21"/>
                <w:highlight w:val="none"/>
              </w:rPr>
              <w:t>涂山路</w:t>
            </w:r>
          </w:p>
        </w:tc>
        <w:tc>
          <w:tcPr>
            <w:tcW w:w="1867" w:type="dxa"/>
            <w:shd w:val="clear" w:color="auto" w:fill="FFFFFF"/>
            <w:vAlign w:val="center"/>
          </w:tcPr>
          <w:p w14:paraId="433E8D04">
            <w:pPr>
              <w:jc w:val="center"/>
              <w:rPr>
                <w:color w:val="auto"/>
                <w:szCs w:val="21"/>
                <w:highlight w:val="none"/>
              </w:rPr>
            </w:pPr>
            <w:r>
              <w:rPr>
                <w:color w:val="auto"/>
                <w:szCs w:val="21"/>
                <w:highlight w:val="none"/>
              </w:rPr>
              <w:t>上新街-弹广路（大石坝）</w:t>
            </w:r>
          </w:p>
        </w:tc>
        <w:tc>
          <w:tcPr>
            <w:tcW w:w="853" w:type="dxa"/>
            <w:shd w:val="clear" w:color="auto" w:fill="FFFFFF"/>
            <w:vAlign w:val="center"/>
          </w:tcPr>
          <w:p w14:paraId="5DE3656D">
            <w:pPr>
              <w:jc w:val="center"/>
              <w:rPr>
                <w:color w:val="auto"/>
                <w:szCs w:val="21"/>
                <w:highlight w:val="none"/>
              </w:rPr>
            </w:pPr>
            <w:r>
              <w:rPr>
                <w:color w:val="auto"/>
                <w:szCs w:val="21"/>
                <w:highlight w:val="none"/>
              </w:rPr>
              <w:t>4.53</w:t>
            </w:r>
          </w:p>
        </w:tc>
        <w:tc>
          <w:tcPr>
            <w:tcW w:w="846" w:type="dxa"/>
            <w:shd w:val="clear" w:color="auto" w:fill="FFFFFF"/>
            <w:vAlign w:val="center"/>
          </w:tcPr>
          <w:p w14:paraId="5003BAAB">
            <w:pPr>
              <w:jc w:val="center"/>
              <w:rPr>
                <w:color w:val="auto"/>
                <w:szCs w:val="21"/>
                <w:highlight w:val="none"/>
              </w:rPr>
            </w:pPr>
            <w:r>
              <w:rPr>
                <w:color w:val="auto"/>
                <w:szCs w:val="21"/>
                <w:highlight w:val="none"/>
              </w:rPr>
              <w:t>4</w:t>
            </w:r>
          </w:p>
        </w:tc>
        <w:tc>
          <w:tcPr>
            <w:tcW w:w="810" w:type="dxa"/>
            <w:shd w:val="clear" w:color="auto" w:fill="FFFFFF"/>
            <w:vAlign w:val="center"/>
          </w:tcPr>
          <w:p w14:paraId="77A6EF76">
            <w:pPr>
              <w:jc w:val="center"/>
              <w:rPr>
                <w:color w:val="auto"/>
                <w:szCs w:val="21"/>
                <w:highlight w:val="none"/>
              </w:rPr>
            </w:pPr>
            <w:r>
              <w:rPr>
                <w:color w:val="auto"/>
                <w:szCs w:val="21"/>
                <w:highlight w:val="none"/>
              </w:rPr>
              <w:t>18.12</w:t>
            </w:r>
          </w:p>
        </w:tc>
        <w:tc>
          <w:tcPr>
            <w:tcW w:w="997" w:type="dxa"/>
            <w:shd w:val="clear" w:color="auto" w:fill="FFFFFF"/>
            <w:vAlign w:val="center"/>
          </w:tcPr>
          <w:p w14:paraId="3CA82C25">
            <w:pPr>
              <w:jc w:val="center"/>
              <w:rPr>
                <w:color w:val="auto"/>
                <w:szCs w:val="21"/>
                <w:highlight w:val="none"/>
              </w:rPr>
            </w:pPr>
            <w:r>
              <w:rPr>
                <w:color w:val="auto"/>
                <w:szCs w:val="21"/>
                <w:highlight w:val="none"/>
              </w:rPr>
              <w:t>4340.00</w:t>
            </w:r>
          </w:p>
        </w:tc>
        <w:tc>
          <w:tcPr>
            <w:tcW w:w="1134" w:type="dxa"/>
            <w:shd w:val="clear" w:color="auto" w:fill="FFFFFF"/>
            <w:vAlign w:val="center"/>
          </w:tcPr>
          <w:p w14:paraId="07FF0326">
            <w:pPr>
              <w:jc w:val="center"/>
              <w:rPr>
                <w:color w:val="auto"/>
                <w:szCs w:val="21"/>
                <w:highlight w:val="none"/>
              </w:rPr>
            </w:pPr>
          </w:p>
        </w:tc>
        <w:tc>
          <w:tcPr>
            <w:tcW w:w="876" w:type="dxa"/>
            <w:shd w:val="clear" w:color="auto" w:fill="FFFFFF"/>
            <w:vAlign w:val="center"/>
          </w:tcPr>
          <w:p w14:paraId="76244683">
            <w:pPr>
              <w:jc w:val="center"/>
              <w:rPr>
                <w:color w:val="auto"/>
                <w:szCs w:val="21"/>
                <w:highlight w:val="none"/>
              </w:rPr>
            </w:pPr>
          </w:p>
        </w:tc>
        <w:tc>
          <w:tcPr>
            <w:tcW w:w="847" w:type="dxa"/>
            <w:vMerge w:val="continue"/>
            <w:shd w:val="clear" w:color="auto" w:fill="auto"/>
            <w:vAlign w:val="center"/>
          </w:tcPr>
          <w:p w14:paraId="260F78B4">
            <w:pPr>
              <w:jc w:val="center"/>
              <w:rPr>
                <w:color w:val="auto"/>
                <w:szCs w:val="21"/>
                <w:highlight w:val="none"/>
              </w:rPr>
            </w:pPr>
          </w:p>
        </w:tc>
      </w:tr>
      <w:tr w14:paraId="7CCC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6B99E2D">
            <w:pPr>
              <w:jc w:val="center"/>
              <w:rPr>
                <w:color w:val="auto"/>
                <w:szCs w:val="21"/>
                <w:highlight w:val="none"/>
              </w:rPr>
            </w:pPr>
            <w:r>
              <w:rPr>
                <w:color w:val="auto"/>
                <w:szCs w:val="21"/>
                <w:highlight w:val="none"/>
              </w:rPr>
              <w:t>22</w:t>
            </w:r>
          </w:p>
        </w:tc>
        <w:tc>
          <w:tcPr>
            <w:tcW w:w="885" w:type="dxa"/>
            <w:shd w:val="clear" w:color="auto" w:fill="FFFFFF"/>
            <w:vAlign w:val="center"/>
          </w:tcPr>
          <w:p w14:paraId="73BB0443">
            <w:pPr>
              <w:jc w:val="center"/>
              <w:rPr>
                <w:color w:val="auto"/>
                <w:szCs w:val="21"/>
                <w:highlight w:val="none"/>
              </w:rPr>
            </w:pPr>
            <w:r>
              <w:rPr>
                <w:color w:val="auto"/>
                <w:szCs w:val="21"/>
                <w:highlight w:val="none"/>
              </w:rPr>
              <w:t>慈云路</w:t>
            </w:r>
          </w:p>
        </w:tc>
        <w:tc>
          <w:tcPr>
            <w:tcW w:w="1867" w:type="dxa"/>
            <w:shd w:val="clear" w:color="auto" w:fill="FFFFFF"/>
            <w:vAlign w:val="center"/>
          </w:tcPr>
          <w:p w14:paraId="112D28C0">
            <w:pPr>
              <w:jc w:val="center"/>
              <w:rPr>
                <w:color w:val="auto"/>
                <w:szCs w:val="21"/>
                <w:highlight w:val="none"/>
              </w:rPr>
            </w:pPr>
            <w:r>
              <w:rPr>
                <w:color w:val="auto"/>
                <w:szCs w:val="21"/>
                <w:highlight w:val="none"/>
              </w:rPr>
              <w:t>重庆市第五人民医院-南滨路</w:t>
            </w:r>
          </w:p>
        </w:tc>
        <w:tc>
          <w:tcPr>
            <w:tcW w:w="853" w:type="dxa"/>
            <w:shd w:val="clear" w:color="auto" w:fill="FFFFFF"/>
            <w:vAlign w:val="center"/>
          </w:tcPr>
          <w:p w14:paraId="7358148E">
            <w:pPr>
              <w:jc w:val="center"/>
              <w:rPr>
                <w:color w:val="auto"/>
                <w:szCs w:val="21"/>
                <w:highlight w:val="none"/>
              </w:rPr>
            </w:pPr>
            <w:r>
              <w:rPr>
                <w:color w:val="auto"/>
                <w:szCs w:val="21"/>
                <w:highlight w:val="none"/>
              </w:rPr>
              <w:t>1.77</w:t>
            </w:r>
          </w:p>
        </w:tc>
        <w:tc>
          <w:tcPr>
            <w:tcW w:w="846" w:type="dxa"/>
            <w:shd w:val="clear" w:color="auto" w:fill="FFFFFF"/>
            <w:vAlign w:val="center"/>
          </w:tcPr>
          <w:p w14:paraId="3D3BC803">
            <w:pPr>
              <w:jc w:val="center"/>
              <w:rPr>
                <w:color w:val="auto"/>
                <w:szCs w:val="21"/>
                <w:highlight w:val="none"/>
              </w:rPr>
            </w:pPr>
            <w:r>
              <w:rPr>
                <w:color w:val="auto"/>
                <w:szCs w:val="21"/>
                <w:highlight w:val="none"/>
              </w:rPr>
              <w:t>2</w:t>
            </w:r>
          </w:p>
        </w:tc>
        <w:tc>
          <w:tcPr>
            <w:tcW w:w="810" w:type="dxa"/>
            <w:shd w:val="clear" w:color="auto" w:fill="FFFFFF"/>
            <w:vAlign w:val="center"/>
          </w:tcPr>
          <w:p w14:paraId="25216355">
            <w:pPr>
              <w:jc w:val="center"/>
              <w:rPr>
                <w:color w:val="auto"/>
                <w:szCs w:val="21"/>
                <w:highlight w:val="none"/>
              </w:rPr>
            </w:pPr>
            <w:r>
              <w:rPr>
                <w:color w:val="auto"/>
                <w:szCs w:val="21"/>
                <w:highlight w:val="none"/>
              </w:rPr>
              <w:t>3.53</w:t>
            </w:r>
          </w:p>
        </w:tc>
        <w:tc>
          <w:tcPr>
            <w:tcW w:w="997" w:type="dxa"/>
            <w:shd w:val="clear" w:color="auto" w:fill="FFFFFF"/>
            <w:vAlign w:val="center"/>
          </w:tcPr>
          <w:p w14:paraId="32C9FBA7">
            <w:pPr>
              <w:jc w:val="center"/>
              <w:rPr>
                <w:color w:val="auto"/>
                <w:szCs w:val="21"/>
                <w:highlight w:val="none"/>
              </w:rPr>
            </w:pPr>
            <w:r>
              <w:rPr>
                <w:color w:val="auto"/>
                <w:szCs w:val="21"/>
                <w:highlight w:val="none"/>
              </w:rPr>
              <w:t>4340.00</w:t>
            </w:r>
          </w:p>
        </w:tc>
        <w:tc>
          <w:tcPr>
            <w:tcW w:w="1134" w:type="dxa"/>
            <w:shd w:val="clear" w:color="auto" w:fill="FFFFFF"/>
            <w:vAlign w:val="center"/>
          </w:tcPr>
          <w:p w14:paraId="467C082E">
            <w:pPr>
              <w:jc w:val="center"/>
              <w:rPr>
                <w:color w:val="auto"/>
                <w:szCs w:val="21"/>
                <w:highlight w:val="none"/>
              </w:rPr>
            </w:pPr>
          </w:p>
        </w:tc>
        <w:tc>
          <w:tcPr>
            <w:tcW w:w="876" w:type="dxa"/>
            <w:shd w:val="clear" w:color="auto" w:fill="FFFFFF"/>
            <w:vAlign w:val="center"/>
          </w:tcPr>
          <w:p w14:paraId="14A82894">
            <w:pPr>
              <w:jc w:val="center"/>
              <w:rPr>
                <w:color w:val="auto"/>
                <w:szCs w:val="21"/>
                <w:highlight w:val="none"/>
              </w:rPr>
            </w:pPr>
          </w:p>
        </w:tc>
        <w:tc>
          <w:tcPr>
            <w:tcW w:w="847" w:type="dxa"/>
            <w:vMerge w:val="continue"/>
            <w:shd w:val="clear" w:color="auto" w:fill="auto"/>
            <w:vAlign w:val="center"/>
          </w:tcPr>
          <w:p w14:paraId="6AB0EA99">
            <w:pPr>
              <w:jc w:val="center"/>
              <w:rPr>
                <w:color w:val="auto"/>
                <w:szCs w:val="21"/>
                <w:highlight w:val="none"/>
              </w:rPr>
            </w:pPr>
          </w:p>
        </w:tc>
      </w:tr>
      <w:tr w14:paraId="4349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dxa"/>
            <w:shd w:val="clear" w:color="auto" w:fill="auto"/>
            <w:vAlign w:val="center"/>
          </w:tcPr>
          <w:p w14:paraId="46514205">
            <w:pPr>
              <w:jc w:val="center"/>
              <w:rPr>
                <w:color w:val="auto"/>
                <w:szCs w:val="21"/>
                <w:highlight w:val="none"/>
              </w:rPr>
            </w:pPr>
            <w:r>
              <w:rPr>
                <w:color w:val="auto"/>
                <w:szCs w:val="21"/>
                <w:highlight w:val="none"/>
              </w:rPr>
              <w:t>23</w:t>
            </w:r>
          </w:p>
        </w:tc>
        <w:tc>
          <w:tcPr>
            <w:tcW w:w="885" w:type="dxa"/>
            <w:shd w:val="clear" w:color="auto" w:fill="FFFFFF"/>
            <w:vAlign w:val="center"/>
          </w:tcPr>
          <w:p w14:paraId="130EB641">
            <w:pPr>
              <w:jc w:val="center"/>
              <w:rPr>
                <w:color w:val="auto"/>
                <w:szCs w:val="21"/>
                <w:highlight w:val="none"/>
              </w:rPr>
            </w:pPr>
            <w:r>
              <w:rPr>
                <w:color w:val="auto"/>
                <w:szCs w:val="21"/>
                <w:highlight w:val="none"/>
              </w:rPr>
              <w:t>滕江路</w:t>
            </w:r>
          </w:p>
        </w:tc>
        <w:tc>
          <w:tcPr>
            <w:tcW w:w="1867" w:type="dxa"/>
            <w:shd w:val="clear" w:color="auto" w:fill="FFFFFF"/>
            <w:vAlign w:val="center"/>
          </w:tcPr>
          <w:p w14:paraId="52689707">
            <w:pPr>
              <w:jc w:val="center"/>
              <w:rPr>
                <w:color w:val="auto"/>
                <w:szCs w:val="21"/>
                <w:highlight w:val="none"/>
              </w:rPr>
            </w:pPr>
            <w:r>
              <w:rPr>
                <w:color w:val="auto"/>
                <w:szCs w:val="21"/>
                <w:highlight w:val="none"/>
              </w:rPr>
              <w:t>腾龙大道-南滨路</w:t>
            </w:r>
          </w:p>
        </w:tc>
        <w:tc>
          <w:tcPr>
            <w:tcW w:w="853" w:type="dxa"/>
            <w:shd w:val="clear" w:color="auto" w:fill="FFFFFF"/>
            <w:vAlign w:val="center"/>
          </w:tcPr>
          <w:p w14:paraId="2ED989A4">
            <w:pPr>
              <w:jc w:val="center"/>
              <w:rPr>
                <w:color w:val="auto"/>
                <w:szCs w:val="21"/>
                <w:highlight w:val="none"/>
              </w:rPr>
            </w:pPr>
            <w:r>
              <w:rPr>
                <w:color w:val="auto"/>
                <w:szCs w:val="21"/>
                <w:highlight w:val="none"/>
              </w:rPr>
              <w:t>0.93</w:t>
            </w:r>
          </w:p>
        </w:tc>
        <w:tc>
          <w:tcPr>
            <w:tcW w:w="846" w:type="dxa"/>
            <w:shd w:val="clear" w:color="auto" w:fill="FFFFFF"/>
            <w:vAlign w:val="center"/>
          </w:tcPr>
          <w:p w14:paraId="6AF35C59">
            <w:pPr>
              <w:jc w:val="center"/>
              <w:rPr>
                <w:color w:val="auto"/>
                <w:szCs w:val="21"/>
                <w:highlight w:val="none"/>
              </w:rPr>
            </w:pPr>
            <w:r>
              <w:rPr>
                <w:color w:val="auto"/>
                <w:szCs w:val="21"/>
                <w:highlight w:val="none"/>
              </w:rPr>
              <w:t>4</w:t>
            </w:r>
          </w:p>
        </w:tc>
        <w:tc>
          <w:tcPr>
            <w:tcW w:w="810" w:type="dxa"/>
            <w:shd w:val="clear" w:color="auto" w:fill="FFFFFF"/>
            <w:vAlign w:val="center"/>
          </w:tcPr>
          <w:p w14:paraId="38C02D73">
            <w:pPr>
              <w:jc w:val="center"/>
              <w:rPr>
                <w:color w:val="auto"/>
                <w:szCs w:val="21"/>
                <w:highlight w:val="none"/>
              </w:rPr>
            </w:pPr>
            <w:r>
              <w:rPr>
                <w:color w:val="auto"/>
                <w:szCs w:val="21"/>
                <w:highlight w:val="none"/>
              </w:rPr>
              <w:t>3.71</w:t>
            </w:r>
          </w:p>
        </w:tc>
        <w:tc>
          <w:tcPr>
            <w:tcW w:w="997" w:type="dxa"/>
            <w:shd w:val="clear" w:color="auto" w:fill="FFFFFF"/>
            <w:vAlign w:val="center"/>
          </w:tcPr>
          <w:p w14:paraId="6F40DE14">
            <w:pPr>
              <w:jc w:val="center"/>
              <w:rPr>
                <w:color w:val="auto"/>
                <w:szCs w:val="21"/>
                <w:highlight w:val="none"/>
              </w:rPr>
            </w:pPr>
            <w:r>
              <w:rPr>
                <w:color w:val="auto"/>
                <w:szCs w:val="21"/>
                <w:highlight w:val="none"/>
              </w:rPr>
              <w:t>4340.00</w:t>
            </w:r>
          </w:p>
        </w:tc>
        <w:tc>
          <w:tcPr>
            <w:tcW w:w="1134" w:type="dxa"/>
            <w:shd w:val="clear" w:color="auto" w:fill="FFFFFF"/>
            <w:vAlign w:val="center"/>
          </w:tcPr>
          <w:p w14:paraId="69A09FDB">
            <w:pPr>
              <w:jc w:val="center"/>
              <w:rPr>
                <w:color w:val="auto"/>
                <w:szCs w:val="21"/>
                <w:highlight w:val="none"/>
              </w:rPr>
            </w:pPr>
          </w:p>
        </w:tc>
        <w:tc>
          <w:tcPr>
            <w:tcW w:w="876" w:type="dxa"/>
            <w:shd w:val="clear" w:color="auto" w:fill="FFFFFF"/>
            <w:vAlign w:val="center"/>
          </w:tcPr>
          <w:p w14:paraId="16D4A8AF">
            <w:pPr>
              <w:jc w:val="center"/>
              <w:rPr>
                <w:color w:val="auto"/>
                <w:szCs w:val="21"/>
                <w:highlight w:val="none"/>
              </w:rPr>
            </w:pPr>
          </w:p>
        </w:tc>
        <w:tc>
          <w:tcPr>
            <w:tcW w:w="847" w:type="dxa"/>
            <w:vMerge w:val="continue"/>
            <w:shd w:val="clear" w:color="auto" w:fill="auto"/>
            <w:vAlign w:val="center"/>
          </w:tcPr>
          <w:p w14:paraId="5140B3B4">
            <w:pPr>
              <w:jc w:val="center"/>
              <w:rPr>
                <w:color w:val="auto"/>
                <w:szCs w:val="21"/>
                <w:highlight w:val="none"/>
              </w:rPr>
            </w:pPr>
          </w:p>
        </w:tc>
      </w:tr>
      <w:tr w14:paraId="4BD1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7E558E05">
            <w:pPr>
              <w:jc w:val="center"/>
              <w:rPr>
                <w:color w:val="auto"/>
                <w:szCs w:val="21"/>
                <w:highlight w:val="none"/>
              </w:rPr>
            </w:pPr>
            <w:r>
              <w:rPr>
                <w:color w:val="auto"/>
                <w:szCs w:val="21"/>
                <w:highlight w:val="none"/>
              </w:rPr>
              <w:t>24</w:t>
            </w:r>
          </w:p>
        </w:tc>
        <w:tc>
          <w:tcPr>
            <w:tcW w:w="885" w:type="dxa"/>
            <w:shd w:val="clear" w:color="auto" w:fill="FFFFFF"/>
            <w:vAlign w:val="center"/>
          </w:tcPr>
          <w:p w14:paraId="256C73B2">
            <w:pPr>
              <w:jc w:val="center"/>
              <w:rPr>
                <w:color w:val="auto"/>
                <w:szCs w:val="21"/>
                <w:highlight w:val="none"/>
              </w:rPr>
            </w:pPr>
            <w:r>
              <w:rPr>
                <w:color w:val="auto"/>
                <w:szCs w:val="21"/>
                <w:highlight w:val="none"/>
              </w:rPr>
              <w:t>弹广路</w:t>
            </w:r>
          </w:p>
        </w:tc>
        <w:tc>
          <w:tcPr>
            <w:tcW w:w="1867" w:type="dxa"/>
            <w:shd w:val="clear" w:color="auto" w:fill="FFFFFF"/>
            <w:vAlign w:val="center"/>
          </w:tcPr>
          <w:p w14:paraId="163C9285">
            <w:pPr>
              <w:jc w:val="center"/>
              <w:rPr>
                <w:color w:val="auto"/>
                <w:szCs w:val="21"/>
                <w:highlight w:val="none"/>
              </w:rPr>
            </w:pPr>
            <w:r>
              <w:rPr>
                <w:color w:val="auto"/>
                <w:szCs w:val="21"/>
                <w:highlight w:val="none"/>
              </w:rPr>
              <w:t>大石坝-东海星洲后门</w:t>
            </w:r>
          </w:p>
        </w:tc>
        <w:tc>
          <w:tcPr>
            <w:tcW w:w="853" w:type="dxa"/>
            <w:shd w:val="clear" w:color="auto" w:fill="FFFFFF"/>
            <w:vAlign w:val="center"/>
          </w:tcPr>
          <w:p w14:paraId="6E8FF6AC">
            <w:pPr>
              <w:jc w:val="center"/>
              <w:rPr>
                <w:color w:val="auto"/>
                <w:szCs w:val="21"/>
                <w:highlight w:val="none"/>
              </w:rPr>
            </w:pPr>
            <w:r>
              <w:rPr>
                <w:color w:val="auto"/>
                <w:szCs w:val="21"/>
                <w:highlight w:val="none"/>
              </w:rPr>
              <w:t>0.91</w:t>
            </w:r>
          </w:p>
        </w:tc>
        <w:tc>
          <w:tcPr>
            <w:tcW w:w="846" w:type="dxa"/>
            <w:shd w:val="clear" w:color="auto" w:fill="FFFFFF"/>
            <w:vAlign w:val="center"/>
          </w:tcPr>
          <w:p w14:paraId="09C240A4">
            <w:pPr>
              <w:jc w:val="center"/>
              <w:rPr>
                <w:color w:val="auto"/>
                <w:szCs w:val="21"/>
                <w:highlight w:val="none"/>
              </w:rPr>
            </w:pPr>
            <w:r>
              <w:rPr>
                <w:color w:val="auto"/>
                <w:szCs w:val="21"/>
                <w:highlight w:val="none"/>
              </w:rPr>
              <w:t>/</w:t>
            </w:r>
          </w:p>
        </w:tc>
        <w:tc>
          <w:tcPr>
            <w:tcW w:w="810" w:type="dxa"/>
            <w:shd w:val="clear" w:color="auto" w:fill="FFFFFF"/>
            <w:vAlign w:val="center"/>
          </w:tcPr>
          <w:p w14:paraId="57A05F05">
            <w:pPr>
              <w:jc w:val="center"/>
              <w:rPr>
                <w:color w:val="auto"/>
                <w:szCs w:val="21"/>
                <w:highlight w:val="none"/>
              </w:rPr>
            </w:pPr>
            <w:r>
              <w:rPr>
                <w:color w:val="auto"/>
                <w:szCs w:val="21"/>
                <w:highlight w:val="none"/>
              </w:rPr>
              <w:t>0.91</w:t>
            </w:r>
          </w:p>
        </w:tc>
        <w:tc>
          <w:tcPr>
            <w:tcW w:w="997" w:type="dxa"/>
            <w:shd w:val="clear" w:color="auto" w:fill="FFFFFF"/>
            <w:vAlign w:val="center"/>
          </w:tcPr>
          <w:p w14:paraId="2323D50A">
            <w:pPr>
              <w:jc w:val="center"/>
              <w:rPr>
                <w:color w:val="auto"/>
                <w:szCs w:val="21"/>
                <w:highlight w:val="none"/>
              </w:rPr>
            </w:pPr>
            <w:r>
              <w:rPr>
                <w:color w:val="auto"/>
                <w:szCs w:val="21"/>
                <w:highlight w:val="none"/>
              </w:rPr>
              <w:t>4340.00</w:t>
            </w:r>
          </w:p>
        </w:tc>
        <w:tc>
          <w:tcPr>
            <w:tcW w:w="1134" w:type="dxa"/>
            <w:shd w:val="clear" w:color="auto" w:fill="FFFFFF"/>
            <w:vAlign w:val="center"/>
          </w:tcPr>
          <w:p w14:paraId="136E7D27">
            <w:pPr>
              <w:jc w:val="center"/>
              <w:rPr>
                <w:color w:val="auto"/>
                <w:szCs w:val="21"/>
                <w:highlight w:val="none"/>
              </w:rPr>
            </w:pPr>
          </w:p>
        </w:tc>
        <w:tc>
          <w:tcPr>
            <w:tcW w:w="876" w:type="dxa"/>
            <w:shd w:val="clear" w:color="auto" w:fill="FFFFFF"/>
            <w:vAlign w:val="center"/>
          </w:tcPr>
          <w:p w14:paraId="5C0DB67F">
            <w:pPr>
              <w:jc w:val="center"/>
              <w:rPr>
                <w:color w:val="auto"/>
                <w:szCs w:val="21"/>
                <w:highlight w:val="none"/>
              </w:rPr>
            </w:pPr>
          </w:p>
        </w:tc>
        <w:tc>
          <w:tcPr>
            <w:tcW w:w="847" w:type="dxa"/>
            <w:vMerge w:val="continue"/>
            <w:shd w:val="clear" w:color="auto" w:fill="auto"/>
            <w:vAlign w:val="center"/>
          </w:tcPr>
          <w:p w14:paraId="005396D6">
            <w:pPr>
              <w:jc w:val="center"/>
              <w:rPr>
                <w:color w:val="auto"/>
                <w:szCs w:val="21"/>
                <w:highlight w:val="none"/>
              </w:rPr>
            </w:pPr>
          </w:p>
        </w:tc>
      </w:tr>
      <w:tr w14:paraId="5CC2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3" w:type="dxa"/>
            <w:shd w:val="clear" w:color="auto" w:fill="auto"/>
            <w:vAlign w:val="center"/>
          </w:tcPr>
          <w:p w14:paraId="0C2CF48C">
            <w:pPr>
              <w:jc w:val="center"/>
              <w:rPr>
                <w:color w:val="auto"/>
                <w:szCs w:val="21"/>
                <w:highlight w:val="none"/>
              </w:rPr>
            </w:pPr>
            <w:r>
              <w:rPr>
                <w:color w:val="auto"/>
                <w:szCs w:val="21"/>
                <w:highlight w:val="none"/>
              </w:rPr>
              <w:t>25</w:t>
            </w:r>
          </w:p>
        </w:tc>
        <w:tc>
          <w:tcPr>
            <w:tcW w:w="885" w:type="dxa"/>
            <w:shd w:val="clear" w:color="auto" w:fill="FFFFFF"/>
            <w:vAlign w:val="center"/>
          </w:tcPr>
          <w:p w14:paraId="43A63C4D">
            <w:pPr>
              <w:jc w:val="center"/>
              <w:rPr>
                <w:color w:val="auto"/>
                <w:szCs w:val="21"/>
                <w:highlight w:val="none"/>
              </w:rPr>
            </w:pPr>
            <w:r>
              <w:rPr>
                <w:color w:val="auto"/>
                <w:szCs w:val="21"/>
                <w:highlight w:val="none"/>
              </w:rPr>
              <w:t>BK2支路</w:t>
            </w:r>
          </w:p>
        </w:tc>
        <w:tc>
          <w:tcPr>
            <w:tcW w:w="1867" w:type="dxa"/>
            <w:shd w:val="clear" w:color="auto" w:fill="FFFFFF"/>
            <w:vAlign w:val="center"/>
          </w:tcPr>
          <w:p w14:paraId="1CAC2233">
            <w:pPr>
              <w:jc w:val="center"/>
              <w:rPr>
                <w:color w:val="auto"/>
                <w:szCs w:val="21"/>
                <w:highlight w:val="none"/>
              </w:rPr>
            </w:pPr>
            <w:r>
              <w:rPr>
                <w:color w:val="auto"/>
                <w:szCs w:val="21"/>
                <w:highlight w:val="none"/>
              </w:rPr>
              <w:t>BK线-腾黄路</w:t>
            </w:r>
          </w:p>
        </w:tc>
        <w:tc>
          <w:tcPr>
            <w:tcW w:w="853" w:type="dxa"/>
            <w:shd w:val="clear" w:color="auto" w:fill="FFFFFF"/>
            <w:vAlign w:val="center"/>
          </w:tcPr>
          <w:p w14:paraId="22F17C31">
            <w:pPr>
              <w:jc w:val="center"/>
              <w:rPr>
                <w:color w:val="auto"/>
                <w:szCs w:val="21"/>
                <w:highlight w:val="none"/>
              </w:rPr>
            </w:pPr>
            <w:r>
              <w:rPr>
                <w:color w:val="auto"/>
                <w:szCs w:val="21"/>
                <w:highlight w:val="none"/>
              </w:rPr>
              <w:t>0.37</w:t>
            </w:r>
          </w:p>
        </w:tc>
        <w:tc>
          <w:tcPr>
            <w:tcW w:w="846" w:type="dxa"/>
            <w:shd w:val="clear" w:color="auto" w:fill="FFFFFF"/>
            <w:vAlign w:val="center"/>
          </w:tcPr>
          <w:p w14:paraId="546B7DD5">
            <w:pPr>
              <w:jc w:val="center"/>
              <w:rPr>
                <w:color w:val="auto"/>
                <w:szCs w:val="21"/>
                <w:highlight w:val="none"/>
              </w:rPr>
            </w:pPr>
            <w:r>
              <w:rPr>
                <w:color w:val="auto"/>
                <w:szCs w:val="21"/>
                <w:highlight w:val="none"/>
              </w:rPr>
              <w:t>2</w:t>
            </w:r>
          </w:p>
        </w:tc>
        <w:tc>
          <w:tcPr>
            <w:tcW w:w="810" w:type="dxa"/>
            <w:shd w:val="clear" w:color="auto" w:fill="FFFFFF"/>
            <w:vAlign w:val="center"/>
          </w:tcPr>
          <w:p w14:paraId="4A663839">
            <w:pPr>
              <w:jc w:val="center"/>
              <w:rPr>
                <w:color w:val="auto"/>
                <w:szCs w:val="21"/>
                <w:highlight w:val="none"/>
              </w:rPr>
            </w:pPr>
            <w:r>
              <w:rPr>
                <w:color w:val="auto"/>
                <w:szCs w:val="21"/>
                <w:highlight w:val="none"/>
              </w:rPr>
              <w:t>0.74</w:t>
            </w:r>
          </w:p>
        </w:tc>
        <w:tc>
          <w:tcPr>
            <w:tcW w:w="997" w:type="dxa"/>
            <w:shd w:val="clear" w:color="auto" w:fill="FFFFFF"/>
            <w:vAlign w:val="center"/>
          </w:tcPr>
          <w:p w14:paraId="09173A21">
            <w:pPr>
              <w:jc w:val="center"/>
              <w:rPr>
                <w:color w:val="auto"/>
                <w:szCs w:val="21"/>
                <w:highlight w:val="none"/>
              </w:rPr>
            </w:pPr>
            <w:r>
              <w:rPr>
                <w:color w:val="auto"/>
                <w:szCs w:val="21"/>
                <w:highlight w:val="none"/>
              </w:rPr>
              <w:t>4340.00</w:t>
            </w:r>
          </w:p>
        </w:tc>
        <w:tc>
          <w:tcPr>
            <w:tcW w:w="1134" w:type="dxa"/>
            <w:shd w:val="clear" w:color="auto" w:fill="FFFFFF"/>
            <w:vAlign w:val="center"/>
          </w:tcPr>
          <w:p w14:paraId="77C2A6A8">
            <w:pPr>
              <w:jc w:val="center"/>
              <w:rPr>
                <w:color w:val="auto"/>
                <w:szCs w:val="21"/>
                <w:highlight w:val="none"/>
              </w:rPr>
            </w:pPr>
          </w:p>
        </w:tc>
        <w:tc>
          <w:tcPr>
            <w:tcW w:w="876" w:type="dxa"/>
            <w:shd w:val="clear" w:color="auto" w:fill="FFFFFF"/>
            <w:vAlign w:val="center"/>
          </w:tcPr>
          <w:p w14:paraId="355DA721">
            <w:pPr>
              <w:jc w:val="center"/>
              <w:rPr>
                <w:color w:val="auto"/>
                <w:szCs w:val="21"/>
                <w:highlight w:val="none"/>
              </w:rPr>
            </w:pPr>
          </w:p>
        </w:tc>
        <w:tc>
          <w:tcPr>
            <w:tcW w:w="847" w:type="dxa"/>
            <w:vMerge w:val="continue"/>
            <w:shd w:val="clear" w:color="auto" w:fill="auto"/>
            <w:vAlign w:val="center"/>
          </w:tcPr>
          <w:p w14:paraId="378C7E4C">
            <w:pPr>
              <w:jc w:val="center"/>
              <w:rPr>
                <w:color w:val="auto"/>
                <w:szCs w:val="21"/>
                <w:highlight w:val="none"/>
              </w:rPr>
            </w:pPr>
          </w:p>
        </w:tc>
      </w:tr>
      <w:tr w14:paraId="51B3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3" w:type="dxa"/>
            <w:shd w:val="clear" w:color="auto" w:fill="auto"/>
            <w:vAlign w:val="center"/>
          </w:tcPr>
          <w:p w14:paraId="069BCAB4">
            <w:pPr>
              <w:jc w:val="center"/>
              <w:rPr>
                <w:color w:val="auto"/>
                <w:szCs w:val="21"/>
                <w:highlight w:val="none"/>
              </w:rPr>
            </w:pPr>
            <w:r>
              <w:rPr>
                <w:color w:val="auto"/>
                <w:szCs w:val="21"/>
                <w:highlight w:val="none"/>
              </w:rPr>
              <w:t>26</w:t>
            </w:r>
          </w:p>
        </w:tc>
        <w:tc>
          <w:tcPr>
            <w:tcW w:w="885" w:type="dxa"/>
            <w:shd w:val="clear" w:color="auto" w:fill="FFFFFF"/>
            <w:vAlign w:val="center"/>
          </w:tcPr>
          <w:p w14:paraId="16FCD017">
            <w:pPr>
              <w:jc w:val="center"/>
              <w:rPr>
                <w:color w:val="auto"/>
                <w:szCs w:val="21"/>
                <w:highlight w:val="none"/>
              </w:rPr>
            </w:pPr>
            <w:r>
              <w:rPr>
                <w:color w:val="auto"/>
                <w:szCs w:val="21"/>
                <w:highlight w:val="none"/>
              </w:rPr>
              <w:t>文德路</w:t>
            </w:r>
          </w:p>
        </w:tc>
        <w:tc>
          <w:tcPr>
            <w:tcW w:w="1867" w:type="dxa"/>
            <w:shd w:val="clear" w:color="auto" w:fill="FFFFFF"/>
            <w:vAlign w:val="center"/>
          </w:tcPr>
          <w:p w14:paraId="3AD52C18">
            <w:pPr>
              <w:jc w:val="center"/>
              <w:rPr>
                <w:color w:val="auto"/>
                <w:szCs w:val="21"/>
                <w:highlight w:val="none"/>
              </w:rPr>
            </w:pPr>
            <w:r>
              <w:rPr>
                <w:color w:val="auto"/>
                <w:szCs w:val="21"/>
                <w:highlight w:val="none"/>
              </w:rPr>
              <w:t>BK线-腾黄路</w:t>
            </w:r>
          </w:p>
        </w:tc>
        <w:tc>
          <w:tcPr>
            <w:tcW w:w="853" w:type="dxa"/>
            <w:shd w:val="clear" w:color="auto" w:fill="FFFFFF"/>
            <w:vAlign w:val="center"/>
          </w:tcPr>
          <w:p w14:paraId="43B88755">
            <w:pPr>
              <w:jc w:val="center"/>
              <w:rPr>
                <w:color w:val="auto"/>
                <w:szCs w:val="21"/>
                <w:highlight w:val="none"/>
              </w:rPr>
            </w:pPr>
            <w:r>
              <w:rPr>
                <w:color w:val="auto"/>
                <w:szCs w:val="21"/>
                <w:highlight w:val="none"/>
              </w:rPr>
              <w:t>0.36</w:t>
            </w:r>
          </w:p>
        </w:tc>
        <w:tc>
          <w:tcPr>
            <w:tcW w:w="846" w:type="dxa"/>
            <w:shd w:val="clear" w:color="auto" w:fill="FFFFFF"/>
            <w:vAlign w:val="center"/>
          </w:tcPr>
          <w:p w14:paraId="318EC77E">
            <w:pPr>
              <w:jc w:val="center"/>
              <w:rPr>
                <w:color w:val="auto"/>
                <w:szCs w:val="21"/>
                <w:highlight w:val="none"/>
              </w:rPr>
            </w:pPr>
            <w:r>
              <w:rPr>
                <w:color w:val="auto"/>
                <w:szCs w:val="21"/>
                <w:highlight w:val="none"/>
              </w:rPr>
              <w:t>2</w:t>
            </w:r>
          </w:p>
        </w:tc>
        <w:tc>
          <w:tcPr>
            <w:tcW w:w="810" w:type="dxa"/>
            <w:shd w:val="clear" w:color="auto" w:fill="FFFFFF"/>
            <w:vAlign w:val="center"/>
          </w:tcPr>
          <w:p w14:paraId="2A742233">
            <w:pPr>
              <w:jc w:val="center"/>
              <w:rPr>
                <w:color w:val="auto"/>
                <w:szCs w:val="21"/>
                <w:highlight w:val="none"/>
              </w:rPr>
            </w:pPr>
            <w:r>
              <w:rPr>
                <w:color w:val="auto"/>
                <w:szCs w:val="21"/>
                <w:highlight w:val="none"/>
              </w:rPr>
              <w:t>0.72</w:t>
            </w:r>
          </w:p>
        </w:tc>
        <w:tc>
          <w:tcPr>
            <w:tcW w:w="997" w:type="dxa"/>
            <w:shd w:val="clear" w:color="auto" w:fill="FFFFFF"/>
            <w:vAlign w:val="center"/>
          </w:tcPr>
          <w:p w14:paraId="4F93F1BA">
            <w:pPr>
              <w:jc w:val="center"/>
              <w:rPr>
                <w:color w:val="auto"/>
                <w:szCs w:val="21"/>
                <w:highlight w:val="none"/>
              </w:rPr>
            </w:pPr>
            <w:r>
              <w:rPr>
                <w:color w:val="auto"/>
                <w:szCs w:val="21"/>
                <w:highlight w:val="none"/>
              </w:rPr>
              <w:t>4340.00</w:t>
            </w:r>
          </w:p>
        </w:tc>
        <w:tc>
          <w:tcPr>
            <w:tcW w:w="1134" w:type="dxa"/>
            <w:shd w:val="clear" w:color="auto" w:fill="FFFFFF"/>
            <w:vAlign w:val="center"/>
          </w:tcPr>
          <w:p w14:paraId="2902EE6B">
            <w:pPr>
              <w:jc w:val="center"/>
              <w:rPr>
                <w:color w:val="auto"/>
                <w:szCs w:val="21"/>
                <w:highlight w:val="none"/>
              </w:rPr>
            </w:pPr>
          </w:p>
        </w:tc>
        <w:tc>
          <w:tcPr>
            <w:tcW w:w="876" w:type="dxa"/>
            <w:shd w:val="clear" w:color="auto" w:fill="FFFFFF"/>
            <w:vAlign w:val="center"/>
          </w:tcPr>
          <w:p w14:paraId="2E0D8B9B">
            <w:pPr>
              <w:jc w:val="center"/>
              <w:rPr>
                <w:color w:val="auto"/>
                <w:szCs w:val="21"/>
                <w:highlight w:val="none"/>
              </w:rPr>
            </w:pPr>
          </w:p>
        </w:tc>
        <w:tc>
          <w:tcPr>
            <w:tcW w:w="847" w:type="dxa"/>
            <w:vMerge w:val="continue"/>
            <w:shd w:val="clear" w:color="auto" w:fill="auto"/>
            <w:vAlign w:val="center"/>
          </w:tcPr>
          <w:p w14:paraId="328B8B3B">
            <w:pPr>
              <w:jc w:val="center"/>
              <w:rPr>
                <w:color w:val="auto"/>
                <w:szCs w:val="21"/>
                <w:highlight w:val="none"/>
              </w:rPr>
            </w:pPr>
          </w:p>
        </w:tc>
      </w:tr>
      <w:tr w14:paraId="502E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0ED589E">
            <w:pPr>
              <w:jc w:val="center"/>
              <w:rPr>
                <w:color w:val="auto"/>
                <w:szCs w:val="21"/>
                <w:highlight w:val="none"/>
              </w:rPr>
            </w:pPr>
            <w:r>
              <w:rPr>
                <w:color w:val="auto"/>
                <w:szCs w:val="21"/>
                <w:highlight w:val="none"/>
              </w:rPr>
              <w:t>27</w:t>
            </w:r>
          </w:p>
        </w:tc>
        <w:tc>
          <w:tcPr>
            <w:tcW w:w="885" w:type="dxa"/>
            <w:shd w:val="clear" w:color="auto" w:fill="FFFFFF"/>
            <w:vAlign w:val="center"/>
          </w:tcPr>
          <w:p w14:paraId="187EF1E7">
            <w:pPr>
              <w:jc w:val="center"/>
              <w:rPr>
                <w:color w:val="auto"/>
                <w:szCs w:val="21"/>
                <w:highlight w:val="none"/>
              </w:rPr>
            </w:pPr>
            <w:r>
              <w:rPr>
                <w:color w:val="auto"/>
                <w:szCs w:val="21"/>
                <w:highlight w:val="none"/>
              </w:rPr>
              <w:t>学苑路</w:t>
            </w:r>
          </w:p>
        </w:tc>
        <w:tc>
          <w:tcPr>
            <w:tcW w:w="1867" w:type="dxa"/>
            <w:shd w:val="clear" w:color="auto" w:fill="FFFFFF"/>
            <w:vAlign w:val="center"/>
          </w:tcPr>
          <w:p w14:paraId="341888F1">
            <w:pPr>
              <w:jc w:val="center"/>
              <w:rPr>
                <w:color w:val="auto"/>
                <w:szCs w:val="21"/>
                <w:highlight w:val="none"/>
              </w:rPr>
            </w:pPr>
            <w:r>
              <w:rPr>
                <w:color w:val="auto"/>
                <w:szCs w:val="21"/>
                <w:highlight w:val="none"/>
              </w:rPr>
              <w:t>腾龙大道至雅云苑后门</w:t>
            </w:r>
          </w:p>
        </w:tc>
        <w:tc>
          <w:tcPr>
            <w:tcW w:w="853" w:type="dxa"/>
            <w:shd w:val="clear" w:color="auto" w:fill="FFFFFF"/>
            <w:vAlign w:val="center"/>
          </w:tcPr>
          <w:p w14:paraId="7B5137D7">
            <w:pPr>
              <w:jc w:val="center"/>
              <w:rPr>
                <w:color w:val="auto"/>
                <w:szCs w:val="21"/>
                <w:highlight w:val="none"/>
              </w:rPr>
            </w:pPr>
            <w:r>
              <w:rPr>
                <w:color w:val="auto"/>
                <w:szCs w:val="21"/>
                <w:highlight w:val="none"/>
              </w:rPr>
              <w:t>0.72</w:t>
            </w:r>
          </w:p>
        </w:tc>
        <w:tc>
          <w:tcPr>
            <w:tcW w:w="846" w:type="dxa"/>
            <w:shd w:val="clear" w:color="auto" w:fill="FFFFFF"/>
            <w:vAlign w:val="center"/>
          </w:tcPr>
          <w:p w14:paraId="0756E635">
            <w:pPr>
              <w:jc w:val="center"/>
              <w:rPr>
                <w:color w:val="auto"/>
                <w:szCs w:val="21"/>
                <w:highlight w:val="none"/>
              </w:rPr>
            </w:pPr>
            <w:r>
              <w:rPr>
                <w:color w:val="auto"/>
                <w:szCs w:val="21"/>
                <w:highlight w:val="none"/>
              </w:rPr>
              <w:t>4</w:t>
            </w:r>
          </w:p>
        </w:tc>
        <w:tc>
          <w:tcPr>
            <w:tcW w:w="810" w:type="dxa"/>
            <w:shd w:val="clear" w:color="auto" w:fill="FFFFFF"/>
            <w:vAlign w:val="center"/>
          </w:tcPr>
          <w:p w14:paraId="591034E7">
            <w:pPr>
              <w:jc w:val="center"/>
              <w:rPr>
                <w:color w:val="auto"/>
                <w:szCs w:val="21"/>
                <w:highlight w:val="none"/>
              </w:rPr>
            </w:pPr>
            <w:r>
              <w:rPr>
                <w:color w:val="auto"/>
                <w:szCs w:val="21"/>
                <w:highlight w:val="none"/>
              </w:rPr>
              <w:t>2.88</w:t>
            </w:r>
          </w:p>
        </w:tc>
        <w:tc>
          <w:tcPr>
            <w:tcW w:w="997" w:type="dxa"/>
            <w:shd w:val="clear" w:color="auto" w:fill="FFFFFF"/>
            <w:vAlign w:val="center"/>
          </w:tcPr>
          <w:p w14:paraId="2AB9B834">
            <w:pPr>
              <w:jc w:val="center"/>
              <w:rPr>
                <w:color w:val="auto"/>
                <w:szCs w:val="21"/>
                <w:highlight w:val="none"/>
              </w:rPr>
            </w:pPr>
            <w:r>
              <w:rPr>
                <w:color w:val="auto"/>
                <w:szCs w:val="21"/>
                <w:highlight w:val="none"/>
              </w:rPr>
              <w:t>4340.00</w:t>
            </w:r>
          </w:p>
        </w:tc>
        <w:tc>
          <w:tcPr>
            <w:tcW w:w="1134" w:type="dxa"/>
            <w:shd w:val="clear" w:color="auto" w:fill="FFFFFF"/>
            <w:vAlign w:val="center"/>
          </w:tcPr>
          <w:p w14:paraId="55BCD3F4">
            <w:pPr>
              <w:jc w:val="center"/>
              <w:rPr>
                <w:color w:val="auto"/>
                <w:szCs w:val="21"/>
                <w:highlight w:val="none"/>
              </w:rPr>
            </w:pPr>
          </w:p>
        </w:tc>
        <w:tc>
          <w:tcPr>
            <w:tcW w:w="876" w:type="dxa"/>
            <w:shd w:val="clear" w:color="auto" w:fill="FFFFFF"/>
            <w:vAlign w:val="center"/>
          </w:tcPr>
          <w:p w14:paraId="5BC3589F">
            <w:pPr>
              <w:jc w:val="center"/>
              <w:rPr>
                <w:color w:val="auto"/>
                <w:szCs w:val="21"/>
                <w:highlight w:val="none"/>
              </w:rPr>
            </w:pPr>
          </w:p>
        </w:tc>
        <w:tc>
          <w:tcPr>
            <w:tcW w:w="847" w:type="dxa"/>
            <w:vMerge w:val="continue"/>
            <w:shd w:val="clear" w:color="auto" w:fill="auto"/>
            <w:vAlign w:val="center"/>
          </w:tcPr>
          <w:p w14:paraId="72AD1608">
            <w:pPr>
              <w:jc w:val="center"/>
              <w:rPr>
                <w:color w:val="auto"/>
                <w:szCs w:val="21"/>
                <w:highlight w:val="none"/>
              </w:rPr>
            </w:pPr>
          </w:p>
        </w:tc>
      </w:tr>
      <w:tr w14:paraId="1FCD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7AD7CED">
            <w:pPr>
              <w:jc w:val="center"/>
              <w:rPr>
                <w:color w:val="auto"/>
                <w:szCs w:val="21"/>
                <w:highlight w:val="none"/>
              </w:rPr>
            </w:pPr>
            <w:r>
              <w:rPr>
                <w:color w:val="auto"/>
                <w:szCs w:val="21"/>
                <w:highlight w:val="none"/>
              </w:rPr>
              <w:t>28</w:t>
            </w:r>
          </w:p>
        </w:tc>
        <w:tc>
          <w:tcPr>
            <w:tcW w:w="885" w:type="dxa"/>
            <w:shd w:val="clear" w:color="auto" w:fill="FFFFFF"/>
            <w:vAlign w:val="center"/>
          </w:tcPr>
          <w:p w14:paraId="70C132B5">
            <w:pPr>
              <w:jc w:val="center"/>
              <w:rPr>
                <w:color w:val="auto"/>
                <w:szCs w:val="21"/>
                <w:highlight w:val="none"/>
              </w:rPr>
            </w:pPr>
            <w:r>
              <w:rPr>
                <w:color w:val="auto"/>
                <w:szCs w:val="21"/>
                <w:highlight w:val="none"/>
              </w:rPr>
              <w:t>大佛段正街</w:t>
            </w:r>
          </w:p>
        </w:tc>
        <w:tc>
          <w:tcPr>
            <w:tcW w:w="1867" w:type="dxa"/>
            <w:shd w:val="clear" w:color="auto" w:fill="FFFFFF"/>
            <w:vAlign w:val="center"/>
          </w:tcPr>
          <w:p w14:paraId="111A5396">
            <w:pPr>
              <w:jc w:val="center"/>
              <w:rPr>
                <w:color w:val="auto"/>
                <w:szCs w:val="21"/>
                <w:highlight w:val="none"/>
              </w:rPr>
            </w:pPr>
            <w:r>
              <w:rPr>
                <w:color w:val="auto"/>
                <w:szCs w:val="21"/>
                <w:highlight w:val="none"/>
              </w:rPr>
              <w:t>群慧路-弹子石环线轻轨站</w:t>
            </w:r>
          </w:p>
        </w:tc>
        <w:tc>
          <w:tcPr>
            <w:tcW w:w="853" w:type="dxa"/>
            <w:shd w:val="clear" w:color="auto" w:fill="FFFFFF"/>
            <w:vAlign w:val="center"/>
          </w:tcPr>
          <w:p w14:paraId="0FFA29EE">
            <w:pPr>
              <w:jc w:val="center"/>
              <w:rPr>
                <w:color w:val="auto"/>
                <w:szCs w:val="21"/>
                <w:highlight w:val="none"/>
              </w:rPr>
            </w:pPr>
            <w:r>
              <w:rPr>
                <w:color w:val="auto"/>
                <w:szCs w:val="21"/>
                <w:highlight w:val="none"/>
              </w:rPr>
              <w:t>0.49</w:t>
            </w:r>
          </w:p>
        </w:tc>
        <w:tc>
          <w:tcPr>
            <w:tcW w:w="846" w:type="dxa"/>
            <w:shd w:val="clear" w:color="auto" w:fill="FFFFFF"/>
            <w:vAlign w:val="center"/>
          </w:tcPr>
          <w:p w14:paraId="7CDA0646">
            <w:pPr>
              <w:jc w:val="center"/>
              <w:rPr>
                <w:color w:val="auto"/>
                <w:szCs w:val="21"/>
                <w:highlight w:val="none"/>
              </w:rPr>
            </w:pPr>
            <w:r>
              <w:rPr>
                <w:color w:val="auto"/>
                <w:szCs w:val="21"/>
                <w:highlight w:val="none"/>
              </w:rPr>
              <w:t>1</w:t>
            </w:r>
          </w:p>
        </w:tc>
        <w:tc>
          <w:tcPr>
            <w:tcW w:w="810" w:type="dxa"/>
            <w:shd w:val="clear" w:color="auto" w:fill="FFFFFF"/>
            <w:vAlign w:val="center"/>
          </w:tcPr>
          <w:p w14:paraId="06DA0D34">
            <w:pPr>
              <w:jc w:val="center"/>
              <w:rPr>
                <w:color w:val="auto"/>
                <w:szCs w:val="21"/>
                <w:highlight w:val="none"/>
              </w:rPr>
            </w:pPr>
            <w:r>
              <w:rPr>
                <w:color w:val="auto"/>
                <w:szCs w:val="21"/>
                <w:highlight w:val="none"/>
              </w:rPr>
              <w:t>0.49</w:t>
            </w:r>
          </w:p>
        </w:tc>
        <w:tc>
          <w:tcPr>
            <w:tcW w:w="997" w:type="dxa"/>
            <w:shd w:val="clear" w:color="auto" w:fill="FFFFFF"/>
            <w:vAlign w:val="center"/>
          </w:tcPr>
          <w:p w14:paraId="73EB874E">
            <w:pPr>
              <w:jc w:val="center"/>
              <w:rPr>
                <w:color w:val="auto"/>
                <w:szCs w:val="21"/>
                <w:highlight w:val="none"/>
              </w:rPr>
            </w:pPr>
            <w:r>
              <w:rPr>
                <w:color w:val="auto"/>
                <w:szCs w:val="21"/>
                <w:highlight w:val="none"/>
              </w:rPr>
              <w:t>4340.00</w:t>
            </w:r>
          </w:p>
        </w:tc>
        <w:tc>
          <w:tcPr>
            <w:tcW w:w="1134" w:type="dxa"/>
            <w:shd w:val="clear" w:color="auto" w:fill="FFFFFF"/>
            <w:vAlign w:val="center"/>
          </w:tcPr>
          <w:p w14:paraId="6482996A">
            <w:pPr>
              <w:jc w:val="center"/>
              <w:rPr>
                <w:color w:val="auto"/>
                <w:szCs w:val="21"/>
                <w:highlight w:val="none"/>
              </w:rPr>
            </w:pPr>
          </w:p>
        </w:tc>
        <w:tc>
          <w:tcPr>
            <w:tcW w:w="876" w:type="dxa"/>
            <w:shd w:val="clear" w:color="auto" w:fill="FFFFFF"/>
            <w:vAlign w:val="center"/>
          </w:tcPr>
          <w:p w14:paraId="30BA34DE">
            <w:pPr>
              <w:jc w:val="center"/>
              <w:rPr>
                <w:color w:val="auto"/>
                <w:szCs w:val="21"/>
                <w:highlight w:val="none"/>
              </w:rPr>
            </w:pPr>
          </w:p>
        </w:tc>
        <w:tc>
          <w:tcPr>
            <w:tcW w:w="847" w:type="dxa"/>
            <w:vMerge w:val="continue"/>
            <w:shd w:val="clear" w:color="auto" w:fill="auto"/>
            <w:vAlign w:val="center"/>
          </w:tcPr>
          <w:p w14:paraId="2DC8E078">
            <w:pPr>
              <w:jc w:val="center"/>
              <w:rPr>
                <w:color w:val="auto"/>
                <w:szCs w:val="21"/>
                <w:highlight w:val="none"/>
              </w:rPr>
            </w:pPr>
          </w:p>
        </w:tc>
      </w:tr>
      <w:tr w14:paraId="768D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5B834B4">
            <w:pPr>
              <w:jc w:val="center"/>
              <w:rPr>
                <w:color w:val="auto"/>
                <w:szCs w:val="21"/>
                <w:highlight w:val="none"/>
              </w:rPr>
            </w:pPr>
            <w:r>
              <w:rPr>
                <w:color w:val="auto"/>
                <w:szCs w:val="21"/>
                <w:highlight w:val="none"/>
              </w:rPr>
              <w:t>29</w:t>
            </w:r>
          </w:p>
        </w:tc>
        <w:tc>
          <w:tcPr>
            <w:tcW w:w="885" w:type="dxa"/>
            <w:shd w:val="clear" w:color="auto" w:fill="FFFFFF"/>
            <w:vAlign w:val="center"/>
          </w:tcPr>
          <w:p w14:paraId="0C8C14C6">
            <w:pPr>
              <w:jc w:val="center"/>
              <w:rPr>
                <w:color w:val="auto"/>
                <w:szCs w:val="21"/>
                <w:highlight w:val="none"/>
              </w:rPr>
            </w:pPr>
            <w:r>
              <w:rPr>
                <w:color w:val="auto"/>
                <w:szCs w:val="21"/>
                <w:highlight w:val="none"/>
              </w:rPr>
              <w:t>文化馆支路</w:t>
            </w:r>
          </w:p>
        </w:tc>
        <w:tc>
          <w:tcPr>
            <w:tcW w:w="1867" w:type="dxa"/>
            <w:shd w:val="clear" w:color="auto" w:fill="FFFFFF"/>
            <w:vAlign w:val="center"/>
          </w:tcPr>
          <w:p w14:paraId="3AAE8324">
            <w:pPr>
              <w:jc w:val="center"/>
              <w:rPr>
                <w:color w:val="auto"/>
                <w:szCs w:val="21"/>
                <w:highlight w:val="none"/>
              </w:rPr>
            </w:pPr>
            <w:r>
              <w:rPr>
                <w:color w:val="auto"/>
                <w:szCs w:val="21"/>
                <w:highlight w:val="none"/>
              </w:rPr>
              <w:t>304车站-38中老校区</w:t>
            </w:r>
          </w:p>
        </w:tc>
        <w:tc>
          <w:tcPr>
            <w:tcW w:w="853" w:type="dxa"/>
            <w:shd w:val="clear" w:color="auto" w:fill="FFFFFF"/>
            <w:vAlign w:val="center"/>
          </w:tcPr>
          <w:p w14:paraId="168C0743">
            <w:pPr>
              <w:jc w:val="center"/>
              <w:rPr>
                <w:color w:val="auto"/>
                <w:szCs w:val="21"/>
                <w:highlight w:val="none"/>
              </w:rPr>
            </w:pPr>
            <w:r>
              <w:rPr>
                <w:color w:val="auto"/>
                <w:szCs w:val="21"/>
                <w:highlight w:val="none"/>
              </w:rPr>
              <w:t>0.50</w:t>
            </w:r>
          </w:p>
        </w:tc>
        <w:tc>
          <w:tcPr>
            <w:tcW w:w="846" w:type="dxa"/>
            <w:shd w:val="clear" w:color="auto" w:fill="FFFFFF"/>
            <w:vAlign w:val="center"/>
          </w:tcPr>
          <w:p w14:paraId="269DCF6D">
            <w:pPr>
              <w:jc w:val="center"/>
              <w:rPr>
                <w:color w:val="auto"/>
                <w:szCs w:val="21"/>
                <w:highlight w:val="none"/>
              </w:rPr>
            </w:pPr>
            <w:r>
              <w:rPr>
                <w:color w:val="auto"/>
                <w:szCs w:val="21"/>
                <w:highlight w:val="none"/>
              </w:rPr>
              <w:t>2</w:t>
            </w:r>
          </w:p>
        </w:tc>
        <w:tc>
          <w:tcPr>
            <w:tcW w:w="810" w:type="dxa"/>
            <w:shd w:val="clear" w:color="auto" w:fill="FFFFFF"/>
            <w:vAlign w:val="center"/>
          </w:tcPr>
          <w:p w14:paraId="02341859">
            <w:pPr>
              <w:jc w:val="center"/>
              <w:rPr>
                <w:color w:val="auto"/>
                <w:szCs w:val="21"/>
                <w:highlight w:val="none"/>
              </w:rPr>
            </w:pPr>
            <w:r>
              <w:rPr>
                <w:color w:val="auto"/>
                <w:szCs w:val="21"/>
                <w:highlight w:val="none"/>
              </w:rPr>
              <w:t>1.00</w:t>
            </w:r>
          </w:p>
        </w:tc>
        <w:tc>
          <w:tcPr>
            <w:tcW w:w="997" w:type="dxa"/>
            <w:shd w:val="clear" w:color="auto" w:fill="FFFFFF"/>
            <w:vAlign w:val="center"/>
          </w:tcPr>
          <w:p w14:paraId="144CACD1">
            <w:pPr>
              <w:jc w:val="center"/>
              <w:rPr>
                <w:color w:val="auto"/>
                <w:szCs w:val="21"/>
                <w:highlight w:val="none"/>
              </w:rPr>
            </w:pPr>
            <w:r>
              <w:rPr>
                <w:color w:val="auto"/>
                <w:szCs w:val="21"/>
                <w:highlight w:val="none"/>
              </w:rPr>
              <w:t>4340.00</w:t>
            </w:r>
          </w:p>
        </w:tc>
        <w:tc>
          <w:tcPr>
            <w:tcW w:w="1134" w:type="dxa"/>
            <w:shd w:val="clear" w:color="auto" w:fill="FFFFFF"/>
            <w:vAlign w:val="center"/>
          </w:tcPr>
          <w:p w14:paraId="5E95F324">
            <w:pPr>
              <w:jc w:val="center"/>
              <w:rPr>
                <w:color w:val="auto"/>
                <w:szCs w:val="21"/>
                <w:highlight w:val="none"/>
              </w:rPr>
            </w:pPr>
          </w:p>
        </w:tc>
        <w:tc>
          <w:tcPr>
            <w:tcW w:w="876" w:type="dxa"/>
            <w:shd w:val="clear" w:color="auto" w:fill="FFFFFF"/>
            <w:vAlign w:val="center"/>
          </w:tcPr>
          <w:p w14:paraId="239D7D1D">
            <w:pPr>
              <w:jc w:val="center"/>
              <w:rPr>
                <w:color w:val="auto"/>
                <w:szCs w:val="21"/>
                <w:highlight w:val="none"/>
              </w:rPr>
            </w:pPr>
          </w:p>
        </w:tc>
        <w:tc>
          <w:tcPr>
            <w:tcW w:w="847" w:type="dxa"/>
            <w:vMerge w:val="continue"/>
            <w:shd w:val="clear" w:color="auto" w:fill="auto"/>
            <w:vAlign w:val="center"/>
          </w:tcPr>
          <w:p w14:paraId="3BAA3725">
            <w:pPr>
              <w:jc w:val="center"/>
              <w:rPr>
                <w:color w:val="auto"/>
                <w:szCs w:val="21"/>
                <w:highlight w:val="none"/>
              </w:rPr>
            </w:pPr>
          </w:p>
        </w:tc>
      </w:tr>
      <w:tr w14:paraId="0208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D195FC6">
            <w:pPr>
              <w:jc w:val="center"/>
              <w:rPr>
                <w:color w:val="auto"/>
                <w:szCs w:val="21"/>
                <w:highlight w:val="none"/>
              </w:rPr>
            </w:pPr>
            <w:r>
              <w:rPr>
                <w:color w:val="auto"/>
                <w:szCs w:val="21"/>
                <w:highlight w:val="none"/>
              </w:rPr>
              <w:t>30</w:t>
            </w:r>
          </w:p>
        </w:tc>
        <w:tc>
          <w:tcPr>
            <w:tcW w:w="885" w:type="dxa"/>
            <w:shd w:val="clear" w:color="auto" w:fill="FFFFFF"/>
            <w:vAlign w:val="center"/>
          </w:tcPr>
          <w:p w14:paraId="3510179C">
            <w:pPr>
              <w:jc w:val="center"/>
              <w:rPr>
                <w:color w:val="auto"/>
                <w:szCs w:val="21"/>
                <w:highlight w:val="none"/>
              </w:rPr>
            </w:pPr>
            <w:r>
              <w:rPr>
                <w:color w:val="auto"/>
                <w:szCs w:val="21"/>
                <w:highlight w:val="none"/>
              </w:rPr>
              <w:t>前驱路</w:t>
            </w:r>
          </w:p>
        </w:tc>
        <w:tc>
          <w:tcPr>
            <w:tcW w:w="1867" w:type="dxa"/>
            <w:shd w:val="clear" w:color="auto" w:fill="FFFFFF"/>
            <w:vAlign w:val="center"/>
          </w:tcPr>
          <w:p w14:paraId="010CD89D">
            <w:pPr>
              <w:jc w:val="center"/>
              <w:rPr>
                <w:color w:val="auto"/>
                <w:szCs w:val="21"/>
                <w:highlight w:val="none"/>
              </w:rPr>
            </w:pPr>
            <w:r>
              <w:rPr>
                <w:color w:val="auto"/>
                <w:szCs w:val="21"/>
                <w:highlight w:val="none"/>
              </w:rPr>
              <w:t>上新街-杨家山人行天桥</w:t>
            </w:r>
          </w:p>
        </w:tc>
        <w:tc>
          <w:tcPr>
            <w:tcW w:w="853" w:type="dxa"/>
            <w:shd w:val="clear" w:color="auto" w:fill="FFFFFF"/>
            <w:vAlign w:val="center"/>
          </w:tcPr>
          <w:p w14:paraId="677F4609">
            <w:pPr>
              <w:jc w:val="center"/>
              <w:rPr>
                <w:color w:val="auto"/>
                <w:szCs w:val="21"/>
                <w:highlight w:val="none"/>
              </w:rPr>
            </w:pPr>
            <w:r>
              <w:rPr>
                <w:color w:val="auto"/>
                <w:szCs w:val="21"/>
                <w:highlight w:val="none"/>
              </w:rPr>
              <w:t>0.90</w:t>
            </w:r>
          </w:p>
        </w:tc>
        <w:tc>
          <w:tcPr>
            <w:tcW w:w="846" w:type="dxa"/>
            <w:shd w:val="clear" w:color="auto" w:fill="FFFFFF"/>
            <w:vAlign w:val="center"/>
          </w:tcPr>
          <w:p w14:paraId="4DE89C6C">
            <w:pPr>
              <w:jc w:val="center"/>
              <w:rPr>
                <w:color w:val="auto"/>
                <w:szCs w:val="21"/>
                <w:highlight w:val="none"/>
              </w:rPr>
            </w:pPr>
            <w:r>
              <w:rPr>
                <w:color w:val="auto"/>
                <w:szCs w:val="21"/>
                <w:highlight w:val="none"/>
              </w:rPr>
              <w:t>2</w:t>
            </w:r>
          </w:p>
        </w:tc>
        <w:tc>
          <w:tcPr>
            <w:tcW w:w="810" w:type="dxa"/>
            <w:shd w:val="clear" w:color="auto" w:fill="FFFFFF"/>
            <w:vAlign w:val="center"/>
          </w:tcPr>
          <w:p w14:paraId="710A76F9">
            <w:pPr>
              <w:jc w:val="center"/>
              <w:rPr>
                <w:color w:val="auto"/>
                <w:szCs w:val="21"/>
                <w:highlight w:val="none"/>
              </w:rPr>
            </w:pPr>
            <w:r>
              <w:rPr>
                <w:color w:val="auto"/>
                <w:szCs w:val="21"/>
                <w:highlight w:val="none"/>
              </w:rPr>
              <w:t>1.80</w:t>
            </w:r>
          </w:p>
        </w:tc>
        <w:tc>
          <w:tcPr>
            <w:tcW w:w="997" w:type="dxa"/>
            <w:shd w:val="clear" w:color="auto" w:fill="FFFFFF"/>
            <w:vAlign w:val="center"/>
          </w:tcPr>
          <w:p w14:paraId="7C7A42E3">
            <w:pPr>
              <w:jc w:val="center"/>
              <w:rPr>
                <w:color w:val="auto"/>
                <w:szCs w:val="21"/>
                <w:highlight w:val="none"/>
              </w:rPr>
            </w:pPr>
            <w:r>
              <w:rPr>
                <w:color w:val="auto"/>
                <w:szCs w:val="21"/>
                <w:highlight w:val="none"/>
              </w:rPr>
              <w:t>4340.00</w:t>
            </w:r>
          </w:p>
        </w:tc>
        <w:tc>
          <w:tcPr>
            <w:tcW w:w="1134" w:type="dxa"/>
            <w:shd w:val="clear" w:color="auto" w:fill="FFFFFF"/>
            <w:vAlign w:val="center"/>
          </w:tcPr>
          <w:p w14:paraId="0FD70CB0">
            <w:pPr>
              <w:jc w:val="center"/>
              <w:rPr>
                <w:color w:val="auto"/>
                <w:szCs w:val="21"/>
                <w:highlight w:val="none"/>
              </w:rPr>
            </w:pPr>
          </w:p>
        </w:tc>
        <w:tc>
          <w:tcPr>
            <w:tcW w:w="876" w:type="dxa"/>
            <w:shd w:val="clear" w:color="auto" w:fill="FFFFFF"/>
            <w:vAlign w:val="center"/>
          </w:tcPr>
          <w:p w14:paraId="534B2454">
            <w:pPr>
              <w:jc w:val="center"/>
              <w:rPr>
                <w:color w:val="auto"/>
                <w:szCs w:val="21"/>
                <w:highlight w:val="none"/>
              </w:rPr>
            </w:pPr>
          </w:p>
        </w:tc>
        <w:tc>
          <w:tcPr>
            <w:tcW w:w="847" w:type="dxa"/>
            <w:vMerge w:val="continue"/>
            <w:shd w:val="clear" w:color="auto" w:fill="auto"/>
            <w:vAlign w:val="center"/>
          </w:tcPr>
          <w:p w14:paraId="510C6B20">
            <w:pPr>
              <w:jc w:val="center"/>
              <w:rPr>
                <w:color w:val="auto"/>
                <w:szCs w:val="21"/>
                <w:highlight w:val="none"/>
              </w:rPr>
            </w:pPr>
          </w:p>
        </w:tc>
      </w:tr>
      <w:tr w14:paraId="40B9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B0225C6">
            <w:pPr>
              <w:jc w:val="center"/>
              <w:rPr>
                <w:color w:val="auto"/>
                <w:szCs w:val="21"/>
                <w:highlight w:val="none"/>
              </w:rPr>
            </w:pPr>
            <w:r>
              <w:rPr>
                <w:color w:val="auto"/>
                <w:szCs w:val="21"/>
                <w:highlight w:val="none"/>
              </w:rPr>
              <w:t>31</w:t>
            </w:r>
          </w:p>
        </w:tc>
        <w:tc>
          <w:tcPr>
            <w:tcW w:w="885" w:type="dxa"/>
            <w:shd w:val="clear" w:color="auto" w:fill="FFFFFF"/>
            <w:vAlign w:val="center"/>
          </w:tcPr>
          <w:p w14:paraId="275CB52F">
            <w:pPr>
              <w:jc w:val="center"/>
              <w:rPr>
                <w:color w:val="auto"/>
                <w:szCs w:val="21"/>
                <w:highlight w:val="none"/>
              </w:rPr>
            </w:pPr>
            <w:r>
              <w:rPr>
                <w:color w:val="auto"/>
                <w:szCs w:val="21"/>
                <w:highlight w:val="none"/>
              </w:rPr>
              <w:t>南坪东路</w:t>
            </w:r>
          </w:p>
        </w:tc>
        <w:tc>
          <w:tcPr>
            <w:tcW w:w="1867" w:type="dxa"/>
            <w:shd w:val="clear" w:color="auto" w:fill="FFFFFF"/>
            <w:vAlign w:val="center"/>
          </w:tcPr>
          <w:p w14:paraId="55A3D553">
            <w:pPr>
              <w:jc w:val="center"/>
              <w:rPr>
                <w:color w:val="auto"/>
                <w:szCs w:val="21"/>
                <w:highlight w:val="none"/>
              </w:rPr>
            </w:pPr>
            <w:r>
              <w:rPr>
                <w:color w:val="auto"/>
                <w:szCs w:val="21"/>
                <w:highlight w:val="none"/>
              </w:rPr>
              <w:t>响水路口-海棠溪跨线桥</w:t>
            </w:r>
          </w:p>
        </w:tc>
        <w:tc>
          <w:tcPr>
            <w:tcW w:w="853" w:type="dxa"/>
            <w:shd w:val="clear" w:color="auto" w:fill="FFFFFF"/>
            <w:vAlign w:val="center"/>
          </w:tcPr>
          <w:p w14:paraId="184BE89F">
            <w:pPr>
              <w:jc w:val="center"/>
              <w:rPr>
                <w:color w:val="auto"/>
                <w:szCs w:val="21"/>
                <w:highlight w:val="none"/>
              </w:rPr>
            </w:pPr>
            <w:r>
              <w:rPr>
                <w:color w:val="auto"/>
                <w:szCs w:val="21"/>
                <w:highlight w:val="none"/>
              </w:rPr>
              <w:t>2.40</w:t>
            </w:r>
          </w:p>
        </w:tc>
        <w:tc>
          <w:tcPr>
            <w:tcW w:w="846" w:type="dxa"/>
            <w:shd w:val="clear" w:color="auto" w:fill="FFFFFF"/>
            <w:vAlign w:val="center"/>
          </w:tcPr>
          <w:p w14:paraId="2C594E37">
            <w:pPr>
              <w:jc w:val="center"/>
              <w:rPr>
                <w:color w:val="auto"/>
                <w:szCs w:val="21"/>
                <w:highlight w:val="none"/>
              </w:rPr>
            </w:pPr>
            <w:r>
              <w:rPr>
                <w:color w:val="auto"/>
                <w:szCs w:val="21"/>
                <w:highlight w:val="none"/>
              </w:rPr>
              <w:t>4</w:t>
            </w:r>
          </w:p>
        </w:tc>
        <w:tc>
          <w:tcPr>
            <w:tcW w:w="810" w:type="dxa"/>
            <w:shd w:val="clear" w:color="auto" w:fill="FFFFFF"/>
            <w:vAlign w:val="center"/>
          </w:tcPr>
          <w:p w14:paraId="7547A89F">
            <w:pPr>
              <w:jc w:val="center"/>
              <w:rPr>
                <w:color w:val="auto"/>
                <w:szCs w:val="21"/>
                <w:highlight w:val="none"/>
              </w:rPr>
            </w:pPr>
            <w:r>
              <w:rPr>
                <w:color w:val="auto"/>
                <w:szCs w:val="21"/>
                <w:highlight w:val="none"/>
              </w:rPr>
              <w:t>9.60</w:t>
            </w:r>
          </w:p>
        </w:tc>
        <w:tc>
          <w:tcPr>
            <w:tcW w:w="997" w:type="dxa"/>
            <w:shd w:val="clear" w:color="auto" w:fill="FFFFFF"/>
            <w:vAlign w:val="center"/>
          </w:tcPr>
          <w:p w14:paraId="59DA777F">
            <w:pPr>
              <w:jc w:val="center"/>
              <w:rPr>
                <w:color w:val="auto"/>
                <w:szCs w:val="21"/>
                <w:highlight w:val="none"/>
              </w:rPr>
            </w:pPr>
            <w:r>
              <w:rPr>
                <w:color w:val="auto"/>
                <w:szCs w:val="21"/>
                <w:highlight w:val="none"/>
              </w:rPr>
              <w:t>4340.00</w:t>
            </w:r>
          </w:p>
        </w:tc>
        <w:tc>
          <w:tcPr>
            <w:tcW w:w="1134" w:type="dxa"/>
            <w:shd w:val="clear" w:color="auto" w:fill="FFFFFF"/>
            <w:vAlign w:val="center"/>
          </w:tcPr>
          <w:p w14:paraId="0FDA26E2">
            <w:pPr>
              <w:jc w:val="center"/>
              <w:rPr>
                <w:color w:val="auto"/>
                <w:szCs w:val="21"/>
                <w:highlight w:val="none"/>
              </w:rPr>
            </w:pPr>
          </w:p>
        </w:tc>
        <w:tc>
          <w:tcPr>
            <w:tcW w:w="876" w:type="dxa"/>
            <w:shd w:val="clear" w:color="auto" w:fill="FFFFFF"/>
            <w:vAlign w:val="center"/>
          </w:tcPr>
          <w:p w14:paraId="1DD37D1D">
            <w:pPr>
              <w:jc w:val="center"/>
              <w:rPr>
                <w:color w:val="auto"/>
                <w:szCs w:val="21"/>
                <w:highlight w:val="none"/>
              </w:rPr>
            </w:pPr>
          </w:p>
        </w:tc>
        <w:tc>
          <w:tcPr>
            <w:tcW w:w="847" w:type="dxa"/>
            <w:vMerge w:val="continue"/>
            <w:shd w:val="clear" w:color="auto" w:fill="auto"/>
            <w:vAlign w:val="center"/>
          </w:tcPr>
          <w:p w14:paraId="3AC5281C">
            <w:pPr>
              <w:jc w:val="center"/>
              <w:rPr>
                <w:color w:val="auto"/>
                <w:szCs w:val="21"/>
                <w:highlight w:val="none"/>
              </w:rPr>
            </w:pPr>
          </w:p>
        </w:tc>
      </w:tr>
      <w:tr w14:paraId="705D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13" w:type="dxa"/>
            <w:shd w:val="clear" w:color="auto" w:fill="auto"/>
            <w:vAlign w:val="center"/>
          </w:tcPr>
          <w:p w14:paraId="1F302338">
            <w:pPr>
              <w:jc w:val="center"/>
              <w:rPr>
                <w:color w:val="auto"/>
                <w:szCs w:val="21"/>
                <w:highlight w:val="none"/>
              </w:rPr>
            </w:pPr>
            <w:r>
              <w:rPr>
                <w:color w:val="auto"/>
                <w:szCs w:val="21"/>
                <w:highlight w:val="none"/>
              </w:rPr>
              <w:t>32</w:t>
            </w:r>
          </w:p>
        </w:tc>
        <w:tc>
          <w:tcPr>
            <w:tcW w:w="885" w:type="dxa"/>
            <w:shd w:val="clear" w:color="auto" w:fill="FFFFFF"/>
            <w:vAlign w:val="center"/>
          </w:tcPr>
          <w:p w14:paraId="1CE27F6C">
            <w:pPr>
              <w:jc w:val="center"/>
              <w:rPr>
                <w:color w:val="auto"/>
                <w:szCs w:val="21"/>
                <w:highlight w:val="none"/>
              </w:rPr>
            </w:pPr>
            <w:r>
              <w:rPr>
                <w:color w:val="auto"/>
                <w:szCs w:val="21"/>
                <w:highlight w:val="none"/>
              </w:rPr>
              <w:t>福红路</w:t>
            </w:r>
          </w:p>
        </w:tc>
        <w:tc>
          <w:tcPr>
            <w:tcW w:w="1867" w:type="dxa"/>
            <w:shd w:val="clear" w:color="auto" w:fill="FFFFFF"/>
            <w:vAlign w:val="center"/>
          </w:tcPr>
          <w:p w14:paraId="67D6C5FE">
            <w:pPr>
              <w:jc w:val="center"/>
              <w:rPr>
                <w:color w:val="auto"/>
                <w:szCs w:val="21"/>
                <w:highlight w:val="none"/>
              </w:rPr>
            </w:pPr>
            <w:r>
              <w:rPr>
                <w:color w:val="auto"/>
                <w:szCs w:val="21"/>
                <w:highlight w:val="none"/>
              </w:rPr>
              <w:t>南坪东路-宏声路</w:t>
            </w:r>
          </w:p>
        </w:tc>
        <w:tc>
          <w:tcPr>
            <w:tcW w:w="853" w:type="dxa"/>
            <w:shd w:val="clear" w:color="auto" w:fill="FFFFFF"/>
            <w:vAlign w:val="center"/>
          </w:tcPr>
          <w:p w14:paraId="058D69BE">
            <w:pPr>
              <w:jc w:val="center"/>
              <w:rPr>
                <w:color w:val="auto"/>
                <w:szCs w:val="21"/>
                <w:highlight w:val="none"/>
              </w:rPr>
            </w:pPr>
            <w:r>
              <w:rPr>
                <w:color w:val="auto"/>
                <w:szCs w:val="21"/>
                <w:highlight w:val="none"/>
              </w:rPr>
              <w:t>0.83</w:t>
            </w:r>
          </w:p>
        </w:tc>
        <w:tc>
          <w:tcPr>
            <w:tcW w:w="846" w:type="dxa"/>
            <w:shd w:val="clear" w:color="auto" w:fill="FFFFFF"/>
            <w:vAlign w:val="center"/>
          </w:tcPr>
          <w:p w14:paraId="672FC51A">
            <w:pPr>
              <w:jc w:val="center"/>
              <w:rPr>
                <w:color w:val="auto"/>
                <w:szCs w:val="21"/>
                <w:highlight w:val="none"/>
              </w:rPr>
            </w:pPr>
            <w:r>
              <w:rPr>
                <w:color w:val="auto"/>
                <w:szCs w:val="21"/>
                <w:highlight w:val="none"/>
              </w:rPr>
              <w:t>4</w:t>
            </w:r>
          </w:p>
        </w:tc>
        <w:tc>
          <w:tcPr>
            <w:tcW w:w="810" w:type="dxa"/>
            <w:shd w:val="clear" w:color="auto" w:fill="FFFFFF"/>
            <w:vAlign w:val="center"/>
          </w:tcPr>
          <w:p w14:paraId="7159A55F">
            <w:pPr>
              <w:jc w:val="center"/>
              <w:rPr>
                <w:color w:val="auto"/>
                <w:szCs w:val="21"/>
                <w:highlight w:val="none"/>
              </w:rPr>
            </w:pPr>
            <w:r>
              <w:rPr>
                <w:color w:val="auto"/>
                <w:szCs w:val="21"/>
                <w:highlight w:val="none"/>
              </w:rPr>
              <w:t>3.32</w:t>
            </w:r>
          </w:p>
        </w:tc>
        <w:tc>
          <w:tcPr>
            <w:tcW w:w="997" w:type="dxa"/>
            <w:shd w:val="clear" w:color="auto" w:fill="FFFFFF"/>
            <w:vAlign w:val="center"/>
          </w:tcPr>
          <w:p w14:paraId="54728CC3">
            <w:pPr>
              <w:jc w:val="center"/>
              <w:rPr>
                <w:color w:val="auto"/>
                <w:szCs w:val="21"/>
                <w:highlight w:val="none"/>
              </w:rPr>
            </w:pPr>
            <w:r>
              <w:rPr>
                <w:color w:val="auto"/>
                <w:szCs w:val="21"/>
                <w:highlight w:val="none"/>
              </w:rPr>
              <w:t>4340.00</w:t>
            </w:r>
          </w:p>
        </w:tc>
        <w:tc>
          <w:tcPr>
            <w:tcW w:w="1134" w:type="dxa"/>
            <w:shd w:val="clear" w:color="auto" w:fill="FFFFFF"/>
            <w:vAlign w:val="center"/>
          </w:tcPr>
          <w:p w14:paraId="241186B4">
            <w:pPr>
              <w:jc w:val="center"/>
              <w:rPr>
                <w:color w:val="auto"/>
                <w:szCs w:val="21"/>
                <w:highlight w:val="none"/>
              </w:rPr>
            </w:pPr>
          </w:p>
        </w:tc>
        <w:tc>
          <w:tcPr>
            <w:tcW w:w="876" w:type="dxa"/>
            <w:shd w:val="clear" w:color="auto" w:fill="FFFFFF"/>
            <w:vAlign w:val="center"/>
          </w:tcPr>
          <w:p w14:paraId="4C8571E6">
            <w:pPr>
              <w:jc w:val="center"/>
              <w:rPr>
                <w:color w:val="auto"/>
                <w:szCs w:val="21"/>
                <w:highlight w:val="none"/>
              </w:rPr>
            </w:pPr>
          </w:p>
        </w:tc>
        <w:tc>
          <w:tcPr>
            <w:tcW w:w="847" w:type="dxa"/>
            <w:vMerge w:val="continue"/>
            <w:shd w:val="clear" w:color="auto" w:fill="auto"/>
            <w:vAlign w:val="center"/>
          </w:tcPr>
          <w:p w14:paraId="1FAE0437">
            <w:pPr>
              <w:jc w:val="center"/>
              <w:rPr>
                <w:color w:val="auto"/>
                <w:szCs w:val="21"/>
                <w:highlight w:val="none"/>
              </w:rPr>
            </w:pPr>
          </w:p>
        </w:tc>
      </w:tr>
      <w:tr w14:paraId="2803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 w:type="dxa"/>
            <w:shd w:val="clear" w:color="auto" w:fill="auto"/>
            <w:vAlign w:val="center"/>
          </w:tcPr>
          <w:p w14:paraId="6FA3B846">
            <w:pPr>
              <w:jc w:val="center"/>
              <w:rPr>
                <w:color w:val="auto"/>
                <w:szCs w:val="21"/>
                <w:highlight w:val="none"/>
              </w:rPr>
            </w:pPr>
            <w:r>
              <w:rPr>
                <w:color w:val="auto"/>
                <w:szCs w:val="21"/>
                <w:highlight w:val="none"/>
              </w:rPr>
              <w:t>33</w:t>
            </w:r>
          </w:p>
        </w:tc>
        <w:tc>
          <w:tcPr>
            <w:tcW w:w="885" w:type="dxa"/>
            <w:shd w:val="clear" w:color="auto" w:fill="FFFFFF"/>
            <w:vAlign w:val="center"/>
          </w:tcPr>
          <w:p w14:paraId="389F21C8">
            <w:pPr>
              <w:jc w:val="center"/>
              <w:rPr>
                <w:color w:val="auto"/>
                <w:szCs w:val="21"/>
                <w:highlight w:val="none"/>
              </w:rPr>
            </w:pPr>
            <w:r>
              <w:rPr>
                <w:color w:val="auto"/>
                <w:szCs w:val="21"/>
                <w:highlight w:val="none"/>
              </w:rPr>
              <w:t>辅仁路</w:t>
            </w:r>
          </w:p>
        </w:tc>
        <w:tc>
          <w:tcPr>
            <w:tcW w:w="1867" w:type="dxa"/>
            <w:shd w:val="clear" w:color="auto" w:fill="FFFFFF"/>
            <w:vAlign w:val="center"/>
          </w:tcPr>
          <w:p w14:paraId="499FE1DD">
            <w:pPr>
              <w:jc w:val="center"/>
              <w:rPr>
                <w:color w:val="auto"/>
                <w:szCs w:val="21"/>
                <w:highlight w:val="none"/>
              </w:rPr>
            </w:pPr>
            <w:r>
              <w:rPr>
                <w:color w:val="auto"/>
                <w:szCs w:val="21"/>
                <w:highlight w:val="none"/>
              </w:rPr>
              <w:t>南南路下穿道进口-海棠晓月路口、四海路口</w:t>
            </w:r>
          </w:p>
        </w:tc>
        <w:tc>
          <w:tcPr>
            <w:tcW w:w="853" w:type="dxa"/>
            <w:shd w:val="clear" w:color="auto" w:fill="FFFFFF"/>
            <w:vAlign w:val="center"/>
          </w:tcPr>
          <w:p w14:paraId="1FFA1CA3">
            <w:pPr>
              <w:jc w:val="center"/>
              <w:rPr>
                <w:color w:val="auto"/>
                <w:szCs w:val="21"/>
                <w:highlight w:val="none"/>
              </w:rPr>
            </w:pPr>
            <w:r>
              <w:rPr>
                <w:color w:val="auto"/>
                <w:szCs w:val="21"/>
                <w:highlight w:val="none"/>
              </w:rPr>
              <w:t>2.86</w:t>
            </w:r>
          </w:p>
        </w:tc>
        <w:tc>
          <w:tcPr>
            <w:tcW w:w="846" w:type="dxa"/>
            <w:shd w:val="clear" w:color="auto" w:fill="FFFFFF"/>
            <w:vAlign w:val="center"/>
          </w:tcPr>
          <w:p w14:paraId="15C6DE80">
            <w:pPr>
              <w:jc w:val="center"/>
              <w:rPr>
                <w:color w:val="auto"/>
                <w:szCs w:val="21"/>
                <w:highlight w:val="none"/>
              </w:rPr>
            </w:pPr>
            <w:r>
              <w:rPr>
                <w:color w:val="auto"/>
                <w:szCs w:val="21"/>
                <w:highlight w:val="none"/>
              </w:rPr>
              <w:t>4</w:t>
            </w:r>
          </w:p>
        </w:tc>
        <w:tc>
          <w:tcPr>
            <w:tcW w:w="810" w:type="dxa"/>
            <w:shd w:val="clear" w:color="auto" w:fill="FFFFFF"/>
            <w:vAlign w:val="center"/>
          </w:tcPr>
          <w:p w14:paraId="21906A64">
            <w:pPr>
              <w:jc w:val="center"/>
              <w:rPr>
                <w:color w:val="auto"/>
                <w:szCs w:val="21"/>
                <w:highlight w:val="none"/>
              </w:rPr>
            </w:pPr>
            <w:r>
              <w:rPr>
                <w:color w:val="auto"/>
                <w:szCs w:val="21"/>
                <w:highlight w:val="none"/>
              </w:rPr>
              <w:t>11.44</w:t>
            </w:r>
          </w:p>
        </w:tc>
        <w:tc>
          <w:tcPr>
            <w:tcW w:w="997" w:type="dxa"/>
            <w:shd w:val="clear" w:color="auto" w:fill="FFFFFF"/>
            <w:vAlign w:val="center"/>
          </w:tcPr>
          <w:p w14:paraId="5980A6E9">
            <w:pPr>
              <w:jc w:val="center"/>
              <w:rPr>
                <w:color w:val="auto"/>
                <w:szCs w:val="21"/>
                <w:highlight w:val="none"/>
              </w:rPr>
            </w:pPr>
            <w:r>
              <w:rPr>
                <w:color w:val="auto"/>
                <w:szCs w:val="21"/>
                <w:highlight w:val="none"/>
              </w:rPr>
              <w:t>4340.00</w:t>
            </w:r>
          </w:p>
        </w:tc>
        <w:tc>
          <w:tcPr>
            <w:tcW w:w="1134" w:type="dxa"/>
            <w:shd w:val="clear" w:color="auto" w:fill="FFFFFF"/>
            <w:vAlign w:val="center"/>
          </w:tcPr>
          <w:p w14:paraId="099A24DC">
            <w:pPr>
              <w:jc w:val="center"/>
              <w:rPr>
                <w:color w:val="auto"/>
                <w:szCs w:val="21"/>
                <w:highlight w:val="none"/>
              </w:rPr>
            </w:pPr>
          </w:p>
        </w:tc>
        <w:tc>
          <w:tcPr>
            <w:tcW w:w="876" w:type="dxa"/>
            <w:shd w:val="clear" w:color="auto" w:fill="FFFFFF"/>
            <w:vAlign w:val="center"/>
          </w:tcPr>
          <w:p w14:paraId="58033A09">
            <w:pPr>
              <w:jc w:val="center"/>
              <w:rPr>
                <w:color w:val="auto"/>
                <w:szCs w:val="21"/>
                <w:highlight w:val="none"/>
              </w:rPr>
            </w:pPr>
          </w:p>
        </w:tc>
        <w:tc>
          <w:tcPr>
            <w:tcW w:w="847" w:type="dxa"/>
            <w:vMerge w:val="continue"/>
            <w:shd w:val="clear" w:color="auto" w:fill="auto"/>
            <w:vAlign w:val="center"/>
          </w:tcPr>
          <w:p w14:paraId="10DCD8DB">
            <w:pPr>
              <w:jc w:val="center"/>
              <w:rPr>
                <w:color w:val="auto"/>
                <w:szCs w:val="21"/>
                <w:highlight w:val="none"/>
              </w:rPr>
            </w:pPr>
          </w:p>
        </w:tc>
      </w:tr>
      <w:tr w14:paraId="42A1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7FDF3F22">
            <w:pPr>
              <w:jc w:val="center"/>
              <w:rPr>
                <w:color w:val="auto"/>
                <w:szCs w:val="21"/>
                <w:highlight w:val="none"/>
              </w:rPr>
            </w:pPr>
            <w:r>
              <w:rPr>
                <w:color w:val="auto"/>
                <w:szCs w:val="21"/>
                <w:highlight w:val="none"/>
              </w:rPr>
              <w:t>34</w:t>
            </w:r>
          </w:p>
        </w:tc>
        <w:tc>
          <w:tcPr>
            <w:tcW w:w="885" w:type="dxa"/>
            <w:shd w:val="clear" w:color="auto" w:fill="FFFFFF"/>
            <w:vAlign w:val="center"/>
          </w:tcPr>
          <w:p w14:paraId="6C3AC1BF">
            <w:pPr>
              <w:jc w:val="center"/>
              <w:rPr>
                <w:color w:val="auto"/>
                <w:szCs w:val="21"/>
                <w:highlight w:val="none"/>
              </w:rPr>
            </w:pPr>
            <w:r>
              <w:rPr>
                <w:color w:val="auto"/>
                <w:szCs w:val="21"/>
                <w:highlight w:val="none"/>
              </w:rPr>
              <w:t>江南大道（北）</w:t>
            </w:r>
          </w:p>
        </w:tc>
        <w:tc>
          <w:tcPr>
            <w:tcW w:w="1867" w:type="dxa"/>
            <w:shd w:val="clear" w:color="auto" w:fill="FFFFFF"/>
            <w:vAlign w:val="center"/>
          </w:tcPr>
          <w:p w14:paraId="3A79F8C3">
            <w:pPr>
              <w:jc w:val="center"/>
              <w:rPr>
                <w:color w:val="auto"/>
                <w:szCs w:val="21"/>
                <w:highlight w:val="none"/>
              </w:rPr>
            </w:pPr>
            <w:r>
              <w:rPr>
                <w:color w:val="auto"/>
                <w:szCs w:val="21"/>
                <w:highlight w:val="none"/>
              </w:rPr>
              <w:t>南立交-工贸跨线桥</w:t>
            </w:r>
          </w:p>
        </w:tc>
        <w:tc>
          <w:tcPr>
            <w:tcW w:w="853" w:type="dxa"/>
            <w:shd w:val="clear" w:color="auto" w:fill="FFFFFF"/>
            <w:vAlign w:val="center"/>
          </w:tcPr>
          <w:p w14:paraId="62B09020">
            <w:pPr>
              <w:jc w:val="center"/>
              <w:rPr>
                <w:color w:val="auto"/>
                <w:szCs w:val="21"/>
                <w:highlight w:val="none"/>
              </w:rPr>
            </w:pPr>
            <w:r>
              <w:rPr>
                <w:color w:val="auto"/>
                <w:szCs w:val="21"/>
                <w:highlight w:val="none"/>
              </w:rPr>
              <w:t>0.94</w:t>
            </w:r>
          </w:p>
        </w:tc>
        <w:tc>
          <w:tcPr>
            <w:tcW w:w="846" w:type="dxa"/>
            <w:shd w:val="clear" w:color="auto" w:fill="FFFFFF"/>
            <w:vAlign w:val="center"/>
          </w:tcPr>
          <w:p w14:paraId="6624B307">
            <w:pPr>
              <w:jc w:val="center"/>
              <w:rPr>
                <w:color w:val="auto"/>
                <w:szCs w:val="21"/>
                <w:highlight w:val="none"/>
              </w:rPr>
            </w:pPr>
            <w:r>
              <w:rPr>
                <w:color w:val="auto"/>
                <w:szCs w:val="21"/>
                <w:highlight w:val="none"/>
              </w:rPr>
              <w:t>10</w:t>
            </w:r>
          </w:p>
        </w:tc>
        <w:tc>
          <w:tcPr>
            <w:tcW w:w="810" w:type="dxa"/>
            <w:shd w:val="clear" w:color="auto" w:fill="FFFFFF"/>
            <w:vAlign w:val="center"/>
          </w:tcPr>
          <w:p w14:paraId="46B378E9">
            <w:pPr>
              <w:jc w:val="center"/>
              <w:rPr>
                <w:color w:val="auto"/>
                <w:szCs w:val="21"/>
                <w:highlight w:val="none"/>
              </w:rPr>
            </w:pPr>
            <w:r>
              <w:rPr>
                <w:color w:val="auto"/>
                <w:szCs w:val="21"/>
                <w:highlight w:val="none"/>
              </w:rPr>
              <w:t>9.40</w:t>
            </w:r>
          </w:p>
        </w:tc>
        <w:tc>
          <w:tcPr>
            <w:tcW w:w="997" w:type="dxa"/>
            <w:shd w:val="clear" w:color="auto" w:fill="FFFFFF"/>
            <w:vAlign w:val="center"/>
          </w:tcPr>
          <w:p w14:paraId="32214397">
            <w:pPr>
              <w:jc w:val="center"/>
              <w:rPr>
                <w:color w:val="auto"/>
                <w:szCs w:val="21"/>
                <w:highlight w:val="none"/>
              </w:rPr>
            </w:pPr>
            <w:r>
              <w:rPr>
                <w:color w:val="auto"/>
                <w:szCs w:val="21"/>
                <w:highlight w:val="none"/>
              </w:rPr>
              <w:t>4340.00</w:t>
            </w:r>
          </w:p>
        </w:tc>
        <w:tc>
          <w:tcPr>
            <w:tcW w:w="1134" w:type="dxa"/>
            <w:shd w:val="clear" w:color="auto" w:fill="FFFFFF"/>
            <w:vAlign w:val="center"/>
          </w:tcPr>
          <w:p w14:paraId="6D1FBEF5">
            <w:pPr>
              <w:jc w:val="center"/>
              <w:rPr>
                <w:color w:val="auto"/>
                <w:szCs w:val="21"/>
                <w:highlight w:val="none"/>
              </w:rPr>
            </w:pPr>
          </w:p>
        </w:tc>
        <w:tc>
          <w:tcPr>
            <w:tcW w:w="876" w:type="dxa"/>
            <w:shd w:val="clear" w:color="auto" w:fill="FFFFFF"/>
            <w:vAlign w:val="center"/>
          </w:tcPr>
          <w:p w14:paraId="2FF84C36">
            <w:pPr>
              <w:jc w:val="center"/>
              <w:rPr>
                <w:color w:val="auto"/>
                <w:szCs w:val="21"/>
                <w:highlight w:val="none"/>
              </w:rPr>
            </w:pPr>
          </w:p>
        </w:tc>
        <w:tc>
          <w:tcPr>
            <w:tcW w:w="847" w:type="dxa"/>
            <w:vMerge w:val="continue"/>
            <w:shd w:val="clear" w:color="auto" w:fill="auto"/>
            <w:vAlign w:val="center"/>
          </w:tcPr>
          <w:p w14:paraId="436ADEA4">
            <w:pPr>
              <w:jc w:val="center"/>
              <w:rPr>
                <w:color w:val="auto"/>
                <w:szCs w:val="21"/>
                <w:highlight w:val="none"/>
              </w:rPr>
            </w:pPr>
          </w:p>
        </w:tc>
      </w:tr>
      <w:tr w14:paraId="7071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B735F41">
            <w:pPr>
              <w:jc w:val="center"/>
              <w:rPr>
                <w:color w:val="auto"/>
                <w:szCs w:val="21"/>
                <w:highlight w:val="none"/>
              </w:rPr>
            </w:pPr>
            <w:r>
              <w:rPr>
                <w:color w:val="auto"/>
                <w:szCs w:val="21"/>
                <w:highlight w:val="none"/>
              </w:rPr>
              <w:t>35</w:t>
            </w:r>
          </w:p>
        </w:tc>
        <w:tc>
          <w:tcPr>
            <w:tcW w:w="885" w:type="dxa"/>
            <w:shd w:val="clear" w:color="auto" w:fill="FFFFFF"/>
            <w:vAlign w:val="center"/>
          </w:tcPr>
          <w:p w14:paraId="11D33F13">
            <w:pPr>
              <w:jc w:val="center"/>
              <w:rPr>
                <w:color w:val="auto"/>
                <w:szCs w:val="21"/>
                <w:highlight w:val="none"/>
              </w:rPr>
            </w:pPr>
            <w:r>
              <w:rPr>
                <w:color w:val="auto"/>
                <w:szCs w:val="21"/>
                <w:highlight w:val="none"/>
              </w:rPr>
              <w:t>江南大道（南）</w:t>
            </w:r>
          </w:p>
        </w:tc>
        <w:tc>
          <w:tcPr>
            <w:tcW w:w="1867" w:type="dxa"/>
            <w:shd w:val="clear" w:color="auto" w:fill="FFFFFF"/>
            <w:vAlign w:val="center"/>
          </w:tcPr>
          <w:p w14:paraId="0F52D528">
            <w:pPr>
              <w:jc w:val="center"/>
              <w:rPr>
                <w:color w:val="auto"/>
                <w:szCs w:val="21"/>
                <w:highlight w:val="none"/>
              </w:rPr>
            </w:pPr>
            <w:r>
              <w:rPr>
                <w:color w:val="auto"/>
                <w:szCs w:val="21"/>
                <w:highlight w:val="none"/>
              </w:rPr>
              <w:t>响水路口-四公里立交</w:t>
            </w:r>
          </w:p>
        </w:tc>
        <w:tc>
          <w:tcPr>
            <w:tcW w:w="853" w:type="dxa"/>
            <w:shd w:val="clear" w:color="auto" w:fill="FFFFFF"/>
            <w:vAlign w:val="center"/>
          </w:tcPr>
          <w:p w14:paraId="392F19C8">
            <w:pPr>
              <w:jc w:val="center"/>
              <w:rPr>
                <w:color w:val="auto"/>
                <w:szCs w:val="21"/>
                <w:highlight w:val="none"/>
              </w:rPr>
            </w:pPr>
            <w:r>
              <w:rPr>
                <w:color w:val="auto"/>
                <w:szCs w:val="21"/>
                <w:highlight w:val="none"/>
              </w:rPr>
              <w:t>0.90</w:t>
            </w:r>
          </w:p>
        </w:tc>
        <w:tc>
          <w:tcPr>
            <w:tcW w:w="846" w:type="dxa"/>
            <w:shd w:val="clear" w:color="auto" w:fill="FFFFFF"/>
            <w:vAlign w:val="center"/>
          </w:tcPr>
          <w:p w14:paraId="2CE97073">
            <w:pPr>
              <w:jc w:val="center"/>
              <w:rPr>
                <w:color w:val="auto"/>
                <w:szCs w:val="21"/>
                <w:highlight w:val="none"/>
              </w:rPr>
            </w:pPr>
            <w:r>
              <w:rPr>
                <w:color w:val="auto"/>
                <w:szCs w:val="21"/>
                <w:highlight w:val="none"/>
              </w:rPr>
              <w:t>6</w:t>
            </w:r>
          </w:p>
        </w:tc>
        <w:tc>
          <w:tcPr>
            <w:tcW w:w="810" w:type="dxa"/>
            <w:shd w:val="clear" w:color="auto" w:fill="FFFFFF"/>
            <w:vAlign w:val="center"/>
          </w:tcPr>
          <w:p w14:paraId="221B050F">
            <w:pPr>
              <w:jc w:val="center"/>
              <w:rPr>
                <w:color w:val="auto"/>
                <w:szCs w:val="21"/>
                <w:highlight w:val="none"/>
              </w:rPr>
            </w:pPr>
            <w:r>
              <w:rPr>
                <w:color w:val="auto"/>
                <w:szCs w:val="21"/>
                <w:highlight w:val="none"/>
              </w:rPr>
              <w:t>5.40</w:t>
            </w:r>
          </w:p>
        </w:tc>
        <w:tc>
          <w:tcPr>
            <w:tcW w:w="997" w:type="dxa"/>
            <w:shd w:val="clear" w:color="auto" w:fill="FFFFFF"/>
            <w:vAlign w:val="center"/>
          </w:tcPr>
          <w:p w14:paraId="36DBE2CB">
            <w:pPr>
              <w:jc w:val="center"/>
              <w:rPr>
                <w:color w:val="auto"/>
                <w:szCs w:val="21"/>
                <w:highlight w:val="none"/>
              </w:rPr>
            </w:pPr>
            <w:r>
              <w:rPr>
                <w:color w:val="auto"/>
                <w:szCs w:val="21"/>
                <w:highlight w:val="none"/>
              </w:rPr>
              <w:t>4340.00</w:t>
            </w:r>
          </w:p>
        </w:tc>
        <w:tc>
          <w:tcPr>
            <w:tcW w:w="1134" w:type="dxa"/>
            <w:shd w:val="clear" w:color="auto" w:fill="FFFFFF"/>
            <w:vAlign w:val="center"/>
          </w:tcPr>
          <w:p w14:paraId="505636F4">
            <w:pPr>
              <w:jc w:val="center"/>
              <w:rPr>
                <w:color w:val="auto"/>
                <w:szCs w:val="21"/>
                <w:highlight w:val="none"/>
              </w:rPr>
            </w:pPr>
          </w:p>
        </w:tc>
        <w:tc>
          <w:tcPr>
            <w:tcW w:w="876" w:type="dxa"/>
            <w:shd w:val="clear" w:color="auto" w:fill="FFFFFF"/>
            <w:vAlign w:val="center"/>
          </w:tcPr>
          <w:p w14:paraId="0B00C377">
            <w:pPr>
              <w:jc w:val="center"/>
              <w:rPr>
                <w:color w:val="auto"/>
                <w:szCs w:val="21"/>
                <w:highlight w:val="none"/>
              </w:rPr>
            </w:pPr>
          </w:p>
        </w:tc>
        <w:tc>
          <w:tcPr>
            <w:tcW w:w="847" w:type="dxa"/>
            <w:vMerge w:val="continue"/>
            <w:shd w:val="clear" w:color="auto" w:fill="auto"/>
            <w:vAlign w:val="center"/>
          </w:tcPr>
          <w:p w14:paraId="2E46D2AD">
            <w:pPr>
              <w:jc w:val="center"/>
              <w:rPr>
                <w:color w:val="auto"/>
                <w:szCs w:val="21"/>
                <w:highlight w:val="none"/>
              </w:rPr>
            </w:pPr>
          </w:p>
        </w:tc>
      </w:tr>
      <w:tr w14:paraId="7729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3" w:type="dxa"/>
            <w:shd w:val="clear" w:color="auto" w:fill="auto"/>
            <w:vAlign w:val="center"/>
          </w:tcPr>
          <w:p w14:paraId="3624CC05">
            <w:pPr>
              <w:jc w:val="center"/>
              <w:rPr>
                <w:color w:val="auto"/>
                <w:szCs w:val="21"/>
                <w:highlight w:val="none"/>
              </w:rPr>
            </w:pPr>
            <w:r>
              <w:rPr>
                <w:color w:val="auto"/>
                <w:szCs w:val="21"/>
                <w:highlight w:val="none"/>
              </w:rPr>
              <w:t>36</w:t>
            </w:r>
          </w:p>
        </w:tc>
        <w:tc>
          <w:tcPr>
            <w:tcW w:w="885" w:type="dxa"/>
            <w:shd w:val="clear" w:color="auto" w:fill="FFFFFF"/>
            <w:vAlign w:val="center"/>
          </w:tcPr>
          <w:p w14:paraId="3E4492F3">
            <w:pPr>
              <w:jc w:val="center"/>
              <w:rPr>
                <w:color w:val="auto"/>
                <w:szCs w:val="21"/>
                <w:highlight w:val="none"/>
              </w:rPr>
            </w:pPr>
            <w:r>
              <w:rPr>
                <w:color w:val="auto"/>
                <w:szCs w:val="21"/>
                <w:highlight w:val="none"/>
              </w:rPr>
              <w:t>宏声路</w:t>
            </w:r>
          </w:p>
        </w:tc>
        <w:tc>
          <w:tcPr>
            <w:tcW w:w="1867" w:type="dxa"/>
            <w:shd w:val="clear" w:color="auto" w:fill="FFFFFF"/>
            <w:vAlign w:val="center"/>
          </w:tcPr>
          <w:p w14:paraId="73164CA2">
            <w:pPr>
              <w:jc w:val="center"/>
              <w:rPr>
                <w:color w:val="auto"/>
                <w:szCs w:val="21"/>
                <w:highlight w:val="none"/>
              </w:rPr>
            </w:pPr>
            <w:r>
              <w:rPr>
                <w:color w:val="auto"/>
                <w:szCs w:val="21"/>
                <w:highlight w:val="none"/>
              </w:rPr>
              <w:t>南坪东路-南滨路</w:t>
            </w:r>
          </w:p>
        </w:tc>
        <w:tc>
          <w:tcPr>
            <w:tcW w:w="853" w:type="dxa"/>
            <w:shd w:val="clear" w:color="auto" w:fill="FFFFFF"/>
            <w:vAlign w:val="center"/>
          </w:tcPr>
          <w:p w14:paraId="1E42A436">
            <w:pPr>
              <w:jc w:val="center"/>
              <w:rPr>
                <w:color w:val="auto"/>
                <w:szCs w:val="21"/>
                <w:highlight w:val="none"/>
              </w:rPr>
            </w:pPr>
            <w:r>
              <w:rPr>
                <w:color w:val="auto"/>
                <w:szCs w:val="21"/>
                <w:highlight w:val="none"/>
              </w:rPr>
              <w:t>1.50</w:t>
            </w:r>
          </w:p>
        </w:tc>
        <w:tc>
          <w:tcPr>
            <w:tcW w:w="846" w:type="dxa"/>
            <w:shd w:val="clear" w:color="auto" w:fill="FFFFFF"/>
            <w:vAlign w:val="center"/>
          </w:tcPr>
          <w:p w14:paraId="6DFEF137">
            <w:pPr>
              <w:jc w:val="center"/>
              <w:rPr>
                <w:color w:val="auto"/>
                <w:szCs w:val="21"/>
                <w:highlight w:val="none"/>
              </w:rPr>
            </w:pPr>
            <w:r>
              <w:rPr>
                <w:color w:val="auto"/>
                <w:szCs w:val="21"/>
                <w:highlight w:val="none"/>
              </w:rPr>
              <w:t>4</w:t>
            </w:r>
          </w:p>
        </w:tc>
        <w:tc>
          <w:tcPr>
            <w:tcW w:w="810" w:type="dxa"/>
            <w:shd w:val="clear" w:color="auto" w:fill="FFFFFF"/>
            <w:vAlign w:val="center"/>
          </w:tcPr>
          <w:p w14:paraId="71E90260">
            <w:pPr>
              <w:jc w:val="center"/>
              <w:rPr>
                <w:color w:val="auto"/>
                <w:szCs w:val="21"/>
                <w:highlight w:val="none"/>
              </w:rPr>
            </w:pPr>
            <w:r>
              <w:rPr>
                <w:color w:val="auto"/>
                <w:szCs w:val="21"/>
                <w:highlight w:val="none"/>
              </w:rPr>
              <w:t>6.00</w:t>
            </w:r>
          </w:p>
        </w:tc>
        <w:tc>
          <w:tcPr>
            <w:tcW w:w="997" w:type="dxa"/>
            <w:shd w:val="clear" w:color="auto" w:fill="FFFFFF"/>
            <w:vAlign w:val="center"/>
          </w:tcPr>
          <w:p w14:paraId="29873E62">
            <w:pPr>
              <w:jc w:val="center"/>
              <w:rPr>
                <w:color w:val="auto"/>
                <w:szCs w:val="21"/>
                <w:highlight w:val="none"/>
              </w:rPr>
            </w:pPr>
            <w:r>
              <w:rPr>
                <w:color w:val="auto"/>
                <w:szCs w:val="21"/>
                <w:highlight w:val="none"/>
              </w:rPr>
              <w:t>4340.00</w:t>
            </w:r>
          </w:p>
        </w:tc>
        <w:tc>
          <w:tcPr>
            <w:tcW w:w="1134" w:type="dxa"/>
            <w:shd w:val="clear" w:color="auto" w:fill="FFFFFF"/>
            <w:vAlign w:val="center"/>
          </w:tcPr>
          <w:p w14:paraId="270D67AA">
            <w:pPr>
              <w:jc w:val="center"/>
              <w:rPr>
                <w:color w:val="auto"/>
                <w:szCs w:val="21"/>
                <w:highlight w:val="none"/>
              </w:rPr>
            </w:pPr>
          </w:p>
        </w:tc>
        <w:tc>
          <w:tcPr>
            <w:tcW w:w="876" w:type="dxa"/>
            <w:shd w:val="clear" w:color="auto" w:fill="FFFFFF"/>
            <w:vAlign w:val="center"/>
          </w:tcPr>
          <w:p w14:paraId="5142FCE7">
            <w:pPr>
              <w:jc w:val="center"/>
              <w:rPr>
                <w:color w:val="auto"/>
                <w:szCs w:val="21"/>
                <w:highlight w:val="none"/>
              </w:rPr>
            </w:pPr>
          </w:p>
        </w:tc>
        <w:tc>
          <w:tcPr>
            <w:tcW w:w="847" w:type="dxa"/>
            <w:vMerge w:val="continue"/>
            <w:shd w:val="clear" w:color="auto" w:fill="auto"/>
            <w:vAlign w:val="center"/>
          </w:tcPr>
          <w:p w14:paraId="248BC36D">
            <w:pPr>
              <w:jc w:val="center"/>
              <w:rPr>
                <w:color w:val="auto"/>
                <w:szCs w:val="21"/>
                <w:highlight w:val="none"/>
              </w:rPr>
            </w:pPr>
          </w:p>
        </w:tc>
      </w:tr>
      <w:tr w14:paraId="071C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6D336B5D">
            <w:pPr>
              <w:jc w:val="center"/>
              <w:rPr>
                <w:color w:val="auto"/>
                <w:szCs w:val="21"/>
                <w:highlight w:val="none"/>
              </w:rPr>
            </w:pPr>
            <w:r>
              <w:rPr>
                <w:color w:val="auto"/>
                <w:szCs w:val="21"/>
                <w:highlight w:val="none"/>
              </w:rPr>
              <w:t>37</w:t>
            </w:r>
          </w:p>
        </w:tc>
        <w:tc>
          <w:tcPr>
            <w:tcW w:w="885" w:type="dxa"/>
            <w:shd w:val="clear" w:color="auto" w:fill="FFFFFF"/>
            <w:vAlign w:val="center"/>
          </w:tcPr>
          <w:p w14:paraId="4D0059A4">
            <w:pPr>
              <w:jc w:val="center"/>
              <w:rPr>
                <w:color w:val="auto"/>
                <w:szCs w:val="21"/>
                <w:highlight w:val="none"/>
              </w:rPr>
            </w:pPr>
            <w:r>
              <w:rPr>
                <w:color w:val="auto"/>
                <w:szCs w:val="21"/>
                <w:highlight w:val="none"/>
              </w:rPr>
              <w:t>响水路</w:t>
            </w:r>
          </w:p>
        </w:tc>
        <w:tc>
          <w:tcPr>
            <w:tcW w:w="1867" w:type="dxa"/>
            <w:shd w:val="clear" w:color="auto" w:fill="FFFFFF"/>
            <w:vAlign w:val="center"/>
          </w:tcPr>
          <w:p w14:paraId="608EFC7F">
            <w:pPr>
              <w:jc w:val="center"/>
              <w:rPr>
                <w:color w:val="auto"/>
                <w:szCs w:val="21"/>
                <w:highlight w:val="none"/>
              </w:rPr>
            </w:pPr>
            <w:r>
              <w:rPr>
                <w:color w:val="auto"/>
                <w:szCs w:val="21"/>
                <w:highlight w:val="none"/>
              </w:rPr>
              <w:t>南城大道-南坪东路</w:t>
            </w:r>
          </w:p>
        </w:tc>
        <w:tc>
          <w:tcPr>
            <w:tcW w:w="853" w:type="dxa"/>
            <w:shd w:val="clear" w:color="auto" w:fill="FFFFFF"/>
            <w:vAlign w:val="center"/>
          </w:tcPr>
          <w:p w14:paraId="2D55A153">
            <w:pPr>
              <w:jc w:val="center"/>
              <w:rPr>
                <w:color w:val="auto"/>
                <w:szCs w:val="21"/>
                <w:highlight w:val="none"/>
              </w:rPr>
            </w:pPr>
            <w:r>
              <w:rPr>
                <w:color w:val="auto"/>
                <w:szCs w:val="21"/>
                <w:highlight w:val="none"/>
              </w:rPr>
              <w:t>0.56</w:t>
            </w:r>
          </w:p>
        </w:tc>
        <w:tc>
          <w:tcPr>
            <w:tcW w:w="846" w:type="dxa"/>
            <w:shd w:val="clear" w:color="auto" w:fill="FFFFFF"/>
            <w:vAlign w:val="center"/>
          </w:tcPr>
          <w:p w14:paraId="3131093A">
            <w:pPr>
              <w:jc w:val="center"/>
              <w:rPr>
                <w:color w:val="auto"/>
                <w:szCs w:val="21"/>
                <w:highlight w:val="none"/>
              </w:rPr>
            </w:pPr>
            <w:r>
              <w:rPr>
                <w:color w:val="auto"/>
                <w:szCs w:val="21"/>
                <w:highlight w:val="none"/>
              </w:rPr>
              <w:t>4</w:t>
            </w:r>
          </w:p>
        </w:tc>
        <w:tc>
          <w:tcPr>
            <w:tcW w:w="810" w:type="dxa"/>
            <w:shd w:val="clear" w:color="auto" w:fill="FFFFFF"/>
            <w:vAlign w:val="center"/>
          </w:tcPr>
          <w:p w14:paraId="71A670F7">
            <w:pPr>
              <w:jc w:val="center"/>
              <w:rPr>
                <w:color w:val="auto"/>
                <w:szCs w:val="21"/>
                <w:highlight w:val="none"/>
              </w:rPr>
            </w:pPr>
            <w:r>
              <w:rPr>
                <w:color w:val="auto"/>
                <w:szCs w:val="21"/>
                <w:highlight w:val="none"/>
              </w:rPr>
              <w:t>2.24</w:t>
            </w:r>
          </w:p>
        </w:tc>
        <w:tc>
          <w:tcPr>
            <w:tcW w:w="997" w:type="dxa"/>
            <w:shd w:val="clear" w:color="auto" w:fill="FFFFFF"/>
            <w:vAlign w:val="center"/>
          </w:tcPr>
          <w:p w14:paraId="4D07EDD7">
            <w:pPr>
              <w:jc w:val="center"/>
              <w:rPr>
                <w:color w:val="auto"/>
                <w:szCs w:val="21"/>
                <w:highlight w:val="none"/>
              </w:rPr>
            </w:pPr>
            <w:r>
              <w:rPr>
                <w:color w:val="auto"/>
                <w:szCs w:val="21"/>
                <w:highlight w:val="none"/>
              </w:rPr>
              <w:t>4340.00</w:t>
            </w:r>
          </w:p>
        </w:tc>
        <w:tc>
          <w:tcPr>
            <w:tcW w:w="1134" w:type="dxa"/>
            <w:shd w:val="clear" w:color="auto" w:fill="FFFFFF"/>
            <w:vAlign w:val="center"/>
          </w:tcPr>
          <w:p w14:paraId="24A1A8F3">
            <w:pPr>
              <w:jc w:val="center"/>
              <w:rPr>
                <w:color w:val="auto"/>
                <w:szCs w:val="21"/>
                <w:highlight w:val="none"/>
              </w:rPr>
            </w:pPr>
          </w:p>
        </w:tc>
        <w:tc>
          <w:tcPr>
            <w:tcW w:w="876" w:type="dxa"/>
            <w:shd w:val="clear" w:color="auto" w:fill="FFFFFF"/>
            <w:vAlign w:val="center"/>
          </w:tcPr>
          <w:p w14:paraId="0CD124D9">
            <w:pPr>
              <w:jc w:val="center"/>
              <w:rPr>
                <w:color w:val="auto"/>
                <w:szCs w:val="21"/>
                <w:highlight w:val="none"/>
              </w:rPr>
            </w:pPr>
          </w:p>
        </w:tc>
        <w:tc>
          <w:tcPr>
            <w:tcW w:w="847" w:type="dxa"/>
            <w:vMerge w:val="continue"/>
            <w:shd w:val="clear" w:color="auto" w:fill="auto"/>
            <w:vAlign w:val="center"/>
          </w:tcPr>
          <w:p w14:paraId="6D5279FA">
            <w:pPr>
              <w:jc w:val="center"/>
              <w:rPr>
                <w:color w:val="auto"/>
                <w:szCs w:val="21"/>
                <w:highlight w:val="none"/>
              </w:rPr>
            </w:pPr>
          </w:p>
        </w:tc>
      </w:tr>
      <w:tr w14:paraId="37F6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13" w:type="dxa"/>
            <w:shd w:val="clear" w:color="auto" w:fill="auto"/>
            <w:vAlign w:val="center"/>
          </w:tcPr>
          <w:p w14:paraId="40736CD8">
            <w:pPr>
              <w:jc w:val="center"/>
              <w:rPr>
                <w:color w:val="auto"/>
                <w:szCs w:val="21"/>
                <w:highlight w:val="none"/>
              </w:rPr>
            </w:pPr>
            <w:r>
              <w:rPr>
                <w:color w:val="auto"/>
                <w:szCs w:val="21"/>
                <w:highlight w:val="none"/>
              </w:rPr>
              <w:t>38</w:t>
            </w:r>
          </w:p>
        </w:tc>
        <w:tc>
          <w:tcPr>
            <w:tcW w:w="885" w:type="dxa"/>
            <w:shd w:val="clear" w:color="auto" w:fill="FFFFFF"/>
            <w:vAlign w:val="center"/>
          </w:tcPr>
          <w:p w14:paraId="155B16F8">
            <w:pPr>
              <w:jc w:val="center"/>
              <w:rPr>
                <w:color w:val="auto"/>
                <w:szCs w:val="21"/>
                <w:highlight w:val="none"/>
              </w:rPr>
            </w:pPr>
            <w:r>
              <w:rPr>
                <w:color w:val="auto"/>
                <w:szCs w:val="21"/>
                <w:highlight w:val="none"/>
              </w:rPr>
              <w:t>晓月路</w:t>
            </w:r>
          </w:p>
        </w:tc>
        <w:tc>
          <w:tcPr>
            <w:tcW w:w="1867" w:type="dxa"/>
            <w:shd w:val="clear" w:color="auto" w:fill="FFFFFF"/>
            <w:vAlign w:val="center"/>
          </w:tcPr>
          <w:p w14:paraId="259ECD18">
            <w:pPr>
              <w:jc w:val="center"/>
              <w:rPr>
                <w:color w:val="auto"/>
                <w:szCs w:val="21"/>
                <w:highlight w:val="none"/>
              </w:rPr>
            </w:pPr>
            <w:r>
              <w:rPr>
                <w:color w:val="auto"/>
                <w:szCs w:val="21"/>
                <w:highlight w:val="none"/>
              </w:rPr>
              <w:t>南坪东路-南滨路</w:t>
            </w:r>
          </w:p>
        </w:tc>
        <w:tc>
          <w:tcPr>
            <w:tcW w:w="853" w:type="dxa"/>
            <w:shd w:val="clear" w:color="auto" w:fill="FFFFFF"/>
            <w:vAlign w:val="center"/>
          </w:tcPr>
          <w:p w14:paraId="51F9AB08">
            <w:pPr>
              <w:jc w:val="center"/>
              <w:rPr>
                <w:color w:val="auto"/>
                <w:szCs w:val="21"/>
                <w:highlight w:val="none"/>
              </w:rPr>
            </w:pPr>
            <w:r>
              <w:rPr>
                <w:color w:val="auto"/>
                <w:szCs w:val="21"/>
                <w:highlight w:val="none"/>
              </w:rPr>
              <w:t>0.54</w:t>
            </w:r>
          </w:p>
        </w:tc>
        <w:tc>
          <w:tcPr>
            <w:tcW w:w="846" w:type="dxa"/>
            <w:shd w:val="clear" w:color="auto" w:fill="FFFFFF"/>
            <w:vAlign w:val="center"/>
          </w:tcPr>
          <w:p w14:paraId="7CDFDBCA">
            <w:pPr>
              <w:jc w:val="center"/>
              <w:rPr>
                <w:color w:val="auto"/>
                <w:szCs w:val="21"/>
                <w:highlight w:val="none"/>
              </w:rPr>
            </w:pPr>
            <w:r>
              <w:rPr>
                <w:color w:val="auto"/>
                <w:szCs w:val="21"/>
                <w:highlight w:val="none"/>
              </w:rPr>
              <w:t>4</w:t>
            </w:r>
          </w:p>
        </w:tc>
        <w:tc>
          <w:tcPr>
            <w:tcW w:w="810" w:type="dxa"/>
            <w:shd w:val="clear" w:color="auto" w:fill="FFFFFF"/>
            <w:vAlign w:val="center"/>
          </w:tcPr>
          <w:p w14:paraId="7B09A9C9">
            <w:pPr>
              <w:jc w:val="center"/>
              <w:rPr>
                <w:color w:val="auto"/>
                <w:szCs w:val="21"/>
                <w:highlight w:val="none"/>
              </w:rPr>
            </w:pPr>
            <w:r>
              <w:rPr>
                <w:color w:val="auto"/>
                <w:szCs w:val="21"/>
                <w:highlight w:val="none"/>
              </w:rPr>
              <w:t>2.14</w:t>
            </w:r>
          </w:p>
        </w:tc>
        <w:tc>
          <w:tcPr>
            <w:tcW w:w="997" w:type="dxa"/>
            <w:shd w:val="clear" w:color="auto" w:fill="FFFFFF"/>
            <w:vAlign w:val="center"/>
          </w:tcPr>
          <w:p w14:paraId="7CFCE69E">
            <w:pPr>
              <w:jc w:val="center"/>
              <w:rPr>
                <w:color w:val="auto"/>
                <w:szCs w:val="21"/>
                <w:highlight w:val="none"/>
              </w:rPr>
            </w:pPr>
            <w:r>
              <w:rPr>
                <w:color w:val="auto"/>
                <w:szCs w:val="21"/>
                <w:highlight w:val="none"/>
              </w:rPr>
              <w:t>4340.00</w:t>
            </w:r>
          </w:p>
        </w:tc>
        <w:tc>
          <w:tcPr>
            <w:tcW w:w="1134" w:type="dxa"/>
            <w:shd w:val="clear" w:color="auto" w:fill="FFFFFF"/>
            <w:vAlign w:val="center"/>
          </w:tcPr>
          <w:p w14:paraId="55680837">
            <w:pPr>
              <w:jc w:val="center"/>
              <w:rPr>
                <w:color w:val="auto"/>
                <w:szCs w:val="21"/>
                <w:highlight w:val="none"/>
              </w:rPr>
            </w:pPr>
          </w:p>
        </w:tc>
        <w:tc>
          <w:tcPr>
            <w:tcW w:w="876" w:type="dxa"/>
            <w:shd w:val="clear" w:color="auto" w:fill="FFFFFF"/>
            <w:vAlign w:val="center"/>
          </w:tcPr>
          <w:p w14:paraId="367356ED">
            <w:pPr>
              <w:jc w:val="center"/>
              <w:rPr>
                <w:color w:val="auto"/>
                <w:szCs w:val="21"/>
                <w:highlight w:val="none"/>
              </w:rPr>
            </w:pPr>
          </w:p>
        </w:tc>
        <w:tc>
          <w:tcPr>
            <w:tcW w:w="847" w:type="dxa"/>
            <w:vMerge w:val="continue"/>
            <w:shd w:val="clear" w:color="auto" w:fill="auto"/>
            <w:vAlign w:val="center"/>
          </w:tcPr>
          <w:p w14:paraId="28257D70">
            <w:pPr>
              <w:jc w:val="center"/>
              <w:rPr>
                <w:color w:val="auto"/>
                <w:szCs w:val="21"/>
                <w:highlight w:val="none"/>
              </w:rPr>
            </w:pPr>
          </w:p>
        </w:tc>
      </w:tr>
      <w:tr w14:paraId="3EC7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4560FAD2">
            <w:pPr>
              <w:jc w:val="center"/>
              <w:rPr>
                <w:color w:val="auto"/>
                <w:szCs w:val="21"/>
                <w:highlight w:val="none"/>
              </w:rPr>
            </w:pPr>
            <w:r>
              <w:rPr>
                <w:color w:val="auto"/>
                <w:szCs w:val="21"/>
                <w:highlight w:val="none"/>
              </w:rPr>
              <w:t>39</w:t>
            </w:r>
          </w:p>
        </w:tc>
        <w:tc>
          <w:tcPr>
            <w:tcW w:w="885" w:type="dxa"/>
            <w:shd w:val="clear" w:color="auto" w:fill="FFFFFF"/>
            <w:vAlign w:val="center"/>
          </w:tcPr>
          <w:p w14:paraId="00BA529F">
            <w:pPr>
              <w:jc w:val="center"/>
              <w:rPr>
                <w:color w:val="auto"/>
                <w:szCs w:val="21"/>
                <w:highlight w:val="none"/>
              </w:rPr>
            </w:pPr>
            <w:r>
              <w:rPr>
                <w:color w:val="auto"/>
                <w:szCs w:val="21"/>
                <w:highlight w:val="none"/>
              </w:rPr>
              <w:t>亚太路</w:t>
            </w:r>
          </w:p>
        </w:tc>
        <w:tc>
          <w:tcPr>
            <w:tcW w:w="1867" w:type="dxa"/>
            <w:shd w:val="clear" w:color="auto" w:fill="FFFFFF"/>
            <w:vAlign w:val="center"/>
          </w:tcPr>
          <w:p w14:paraId="417B30E5">
            <w:pPr>
              <w:jc w:val="center"/>
              <w:rPr>
                <w:color w:val="auto"/>
                <w:szCs w:val="21"/>
                <w:highlight w:val="none"/>
              </w:rPr>
            </w:pPr>
            <w:r>
              <w:rPr>
                <w:color w:val="auto"/>
                <w:szCs w:val="21"/>
                <w:highlight w:val="none"/>
              </w:rPr>
              <w:t>南铜路口-南坪北路</w:t>
            </w:r>
          </w:p>
        </w:tc>
        <w:tc>
          <w:tcPr>
            <w:tcW w:w="853" w:type="dxa"/>
            <w:shd w:val="clear" w:color="auto" w:fill="FFFFFF"/>
            <w:vAlign w:val="center"/>
          </w:tcPr>
          <w:p w14:paraId="433780E8">
            <w:pPr>
              <w:jc w:val="center"/>
              <w:rPr>
                <w:color w:val="auto"/>
                <w:szCs w:val="21"/>
                <w:highlight w:val="none"/>
              </w:rPr>
            </w:pPr>
            <w:r>
              <w:rPr>
                <w:color w:val="auto"/>
                <w:szCs w:val="21"/>
                <w:highlight w:val="none"/>
              </w:rPr>
              <w:t>0.76</w:t>
            </w:r>
          </w:p>
        </w:tc>
        <w:tc>
          <w:tcPr>
            <w:tcW w:w="846" w:type="dxa"/>
            <w:shd w:val="clear" w:color="auto" w:fill="FFFFFF"/>
            <w:vAlign w:val="center"/>
          </w:tcPr>
          <w:p w14:paraId="16C637D6">
            <w:pPr>
              <w:jc w:val="center"/>
              <w:rPr>
                <w:color w:val="auto"/>
                <w:szCs w:val="21"/>
                <w:highlight w:val="none"/>
              </w:rPr>
            </w:pPr>
            <w:r>
              <w:rPr>
                <w:color w:val="auto"/>
                <w:szCs w:val="21"/>
                <w:highlight w:val="none"/>
              </w:rPr>
              <w:t>4</w:t>
            </w:r>
          </w:p>
        </w:tc>
        <w:tc>
          <w:tcPr>
            <w:tcW w:w="810" w:type="dxa"/>
            <w:shd w:val="clear" w:color="auto" w:fill="FFFFFF"/>
            <w:vAlign w:val="center"/>
          </w:tcPr>
          <w:p w14:paraId="2AB05C1F">
            <w:pPr>
              <w:jc w:val="center"/>
              <w:rPr>
                <w:color w:val="auto"/>
                <w:szCs w:val="21"/>
                <w:highlight w:val="none"/>
              </w:rPr>
            </w:pPr>
            <w:r>
              <w:rPr>
                <w:color w:val="auto"/>
                <w:szCs w:val="21"/>
                <w:highlight w:val="none"/>
              </w:rPr>
              <w:t>3.05</w:t>
            </w:r>
          </w:p>
        </w:tc>
        <w:tc>
          <w:tcPr>
            <w:tcW w:w="997" w:type="dxa"/>
            <w:shd w:val="clear" w:color="auto" w:fill="FFFFFF"/>
            <w:vAlign w:val="center"/>
          </w:tcPr>
          <w:p w14:paraId="036BF34E">
            <w:pPr>
              <w:jc w:val="center"/>
              <w:rPr>
                <w:color w:val="auto"/>
                <w:szCs w:val="21"/>
                <w:highlight w:val="none"/>
              </w:rPr>
            </w:pPr>
            <w:r>
              <w:rPr>
                <w:color w:val="auto"/>
                <w:szCs w:val="21"/>
                <w:highlight w:val="none"/>
              </w:rPr>
              <w:t>4340.00</w:t>
            </w:r>
          </w:p>
        </w:tc>
        <w:tc>
          <w:tcPr>
            <w:tcW w:w="1134" w:type="dxa"/>
            <w:shd w:val="clear" w:color="auto" w:fill="FFFFFF"/>
            <w:vAlign w:val="center"/>
          </w:tcPr>
          <w:p w14:paraId="38FDBF90">
            <w:pPr>
              <w:jc w:val="center"/>
              <w:rPr>
                <w:color w:val="auto"/>
                <w:szCs w:val="21"/>
                <w:highlight w:val="none"/>
              </w:rPr>
            </w:pPr>
          </w:p>
        </w:tc>
        <w:tc>
          <w:tcPr>
            <w:tcW w:w="876" w:type="dxa"/>
            <w:shd w:val="clear" w:color="auto" w:fill="FFFFFF"/>
            <w:vAlign w:val="center"/>
          </w:tcPr>
          <w:p w14:paraId="6B948636">
            <w:pPr>
              <w:jc w:val="center"/>
              <w:rPr>
                <w:color w:val="auto"/>
                <w:szCs w:val="21"/>
                <w:highlight w:val="none"/>
              </w:rPr>
            </w:pPr>
          </w:p>
        </w:tc>
        <w:tc>
          <w:tcPr>
            <w:tcW w:w="847" w:type="dxa"/>
            <w:vMerge w:val="continue"/>
            <w:shd w:val="clear" w:color="auto" w:fill="auto"/>
            <w:vAlign w:val="center"/>
          </w:tcPr>
          <w:p w14:paraId="5353AE48">
            <w:pPr>
              <w:jc w:val="center"/>
              <w:rPr>
                <w:color w:val="auto"/>
                <w:szCs w:val="21"/>
                <w:highlight w:val="none"/>
              </w:rPr>
            </w:pPr>
          </w:p>
        </w:tc>
      </w:tr>
      <w:tr w14:paraId="7DD2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078352D">
            <w:pPr>
              <w:jc w:val="center"/>
              <w:rPr>
                <w:color w:val="auto"/>
                <w:szCs w:val="21"/>
                <w:highlight w:val="none"/>
              </w:rPr>
            </w:pPr>
            <w:r>
              <w:rPr>
                <w:color w:val="auto"/>
                <w:szCs w:val="21"/>
                <w:highlight w:val="none"/>
              </w:rPr>
              <w:t>40</w:t>
            </w:r>
          </w:p>
        </w:tc>
        <w:tc>
          <w:tcPr>
            <w:tcW w:w="885" w:type="dxa"/>
            <w:shd w:val="clear" w:color="auto" w:fill="FFFFFF"/>
            <w:vAlign w:val="center"/>
          </w:tcPr>
          <w:p w14:paraId="173FAB80">
            <w:pPr>
              <w:jc w:val="center"/>
              <w:rPr>
                <w:color w:val="auto"/>
                <w:szCs w:val="21"/>
                <w:highlight w:val="none"/>
              </w:rPr>
            </w:pPr>
            <w:r>
              <w:rPr>
                <w:color w:val="auto"/>
                <w:szCs w:val="21"/>
                <w:highlight w:val="none"/>
              </w:rPr>
              <w:t>烟雨路</w:t>
            </w:r>
          </w:p>
        </w:tc>
        <w:tc>
          <w:tcPr>
            <w:tcW w:w="1867" w:type="dxa"/>
            <w:shd w:val="clear" w:color="auto" w:fill="FFFFFF"/>
            <w:vAlign w:val="center"/>
          </w:tcPr>
          <w:p w14:paraId="5115676D">
            <w:pPr>
              <w:jc w:val="center"/>
              <w:rPr>
                <w:color w:val="auto"/>
                <w:szCs w:val="21"/>
                <w:highlight w:val="none"/>
              </w:rPr>
            </w:pPr>
            <w:r>
              <w:rPr>
                <w:color w:val="auto"/>
                <w:szCs w:val="21"/>
                <w:highlight w:val="none"/>
              </w:rPr>
              <w:t>江南立交-江南体育馆</w:t>
            </w:r>
          </w:p>
        </w:tc>
        <w:tc>
          <w:tcPr>
            <w:tcW w:w="853" w:type="dxa"/>
            <w:shd w:val="clear" w:color="auto" w:fill="FFFFFF"/>
            <w:vAlign w:val="center"/>
          </w:tcPr>
          <w:p w14:paraId="4B345B85">
            <w:pPr>
              <w:jc w:val="center"/>
              <w:rPr>
                <w:color w:val="auto"/>
                <w:szCs w:val="21"/>
                <w:highlight w:val="none"/>
              </w:rPr>
            </w:pPr>
            <w:r>
              <w:rPr>
                <w:color w:val="auto"/>
                <w:szCs w:val="21"/>
                <w:highlight w:val="none"/>
              </w:rPr>
              <w:t>3.22</w:t>
            </w:r>
          </w:p>
        </w:tc>
        <w:tc>
          <w:tcPr>
            <w:tcW w:w="846" w:type="dxa"/>
            <w:shd w:val="clear" w:color="auto" w:fill="FFFFFF"/>
            <w:vAlign w:val="center"/>
          </w:tcPr>
          <w:p w14:paraId="18DE78AB">
            <w:pPr>
              <w:jc w:val="center"/>
              <w:rPr>
                <w:color w:val="auto"/>
                <w:szCs w:val="21"/>
                <w:highlight w:val="none"/>
              </w:rPr>
            </w:pPr>
            <w:r>
              <w:rPr>
                <w:color w:val="auto"/>
                <w:szCs w:val="21"/>
                <w:highlight w:val="none"/>
              </w:rPr>
              <w:t>4</w:t>
            </w:r>
          </w:p>
        </w:tc>
        <w:tc>
          <w:tcPr>
            <w:tcW w:w="810" w:type="dxa"/>
            <w:shd w:val="clear" w:color="auto" w:fill="FFFFFF"/>
            <w:vAlign w:val="center"/>
          </w:tcPr>
          <w:p w14:paraId="3890C1FE">
            <w:pPr>
              <w:jc w:val="center"/>
              <w:rPr>
                <w:color w:val="auto"/>
                <w:szCs w:val="21"/>
                <w:highlight w:val="none"/>
              </w:rPr>
            </w:pPr>
            <w:r>
              <w:rPr>
                <w:color w:val="auto"/>
                <w:szCs w:val="21"/>
                <w:highlight w:val="none"/>
              </w:rPr>
              <w:t>12.88</w:t>
            </w:r>
          </w:p>
        </w:tc>
        <w:tc>
          <w:tcPr>
            <w:tcW w:w="997" w:type="dxa"/>
            <w:shd w:val="clear" w:color="auto" w:fill="FFFFFF"/>
            <w:vAlign w:val="center"/>
          </w:tcPr>
          <w:p w14:paraId="62B09E2E">
            <w:pPr>
              <w:jc w:val="center"/>
              <w:rPr>
                <w:color w:val="auto"/>
                <w:szCs w:val="21"/>
                <w:highlight w:val="none"/>
              </w:rPr>
            </w:pPr>
            <w:r>
              <w:rPr>
                <w:color w:val="auto"/>
                <w:szCs w:val="21"/>
                <w:highlight w:val="none"/>
              </w:rPr>
              <w:t>4340.00</w:t>
            </w:r>
          </w:p>
        </w:tc>
        <w:tc>
          <w:tcPr>
            <w:tcW w:w="1134" w:type="dxa"/>
            <w:shd w:val="clear" w:color="auto" w:fill="FFFFFF"/>
            <w:vAlign w:val="center"/>
          </w:tcPr>
          <w:p w14:paraId="5ABCDE43">
            <w:pPr>
              <w:jc w:val="center"/>
              <w:rPr>
                <w:color w:val="auto"/>
                <w:szCs w:val="21"/>
                <w:highlight w:val="none"/>
              </w:rPr>
            </w:pPr>
          </w:p>
        </w:tc>
        <w:tc>
          <w:tcPr>
            <w:tcW w:w="876" w:type="dxa"/>
            <w:shd w:val="clear" w:color="auto" w:fill="FFFFFF"/>
            <w:vAlign w:val="center"/>
          </w:tcPr>
          <w:p w14:paraId="54A25E6B">
            <w:pPr>
              <w:jc w:val="center"/>
              <w:rPr>
                <w:color w:val="auto"/>
                <w:szCs w:val="21"/>
                <w:highlight w:val="none"/>
              </w:rPr>
            </w:pPr>
          </w:p>
        </w:tc>
        <w:tc>
          <w:tcPr>
            <w:tcW w:w="847" w:type="dxa"/>
            <w:vMerge w:val="continue"/>
            <w:shd w:val="clear" w:color="auto" w:fill="auto"/>
            <w:vAlign w:val="center"/>
          </w:tcPr>
          <w:p w14:paraId="42F6A030">
            <w:pPr>
              <w:jc w:val="center"/>
              <w:rPr>
                <w:color w:val="auto"/>
                <w:szCs w:val="21"/>
                <w:highlight w:val="none"/>
              </w:rPr>
            </w:pPr>
          </w:p>
        </w:tc>
      </w:tr>
      <w:tr w14:paraId="7EF0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dxa"/>
            <w:shd w:val="clear" w:color="auto" w:fill="auto"/>
            <w:vAlign w:val="center"/>
          </w:tcPr>
          <w:p w14:paraId="5862912C">
            <w:pPr>
              <w:jc w:val="center"/>
              <w:rPr>
                <w:color w:val="auto"/>
                <w:szCs w:val="21"/>
                <w:highlight w:val="none"/>
              </w:rPr>
            </w:pPr>
            <w:r>
              <w:rPr>
                <w:color w:val="auto"/>
                <w:szCs w:val="21"/>
                <w:highlight w:val="none"/>
              </w:rPr>
              <w:t>41</w:t>
            </w:r>
          </w:p>
        </w:tc>
        <w:tc>
          <w:tcPr>
            <w:tcW w:w="885" w:type="dxa"/>
            <w:shd w:val="clear" w:color="auto" w:fill="FFFFFF"/>
            <w:vAlign w:val="center"/>
          </w:tcPr>
          <w:p w14:paraId="19EEC15B">
            <w:pPr>
              <w:jc w:val="center"/>
              <w:rPr>
                <w:color w:val="auto"/>
                <w:szCs w:val="21"/>
                <w:highlight w:val="none"/>
              </w:rPr>
            </w:pPr>
            <w:r>
              <w:rPr>
                <w:color w:val="auto"/>
                <w:szCs w:val="21"/>
                <w:highlight w:val="none"/>
              </w:rPr>
              <w:t>桂花支路</w:t>
            </w:r>
          </w:p>
        </w:tc>
        <w:tc>
          <w:tcPr>
            <w:tcW w:w="1867" w:type="dxa"/>
            <w:shd w:val="clear" w:color="auto" w:fill="FFFFFF"/>
            <w:vAlign w:val="center"/>
          </w:tcPr>
          <w:p w14:paraId="21443633">
            <w:pPr>
              <w:jc w:val="center"/>
              <w:rPr>
                <w:color w:val="auto"/>
                <w:szCs w:val="21"/>
                <w:highlight w:val="none"/>
              </w:rPr>
            </w:pPr>
            <w:r>
              <w:rPr>
                <w:color w:val="auto"/>
                <w:szCs w:val="21"/>
                <w:highlight w:val="none"/>
              </w:rPr>
              <w:t>上新街-桂花支路</w:t>
            </w:r>
          </w:p>
        </w:tc>
        <w:tc>
          <w:tcPr>
            <w:tcW w:w="853" w:type="dxa"/>
            <w:shd w:val="clear" w:color="auto" w:fill="FFFFFF"/>
            <w:vAlign w:val="center"/>
          </w:tcPr>
          <w:p w14:paraId="00697FA0">
            <w:pPr>
              <w:jc w:val="center"/>
              <w:rPr>
                <w:color w:val="auto"/>
                <w:szCs w:val="21"/>
                <w:highlight w:val="none"/>
              </w:rPr>
            </w:pPr>
            <w:r>
              <w:rPr>
                <w:color w:val="auto"/>
                <w:szCs w:val="21"/>
                <w:highlight w:val="none"/>
              </w:rPr>
              <w:t>0.47</w:t>
            </w:r>
          </w:p>
        </w:tc>
        <w:tc>
          <w:tcPr>
            <w:tcW w:w="846" w:type="dxa"/>
            <w:shd w:val="clear" w:color="auto" w:fill="FFFFFF"/>
            <w:vAlign w:val="center"/>
          </w:tcPr>
          <w:p w14:paraId="65944ADE">
            <w:pPr>
              <w:jc w:val="center"/>
              <w:rPr>
                <w:color w:val="auto"/>
                <w:szCs w:val="21"/>
                <w:highlight w:val="none"/>
              </w:rPr>
            </w:pPr>
            <w:r>
              <w:rPr>
                <w:color w:val="auto"/>
                <w:szCs w:val="21"/>
                <w:highlight w:val="none"/>
              </w:rPr>
              <w:t>2</w:t>
            </w:r>
          </w:p>
        </w:tc>
        <w:tc>
          <w:tcPr>
            <w:tcW w:w="810" w:type="dxa"/>
            <w:shd w:val="clear" w:color="auto" w:fill="FFFFFF"/>
            <w:vAlign w:val="center"/>
          </w:tcPr>
          <w:p w14:paraId="3DA07449">
            <w:pPr>
              <w:jc w:val="center"/>
              <w:rPr>
                <w:color w:val="auto"/>
                <w:szCs w:val="21"/>
                <w:highlight w:val="none"/>
              </w:rPr>
            </w:pPr>
            <w:r>
              <w:rPr>
                <w:color w:val="auto"/>
                <w:szCs w:val="21"/>
                <w:highlight w:val="none"/>
              </w:rPr>
              <w:t>0.95</w:t>
            </w:r>
          </w:p>
        </w:tc>
        <w:tc>
          <w:tcPr>
            <w:tcW w:w="997" w:type="dxa"/>
            <w:shd w:val="clear" w:color="auto" w:fill="FFFFFF"/>
            <w:vAlign w:val="center"/>
          </w:tcPr>
          <w:p w14:paraId="35E3313F">
            <w:pPr>
              <w:jc w:val="center"/>
              <w:rPr>
                <w:color w:val="auto"/>
                <w:szCs w:val="21"/>
                <w:highlight w:val="none"/>
              </w:rPr>
            </w:pPr>
            <w:r>
              <w:rPr>
                <w:color w:val="auto"/>
                <w:szCs w:val="21"/>
                <w:highlight w:val="none"/>
              </w:rPr>
              <w:t>4340.00</w:t>
            </w:r>
          </w:p>
        </w:tc>
        <w:tc>
          <w:tcPr>
            <w:tcW w:w="1134" w:type="dxa"/>
            <w:shd w:val="clear" w:color="auto" w:fill="FFFFFF"/>
            <w:vAlign w:val="center"/>
          </w:tcPr>
          <w:p w14:paraId="689A480B">
            <w:pPr>
              <w:jc w:val="center"/>
              <w:rPr>
                <w:color w:val="auto"/>
                <w:szCs w:val="21"/>
                <w:highlight w:val="none"/>
              </w:rPr>
            </w:pPr>
          </w:p>
        </w:tc>
        <w:tc>
          <w:tcPr>
            <w:tcW w:w="876" w:type="dxa"/>
            <w:shd w:val="clear" w:color="auto" w:fill="FFFFFF"/>
            <w:vAlign w:val="center"/>
          </w:tcPr>
          <w:p w14:paraId="1B01A442">
            <w:pPr>
              <w:jc w:val="center"/>
              <w:rPr>
                <w:color w:val="auto"/>
                <w:szCs w:val="21"/>
                <w:highlight w:val="none"/>
              </w:rPr>
            </w:pPr>
          </w:p>
        </w:tc>
        <w:tc>
          <w:tcPr>
            <w:tcW w:w="847" w:type="dxa"/>
            <w:vMerge w:val="continue"/>
            <w:shd w:val="clear" w:color="auto" w:fill="auto"/>
            <w:vAlign w:val="center"/>
          </w:tcPr>
          <w:p w14:paraId="4A9628FA">
            <w:pPr>
              <w:jc w:val="center"/>
              <w:rPr>
                <w:color w:val="auto"/>
                <w:szCs w:val="21"/>
                <w:highlight w:val="none"/>
              </w:rPr>
            </w:pPr>
          </w:p>
        </w:tc>
      </w:tr>
      <w:tr w14:paraId="41D4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7B061B54">
            <w:pPr>
              <w:jc w:val="center"/>
              <w:rPr>
                <w:color w:val="auto"/>
                <w:szCs w:val="21"/>
                <w:highlight w:val="none"/>
              </w:rPr>
            </w:pPr>
            <w:r>
              <w:rPr>
                <w:color w:val="auto"/>
                <w:szCs w:val="21"/>
                <w:highlight w:val="none"/>
              </w:rPr>
              <w:t>42</w:t>
            </w:r>
          </w:p>
        </w:tc>
        <w:tc>
          <w:tcPr>
            <w:tcW w:w="885" w:type="dxa"/>
            <w:shd w:val="clear" w:color="auto" w:fill="FFFFFF"/>
            <w:vAlign w:val="center"/>
          </w:tcPr>
          <w:p w14:paraId="2BEE4C0F">
            <w:pPr>
              <w:jc w:val="center"/>
              <w:rPr>
                <w:color w:val="auto"/>
                <w:szCs w:val="21"/>
                <w:highlight w:val="none"/>
              </w:rPr>
            </w:pPr>
            <w:r>
              <w:rPr>
                <w:color w:val="auto"/>
                <w:szCs w:val="21"/>
                <w:highlight w:val="none"/>
              </w:rPr>
              <w:t>后堡二支路</w:t>
            </w:r>
          </w:p>
        </w:tc>
        <w:tc>
          <w:tcPr>
            <w:tcW w:w="1867" w:type="dxa"/>
            <w:shd w:val="clear" w:color="auto" w:fill="FFFFFF"/>
            <w:vAlign w:val="center"/>
          </w:tcPr>
          <w:p w14:paraId="220F1408">
            <w:pPr>
              <w:jc w:val="center"/>
              <w:rPr>
                <w:color w:val="auto"/>
                <w:szCs w:val="21"/>
                <w:highlight w:val="none"/>
              </w:rPr>
            </w:pPr>
            <w:r>
              <w:rPr>
                <w:color w:val="auto"/>
                <w:szCs w:val="21"/>
                <w:highlight w:val="none"/>
              </w:rPr>
              <w:t>后堡21幢-后堡19幢</w:t>
            </w:r>
          </w:p>
        </w:tc>
        <w:tc>
          <w:tcPr>
            <w:tcW w:w="853" w:type="dxa"/>
            <w:shd w:val="clear" w:color="auto" w:fill="FFFFFF"/>
            <w:vAlign w:val="center"/>
          </w:tcPr>
          <w:p w14:paraId="56115734">
            <w:pPr>
              <w:jc w:val="center"/>
              <w:rPr>
                <w:color w:val="auto"/>
                <w:szCs w:val="21"/>
                <w:highlight w:val="none"/>
              </w:rPr>
            </w:pPr>
            <w:r>
              <w:rPr>
                <w:color w:val="auto"/>
                <w:szCs w:val="21"/>
                <w:highlight w:val="none"/>
              </w:rPr>
              <w:t>0.11</w:t>
            </w:r>
          </w:p>
        </w:tc>
        <w:tc>
          <w:tcPr>
            <w:tcW w:w="846" w:type="dxa"/>
            <w:shd w:val="clear" w:color="auto" w:fill="FFFFFF"/>
            <w:vAlign w:val="center"/>
          </w:tcPr>
          <w:p w14:paraId="1270FE3E">
            <w:pPr>
              <w:jc w:val="center"/>
              <w:rPr>
                <w:color w:val="auto"/>
                <w:szCs w:val="21"/>
                <w:highlight w:val="none"/>
              </w:rPr>
            </w:pPr>
            <w:r>
              <w:rPr>
                <w:color w:val="auto"/>
                <w:szCs w:val="21"/>
                <w:highlight w:val="none"/>
              </w:rPr>
              <w:t>2</w:t>
            </w:r>
          </w:p>
        </w:tc>
        <w:tc>
          <w:tcPr>
            <w:tcW w:w="810" w:type="dxa"/>
            <w:shd w:val="clear" w:color="auto" w:fill="FFFFFF"/>
            <w:vAlign w:val="center"/>
          </w:tcPr>
          <w:p w14:paraId="606591E5">
            <w:pPr>
              <w:jc w:val="center"/>
              <w:rPr>
                <w:color w:val="auto"/>
                <w:szCs w:val="21"/>
                <w:highlight w:val="none"/>
              </w:rPr>
            </w:pPr>
            <w:r>
              <w:rPr>
                <w:color w:val="auto"/>
                <w:szCs w:val="21"/>
                <w:highlight w:val="none"/>
              </w:rPr>
              <w:t>0.22</w:t>
            </w:r>
          </w:p>
        </w:tc>
        <w:tc>
          <w:tcPr>
            <w:tcW w:w="997" w:type="dxa"/>
            <w:shd w:val="clear" w:color="auto" w:fill="FFFFFF"/>
            <w:vAlign w:val="center"/>
          </w:tcPr>
          <w:p w14:paraId="08C331DF">
            <w:pPr>
              <w:jc w:val="center"/>
              <w:rPr>
                <w:color w:val="auto"/>
                <w:szCs w:val="21"/>
                <w:highlight w:val="none"/>
              </w:rPr>
            </w:pPr>
            <w:r>
              <w:rPr>
                <w:color w:val="auto"/>
                <w:szCs w:val="21"/>
                <w:highlight w:val="none"/>
              </w:rPr>
              <w:t>4340.00</w:t>
            </w:r>
          </w:p>
        </w:tc>
        <w:tc>
          <w:tcPr>
            <w:tcW w:w="1134" w:type="dxa"/>
            <w:shd w:val="clear" w:color="auto" w:fill="FFFFFF"/>
            <w:vAlign w:val="center"/>
          </w:tcPr>
          <w:p w14:paraId="0183B233">
            <w:pPr>
              <w:jc w:val="center"/>
              <w:rPr>
                <w:color w:val="auto"/>
                <w:szCs w:val="21"/>
                <w:highlight w:val="none"/>
              </w:rPr>
            </w:pPr>
          </w:p>
        </w:tc>
        <w:tc>
          <w:tcPr>
            <w:tcW w:w="876" w:type="dxa"/>
            <w:shd w:val="clear" w:color="auto" w:fill="FFFFFF"/>
            <w:vAlign w:val="center"/>
          </w:tcPr>
          <w:p w14:paraId="3E9F5D45">
            <w:pPr>
              <w:jc w:val="center"/>
              <w:rPr>
                <w:color w:val="auto"/>
                <w:szCs w:val="21"/>
                <w:highlight w:val="none"/>
              </w:rPr>
            </w:pPr>
          </w:p>
        </w:tc>
        <w:tc>
          <w:tcPr>
            <w:tcW w:w="847" w:type="dxa"/>
            <w:vMerge w:val="continue"/>
            <w:shd w:val="clear" w:color="auto" w:fill="auto"/>
            <w:vAlign w:val="center"/>
          </w:tcPr>
          <w:p w14:paraId="171EC1CF">
            <w:pPr>
              <w:jc w:val="center"/>
              <w:rPr>
                <w:color w:val="auto"/>
                <w:szCs w:val="21"/>
                <w:highlight w:val="none"/>
              </w:rPr>
            </w:pPr>
          </w:p>
        </w:tc>
      </w:tr>
      <w:tr w14:paraId="46FC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C7CED96">
            <w:pPr>
              <w:jc w:val="center"/>
              <w:rPr>
                <w:color w:val="auto"/>
                <w:szCs w:val="21"/>
                <w:highlight w:val="none"/>
              </w:rPr>
            </w:pPr>
            <w:r>
              <w:rPr>
                <w:color w:val="auto"/>
                <w:szCs w:val="21"/>
                <w:highlight w:val="none"/>
              </w:rPr>
              <w:t>43</w:t>
            </w:r>
          </w:p>
        </w:tc>
        <w:tc>
          <w:tcPr>
            <w:tcW w:w="885" w:type="dxa"/>
            <w:shd w:val="clear" w:color="auto" w:fill="FFFFFF"/>
            <w:vAlign w:val="center"/>
          </w:tcPr>
          <w:p w14:paraId="0852ED36">
            <w:pPr>
              <w:jc w:val="center"/>
              <w:rPr>
                <w:color w:val="auto"/>
                <w:szCs w:val="21"/>
                <w:highlight w:val="none"/>
              </w:rPr>
            </w:pPr>
            <w:r>
              <w:rPr>
                <w:color w:val="auto"/>
                <w:szCs w:val="21"/>
                <w:highlight w:val="none"/>
              </w:rPr>
              <w:t>后堡一支路</w:t>
            </w:r>
          </w:p>
        </w:tc>
        <w:tc>
          <w:tcPr>
            <w:tcW w:w="1867" w:type="dxa"/>
            <w:shd w:val="clear" w:color="auto" w:fill="FFFFFF"/>
            <w:vAlign w:val="center"/>
          </w:tcPr>
          <w:p w14:paraId="47B7DEAA">
            <w:pPr>
              <w:jc w:val="center"/>
              <w:rPr>
                <w:color w:val="auto"/>
                <w:szCs w:val="21"/>
                <w:highlight w:val="none"/>
              </w:rPr>
            </w:pPr>
            <w:r>
              <w:rPr>
                <w:color w:val="auto"/>
                <w:szCs w:val="21"/>
                <w:highlight w:val="none"/>
              </w:rPr>
              <w:t>实验幼儿园-后堡4幢</w:t>
            </w:r>
          </w:p>
        </w:tc>
        <w:tc>
          <w:tcPr>
            <w:tcW w:w="853" w:type="dxa"/>
            <w:shd w:val="clear" w:color="auto" w:fill="FFFFFF"/>
            <w:vAlign w:val="center"/>
          </w:tcPr>
          <w:p w14:paraId="160C3BA4">
            <w:pPr>
              <w:jc w:val="center"/>
              <w:rPr>
                <w:color w:val="auto"/>
                <w:szCs w:val="21"/>
                <w:highlight w:val="none"/>
              </w:rPr>
            </w:pPr>
            <w:r>
              <w:rPr>
                <w:color w:val="auto"/>
                <w:szCs w:val="21"/>
                <w:highlight w:val="none"/>
              </w:rPr>
              <w:t>0.12</w:t>
            </w:r>
          </w:p>
        </w:tc>
        <w:tc>
          <w:tcPr>
            <w:tcW w:w="846" w:type="dxa"/>
            <w:shd w:val="clear" w:color="auto" w:fill="FFFFFF"/>
            <w:vAlign w:val="center"/>
          </w:tcPr>
          <w:p w14:paraId="15DB0C7E">
            <w:pPr>
              <w:jc w:val="center"/>
              <w:rPr>
                <w:color w:val="auto"/>
                <w:szCs w:val="21"/>
                <w:highlight w:val="none"/>
              </w:rPr>
            </w:pPr>
            <w:r>
              <w:rPr>
                <w:color w:val="auto"/>
                <w:szCs w:val="21"/>
                <w:highlight w:val="none"/>
              </w:rPr>
              <w:t>2</w:t>
            </w:r>
          </w:p>
        </w:tc>
        <w:tc>
          <w:tcPr>
            <w:tcW w:w="810" w:type="dxa"/>
            <w:shd w:val="clear" w:color="auto" w:fill="FFFFFF"/>
            <w:vAlign w:val="center"/>
          </w:tcPr>
          <w:p w14:paraId="7A259354">
            <w:pPr>
              <w:jc w:val="center"/>
              <w:rPr>
                <w:color w:val="auto"/>
                <w:szCs w:val="21"/>
                <w:highlight w:val="none"/>
              </w:rPr>
            </w:pPr>
            <w:r>
              <w:rPr>
                <w:color w:val="auto"/>
                <w:szCs w:val="21"/>
                <w:highlight w:val="none"/>
              </w:rPr>
              <w:t>0.24</w:t>
            </w:r>
          </w:p>
        </w:tc>
        <w:tc>
          <w:tcPr>
            <w:tcW w:w="997" w:type="dxa"/>
            <w:shd w:val="clear" w:color="auto" w:fill="FFFFFF"/>
            <w:vAlign w:val="center"/>
          </w:tcPr>
          <w:p w14:paraId="0DBDA168">
            <w:pPr>
              <w:jc w:val="center"/>
              <w:rPr>
                <w:color w:val="auto"/>
                <w:szCs w:val="21"/>
                <w:highlight w:val="none"/>
              </w:rPr>
            </w:pPr>
            <w:r>
              <w:rPr>
                <w:color w:val="auto"/>
                <w:szCs w:val="21"/>
                <w:highlight w:val="none"/>
              </w:rPr>
              <w:t>4340.00</w:t>
            </w:r>
          </w:p>
        </w:tc>
        <w:tc>
          <w:tcPr>
            <w:tcW w:w="1134" w:type="dxa"/>
            <w:shd w:val="clear" w:color="auto" w:fill="FFFFFF"/>
            <w:vAlign w:val="center"/>
          </w:tcPr>
          <w:p w14:paraId="4B369BFF">
            <w:pPr>
              <w:jc w:val="center"/>
              <w:rPr>
                <w:color w:val="auto"/>
                <w:szCs w:val="21"/>
                <w:highlight w:val="none"/>
              </w:rPr>
            </w:pPr>
          </w:p>
        </w:tc>
        <w:tc>
          <w:tcPr>
            <w:tcW w:w="876" w:type="dxa"/>
            <w:shd w:val="clear" w:color="auto" w:fill="FFFFFF"/>
            <w:vAlign w:val="center"/>
          </w:tcPr>
          <w:p w14:paraId="2AAEE475">
            <w:pPr>
              <w:jc w:val="center"/>
              <w:rPr>
                <w:color w:val="auto"/>
                <w:szCs w:val="21"/>
                <w:highlight w:val="none"/>
              </w:rPr>
            </w:pPr>
          </w:p>
        </w:tc>
        <w:tc>
          <w:tcPr>
            <w:tcW w:w="847" w:type="dxa"/>
            <w:vMerge w:val="continue"/>
            <w:shd w:val="clear" w:color="auto" w:fill="auto"/>
            <w:vAlign w:val="center"/>
          </w:tcPr>
          <w:p w14:paraId="673277C4">
            <w:pPr>
              <w:jc w:val="center"/>
              <w:rPr>
                <w:color w:val="auto"/>
                <w:szCs w:val="21"/>
                <w:highlight w:val="none"/>
              </w:rPr>
            </w:pPr>
          </w:p>
        </w:tc>
      </w:tr>
      <w:tr w14:paraId="4103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61B5D0F4">
            <w:pPr>
              <w:jc w:val="center"/>
              <w:rPr>
                <w:color w:val="auto"/>
                <w:szCs w:val="21"/>
                <w:highlight w:val="none"/>
              </w:rPr>
            </w:pPr>
            <w:r>
              <w:rPr>
                <w:color w:val="auto"/>
                <w:szCs w:val="21"/>
                <w:highlight w:val="none"/>
              </w:rPr>
              <w:t>44</w:t>
            </w:r>
          </w:p>
        </w:tc>
        <w:tc>
          <w:tcPr>
            <w:tcW w:w="885" w:type="dxa"/>
            <w:shd w:val="clear" w:color="auto" w:fill="FFFFFF"/>
            <w:vAlign w:val="center"/>
          </w:tcPr>
          <w:p w14:paraId="46D1D073">
            <w:pPr>
              <w:jc w:val="center"/>
              <w:rPr>
                <w:color w:val="auto"/>
                <w:szCs w:val="21"/>
                <w:highlight w:val="none"/>
              </w:rPr>
            </w:pPr>
            <w:r>
              <w:rPr>
                <w:color w:val="auto"/>
                <w:szCs w:val="21"/>
                <w:highlight w:val="none"/>
              </w:rPr>
              <w:t>后堡支路</w:t>
            </w:r>
          </w:p>
        </w:tc>
        <w:tc>
          <w:tcPr>
            <w:tcW w:w="1867" w:type="dxa"/>
            <w:shd w:val="clear" w:color="auto" w:fill="FFFFFF"/>
            <w:vAlign w:val="center"/>
          </w:tcPr>
          <w:p w14:paraId="546530E7">
            <w:pPr>
              <w:jc w:val="center"/>
              <w:rPr>
                <w:color w:val="auto"/>
                <w:szCs w:val="21"/>
                <w:highlight w:val="none"/>
              </w:rPr>
            </w:pPr>
            <w:r>
              <w:rPr>
                <w:color w:val="auto"/>
                <w:szCs w:val="21"/>
                <w:highlight w:val="none"/>
              </w:rPr>
              <w:t>花园酒家-后堡4幢</w:t>
            </w:r>
          </w:p>
        </w:tc>
        <w:tc>
          <w:tcPr>
            <w:tcW w:w="853" w:type="dxa"/>
            <w:shd w:val="clear" w:color="auto" w:fill="FFFFFF"/>
            <w:vAlign w:val="center"/>
          </w:tcPr>
          <w:p w14:paraId="46F13DA2">
            <w:pPr>
              <w:jc w:val="center"/>
              <w:rPr>
                <w:color w:val="auto"/>
                <w:szCs w:val="21"/>
                <w:highlight w:val="none"/>
              </w:rPr>
            </w:pPr>
            <w:r>
              <w:rPr>
                <w:color w:val="auto"/>
                <w:szCs w:val="21"/>
                <w:highlight w:val="none"/>
              </w:rPr>
              <w:t>0.37</w:t>
            </w:r>
          </w:p>
        </w:tc>
        <w:tc>
          <w:tcPr>
            <w:tcW w:w="846" w:type="dxa"/>
            <w:shd w:val="clear" w:color="auto" w:fill="FFFFFF"/>
            <w:vAlign w:val="center"/>
          </w:tcPr>
          <w:p w14:paraId="4369EDDB">
            <w:pPr>
              <w:jc w:val="center"/>
              <w:rPr>
                <w:color w:val="auto"/>
                <w:szCs w:val="21"/>
                <w:highlight w:val="none"/>
              </w:rPr>
            </w:pPr>
            <w:r>
              <w:rPr>
                <w:color w:val="auto"/>
                <w:szCs w:val="21"/>
                <w:highlight w:val="none"/>
              </w:rPr>
              <w:t>2</w:t>
            </w:r>
          </w:p>
        </w:tc>
        <w:tc>
          <w:tcPr>
            <w:tcW w:w="810" w:type="dxa"/>
            <w:shd w:val="clear" w:color="auto" w:fill="FFFFFF"/>
            <w:vAlign w:val="center"/>
          </w:tcPr>
          <w:p w14:paraId="52456DB3">
            <w:pPr>
              <w:jc w:val="center"/>
              <w:rPr>
                <w:color w:val="auto"/>
                <w:szCs w:val="21"/>
                <w:highlight w:val="none"/>
              </w:rPr>
            </w:pPr>
            <w:r>
              <w:rPr>
                <w:color w:val="auto"/>
                <w:szCs w:val="21"/>
                <w:highlight w:val="none"/>
              </w:rPr>
              <w:t>0.73</w:t>
            </w:r>
          </w:p>
        </w:tc>
        <w:tc>
          <w:tcPr>
            <w:tcW w:w="997" w:type="dxa"/>
            <w:shd w:val="clear" w:color="auto" w:fill="FFFFFF"/>
            <w:vAlign w:val="center"/>
          </w:tcPr>
          <w:p w14:paraId="4F4E3520">
            <w:pPr>
              <w:jc w:val="center"/>
              <w:rPr>
                <w:color w:val="auto"/>
                <w:szCs w:val="21"/>
                <w:highlight w:val="none"/>
              </w:rPr>
            </w:pPr>
            <w:r>
              <w:rPr>
                <w:color w:val="auto"/>
                <w:szCs w:val="21"/>
                <w:highlight w:val="none"/>
              </w:rPr>
              <w:t>4340.00</w:t>
            </w:r>
          </w:p>
        </w:tc>
        <w:tc>
          <w:tcPr>
            <w:tcW w:w="1134" w:type="dxa"/>
            <w:shd w:val="clear" w:color="auto" w:fill="FFFFFF"/>
            <w:vAlign w:val="center"/>
          </w:tcPr>
          <w:p w14:paraId="64A1B0EA">
            <w:pPr>
              <w:jc w:val="center"/>
              <w:rPr>
                <w:color w:val="auto"/>
                <w:szCs w:val="21"/>
                <w:highlight w:val="none"/>
              </w:rPr>
            </w:pPr>
          </w:p>
        </w:tc>
        <w:tc>
          <w:tcPr>
            <w:tcW w:w="876" w:type="dxa"/>
            <w:shd w:val="clear" w:color="auto" w:fill="FFFFFF"/>
            <w:vAlign w:val="center"/>
          </w:tcPr>
          <w:p w14:paraId="60F047AE">
            <w:pPr>
              <w:jc w:val="center"/>
              <w:rPr>
                <w:color w:val="auto"/>
                <w:szCs w:val="21"/>
                <w:highlight w:val="none"/>
              </w:rPr>
            </w:pPr>
          </w:p>
        </w:tc>
        <w:tc>
          <w:tcPr>
            <w:tcW w:w="847" w:type="dxa"/>
            <w:vMerge w:val="continue"/>
            <w:shd w:val="clear" w:color="auto" w:fill="auto"/>
            <w:vAlign w:val="center"/>
          </w:tcPr>
          <w:p w14:paraId="47B43966">
            <w:pPr>
              <w:jc w:val="center"/>
              <w:rPr>
                <w:color w:val="auto"/>
                <w:szCs w:val="21"/>
                <w:highlight w:val="none"/>
              </w:rPr>
            </w:pPr>
          </w:p>
        </w:tc>
      </w:tr>
      <w:tr w14:paraId="073C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036F2010">
            <w:pPr>
              <w:jc w:val="center"/>
              <w:rPr>
                <w:color w:val="auto"/>
                <w:szCs w:val="21"/>
                <w:highlight w:val="none"/>
              </w:rPr>
            </w:pPr>
            <w:r>
              <w:rPr>
                <w:color w:val="auto"/>
                <w:szCs w:val="21"/>
                <w:highlight w:val="none"/>
              </w:rPr>
              <w:t>45</w:t>
            </w:r>
          </w:p>
        </w:tc>
        <w:tc>
          <w:tcPr>
            <w:tcW w:w="885" w:type="dxa"/>
            <w:shd w:val="clear" w:color="auto" w:fill="FFFFFF"/>
            <w:vAlign w:val="center"/>
          </w:tcPr>
          <w:p w14:paraId="33D97F7E">
            <w:pPr>
              <w:jc w:val="center"/>
              <w:rPr>
                <w:color w:val="auto"/>
                <w:szCs w:val="21"/>
                <w:highlight w:val="none"/>
              </w:rPr>
            </w:pPr>
            <w:r>
              <w:rPr>
                <w:color w:val="auto"/>
                <w:szCs w:val="21"/>
                <w:highlight w:val="none"/>
              </w:rPr>
              <w:t>海铜路</w:t>
            </w:r>
          </w:p>
        </w:tc>
        <w:tc>
          <w:tcPr>
            <w:tcW w:w="1867" w:type="dxa"/>
            <w:shd w:val="clear" w:color="auto" w:fill="FFFFFF"/>
            <w:vAlign w:val="center"/>
          </w:tcPr>
          <w:p w14:paraId="50526AB3">
            <w:pPr>
              <w:jc w:val="center"/>
              <w:rPr>
                <w:color w:val="auto"/>
                <w:szCs w:val="21"/>
                <w:highlight w:val="none"/>
              </w:rPr>
            </w:pPr>
            <w:r>
              <w:rPr>
                <w:color w:val="auto"/>
                <w:szCs w:val="21"/>
                <w:highlight w:val="none"/>
              </w:rPr>
              <w:t>南铜路-南坪北路</w:t>
            </w:r>
          </w:p>
        </w:tc>
        <w:tc>
          <w:tcPr>
            <w:tcW w:w="853" w:type="dxa"/>
            <w:shd w:val="clear" w:color="auto" w:fill="FFFFFF"/>
            <w:vAlign w:val="center"/>
          </w:tcPr>
          <w:p w14:paraId="74CDF0EF">
            <w:pPr>
              <w:jc w:val="center"/>
              <w:rPr>
                <w:color w:val="auto"/>
                <w:szCs w:val="21"/>
                <w:highlight w:val="none"/>
              </w:rPr>
            </w:pPr>
            <w:r>
              <w:rPr>
                <w:color w:val="auto"/>
                <w:szCs w:val="21"/>
                <w:highlight w:val="none"/>
              </w:rPr>
              <w:t>0.59</w:t>
            </w:r>
          </w:p>
        </w:tc>
        <w:tc>
          <w:tcPr>
            <w:tcW w:w="846" w:type="dxa"/>
            <w:shd w:val="clear" w:color="auto" w:fill="FFFFFF"/>
            <w:vAlign w:val="center"/>
          </w:tcPr>
          <w:p w14:paraId="7F1956C2">
            <w:pPr>
              <w:jc w:val="center"/>
              <w:rPr>
                <w:color w:val="auto"/>
                <w:szCs w:val="21"/>
                <w:highlight w:val="none"/>
              </w:rPr>
            </w:pPr>
            <w:r>
              <w:rPr>
                <w:color w:val="auto"/>
                <w:szCs w:val="21"/>
                <w:highlight w:val="none"/>
              </w:rPr>
              <w:t>6</w:t>
            </w:r>
          </w:p>
        </w:tc>
        <w:tc>
          <w:tcPr>
            <w:tcW w:w="810" w:type="dxa"/>
            <w:shd w:val="clear" w:color="auto" w:fill="FFFFFF"/>
            <w:vAlign w:val="center"/>
          </w:tcPr>
          <w:p w14:paraId="4FDFFB9C">
            <w:pPr>
              <w:jc w:val="center"/>
              <w:rPr>
                <w:color w:val="auto"/>
                <w:szCs w:val="21"/>
                <w:highlight w:val="none"/>
              </w:rPr>
            </w:pPr>
            <w:r>
              <w:rPr>
                <w:color w:val="auto"/>
                <w:szCs w:val="21"/>
                <w:highlight w:val="none"/>
              </w:rPr>
              <w:t>3.54</w:t>
            </w:r>
          </w:p>
        </w:tc>
        <w:tc>
          <w:tcPr>
            <w:tcW w:w="997" w:type="dxa"/>
            <w:shd w:val="clear" w:color="auto" w:fill="FFFFFF"/>
            <w:vAlign w:val="center"/>
          </w:tcPr>
          <w:p w14:paraId="79A13E01">
            <w:pPr>
              <w:jc w:val="center"/>
              <w:rPr>
                <w:color w:val="auto"/>
                <w:szCs w:val="21"/>
                <w:highlight w:val="none"/>
              </w:rPr>
            </w:pPr>
            <w:r>
              <w:rPr>
                <w:color w:val="auto"/>
                <w:szCs w:val="21"/>
                <w:highlight w:val="none"/>
              </w:rPr>
              <w:t>4340.00</w:t>
            </w:r>
          </w:p>
        </w:tc>
        <w:tc>
          <w:tcPr>
            <w:tcW w:w="1134" w:type="dxa"/>
            <w:shd w:val="clear" w:color="auto" w:fill="FFFFFF"/>
            <w:vAlign w:val="center"/>
          </w:tcPr>
          <w:p w14:paraId="62A3DA23">
            <w:pPr>
              <w:jc w:val="center"/>
              <w:rPr>
                <w:color w:val="auto"/>
                <w:szCs w:val="21"/>
                <w:highlight w:val="none"/>
              </w:rPr>
            </w:pPr>
          </w:p>
        </w:tc>
        <w:tc>
          <w:tcPr>
            <w:tcW w:w="876" w:type="dxa"/>
            <w:shd w:val="clear" w:color="auto" w:fill="FFFFFF"/>
            <w:vAlign w:val="center"/>
          </w:tcPr>
          <w:p w14:paraId="193F737E">
            <w:pPr>
              <w:jc w:val="center"/>
              <w:rPr>
                <w:color w:val="auto"/>
                <w:szCs w:val="21"/>
                <w:highlight w:val="none"/>
              </w:rPr>
            </w:pPr>
          </w:p>
        </w:tc>
        <w:tc>
          <w:tcPr>
            <w:tcW w:w="847" w:type="dxa"/>
            <w:vMerge w:val="continue"/>
            <w:shd w:val="clear" w:color="auto" w:fill="auto"/>
            <w:vAlign w:val="center"/>
          </w:tcPr>
          <w:p w14:paraId="6EC41F38">
            <w:pPr>
              <w:jc w:val="center"/>
              <w:rPr>
                <w:color w:val="auto"/>
                <w:szCs w:val="21"/>
                <w:highlight w:val="none"/>
              </w:rPr>
            </w:pPr>
          </w:p>
        </w:tc>
      </w:tr>
      <w:tr w14:paraId="40D0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116618BF">
            <w:pPr>
              <w:jc w:val="center"/>
              <w:rPr>
                <w:color w:val="auto"/>
                <w:szCs w:val="21"/>
                <w:highlight w:val="none"/>
              </w:rPr>
            </w:pPr>
            <w:r>
              <w:rPr>
                <w:color w:val="auto"/>
                <w:szCs w:val="21"/>
                <w:highlight w:val="none"/>
              </w:rPr>
              <w:t>46</w:t>
            </w:r>
          </w:p>
        </w:tc>
        <w:tc>
          <w:tcPr>
            <w:tcW w:w="885" w:type="dxa"/>
            <w:shd w:val="clear" w:color="auto" w:fill="FFFFFF"/>
            <w:vAlign w:val="center"/>
          </w:tcPr>
          <w:p w14:paraId="34FFAFD9">
            <w:pPr>
              <w:jc w:val="center"/>
              <w:rPr>
                <w:color w:val="auto"/>
                <w:szCs w:val="21"/>
                <w:highlight w:val="none"/>
              </w:rPr>
            </w:pPr>
            <w:r>
              <w:rPr>
                <w:color w:val="auto"/>
                <w:szCs w:val="21"/>
                <w:highlight w:val="none"/>
              </w:rPr>
              <w:t>南坪西路</w:t>
            </w:r>
          </w:p>
        </w:tc>
        <w:tc>
          <w:tcPr>
            <w:tcW w:w="1867" w:type="dxa"/>
            <w:shd w:val="clear" w:color="auto" w:fill="FFFFFF"/>
            <w:vAlign w:val="center"/>
          </w:tcPr>
          <w:p w14:paraId="79649B37">
            <w:pPr>
              <w:jc w:val="center"/>
              <w:rPr>
                <w:color w:val="auto"/>
                <w:szCs w:val="21"/>
                <w:highlight w:val="none"/>
              </w:rPr>
            </w:pPr>
            <w:r>
              <w:rPr>
                <w:color w:val="auto"/>
                <w:szCs w:val="21"/>
                <w:highlight w:val="none"/>
              </w:rPr>
              <w:t>重庆印象-方舟路</w:t>
            </w:r>
          </w:p>
        </w:tc>
        <w:tc>
          <w:tcPr>
            <w:tcW w:w="853" w:type="dxa"/>
            <w:shd w:val="clear" w:color="auto" w:fill="FFFFFF"/>
            <w:vAlign w:val="center"/>
          </w:tcPr>
          <w:p w14:paraId="062A5D99">
            <w:pPr>
              <w:jc w:val="center"/>
              <w:rPr>
                <w:color w:val="auto"/>
                <w:szCs w:val="21"/>
                <w:highlight w:val="none"/>
              </w:rPr>
            </w:pPr>
            <w:r>
              <w:rPr>
                <w:color w:val="auto"/>
                <w:szCs w:val="21"/>
                <w:highlight w:val="none"/>
              </w:rPr>
              <w:t>1.03</w:t>
            </w:r>
          </w:p>
        </w:tc>
        <w:tc>
          <w:tcPr>
            <w:tcW w:w="846" w:type="dxa"/>
            <w:shd w:val="clear" w:color="auto" w:fill="FFFFFF"/>
            <w:vAlign w:val="center"/>
          </w:tcPr>
          <w:p w14:paraId="3EE2E73C">
            <w:pPr>
              <w:jc w:val="center"/>
              <w:rPr>
                <w:color w:val="auto"/>
                <w:szCs w:val="21"/>
                <w:highlight w:val="none"/>
              </w:rPr>
            </w:pPr>
            <w:r>
              <w:rPr>
                <w:color w:val="auto"/>
                <w:szCs w:val="21"/>
                <w:highlight w:val="none"/>
              </w:rPr>
              <w:t>4</w:t>
            </w:r>
          </w:p>
        </w:tc>
        <w:tc>
          <w:tcPr>
            <w:tcW w:w="810" w:type="dxa"/>
            <w:shd w:val="clear" w:color="auto" w:fill="FFFFFF"/>
            <w:vAlign w:val="center"/>
          </w:tcPr>
          <w:p w14:paraId="242E1A2E">
            <w:pPr>
              <w:jc w:val="center"/>
              <w:rPr>
                <w:color w:val="auto"/>
                <w:szCs w:val="21"/>
                <w:highlight w:val="none"/>
              </w:rPr>
            </w:pPr>
            <w:r>
              <w:rPr>
                <w:color w:val="auto"/>
                <w:szCs w:val="21"/>
                <w:highlight w:val="none"/>
              </w:rPr>
              <w:t>4.12</w:t>
            </w:r>
          </w:p>
        </w:tc>
        <w:tc>
          <w:tcPr>
            <w:tcW w:w="997" w:type="dxa"/>
            <w:shd w:val="clear" w:color="auto" w:fill="FFFFFF"/>
            <w:vAlign w:val="center"/>
          </w:tcPr>
          <w:p w14:paraId="2687C89B">
            <w:pPr>
              <w:jc w:val="center"/>
              <w:rPr>
                <w:color w:val="auto"/>
                <w:szCs w:val="21"/>
                <w:highlight w:val="none"/>
              </w:rPr>
            </w:pPr>
            <w:r>
              <w:rPr>
                <w:color w:val="auto"/>
                <w:szCs w:val="21"/>
                <w:highlight w:val="none"/>
              </w:rPr>
              <w:t>4340.00</w:t>
            </w:r>
          </w:p>
        </w:tc>
        <w:tc>
          <w:tcPr>
            <w:tcW w:w="1134" w:type="dxa"/>
            <w:shd w:val="clear" w:color="auto" w:fill="FFFFFF"/>
            <w:vAlign w:val="center"/>
          </w:tcPr>
          <w:p w14:paraId="253CB33B">
            <w:pPr>
              <w:jc w:val="center"/>
              <w:rPr>
                <w:color w:val="auto"/>
                <w:szCs w:val="21"/>
                <w:highlight w:val="none"/>
              </w:rPr>
            </w:pPr>
          </w:p>
        </w:tc>
        <w:tc>
          <w:tcPr>
            <w:tcW w:w="876" w:type="dxa"/>
            <w:shd w:val="clear" w:color="auto" w:fill="FFFFFF"/>
            <w:vAlign w:val="center"/>
          </w:tcPr>
          <w:p w14:paraId="30B224D9">
            <w:pPr>
              <w:jc w:val="center"/>
              <w:rPr>
                <w:color w:val="auto"/>
                <w:szCs w:val="21"/>
                <w:highlight w:val="none"/>
              </w:rPr>
            </w:pPr>
          </w:p>
        </w:tc>
        <w:tc>
          <w:tcPr>
            <w:tcW w:w="847" w:type="dxa"/>
            <w:vMerge w:val="continue"/>
            <w:shd w:val="clear" w:color="auto" w:fill="auto"/>
            <w:vAlign w:val="center"/>
          </w:tcPr>
          <w:p w14:paraId="455C5245">
            <w:pPr>
              <w:jc w:val="center"/>
              <w:rPr>
                <w:color w:val="auto"/>
                <w:szCs w:val="21"/>
                <w:highlight w:val="none"/>
              </w:rPr>
            </w:pPr>
          </w:p>
        </w:tc>
      </w:tr>
      <w:tr w14:paraId="4251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DAF5216">
            <w:pPr>
              <w:jc w:val="center"/>
              <w:rPr>
                <w:color w:val="auto"/>
                <w:szCs w:val="21"/>
                <w:highlight w:val="none"/>
              </w:rPr>
            </w:pPr>
            <w:r>
              <w:rPr>
                <w:color w:val="auto"/>
                <w:szCs w:val="21"/>
                <w:highlight w:val="none"/>
              </w:rPr>
              <w:t>47</w:t>
            </w:r>
          </w:p>
        </w:tc>
        <w:tc>
          <w:tcPr>
            <w:tcW w:w="885" w:type="dxa"/>
            <w:shd w:val="clear" w:color="auto" w:fill="FFFFFF"/>
            <w:vAlign w:val="center"/>
          </w:tcPr>
          <w:p w14:paraId="63FD1AF2">
            <w:pPr>
              <w:jc w:val="center"/>
              <w:rPr>
                <w:color w:val="auto"/>
                <w:szCs w:val="21"/>
                <w:highlight w:val="none"/>
              </w:rPr>
            </w:pPr>
            <w:r>
              <w:rPr>
                <w:color w:val="auto"/>
                <w:szCs w:val="21"/>
                <w:highlight w:val="none"/>
              </w:rPr>
              <w:t>南坪新街</w:t>
            </w:r>
          </w:p>
        </w:tc>
        <w:tc>
          <w:tcPr>
            <w:tcW w:w="1867" w:type="dxa"/>
            <w:shd w:val="clear" w:color="auto" w:fill="FFFFFF"/>
            <w:vAlign w:val="center"/>
          </w:tcPr>
          <w:p w14:paraId="5F0FC7EE">
            <w:pPr>
              <w:jc w:val="center"/>
              <w:rPr>
                <w:color w:val="auto"/>
                <w:szCs w:val="21"/>
                <w:highlight w:val="none"/>
              </w:rPr>
            </w:pPr>
            <w:r>
              <w:rPr>
                <w:color w:val="auto"/>
                <w:szCs w:val="21"/>
                <w:highlight w:val="none"/>
              </w:rPr>
              <w:t>工行路口-后堡中医院路口</w:t>
            </w:r>
          </w:p>
        </w:tc>
        <w:tc>
          <w:tcPr>
            <w:tcW w:w="853" w:type="dxa"/>
            <w:shd w:val="clear" w:color="auto" w:fill="FFFFFF"/>
            <w:vAlign w:val="center"/>
          </w:tcPr>
          <w:p w14:paraId="48CC27E5">
            <w:pPr>
              <w:jc w:val="center"/>
              <w:rPr>
                <w:color w:val="auto"/>
                <w:szCs w:val="21"/>
                <w:highlight w:val="none"/>
              </w:rPr>
            </w:pPr>
            <w:r>
              <w:rPr>
                <w:color w:val="auto"/>
                <w:szCs w:val="21"/>
                <w:highlight w:val="none"/>
              </w:rPr>
              <w:t>1.48</w:t>
            </w:r>
          </w:p>
        </w:tc>
        <w:tc>
          <w:tcPr>
            <w:tcW w:w="846" w:type="dxa"/>
            <w:shd w:val="clear" w:color="auto" w:fill="FFFFFF"/>
            <w:vAlign w:val="center"/>
          </w:tcPr>
          <w:p w14:paraId="1ACE1E1F">
            <w:pPr>
              <w:jc w:val="center"/>
              <w:rPr>
                <w:color w:val="auto"/>
                <w:szCs w:val="21"/>
                <w:highlight w:val="none"/>
              </w:rPr>
            </w:pPr>
            <w:r>
              <w:rPr>
                <w:color w:val="auto"/>
                <w:szCs w:val="21"/>
                <w:highlight w:val="none"/>
              </w:rPr>
              <w:t>2</w:t>
            </w:r>
          </w:p>
        </w:tc>
        <w:tc>
          <w:tcPr>
            <w:tcW w:w="810" w:type="dxa"/>
            <w:shd w:val="clear" w:color="auto" w:fill="FFFFFF"/>
            <w:vAlign w:val="center"/>
          </w:tcPr>
          <w:p w14:paraId="62CC38AB">
            <w:pPr>
              <w:jc w:val="center"/>
              <w:rPr>
                <w:color w:val="auto"/>
                <w:szCs w:val="21"/>
                <w:highlight w:val="none"/>
              </w:rPr>
            </w:pPr>
            <w:r>
              <w:rPr>
                <w:color w:val="auto"/>
                <w:szCs w:val="21"/>
                <w:highlight w:val="none"/>
              </w:rPr>
              <w:t>2.97</w:t>
            </w:r>
          </w:p>
        </w:tc>
        <w:tc>
          <w:tcPr>
            <w:tcW w:w="997" w:type="dxa"/>
            <w:shd w:val="clear" w:color="auto" w:fill="FFFFFF"/>
            <w:vAlign w:val="center"/>
          </w:tcPr>
          <w:p w14:paraId="69E6E47D">
            <w:pPr>
              <w:jc w:val="center"/>
              <w:rPr>
                <w:color w:val="auto"/>
                <w:szCs w:val="21"/>
                <w:highlight w:val="none"/>
              </w:rPr>
            </w:pPr>
            <w:r>
              <w:rPr>
                <w:color w:val="auto"/>
                <w:szCs w:val="21"/>
                <w:highlight w:val="none"/>
              </w:rPr>
              <w:t>4340.00</w:t>
            </w:r>
          </w:p>
        </w:tc>
        <w:tc>
          <w:tcPr>
            <w:tcW w:w="1134" w:type="dxa"/>
            <w:shd w:val="clear" w:color="auto" w:fill="FFFFFF"/>
            <w:vAlign w:val="center"/>
          </w:tcPr>
          <w:p w14:paraId="6E2663DA">
            <w:pPr>
              <w:jc w:val="center"/>
              <w:rPr>
                <w:color w:val="auto"/>
                <w:szCs w:val="21"/>
                <w:highlight w:val="none"/>
              </w:rPr>
            </w:pPr>
          </w:p>
        </w:tc>
        <w:tc>
          <w:tcPr>
            <w:tcW w:w="876" w:type="dxa"/>
            <w:shd w:val="clear" w:color="auto" w:fill="FFFFFF"/>
            <w:vAlign w:val="center"/>
          </w:tcPr>
          <w:p w14:paraId="1851F28E">
            <w:pPr>
              <w:jc w:val="center"/>
              <w:rPr>
                <w:color w:val="auto"/>
                <w:szCs w:val="21"/>
                <w:highlight w:val="none"/>
              </w:rPr>
            </w:pPr>
          </w:p>
        </w:tc>
        <w:tc>
          <w:tcPr>
            <w:tcW w:w="847" w:type="dxa"/>
            <w:vMerge w:val="continue"/>
            <w:shd w:val="clear" w:color="auto" w:fill="auto"/>
            <w:vAlign w:val="center"/>
          </w:tcPr>
          <w:p w14:paraId="21D9C7BB">
            <w:pPr>
              <w:jc w:val="center"/>
              <w:rPr>
                <w:color w:val="auto"/>
                <w:szCs w:val="21"/>
                <w:highlight w:val="none"/>
              </w:rPr>
            </w:pPr>
          </w:p>
        </w:tc>
      </w:tr>
      <w:tr w14:paraId="130D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12CDBEA6">
            <w:pPr>
              <w:jc w:val="center"/>
              <w:rPr>
                <w:rFonts w:asciiTheme="minorHAnsi" w:hAnsiTheme="minorHAnsi" w:eastAsiaTheme="minorEastAsia" w:cstheme="minorBidi"/>
                <w:color w:val="auto"/>
                <w:szCs w:val="21"/>
                <w:highlight w:val="none"/>
              </w:rPr>
            </w:pPr>
            <w:r>
              <w:rPr>
                <w:color w:val="auto"/>
                <w:szCs w:val="21"/>
                <w:highlight w:val="none"/>
              </w:rPr>
              <w:t>48</w:t>
            </w:r>
          </w:p>
        </w:tc>
        <w:tc>
          <w:tcPr>
            <w:tcW w:w="885" w:type="dxa"/>
            <w:shd w:val="clear" w:color="auto" w:fill="FFFFFF"/>
            <w:vAlign w:val="center"/>
          </w:tcPr>
          <w:p w14:paraId="72DF649D">
            <w:pPr>
              <w:jc w:val="center"/>
              <w:rPr>
                <w:rFonts w:asciiTheme="minorHAnsi" w:hAnsiTheme="minorHAnsi" w:eastAsiaTheme="minorEastAsia" w:cstheme="minorBidi"/>
                <w:color w:val="auto"/>
                <w:szCs w:val="21"/>
                <w:highlight w:val="none"/>
              </w:rPr>
            </w:pPr>
            <w:r>
              <w:rPr>
                <w:color w:val="auto"/>
                <w:szCs w:val="21"/>
                <w:highlight w:val="none"/>
              </w:rPr>
              <w:t>南坪正街</w:t>
            </w:r>
          </w:p>
        </w:tc>
        <w:tc>
          <w:tcPr>
            <w:tcW w:w="1867" w:type="dxa"/>
            <w:shd w:val="clear" w:color="auto" w:fill="FFFFFF"/>
            <w:vAlign w:val="center"/>
          </w:tcPr>
          <w:p w14:paraId="2C828F6F">
            <w:pPr>
              <w:jc w:val="center"/>
              <w:rPr>
                <w:rFonts w:asciiTheme="minorHAnsi" w:hAnsiTheme="minorHAnsi" w:eastAsiaTheme="minorEastAsia" w:cstheme="minorBidi"/>
                <w:color w:val="auto"/>
                <w:szCs w:val="21"/>
                <w:highlight w:val="none"/>
              </w:rPr>
            </w:pPr>
            <w:r>
              <w:rPr>
                <w:color w:val="auto"/>
                <w:szCs w:val="21"/>
                <w:highlight w:val="none"/>
              </w:rPr>
              <w:t>东环路路口-南坪新街南坪实验幼儿园路口</w:t>
            </w:r>
          </w:p>
        </w:tc>
        <w:tc>
          <w:tcPr>
            <w:tcW w:w="853" w:type="dxa"/>
            <w:shd w:val="clear" w:color="auto" w:fill="FFFFFF"/>
            <w:vAlign w:val="center"/>
          </w:tcPr>
          <w:p w14:paraId="0EB1ACED">
            <w:pPr>
              <w:jc w:val="center"/>
              <w:rPr>
                <w:rFonts w:asciiTheme="minorHAnsi" w:hAnsiTheme="minorHAnsi" w:eastAsiaTheme="minorEastAsia" w:cstheme="minorBidi"/>
                <w:color w:val="auto"/>
                <w:szCs w:val="21"/>
                <w:highlight w:val="none"/>
              </w:rPr>
            </w:pPr>
            <w:r>
              <w:rPr>
                <w:color w:val="auto"/>
                <w:szCs w:val="21"/>
                <w:highlight w:val="none"/>
              </w:rPr>
              <w:t>0.61</w:t>
            </w:r>
          </w:p>
        </w:tc>
        <w:tc>
          <w:tcPr>
            <w:tcW w:w="846" w:type="dxa"/>
            <w:shd w:val="clear" w:color="auto" w:fill="FFFFFF"/>
            <w:vAlign w:val="center"/>
          </w:tcPr>
          <w:p w14:paraId="561D8CCB">
            <w:pPr>
              <w:jc w:val="center"/>
              <w:rPr>
                <w:rFonts w:asciiTheme="minorHAnsi" w:hAnsiTheme="minorHAnsi" w:eastAsiaTheme="minorEastAsia" w:cstheme="minorBidi"/>
                <w:color w:val="auto"/>
                <w:szCs w:val="21"/>
                <w:highlight w:val="none"/>
              </w:rPr>
            </w:pPr>
            <w:r>
              <w:rPr>
                <w:color w:val="auto"/>
                <w:szCs w:val="21"/>
                <w:highlight w:val="none"/>
              </w:rPr>
              <w:t>2</w:t>
            </w:r>
          </w:p>
        </w:tc>
        <w:tc>
          <w:tcPr>
            <w:tcW w:w="810" w:type="dxa"/>
            <w:shd w:val="clear" w:color="auto" w:fill="FFFFFF"/>
            <w:vAlign w:val="center"/>
          </w:tcPr>
          <w:p w14:paraId="3B698688">
            <w:pPr>
              <w:jc w:val="center"/>
              <w:rPr>
                <w:rFonts w:asciiTheme="minorHAnsi" w:hAnsiTheme="minorHAnsi" w:eastAsiaTheme="minorEastAsia" w:cstheme="minorBidi"/>
                <w:color w:val="auto"/>
                <w:szCs w:val="21"/>
                <w:highlight w:val="none"/>
              </w:rPr>
            </w:pPr>
            <w:r>
              <w:rPr>
                <w:color w:val="auto"/>
                <w:szCs w:val="21"/>
                <w:highlight w:val="none"/>
              </w:rPr>
              <w:t>1.22</w:t>
            </w:r>
          </w:p>
        </w:tc>
        <w:tc>
          <w:tcPr>
            <w:tcW w:w="997" w:type="dxa"/>
            <w:shd w:val="clear" w:color="auto" w:fill="FFFFFF"/>
            <w:vAlign w:val="center"/>
          </w:tcPr>
          <w:p w14:paraId="771B672B">
            <w:pPr>
              <w:jc w:val="center"/>
              <w:rPr>
                <w:rFonts w:asciiTheme="minorHAnsi" w:hAnsiTheme="minorHAnsi" w:eastAsiaTheme="minorEastAsia" w:cstheme="minorBidi"/>
                <w:color w:val="auto"/>
                <w:szCs w:val="21"/>
                <w:highlight w:val="none"/>
              </w:rPr>
            </w:pPr>
            <w:r>
              <w:rPr>
                <w:color w:val="auto"/>
                <w:szCs w:val="21"/>
                <w:highlight w:val="none"/>
              </w:rPr>
              <w:t>4340.00</w:t>
            </w:r>
          </w:p>
        </w:tc>
        <w:tc>
          <w:tcPr>
            <w:tcW w:w="1134" w:type="dxa"/>
            <w:shd w:val="clear" w:color="auto" w:fill="FFFFFF"/>
            <w:vAlign w:val="center"/>
          </w:tcPr>
          <w:p w14:paraId="6D4FDB4E">
            <w:pPr>
              <w:jc w:val="center"/>
              <w:rPr>
                <w:rFonts w:asciiTheme="minorHAnsi" w:hAnsiTheme="minorHAnsi" w:eastAsiaTheme="minorEastAsia" w:cstheme="minorBidi"/>
                <w:color w:val="auto"/>
                <w:szCs w:val="21"/>
                <w:highlight w:val="none"/>
              </w:rPr>
            </w:pPr>
          </w:p>
        </w:tc>
        <w:tc>
          <w:tcPr>
            <w:tcW w:w="876" w:type="dxa"/>
            <w:shd w:val="clear" w:color="auto" w:fill="FFFFFF"/>
            <w:vAlign w:val="center"/>
          </w:tcPr>
          <w:p w14:paraId="363CB4FE">
            <w:pPr>
              <w:jc w:val="center"/>
              <w:rPr>
                <w:rFonts w:asciiTheme="minorHAnsi" w:hAnsiTheme="minorHAnsi" w:eastAsiaTheme="minorEastAsia" w:cstheme="minorBidi"/>
                <w:color w:val="auto"/>
                <w:szCs w:val="21"/>
                <w:highlight w:val="none"/>
              </w:rPr>
            </w:pPr>
          </w:p>
        </w:tc>
        <w:tc>
          <w:tcPr>
            <w:tcW w:w="847" w:type="dxa"/>
            <w:vMerge w:val="continue"/>
            <w:shd w:val="clear" w:color="auto" w:fill="auto"/>
            <w:vAlign w:val="center"/>
          </w:tcPr>
          <w:p w14:paraId="6334450A">
            <w:pPr>
              <w:jc w:val="center"/>
              <w:rPr>
                <w:color w:val="auto"/>
                <w:szCs w:val="21"/>
                <w:highlight w:val="none"/>
              </w:rPr>
            </w:pPr>
          </w:p>
        </w:tc>
      </w:tr>
      <w:tr w14:paraId="487A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71" w:type="dxa"/>
            <w:gridSpan w:val="7"/>
            <w:shd w:val="clear" w:color="auto" w:fill="auto"/>
            <w:vAlign w:val="center"/>
          </w:tcPr>
          <w:p w14:paraId="0E4FD59D">
            <w:pPr>
              <w:jc w:val="center"/>
              <w:rPr>
                <w:color w:val="auto"/>
                <w:szCs w:val="21"/>
                <w:highlight w:val="none"/>
              </w:rPr>
            </w:pPr>
            <w:r>
              <w:rPr>
                <w:rFonts w:hint="eastAsia"/>
                <w:color w:val="auto"/>
                <w:szCs w:val="21"/>
                <w:highlight w:val="none"/>
              </w:rPr>
              <w:t>投标总报价合计（元）</w:t>
            </w:r>
          </w:p>
        </w:tc>
        <w:tc>
          <w:tcPr>
            <w:tcW w:w="2857" w:type="dxa"/>
            <w:gridSpan w:val="3"/>
            <w:shd w:val="clear" w:color="auto" w:fill="FFFFFF"/>
            <w:vAlign w:val="center"/>
          </w:tcPr>
          <w:p w14:paraId="6E2D67E0">
            <w:pPr>
              <w:jc w:val="center"/>
              <w:rPr>
                <w:color w:val="auto"/>
                <w:szCs w:val="21"/>
                <w:highlight w:val="none"/>
              </w:rPr>
            </w:pPr>
          </w:p>
        </w:tc>
      </w:tr>
    </w:tbl>
    <w:p w14:paraId="1F2DAFDC">
      <w:pPr>
        <w:spacing w:line="360" w:lineRule="auto"/>
        <w:ind w:firstLine="420" w:firstLineChars="200"/>
        <w:jc w:val="left"/>
        <w:rPr>
          <w:rFonts w:ascii="宋体" w:hAnsi="宋体"/>
          <w:color w:val="auto"/>
          <w:highlight w:val="none"/>
        </w:rPr>
      </w:pPr>
    </w:p>
    <w:p w14:paraId="711FAAE5">
      <w:pPr>
        <w:spacing w:line="360" w:lineRule="auto"/>
        <w:ind w:firstLine="420" w:firstLineChars="200"/>
        <w:rPr>
          <w:rFonts w:ascii="宋体" w:hAnsi="宋体"/>
          <w:color w:val="auto"/>
          <w:highlight w:val="none"/>
        </w:rPr>
      </w:pPr>
      <w:r>
        <w:rPr>
          <w:rFonts w:ascii="宋体" w:hAnsi="宋体"/>
          <w:color w:val="auto"/>
          <w:highlight w:val="none"/>
        </w:rPr>
        <w:br w:type="page"/>
      </w:r>
    </w:p>
    <w:p w14:paraId="3EE2E451">
      <w:pPr>
        <w:pStyle w:val="4"/>
        <w:spacing w:line="360" w:lineRule="auto"/>
        <w:jc w:val="center"/>
        <w:rPr>
          <w:rFonts w:ascii="宋体" w:hAnsi="宋体"/>
          <w:b w:val="0"/>
          <w:bCs w:val="0"/>
          <w:color w:val="auto"/>
          <w:sz w:val="44"/>
          <w:szCs w:val="44"/>
          <w:highlight w:val="none"/>
        </w:rPr>
      </w:pPr>
      <w:bookmarkStart w:id="773" w:name="_Toc224103502"/>
      <w:bookmarkStart w:id="774" w:name="_Toc430530536"/>
      <w:bookmarkStart w:id="775" w:name="_Toc57905926"/>
      <w:bookmarkStart w:id="776" w:name="_Toc29644"/>
      <w:bookmarkStart w:id="777" w:name="_Toc287620821"/>
      <w:bookmarkStart w:id="778" w:name="_Toc287607874"/>
      <w:r>
        <w:rPr>
          <w:rFonts w:hint="eastAsia" w:ascii="宋体" w:hAnsi="宋体"/>
          <w:b w:val="0"/>
          <w:bCs w:val="0"/>
          <w:color w:val="auto"/>
          <w:sz w:val="44"/>
          <w:szCs w:val="44"/>
          <w:highlight w:val="none"/>
        </w:rPr>
        <w:t>三、技术部分</w:t>
      </w:r>
      <w:bookmarkEnd w:id="773"/>
      <w:bookmarkEnd w:id="774"/>
      <w:bookmarkEnd w:id="775"/>
      <w:bookmarkEnd w:id="776"/>
    </w:p>
    <w:bookmarkEnd w:id="777"/>
    <w:bookmarkEnd w:id="778"/>
    <w:p w14:paraId="3C75882F">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14:paraId="1173DFDD">
      <w:pPr>
        <w:pStyle w:val="18"/>
        <w:rPr>
          <w:color w:val="auto"/>
          <w:highlight w:val="none"/>
        </w:rPr>
      </w:pPr>
    </w:p>
    <w:p w14:paraId="507B21F6">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6FB3B2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71EE1A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8718AE0">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06783D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12E0420F">
      <w:pPr>
        <w:autoSpaceDE w:val="0"/>
        <w:autoSpaceDN w:val="0"/>
        <w:adjustRightInd w:val="0"/>
        <w:snapToGrid w:val="0"/>
        <w:spacing w:line="360" w:lineRule="auto"/>
        <w:jc w:val="left"/>
        <w:rPr>
          <w:rFonts w:ascii="宋体" w:hAnsi="宋体"/>
          <w:color w:val="auto"/>
          <w:kern w:val="0"/>
          <w:sz w:val="16"/>
          <w:szCs w:val="16"/>
          <w:highlight w:val="none"/>
        </w:rPr>
      </w:pPr>
    </w:p>
    <w:p w14:paraId="23624BB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技术部分</w:t>
      </w:r>
    </w:p>
    <w:p w14:paraId="792FCBCF">
      <w:pPr>
        <w:autoSpaceDE w:val="0"/>
        <w:autoSpaceDN w:val="0"/>
        <w:adjustRightInd w:val="0"/>
        <w:snapToGrid w:val="0"/>
        <w:spacing w:line="360" w:lineRule="auto"/>
        <w:jc w:val="left"/>
        <w:rPr>
          <w:rFonts w:ascii="宋体" w:hAnsi="宋体" w:cs="MingLiU"/>
          <w:color w:val="auto"/>
          <w:kern w:val="0"/>
          <w:sz w:val="20"/>
          <w:szCs w:val="20"/>
          <w:highlight w:val="none"/>
        </w:rPr>
      </w:pPr>
    </w:p>
    <w:p w14:paraId="3B2A302D">
      <w:pPr>
        <w:adjustRightInd w:val="0"/>
        <w:snapToGrid w:val="0"/>
        <w:spacing w:line="264" w:lineRule="auto"/>
        <w:rPr>
          <w:rFonts w:ascii="宋体" w:hAnsi="宋体"/>
          <w:color w:val="auto"/>
          <w:szCs w:val="21"/>
          <w:highlight w:val="none"/>
        </w:rPr>
      </w:pPr>
    </w:p>
    <w:p w14:paraId="41E8C935">
      <w:pPr>
        <w:autoSpaceDE w:val="0"/>
        <w:autoSpaceDN w:val="0"/>
        <w:adjustRightInd w:val="0"/>
        <w:snapToGrid w:val="0"/>
        <w:spacing w:line="360" w:lineRule="auto"/>
        <w:jc w:val="left"/>
        <w:rPr>
          <w:rFonts w:ascii="宋体" w:hAnsi="宋体" w:cs="MingLiU"/>
          <w:color w:val="auto"/>
          <w:kern w:val="0"/>
          <w:sz w:val="20"/>
          <w:szCs w:val="20"/>
          <w:highlight w:val="none"/>
        </w:rPr>
      </w:pPr>
    </w:p>
    <w:p w14:paraId="056CFBAC">
      <w:pPr>
        <w:autoSpaceDE w:val="0"/>
        <w:autoSpaceDN w:val="0"/>
        <w:adjustRightInd w:val="0"/>
        <w:snapToGrid w:val="0"/>
        <w:spacing w:line="360" w:lineRule="auto"/>
        <w:jc w:val="left"/>
        <w:rPr>
          <w:rFonts w:ascii="宋体" w:hAnsi="宋体" w:cs="MingLiU"/>
          <w:color w:val="auto"/>
          <w:kern w:val="0"/>
          <w:sz w:val="20"/>
          <w:szCs w:val="20"/>
          <w:highlight w:val="none"/>
        </w:rPr>
      </w:pPr>
    </w:p>
    <w:p w14:paraId="342EBDD5">
      <w:pPr>
        <w:autoSpaceDE w:val="0"/>
        <w:autoSpaceDN w:val="0"/>
        <w:adjustRightInd w:val="0"/>
        <w:snapToGrid w:val="0"/>
        <w:spacing w:line="360" w:lineRule="auto"/>
        <w:jc w:val="left"/>
        <w:rPr>
          <w:rFonts w:ascii="宋体" w:hAnsi="宋体" w:cs="MingLiU"/>
          <w:color w:val="auto"/>
          <w:kern w:val="0"/>
          <w:sz w:val="20"/>
          <w:szCs w:val="20"/>
          <w:highlight w:val="none"/>
        </w:rPr>
      </w:pPr>
    </w:p>
    <w:p w14:paraId="54D2D0F0">
      <w:pPr>
        <w:autoSpaceDE w:val="0"/>
        <w:autoSpaceDN w:val="0"/>
        <w:adjustRightInd w:val="0"/>
        <w:snapToGrid w:val="0"/>
        <w:spacing w:line="360" w:lineRule="auto"/>
        <w:jc w:val="left"/>
        <w:rPr>
          <w:rFonts w:ascii="宋体" w:hAnsi="宋体" w:cs="MingLiU"/>
          <w:color w:val="auto"/>
          <w:kern w:val="0"/>
          <w:sz w:val="20"/>
          <w:szCs w:val="20"/>
          <w:highlight w:val="none"/>
        </w:rPr>
      </w:pPr>
    </w:p>
    <w:p w14:paraId="02766291">
      <w:pPr>
        <w:autoSpaceDE w:val="0"/>
        <w:autoSpaceDN w:val="0"/>
        <w:adjustRightInd w:val="0"/>
        <w:snapToGrid w:val="0"/>
        <w:spacing w:line="360" w:lineRule="auto"/>
        <w:jc w:val="left"/>
        <w:rPr>
          <w:rFonts w:ascii="宋体" w:hAnsi="宋体" w:cs="MingLiU"/>
          <w:color w:val="auto"/>
          <w:kern w:val="0"/>
          <w:sz w:val="20"/>
          <w:szCs w:val="20"/>
          <w:highlight w:val="none"/>
        </w:rPr>
      </w:pPr>
    </w:p>
    <w:p w14:paraId="63854F1B">
      <w:pPr>
        <w:autoSpaceDE w:val="0"/>
        <w:autoSpaceDN w:val="0"/>
        <w:adjustRightInd w:val="0"/>
        <w:snapToGrid w:val="0"/>
        <w:spacing w:line="360" w:lineRule="auto"/>
        <w:jc w:val="left"/>
        <w:rPr>
          <w:rFonts w:ascii="宋体" w:hAnsi="宋体" w:cs="MingLiU"/>
          <w:color w:val="auto"/>
          <w:kern w:val="0"/>
          <w:sz w:val="20"/>
          <w:szCs w:val="20"/>
          <w:highlight w:val="none"/>
        </w:rPr>
      </w:pPr>
    </w:p>
    <w:p w14:paraId="601006FC">
      <w:pPr>
        <w:autoSpaceDE w:val="0"/>
        <w:autoSpaceDN w:val="0"/>
        <w:adjustRightInd w:val="0"/>
        <w:snapToGrid w:val="0"/>
        <w:spacing w:line="360" w:lineRule="auto"/>
        <w:jc w:val="left"/>
        <w:rPr>
          <w:rFonts w:ascii="宋体" w:hAnsi="宋体" w:cs="MingLiU"/>
          <w:color w:val="auto"/>
          <w:kern w:val="0"/>
          <w:sz w:val="20"/>
          <w:szCs w:val="20"/>
          <w:highlight w:val="none"/>
        </w:rPr>
      </w:pPr>
    </w:p>
    <w:p w14:paraId="6C69BC08">
      <w:pPr>
        <w:autoSpaceDE w:val="0"/>
        <w:autoSpaceDN w:val="0"/>
        <w:adjustRightInd w:val="0"/>
        <w:snapToGrid w:val="0"/>
        <w:spacing w:line="360" w:lineRule="auto"/>
        <w:jc w:val="left"/>
        <w:rPr>
          <w:rFonts w:ascii="宋体" w:hAnsi="宋体" w:cs="MingLiU"/>
          <w:color w:val="auto"/>
          <w:kern w:val="0"/>
          <w:sz w:val="20"/>
          <w:szCs w:val="20"/>
          <w:highlight w:val="none"/>
        </w:rPr>
      </w:pPr>
    </w:p>
    <w:p w14:paraId="2466DB8D">
      <w:pPr>
        <w:autoSpaceDE w:val="0"/>
        <w:autoSpaceDN w:val="0"/>
        <w:adjustRightInd w:val="0"/>
        <w:snapToGrid w:val="0"/>
        <w:spacing w:line="360" w:lineRule="auto"/>
        <w:jc w:val="left"/>
        <w:rPr>
          <w:rFonts w:ascii="宋体" w:hAnsi="宋体" w:cs="MingLiU"/>
          <w:color w:val="auto"/>
          <w:kern w:val="0"/>
          <w:sz w:val="20"/>
          <w:szCs w:val="20"/>
          <w:highlight w:val="none"/>
        </w:rPr>
      </w:pPr>
    </w:p>
    <w:p w14:paraId="45510099">
      <w:pPr>
        <w:autoSpaceDE w:val="0"/>
        <w:autoSpaceDN w:val="0"/>
        <w:adjustRightInd w:val="0"/>
        <w:snapToGrid w:val="0"/>
        <w:spacing w:line="360" w:lineRule="auto"/>
        <w:jc w:val="left"/>
        <w:rPr>
          <w:rFonts w:ascii="宋体" w:hAnsi="宋体" w:cs="MingLiU"/>
          <w:color w:val="auto"/>
          <w:kern w:val="0"/>
          <w:sz w:val="20"/>
          <w:szCs w:val="20"/>
          <w:highlight w:val="none"/>
        </w:rPr>
      </w:pPr>
    </w:p>
    <w:p w14:paraId="76AFD7D9">
      <w:pPr>
        <w:autoSpaceDE w:val="0"/>
        <w:autoSpaceDN w:val="0"/>
        <w:adjustRightInd w:val="0"/>
        <w:snapToGrid w:val="0"/>
        <w:spacing w:line="360" w:lineRule="auto"/>
        <w:jc w:val="left"/>
        <w:rPr>
          <w:rFonts w:ascii="宋体" w:hAnsi="宋体" w:cs="MingLiU"/>
          <w:color w:val="auto"/>
          <w:kern w:val="0"/>
          <w:sz w:val="20"/>
          <w:szCs w:val="20"/>
          <w:highlight w:val="none"/>
        </w:rPr>
      </w:pPr>
    </w:p>
    <w:p w14:paraId="330BFB0F">
      <w:pPr>
        <w:autoSpaceDE w:val="0"/>
        <w:autoSpaceDN w:val="0"/>
        <w:adjustRightInd w:val="0"/>
        <w:snapToGrid w:val="0"/>
        <w:spacing w:line="360" w:lineRule="auto"/>
        <w:jc w:val="left"/>
        <w:rPr>
          <w:rFonts w:ascii="宋体" w:hAnsi="宋体" w:cs="MingLiU"/>
          <w:color w:val="auto"/>
          <w:kern w:val="0"/>
          <w:sz w:val="20"/>
          <w:szCs w:val="20"/>
          <w:highlight w:val="none"/>
        </w:rPr>
      </w:pPr>
    </w:p>
    <w:p w14:paraId="6994435A">
      <w:pPr>
        <w:autoSpaceDE w:val="0"/>
        <w:autoSpaceDN w:val="0"/>
        <w:adjustRightInd w:val="0"/>
        <w:snapToGrid w:val="0"/>
        <w:spacing w:line="360" w:lineRule="auto"/>
        <w:jc w:val="left"/>
        <w:rPr>
          <w:rFonts w:ascii="宋体" w:hAnsi="宋体" w:cs="MingLiU"/>
          <w:color w:val="auto"/>
          <w:kern w:val="0"/>
          <w:sz w:val="20"/>
          <w:szCs w:val="20"/>
          <w:highlight w:val="none"/>
        </w:rPr>
      </w:pPr>
    </w:p>
    <w:p w14:paraId="5E9B82ED">
      <w:pPr>
        <w:autoSpaceDE w:val="0"/>
        <w:autoSpaceDN w:val="0"/>
        <w:adjustRightInd w:val="0"/>
        <w:snapToGrid w:val="0"/>
        <w:spacing w:line="360" w:lineRule="auto"/>
        <w:jc w:val="left"/>
        <w:rPr>
          <w:rFonts w:ascii="宋体" w:hAnsi="宋体" w:cs="MingLiU"/>
          <w:color w:val="auto"/>
          <w:kern w:val="0"/>
          <w:sz w:val="20"/>
          <w:szCs w:val="20"/>
          <w:highlight w:val="none"/>
        </w:rPr>
      </w:pPr>
    </w:p>
    <w:p w14:paraId="55B9B853">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09FD677">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39D5839F">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6A6C51CF">
      <w:pPr>
        <w:autoSpaceDE w:val="0"/>
        <w:autoSpaceDN w:val="0"/>
        <w:adjustRightInd w:val="0"/>
        <w:snapToGrid w:val="0"/>
        <w:spacing w:line="360" w:lineRule="auto"/>
        <w:jc w:val="center"/>
        <w:rPr>
          <w:rFonts w:ascii="宋体" w:hAnsi="宋体"/>
          <w:color w:val="auto"/>
          <w:kern w:val="0"/>
          <w:sz w:val="36"/>
          <w:szCs w:val="36"/>
          <w:highlight w:val="none"/>
        </w:rPr>
      </w:pPr>
    </w:p>
    <w:p w14:paraId="18594E89">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74C0A999">
      <w:pPr>
        <w:autoSpaceDE w:val="0"/>
        <w:autoSpaceDN w:val="0"/>
        <w:adjustRightInd w:val="0"/>
        <w:snapToGrid w:val="0"/>
        <w:spacing w:line="360" w:lineRule="auto"/>
        <w:jc w:val="left"/>
        <w:rPr>
          <w:rFonts w:ascii="宋体" w:hAnsi="宋体"/>
          <w:color w:val="auto"/>
          <w:kern w:val="0"/>
          <w:sz w:val="32"/>
          <w:szCs w:val="32"/>
          <w:highlight w:val="none"/>
        </w:rPr>
      </w:pPr>
    </w:p>
    <w:p w14:paraId="58FDBE75">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竞标人</w:t>
      </w:r>
      <w:r>
        <w:rPr>
          <w:rFonts w:ascii="宋体" w:hAnsi="宋体"/>
          <w:i/>
          <w:iCs/>
          <w:color w:val="auto"/>
          <w:kern w:val="0"/>
          <w:szCs w:val="21"/>
          <w:highlight w:val="none"/>
        </w:rPr>
        <w:t>自行编制]</w:t>
      </w:r>
    </w:p>
    <w:p w14:paraId="12CE50F0">
      <w:pPr>
        <w:autoSpaceDE w:val="0"/>
        <w:autoSpaceDN w:val="0"/>
        <w:adjustRightInd w:val="0"/>
        <w:snapToGrid w:val="0"/>
        <w:spacing w:line="360" w:lineRule="auto"/>
        <w:jc w:val="left"/>
        <w:rPr>
          <w:rFonts w:ascii="宋体" w:hAnsi="宋体"/>
          <w:color w:val="auto"/>
          <w:w w:val="99"/>
          <w:kern w:val="0"/>
          <w:sz w:val="28"/>
          <w:szCs w:val="28"/>
          <w:highlight w:val="none"/>
        </w:rPr>
      </w:pPr>
    </w:p>
    <w:p w14:paraId="0D3A8344">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779" w:name="_Toc24185"/>
      <w:bookmarkStart w:id="780" w:name="_Toc29745"/>
      <w:bookmarkStart w:id="781" w:name="_Toc7282"/>
      <w:r>
        <w:rPr>
          <w:rStyle w:val="321"/>
          <w:rFonts w:hint="eastAsia"/>
          <w:color w:val="auto"/>
          <w:highlight w:val="none"/>
        </w:rPr>
        <w:t>技术方案</w:t>
      </w:r>
      <w:bookmarkEnd w:id="779"/>
      <w:bookmarkEnd w:id="780"/>
      <w:bookmarkEnd w:id="781"/>
    </w:p>
    <w:p w14:paraId="36549953">
      <w:pPr>
        <w:autoSpaceDE w:val="0"/>
        <w:autoSpaceDN w:val="0"/>
        <w:adjustRightInd w:val="0"/>
        <w:snapToGrid w:val="0"/>
        <w:spacing w:line="360" w:lineRule="auto"/>
        <w:jc w:val="left"/>
        <w:rPr>
          <w:rFonts w:ascii="宋体" w:hAnsi="宋体"/>
          <w:color w:val="auto"/>
          <w:kern w:val="0"/>
          <w:sz w:val="12"/>
          <w:szCs w:val="12"/>
          <w:highlight w:val="none"/>
        </w:rPr>
      </w:pPr>
    </w:p>
    <w:p w14:paraId="259CB280">
      <w:pPr>
        <w:autoSpaceDE w:val="0"/>
        <w:autoSpaceDN w:val="0"/>
        <w:adjustRightInd w:val="0"/>
        <w:snapToGrid w:val="0"/>
        <w:spacing w:line="360" w:lineRule="auto"/>
        <w:jc w:val="center"/>
        <w:rPr>
          <w:rFonts w:ascii="宋体" w:hAnsi="宋体"/>
          <w:color w:val="auto"/>
          <w:w w:val="99"/>
          <w:kern w:val="0"/>
          <w:sz w:val="28"/>
          <w:szCs w:val="28"/>
          <w:highlight w:val="none"/>
        </w:rPr>
      </w:pPr>
      <w:r>
        <w:rPr>
          <w:rFonts w:hint="eastAsia" w:ascii="宋体" w:hAnsi="宋体"/>
          <w:i/>
          <w:color w:val="auto"/>
          <w:kern w:val="0"/>
          <w:szCs w:val="21"/>
          <w:highlight w:val="none"/>
        </w:rPr>
        <w:t>[提示：竞标人应根据比选文件的要求编制技术方案]</w:t>
      </w:r>
    </w:p>
    <w:p w14:paraId="14495D5C">
      <w:pPr>
        <w:autoSpaceDE w:val="0"/>
        <w:autoSpaceDN w:val="0"/>
        <w:adjustRightInd w:val="0"/>
        <w:snapToGrid w:val="0"/>
        <w:spacing w:line="360" w:lineRule="auto"/>
        <w:jc w:val="center"/>
        <w:rPr>
          <w:rFonts w:ascii="宋体" w:hAnsi="宋体"/>
          <w:color w:val="auto"/>
          <w:sz w:val="36"/>
          <w:szCs w:val="36"/>
          <w:highlight w:val="none"/>
        </w:rPr>
      </w:pPr>
      <w:bookmarkStart w:id="782" w:name="_Toc287607876"/>
      <w:bookmarkStart w:id="783" w:name="_Toc287620823"/>
      <w:bookmarkStart w:id="784" w:name="_Toc224103504"/>
      <w:bookmarkStart w:id="785" w:name="_Toc277082650"/>
      <w:bookmarkStart w:id="786" w:name="_Toc224103507"/>
      <w:bookmarkStart w:id="787" w:name="_Toc430530539"/>
      <w:bookmarkStart w:id="788" w:name="_Toc287620826"/>
      <w:bookmarkStart w:id="789" w:name="_Toc287607879"/>
      <w:bookmarkStart w:id="790" w:name="_Toc277082653"/>
      <w:r>
        <w:rPr>
          <w:color w:val="auto"/>
          <w:highlight w:val="none"/>
        </w:rPr>
        <w:br w:type="page"/>
      </w:r>
      <w:bookmarkEnd w:id="782"/>
      <w:bookmarkEnd w:id="783"/>
      <w:bookmarkEnd w:id="784"/>
      <w:bookmarkEnd w:id="785"/>
      <w:bookmarkEnd w:id="786"/>
      <w:bookmarkEnd w:id="787"/>
      <w:bookmarkEnd w:id="788"/>
      <w:bookmarkEnd w:id="789"/>
      <w:bookmarkEnd w:id="790"/>
    </w:p>
    <w:p w14:paraId="05C4C554">
      <w:pPr>
        <w:pStyle w:val="4"/>
        <w:spacing w:line="360" w:lineRule="auto"/>
        <w:jc w:val="center"/>
        <w:rPr>
          <w:rFonts w:ascii="宋体" w:hAnsi="宋体"/>
          <w:b w:val="0"/>
          <w:bCs w:val="0"/>
          <w:color w:val="auto"/>
          <w:sz w:val="44"/>
          <w:szCs w:val="44"/>
          <w:highlight w:val="none"/>
        </w:rPr>
      </w:pPr>
      <w:bookmarkStart w:id="791" w:name="_Toc287607882"/>
      <w:bookmarkStart w:id="792" w:name="_Toc430530545"/>
      <w:bookmarkStart w:id="793" w:name="_Toc287620829"/>
      <w:bookmarkStart w:id="794" w:name="_Toc277082656"/>
      <w:bookmarkStart w:id="795" w:name="_Toc224103510"/>
      <w:bookmarkStart w:id="796" w:name="_Toc57905928"/>
      <w:bookmarkStart w:id="797" w:name="_Toc27141"/>
      <w:r>
        <w:rPr>
          <w:rFonts w:hint="eastAsia" w:ascii="宋体" w:hAnsi="宋体"/>
          <w:b w:val="0"/>
          <w:bCs w:val="0"/>
          <w:color w:val="auto"/>
          <w:sz w:val="44"/>
          <w:szCs w:val="44"/>
          <w:highlight w:val="none"/>
        </w:rPr>
        <w:t>三、</w:t>
      </w:r>
      <w:bookmarkEnd w:id="791"/>
      <w:bookmarkEnd w:id="792"/>
      <w:bookmarkEnd w:id="793"/>
      <w:bookmarkEnd w:id="794"/>
      <w:bookmarkEnd w:id="795"/>
      <w:r>
        <w:rPr>
          <w:rFonts w:hint="eastAsia" w:ascii="宋体" w:hAnsi="宋体"/>
          <w:b w:val="0"/>
          <w:bCs w:val="0"/>
          <w:color w:val="auto"/>
          <w:sz w:val="44"/>
          <w:szCs w:val="44"/>
          <w:highlight w:val="none"/>
        </w:rPr>
        <w:t>资格审查部分</w:t>
      </w:r>
      <w:bookmarkEnd w:id="796"/>
      <w:bookmarkEnd w:id="797"/>
    </w:p>
    <w:p w14:paraId="0061F7E7">
      <w:pPr>
        <w:spacing w:line="360" w:lineRule="auto"/>
        <w:rPr>
          <w:rFonts w:ascii="宋体" w:hAnsi="宋体"/>
          <w:color w:val="auto"/>
          <w:sz w:val="32"/>
          <w:szCs w:val="32"/>
          <w:highlight w:val="none"/>
        </w:rPr>
      </w:pPr>
    </w:p>
    <w:p w14:paraId="0A7D7C52">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5E5578D1">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57D1D68">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873A75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842C23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D6F9BA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29B0578C">
      <w:pPr>
        <w:autoSpaceDE w:val="0"/>
        <w:autoSpaceDN w:val="0"/>
        <w:adjustRightInd w:val="0"/>
        <w:snapToGrid w:val="0"/>
        <w:spacing w:line="360" w:lineRule="auto"/>
        <w:jc w:val="left"/>
        <w:rPr>
          <w:rFonts w:ascii="宋体" w:hAnsi="宋体"/>
          <w:color w:val="auto"/>
          <w:kern w:val="0"/>
          <w:sz w:val="16"/>
          <w:szCs w:val="16"/>
          <w:highlight w:val="none"/>
        </w:rPr>
      </w:pPr>
    </w:p>
    <w:p w14:paraId="143E7638">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7B39A4D9">
      <w:pPr>
        <w:autoSpaceDE w:val="0"/>
        <w:autoSpaceDN w:val="0"/>
        <w:adjustRightInd w:val="0"/>
        <w:snapToGrid w:val="0"/>
        <w:spacing w:line="360" w:lineRule="auto"/>
        <w:jc w:val="left"/>
        <w:rPr>
          <w:rFonts w:ascii="宋体" w:hAnsi="宋体" w:cs="MingLiU"/>
          <w:color w:val="auto"/>
          <w:kern w:val="0"/>
          <w:sz w:val="20"/>
          <w:szCs w:val="20"/>
          <w:highlight w:val="none"/>
        </w:rPr>
      </w:pPr>
    </w:p>
    <w:p w14:paraId="699424EA">
      <w:pPr>
        <w:adjustRightInd w:val="0"/>
        <w:snapToGrid w:val="0"/>
        <w:spacing w:line="264" w:lineRule="auto"/>
        <w:rPr>
          <w:rFonts w:ascii="宋体" w:hAnsi="宋体"/>
          <w:color w:val="auto"/>
          <w:szCs w:val="21"/>
          <w:highlight w:val="none"/>
        </w:rPr>
      </w:pPr>
    </w:p>
    <w:p w14:paraId="07FF2C23">
      <w:pPr>
        <w:autoSpaceDE w:val="0"/>
        <w:autoSpaceDN w:val="0"/>
        <w:adjustRightInd w:val="0"/>
        <w:snapToGrid w:val="0"/>
        <w:spacing w:line="360" w:lineRule="auto"/>
        <w:jc w:val="left"/>
        <w:rPr>
          <w:rFonts w:ascii="宋体" w:hAnsi="宋体" w:cs="MingLiU"/>
          <w:color w:val="auto"/>
          <w:kern w:val="0"/>
          <w:sz w:val="20"/>
          <w:szCs w:val="20"/>
          <w:highlight w:val="none"/>
        </w:rPr>
      </w:pPr>
    </w:p>
    <w:p w14:paraId="34470284">
      <w:pPr>
        <w:autoSpaceDE w:val="0"/>
        <w:autoSpaceDN w:val="0"/>
        <w:adjustRightInd w:val="0"/>
        <w:snapToGrid w:val="0"/>
        <w:spacing w:line="360" w:lineRule="auto"/>
        <w:jc w:val="left"/>
        <w:rPr>
          <w:rFonts w:ascii="宋体" w:hAnsi="宋体" w:cs="MingLiU"/>
          <w:color w:val="auto"/>
          <w:kern w:val="0"/>
          <w:sz w:val="20"/>
          <w:szCs w:val="20"/>
          <w:highlight w:val="none"/>
        </w:rPr>
      </w:pPr>
    </w:p>
    <w:p w14:paraId="4438AA85">
      <w:pPr>
        <w:autoSpaceDE w:val="0"/>
        <w:autoSpaceDN w:val="0"/>
        <w:adjustRightInd w:val="0"/>
        <w:snapToGrid w:val="0"/>
        <w:spacing w:line="360" w:lineRule="auto"/>
        <w:jc w:val="left"/>
        <w:rPr>
          <w:rFonts w:ascii="宋体" w:hAnsi="宋体" w:cs="MingLiU"/>
          <w:color w:val="auto"/>
          <w:kern w:val="0"/>
          <w:sz w:val="20"/>
          <w:szCs w:val="20"/>
          <w:highlight w:val="none"/>
        </w:rPr>
      </w:pPr>
    </w:p>
    <w:p w14:paraId="68659FAD">
      <w:pPr>
        <w:autoSpaceDE w:val="0"/>
        <w:autoSpaceDN w:val="0"/>
        <w:adjustRightInd w:val="0"/>
        <w:snapToGrid w:val="0"/>
        <w:spacing w:line="360" w:lineRule="auto"/>
        <w:jc w:val="left"/>
        <w:rPr>
          <w:rFonts w:ascii="宋体" w:hAnsi="宋体" w:cs="MingLiU"/>
          <w:color w:val="auto"/>
          <w:kern w:val="0"/>
          <w:sz w:val="20"/>
          <w:szCs w:val="20"/>
          <w:highlight w:val="none"/>
        </w:rPr>
      </w:pPr>
    </w:p>
    <w:p w14:paraId="53A333C8">
      <w:pPr>
        <w:autoSpaceDE w:val="0"/>
        <w:autoSpaceDN w:val="0"/>
        <w:adjustRightInd w:val="0"/>
        <w:snapToGrid w:val="0"/>
        <w:spacing w:line="360" w:lineRule="auto"/>
        <w:jc w:val="left"/>
        <w:rPr>
          <w:rFonts w:ascii="宋体" w:hAnsi="宋体" w:cs="MingLiU"/>
          <w:color w:val="auto"/>
          <w:kern w:val="0"/>
          <w:sz w:val="20"/>
          <w:szCs w:val="20"/>
          <w:highlight w:val="none"/>
        </w:rPr>
      </w:pPr>
    </w:p>
    <w:p w14:paraId="5B70774B">
      <w:pPr>
        <w:autoSpaceDE w:val="0"/>
        <w:autoSpaceDN w:val="0"/>
        <w:adjustRightInd w:val="0"/>
        <w:snapToGrid w:val="0"/>
        <w:spacing w:line="360" w:lineRule="auto"/>
        <w:jc w:val="left"/>
        <w:rPr>
          <w:rFonts w:ascii="宋体" w:hAnsi="宋体" w:cs="MingLiU"/>
          <w:color w:val="auto"/>
          <w:kern w:val="0"/>
          <w:sz w:val="20"/>
          <w:szCs w:val="20"/>
          <w:highlight w:val="none"/>
        </w:rPr>
      </w:pPr>
    </w:p>
    <w:p w14:paraId="48F1AADB">
      <w:pPr>
        <w:autoSpaceDE w:val="0"/>
        <w:autoSpaceDN w:val="0"/>
        <w:adjustRightInd w:val="0"/>
        <w:snapToGrid w:val="0"/>
        <w:spacing w:line="360" w:lineRule="auto"/>
        <w:jc w:val="left"/>
        <w:rPr>
          <w:rFonts w:ascii="宋体" w:hAnsi="宋体" w:cs="MingLiU"/>
          <w:color w:val="auto"/>
          <w:kern w:val="0"/>
          <w:sz w:val="20"/>
          <w:szCs w:val="20"/>
          <w:highlight w:val="none"/>
        </w:rPr>
      </w:pPr>
    </w:p>
    <w:p w14:paraId="5AFA1456">
      <w:pPr>
        <w:autoSpaceDE w:val="0"/>
        <w:autoSpaceDN w:val="0"/>
        <w:adjustRightInd w:val="0"/>
        <w:snapToGrid w:val="0"/>
        <w:spacing w:line="360" w:lineRule="auto"/>
        <w:jc w:val="left"/>
        <w:rPr>
          <w:rFonts w:ascii="宋体" w:hAnsi="宋体" w:cs="MingLiU"/>
          <w:color w:val="auto"/>
          <w:kern w:val="0"/>
          <w:sz w:val="20"/>
          <w:szCs w:val="20"/>
          <w:highlight w:val="none"/>
        </w:rPr>
      </w:pPr>
    </w:p>
    <w:p w14:paraId="7B58ADCC">
      <w:pPr>
        <w:autoSpaceDE w:val="0"/>
        <w:autoSpaceDN w:val="0"/>
        <w:adjustRightInd w:val="0"/>
        <w:snapToGrid w:val="0"/>
        <w:spacing w:line="360" w:lineRule="auto"/>
        <w:jc w:val="left"/>
        <w:rPr>
          <w:rFonts w:ascii="宋体" w:hAnsi="宋体" w:cs="MingLiU"/>
          <w:color w:val="auto"/>
          <w:kern w:val="0"/>
          <w:sz w:val="20"/>
          <w:szCs w:val="20"/>
          <w:highlight w:val="none"/>
        </w:rPr>
      </w:pPr>
    </w:p>
    <w:p w14:paraId="6EBE9758">
      <w:pPr>
        <w:autoSpaceDE w:val="0"/>
        <w:autoSpaceDN w:val="0"/>
        <w:adjustRightInd w:val="0"/>
        <w:snapToGrid w:val="0"/>
        <w:spacing w:line="360" w:lineRule="auto"/>
        <w:jc w:val="left"/>
        <w:rPr>
          <w:rFonts w:ascii="宋体" w:hAnsi="宋体" w:cs="MingLiU"/>
          <w:color w:val="auto"/>
          <w:kern w:val="0"/>
          <w:sz w:val="20"/>
          <w:szCs w:val="20"/>
          <w:highlight w:val="none"/>
        </w:rPr>
      </w:pPr>
    </w:p>
    <w:p w14:paraId="7E263886">
      <w:pPr>
        <w:autoSpaceDE w:val="0"/>
        <w:autoSpaceDN w:val="0"/>
        <w:adjustRightInd w:val="0"/>
        <w:snapToGrid w:val="0"/>
        <w:spacing w:line="360" w:lineRule="auto"/>
        <w:jc w:val="left"/>
        <w:rPr>
          <w:rFonts w:ascii="宋体" w:hAnsi="宋体" w:cs="MingLiU"/>
          <w:color w:val="auto"/>
          <w:kern w:val="0"/>
          <w:sz w:val="20"/>
          <w:szCs w:val="20"/>
          <w:highlight w:val="none"/>
        </w:rPr>
      </w:pPr>
    </w:p>
    <w:p w14:paraId="4D31D571">
      <w:pPr>
        <w:autoSpaceDE w:val="0"/>
        <w:autoSpaceDN w:val="0"/>
        <w:adjustRightInd w:val="0"/>
        <w:snapToGrid w:val="0"/>
        <w:spacing w:line="360" w:lineRule="auto"/>
        <w:jc w:val="left"/>
        <w:rPr>
          <w:rFonts w:ascii="宋体" w:hAnsi="宋体" w:cs="MingLiU"/>
          <w:color w:val="auto"/>
          <w:kern w:val="0"/>
          <w:sz w:val="20"/>
          <w:szCs w:val="20"/>
          <w:highlight w:val="none"/>
        </w:rPr>
      </w:pPr>
    </w:p>
    <w:p w14:paraId="7837BCFA">
      <w:pPr>
        <w:autoSpaceDE w:val="0"/>
        <w:autoSpaceDN w:val="0"/>
        <w:adjustRightInd w:val="0"/>
        <w:snapToGrid w:val="0"/>
        <w:spacing w:line="360" w:lineRule="auto"/>
        <w:jc w:val="left"/>
        <w:rPr>
          <w:rFonts w:ascii="宋体" w:hAnsi="宋体" w:cs="MingLiU"/>
          <w:color w:val="auto"/>
          <w:kern w:val="0"/>
          <w:sz w:val="20"/>
          <w:szCs w:val="20"/>
          <w:highlight w:val="none"/>
        </w:rPr>
      </w:pPr>
    </w:p>
    <w:p w14:paraId="1C67D4CC">
      <w:pPr>
        <w:autoSpaceDE w:val="0"/>
        <w:autoSpaceDN w:val="0"/>
        <w:adjustRightInd w:val="0"/>
        <w:snapToGrid w:val="0"/>
        <w:spacing w:line="360" w:lineRule="auto"/>
        <w:jc w:val="left"/>
        <w:rPr>
          <w:rFonts w:ascii="宋体" w:hAnsi="宋体" w:cs="MingLiU"/>
          <w:color w:val="auto"/>
          <w:kern w:val="0"/>
          <w:sz w:val="20"/>
          <w:szCs w:val="20"/>
          <w:highlight w:val="none"/>
        </w:rPr>
      </w:pPr>
    </w:p>
    <w:p w14:paraId="3B4F871C">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C77FCA2">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7EA5FE5">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156B35D">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1773DE0E">
      <w:pPr>
        <w:spacing w:line="360" w:lineRule="auto"/>
        <w:jc w:val="center"/>
        <w:rPr>
          <w:rFonts w:ascii="宋体" w:hAnsi="宋体"/>
          <w:b/>
          <w:color w:val="auto"/>
          <w:kern w:val="0"/>
          <w:sz w:val="32"/>
          <w:szCs w:val="32"/>
          <w:highlight w:val="none"/>
        </w:rPr>
      </w:pPr>
    </w:p>
    <w:p w14:paraId="4E166010">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2096E38F">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竞选人</w:t>
      </w:r>
      <w:r>
        <w:rPr>
          <w:rFonts w:ascii="宋体" w:hAnsi="宋体"/>
          <w:color w:val="auto"/>
          <w:szCs w:val="21"/>
          <w:highlight w:val="none"/>
        </w:rPr>
        <w:t>基本情况表</w:t>
      </w:r>
    </w:p>
    <w:p w14:paraId="7DF54DA0">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479B6B73">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005CB2D6">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40A39D9E">
      <w:pPr>
        <w:spacing w:line="360" w:lineRule="auto"/>
        <w:jc w:val="center"/>
        <w:rPr>
          <w:rFonts w:ascii="宋体" w:hAnsi="宋体"/>
          <w:b/>
          <w:color w:val="auto"/>
          <w:kern w:val="0"/>
          <w:sz w:val="32"/>
          <w:szCs w:val="32"/>
          <w:highlight w:val="none"/>
        </w:rPr>
      </w:pPr>
    </w:p>
    <w:p w14:paraId="43ACD12A">
      <w:pPr>
        <w:spacing w:line="360" w:lineRule="auto"/>
        <w:jc w:val="center"/>
        <w:rPr>
          <w:rFonts w:ascii="宋体" w:hAnsi="宋体"/>
          <w:b/>
          <w:color w:val="auto"/>
          <w:kern w:val="0"/>
          <w:sz w:val="32"/>
          <w:szCs w:val="32"/>
          <w:highlight w:val="none"/>
        </w:rPr>
      </w:pPr>
    </w:p>
    <w:p w14:paraId="1C20AA30">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798" w:name="_Toc5633"/>
      <w:bookmarkStart w:id="799" w:name="_Toc57905929"/>
      <w:bookmarkStart w:id="800" w:name="_Toc287607883"/>
      <w:bookmarkStart w:id="801" w:name="_Toc224103511"/>
      <w:bookmarkStart w:id="802" w:name="_Toc430530546"/>
      <w:bookmarkStart w:id="803" w:name="_Toc277082657"/>
      <w:bookmarkStart w:id="804" w:name="_Toc287620830"/>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798"/>
      <w:bookmarkEnd w:id="799"/>
    </w:p>
    <w:p w14:paraId="316B5909">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6A6408E7">
      <w:pPr>
        <w:spacing w:line="480" w:lineRule="auto"/>
        <w:jc w:val="center"/>
        <w:rPr>
          <w:rFonts w:ascii="宋体" w:hAnsi="宋体"/>
          <w:color w:val="auto"/>
          <w:highlight w:val="none"/>
        </w:rPr>
      </w:pPr>
    </w:p>
    <w:p w14:paraId="762E75DF">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BF0830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3C79A5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7C7A3D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26516F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D425BE0">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BB92AA6">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142DC453">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175F639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32BABB3">
      <w:pPr>
        <w:autoSpaceDE w:val="0"/>
        <w:autoSpaceDN w:val="0"/>
        <w:adjustRightInd w:val="0"/>
        <w:snapToGrid w:val="0"/>
        <w:spacing w:line="360" w:lineRule="auto"/>
        <w:jc w:val="left"/>
        <w:rPr>
          <w:rFonts w:ascii="宋体" w:hAnsi="宋体"/>
          <w:color w:val="auto"/>
          <w:szCs w:val="21"/>
          <w:highlight w:val="none"/>
        </w:rPr>
      </w:pPr>
    </w:p>
    <w:p w14:paraId="5061538A">
      <w:pPr>
        <w:pStyle w:val="18"/>
        <w:spacing w:after="0" w:line="360" w:lineRule="auto"/>
        <w:rPr>
          <w:rFonts w:ascii="宋体" w:hAnsi="宋体"/>
          <w:color w:val="auto"/>
          <w:szCs w:val="21"/>
          <w:highlight w:val="none"/>
        </w:rPr>
      </w:pPr>
    </w:p>
    <w:p w14:paraId="3ECF458C">
      <w:pPr>
        <w:pStyle w:val="18"/>
        <w:spacing w:after="0" w:line="360" w:lineRule="auto"/>
        <w:rPr>
          <w:rFonts w:ascii="宋体" w:hAnsi="宋体"/>
          <w:color w:val="auto"/>
          <w:szCs w:val="21"/>
          <w:highlight w:val="none"/>
        </w:rPr>
      </w:pPr>
    </w:p>
    <w:p w14:paraId="373B5FC9">
      <w:pPr>
        <w:pStyle w:val="18"/>
        <w:spacing w:after="0" w:line="360" w:lineRule="auto"/>
        <w:rPr>
          <w:rFonts w:ascii="宋体" w:hAnsi="宋体"/>
          <w:color w:val="auto"/>
          <w:szCs w:val="21"/>
          <w:highlight w:val="none"/>
        </w:rPr>
      </w:pPr>
    </w:p>
    <w:p w14:paraId="566972AF">
      <w:pPr>
        <w:pStyle w:val="18"/>
        <w:spacing w:after="0" w:line="360" w:lineRule="auto"/>
        <w:rPr>
          <w:rFonts w:ascii="宋体" w:hAnsi="宋体"/>
          <w:color w:val="auto"/>
          <w:szCs w:val="21"/>
          <w:highlight w:val="none"/>
        </w:rPr>
      </w:pPr>
    </w:p>
    <w:p w14:paraId="45B51E3F">
      <w:pPr>
        <w:pStyle w:val="18"/>
        <w:spacing w:after="0" w:line="360" w:lineRule="auto"/>
        <w:rPr>
          <w:rFonts w:ascii="宋体" w:hAnsi="宋体"/>
          <w:color w:val="auto"/>
          <w:szCs w:val="21"/>
          <w:highlight w:val="none"/>
        </w:rPr>
      </w:pPr>
    </w:p>
    <w:p w14:paraId="201ECA5C">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DCF5751">
      <w:pPr>
        <w:autoSpaceDE w:val="0"/>
        <w:autoSpaceDN w:val="0"/>
        <w:adjustRightInd w:val="0"/>
        <w:snapToGrid w:val="0"/>
        <w:spacing w:line="480" w:lineRule="auto"/>
        <w:jc w:val="left"/>
        <w:rPr>
          <w:rFonts w:ascii="宋体" w:hAnsi="宋体"/>
          <w:color w:val="auto"/>
          <w:kern w:val="0"/>
          <w:sz w:val="20"/>
          <w:szCs w:val="20"/>
          <w:highlight w:val="none"/>
        </w:rPr>
      </w:pPr>
    </w:p>
    <w:p w14:paraId="1C62A4F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EDD31CD">
      <w:pPr>
        <w:autoSpaceDE w:val="0"/>
        <w:autoSpaceDN w:val="0"/>
        <w:adjustRightInd w:val="0"/>
        <w:snapToGrid w:val="0"/>
        <w:spacing w:line="360" w:lineRule="auto"/>
        <w:jc w:val="left"/>
        <w:rPr>
          <w:rFonts w:ascii="宋体" w:hAnsi="宋体"/>
          <w:color w:val="auto"/>
          <w:kern w:val="0"/>
          <w:highlight w:val="none"/>
        </w:rPr>
      </w:pPr>
    </w:p>
    <w:p w14:paraId="12AB61D6">
      <w:pPr>
        <w:autoSpaceDE w:val="0"/>
        <w:autoSpaceDN w:val="0"/>
        <w:adjustRightInd w:val="0"/>
        <w:snapToGrid w:val="0"/>
        <w:spacing w:line="360" w:lineRule="auto"/>
        <w:jc w:val="left"/>
        <w:rPr>
          <w:rFonts w:ascii="宋体" w:hAnsi="宋体"/>
          <w:color w:val="auto"/>
          <w:kern w:val="0"/>
          <w:highlight w:val="none"/>
        </w:rPr>
      </w:pPr>
    </w:p>
    <w:p w14:paraId="5731DF5B">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800"/>
      <w:bookmarkEnd w:id="801"/>
      <w:bookmarkEnd w:id="802"/>
      <w:bookmarkEnd w:id="803"/>
      <w:bookmarkEnd w:id="804"/>
      <w:r>
        <w:rPr>
          <w:rFonts w:hint="eastAsia" w:ascii="宋体" w:hAnsi="宋体"/>
          <w:color w:val="auto"/>
          <w:kern w:val="0"/>
          <w:szCs w:val="21"/>
          <w:highlight w:val="none"/>
        </w:rPr>
        <w:t>。</w:t>
      </w:r>
    </w:p>
    <w:p w14:paraId="6B90BDD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43155C2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7B83278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DDD98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5E991FC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1231829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F5AE57F">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47088D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4D1D83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FAA3DD4">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8C0E68A">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4DF681E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6B9A700">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778D71D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16271A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3957F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4CB69C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051B7E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3D96D8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7A53F15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2B2D43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61DFA88">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10ECBA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3F839A8C">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729AFDA">
      <w:pPr>
        <w:pStyle w:val="5"/>
        <w:spacing w:before="0" w:after="0" w:line="240" w:lineRule="auto"/>
        <w:jc w:val="center"/>
        <w:rPr>
          <w:rFonts w:ascii="宋体" w:hAnsi="宋体"/>
          <w:color w:val="auto"/>
          <w:highlight w:val="none"/>
        </w:rPr>
      </w:pPr>
      <w:bookmarkStart w:id="805" w:name="_Toc57905931"/>
      <w:bookmarkStart w:id="806" w:name="_Toc277082659"/>
      <w:bookmarkStart w:id="807" w:name="_Toc287607887"/>
      <w:r>
        <w:rPr>
          <w:rFonts w:hint="eastAsia" w:ascii="宋体" w:hAnsi="宋体"/>
          <w:b w:val="0"/>
          <w:bCs w:val="0"/>
          <w:color w:val="auto"/>
          <w:highlight w:val="none"/>
        </w:rPr>
        <w:t>（二）竞选人基本情况表</w:t>
      </w:r>
      <w:bookmarkEnd w:id="805"/>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98BC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DAA3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竞选人名称</w:t>
            </w:r>
          </w:p>
        </w:tc>
        <w:tc>
          <w:tcPr>
            <w:tcW w:w="7607" w:type="dxa"/>
            <w:gridSpan w:val="9"/>
            <w:vAlign w:val="center"/>
          </w:tcPr>
          <w:p w14:paraId="349F1753">
            <w:pPr>
              <w:autoSpaceDE w:val="0"/>
              <w:autoSpaceDN w:val="0"/>
              <w:adjustRightInd w:val="0"/>
              <w:snapToGrid w:val="0"/>
              <w:jc w:val="center"/>
              <w:rPr>
                <w:rFonts w:ascii="宋体" w:hAnsi="宋体"/>
                <w:color w:val="auto"/>
                <w:kern w:val="0"/>
                <w:szCs w:val="21"/>
                <w:highlight w:val="none"/>
              </w:rPr>
            </w:pPr>
          </w:p>
        </w:tc>
      </w:tr>
      <w:tr w14:paraId="5B8D9B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40359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6098981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AFC59A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D9220ED">
            <w:pPr>
              <w:autoSpaceDE w:val="0"/>
              <w:autoSpaceDN w:val="0"/>
              <w:adjustRightInd w:val="0"/>
              <w:snapToGrid w:val="0"/>
              <w:jc w:val="center"/>
              <w:rPr>
                <w:rFonts w:ascii="宋体" w:hAnsi="宋体"/>
                <w:color w:val="auto"/>
                <w:kern w:val="0"/>
                <w:szCs w:val="21"/>
                <w:highlight w:val="none"/>
              </w:rPr>
            </w:pPr>
          </w:p>
        </w:tc>
      </w:tr>
      <w:tr w14:paraId="658660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7A07BA5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12BB436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1230581F">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FD7F6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7AF79621">
            <w:pPr>
              <w:autoSpaceDE w:val="0"/>
              <w:autoSpaceDN w:val="0"/>
              <w:adjustRightInd w:val="0"/>
              <w:snapToGrid w:val="0"/>
              <w:jc w:val="center"/>
              <w:rPr>
                <w:rFonts w:ascii="宋体" w:hAnsi="宋体"/>
                <w:color w:val="auto"/>
                <w:kern w:val="0"/>
                <w:szCs w:val="21"/>
                <w:highlight w:val="none"/>
              </w:rPr>
            </w:pPr>
          </w:p>
        </w:tc>
      </w:tr>
      <w:tr w14:paraId="45B613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4B21549C">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7FB8AA79">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41B47B33">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3C1CD02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6E9F3DAB">
            <w:pPr>
              <w:autoSpaceDE w:val="0"/>
              <w:autoSpaceDN w:val="0"/>
              <w:adjustRightInd w:val="0"/>
              <w:snapToGrid w:val="0"/>
              <w:jc w:val="center"/>
              <w:rPr>
                <w:rFonts w:ascii="宋体" w:hAnsi="宋体"/>
                <w:color w:val="auto"/>
                <w:kern w:val="0"/>
                <w:szCs w:val="21"/>
                <w:highlight w:val="none"/>
              </w:rPr>
            </w:pPr>
          </w:p>
        </w:tc>
      </w:tr>
      <w:tr w14:paraId="0209FA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0C36E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4ED00F29">
            <w:pPr>
              <w:autoSpaceDE w:val="0"/>
              <w:autoSpaceDN w:val="0"/>
              <w:adjustRightInd w:val="0"/>
              <w:snapToGrid w:val="0"/>
              <w:jc w:val="center"/>
              <w:rPr>
                <w:rFonts w:ascii="宋体" w:hAnsi="宋体"/>
                <w:color w:val="auto"/>
                <w:kern w:val="0"/>
                <w:szCs w:val="21"/>
                <w:highlight w:val="none"/>
              </w:rPr>
            </w:pPr>
          </w:p>
        </w:tc>
      </w:tr>
      <w:tr w14:paraId="14B4D2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A3E08F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0313264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7BEF875E">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6D3DE28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3228C26C">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1356026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1A5A2F7">
            <w:pPr>
              <w:autoSpaceDE w:val="0"/>
              <w:autoSpaceDN w:val="0"/>
              <w:adjustRightInd w:val="0"/>
              <w:snapToGrid w:val="0"/>
              <w:jc w:val="center"/>
              <w:rPr>
                <w:rFonts w:ascii="宋体" w:hAnsi="宋体"/>
                <w:color w:val="auto"/>
                <w:kern w:val="0"/>
                <w:szCs w:val="21"/>
                <w:highlight w:val="none"/>
              </w:rPr>
            </w:pPr>
          </w:p>
        </w:tc>
      </w:tr>
      <w:tr w14:paraId="01841D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90BF1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6C5F0D3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49AA008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1C421D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4221ACF6">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1E59DCD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0075886">
            <w:pPr>
              <w:autoSpaceDE w:val="0"/>
              <w:autoSpaceDN w:val="0"/>
              <w:adjustRightInd w:val="0"/>
              <w:snapToGrid w:val="0"/>
              <w:jc w:val="center"/>
              <w:rPr>
                <w:rFonts w:ascii="宋体" w:hAnsi="宋体"/>
                <w:color w:val="auto"/>
                <w:kern w:val="0"/>
                <w:szCs w:val="21"/>
                <w:highlight w:val="none"/>
              </w:rPr>
            </w:pPr>
          </w:p>
        </w:tc>
      </w:tr>
      <w:tr w14:paraId="55D3B0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42CDDF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760D11B7">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443B477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26B739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7F23F0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6C596A27">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0233C99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48A39D7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53120DAB">
            <w:pPr>
              <w:autoSpaceDE w:val="0"/>
              <w:autoSpaceDN w:val="0"/>
              <w:adjustRightInd w:val="0"/>
              <w:snapToGrid w:val="0"/>
              <w:jc w:val="center"/>
              <w:rPr>
                <w:rFonts w:ascii="宋体" w:hAnsi="宋体"/>
                <w:color w:val="auto"/>
                <w:kern w:val="0"/>
                <w:szCs w:val="21"/>
                <w:highlight w:val="none"/>
              </w:rPr>
            </w:pPr>
          </w:p>
        </w:tc>
      </w:tr>
      <w:tr w14:paraId="5F3EE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C76DF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77A5791">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36E80E7">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157FD56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7D630552">
            <w:pPr>
              <w:autoSpaceDE w:val="0"/>
              <w:autoSpaceDN w:val="0"/>
              <w:adjustRightInd w:val="0"/>
              <w:snapToGrid w:val="0"/>
              <w:jc w:val="center"/>
              <w:rPr>
                <w:rFonts w:ascii="宋体" w:hAnsi="宋体"/>
                <w:color w:val="auto"/>
                <w:kern w:val="0"/>
                <w:szCs w:val="21"/>
                <w:highlight w:val="none"/>
              </w:rPr>
            </w:pPr>
          </w:p>
        </w:tc>
      </w:tr>
      <w:tr w14:paraId="01D473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0F855D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6D1F8D0">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455080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707ED8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8DEBE2F">
            <w:pPr>
              <w:autoSpaceDE w:val="0"/>
              <w:autoSpaceDN w:val="0"/>
              <w:adjustRightInd w:val="0"/>
              <w:snapToGrid w:val="0"/>
              <w:jc w:val="center"/>
              <w:rPr>
                <w:rFonts w:ascii="宋体" w:hAnsi="宋体"/>
                <w:color w:val="auto"/>
                <w:kern w:val="0"/>
                <w:szCs w:val="21"/>
                <w:highlight w:val="none"/>
              </w:rPr>
            </w:pPr>
          </w:p>
        </w:tc>
      </w:tr>
      <w:tr w14:paraId="656B0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3ADA0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48633B14">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20F6B56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AD8123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38ED605">
            <w:pPr>
              <w:autoSpaceDE w:val="0"/>
              <w:autoSpaceDN w:val="0"/>
              <w:adjustRightInd w:val="0"/>
              <w:snapToGrid w:val="0"/>
              <w:jc w:val="center"/>
              <w:rPr>
                <w:rFonts w:ascii="宋体" w:hAnsi="宋体"/>
                <w:color w:val="auto"/>
                <w:kern w:val="0"/>
                <w:szCs w:val="21"/>
                <w:highlight w:val="none"/>
              </w:rPr>
            </w:pPr>
          </w:p>
        </w:tc>
      </w:tr>
      <w:tr w14:paraId="27AF14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C0635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2360DAF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53F9A2A9">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447AF1E">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4D1B7E17">
            <w:pPr>
              <w:autoSpaceDE w:val="0"/>
              <w:autoSpaceDN w:val="0"/>
              <w:adjustRightInd w:val="0"/>
              <w:snapToGrid w:val="0"/>
              <w:jc w:val="center"/>
              <w:rPr>
                <w:rFonts w:ascii="宋体" w:hAnsi="宋体"/>
                <w:color w:val="auto"/>
                <w:kern w:val="0"/>
                <w:szCs w:val="21"/>
                <w:highlight w:val="none"/>
              </w:rPr>
            </w:pPr>
          </w:p>
        </w:tc>
      </w:tr>
      <w:tr w14:paraId="4E448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74ED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36FCA29B">
            <w:pPr>
              <w:autoSpaceDE w:val="0"/>
              <w:autoSpaceDN w:val="0"/>
              <w:adjustRightInd w:val="0"/>
              <w:snapToGrid w:val="0"/>
              <w:jc w:val="center"/>
              <w:rPr>
                <w:rFonts w:ascii="宋体" w:hAnsi="宋体"/>
                <w:color w:val="auto"/>
                <w:kern w:val="0"/>
                <w:szCs w:val="21"/>
                <w:highlight w:val="none"/>
              </w:rPr>
            </w:pPr>
          </w:p>
        </w:tc>
      </w:tr>
      <w:tr w14:paraId="7C7CAF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5B151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53FB7B36">
            <w:pPr>
              <w:autoSpaceDE w:val="0"/>
              <w:autoSpaceDN w:val="0"/>
              <w:adjustRightInd w:val="0"/>
              <w:snapToGrid w:val="0"/>
              <w:jc w:val="center"/>
              <w:rPr>
                <w:rFonts w:ascii="宋体" w:hAnsi="宋体"/>
                <w:color w:val="auto"/>
                <w:kern w:val="0"/>
                <w:szCs w:val="21"/>
                <w:highlight w:val="none"/>
              </w:rPr>
            </w:pPr>
          </w:p>
        </w:tc>
      </w:tr>
    </w:tbl>
    <w:p w14:paraId="710111F4">
      <w:pPr>
        <w:spacing w:line="360" w:lineRule="auto"/>
        <w:jc w:val="center"/>
        <w:rPr>
          <w:rFonts w:ascii="宋体" w:hAnsi="宋体"/>
          <w:color w:val="auto"/>
          <w:szCs w:val="21"/>
          <w:highlight w:val="none"/>
        </w:rPr>
      </w:pPr>
    </w:p>
    <w:p w14:paraId="1636F002">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08" w:name="_Toc509218863"/>
      <w:bookmarkStart w:id="809" w:name="_Toc57905932"/>
      <w:bookmarkStart w:id="810" w:name="_Toc534185840"/>
      <w:r>
        <w:rPr>
          <w:rFonts w:hint="eastAsia" w:ascii="宋体" w:hAnsi="宋体"/>
          <w:b w:val="0"/>
          <w:bCs w:val="0"/>
          <w:color w:val="auto"/>
          <w:highlight w:val="none"/>
        </w:rPr>
        <w:t>（三）项目管理机构</w:t>
      </w:r>
      <w:bookmarkEnd w:id="808"/>
      <w:bookmarkEnd w:id="809"/>
      <w:bookmarkEnd w:id="810"/>
    </w:p>
    <w:p w14:paraId="1F1D4CF6">
      <w:pPr>
        <w:spacing w:line="360" w:lineRule="auto"/>
        <w:rPr>
          <w:rFonts w:ascii="宋体" w:hAnsi="宋体"/>
          <w:color w:val="auto"/>
          <w:highlight w:val="none"/>
        </w:rPr>
      </w:pPr>
    </w:p>
    <w:p w14:paraId="5F54CA02">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0E22DD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37FE4CA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3ABA2A0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088D235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0E73CA6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4E813B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2C0E7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2E6D911A">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2F276687">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4EDD161C">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3DDD648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42CEBB6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2421C54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360ECB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3623C5F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63E3D192">
            <w:pPr>
              <w:autoSpaceDE w:val="0"/>
              <w:autoSpaceDN w:val="0"/>
              <w:adjustRightInd w:val="0"/>
              <w:snapToGrid w:val="0"/>
              <w:jc w:val="left"/>
              <w:rPr>
                <w:rFonts w:ascii="宋体" w:hAnsi="宋体"/>
                <w:color w:val="auto"/>
                <w:kern w:val="0"/>
                <w:szCs w:val="21"/>
                <w:highlight w:val="none"/>
              </w:rPr>
            </w:pPr>
          </w:p>
        </w:tc>
      </w:tr>
      <w:tr w14:paraId="672B3C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8" w:hRule="exact"/>
        </w:trPr>
        <w:tc>
          <w:tcPr>
            <w:tcW w:w="856" w:type="dxa"/>
            <w:vAlign w:val="center"/>
          </w:tcPr>
          <w:p w14:paraId="2102873E">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项目负责人</w:t>
            </w:r>
          </w:p>
        </w:tc>
        <w:tc>
          <w:tcPr>
            <w:tcW w:w="734" w:type="dxa"/>
          </w:tcPr>
          <w:p w14:paraId="603A95C8">
            <w:pPr>
              <w:autoSpaceDE w:val="0"/>
              <w:autoSpaceDN w:val="0"/>
              <w:adjustRightInd w:val="0"/>
              <w:snapToGrid w:val="0"/>
              <w:jc w:val="left"/>
              <w:rPr>
                <w:rFonts w:ascii="宋体" w:hAnsi="宋体"/>
                <w:color w:val="auto"/>
                <w:kern w:val="0"/>
                <w:szCs w:val="21"/>
                <w:highlight w:val="none"/>
              </w:rPr>
            </w:pPr>
          </w:p>
        </w:tc>
        <w:tc>
          <w:tcPr>
            <w:tcW w:w="776" w:type="dxa"/>
          </w:tcPr>
          <w:p w14:paraId="4BF36F83">
            <w:pPr>
              <w:autoSpaceDE w:val="0"/>
              <w:autoSpaceDN w:val="0"/>
              <w:adjustRightInd w:val="0"/>
              <w:snapToGrid w:val="0"/>
              <w:jc w:val="left"/>
              <w:rPr>
                <w:rFonts w:ascii="宋体" w:hAnsi="宋体"/>
                <w:color w:val="auto"/>
                <w:kern w:val="0"/>
                <w:szCs w:val="21"/>
                <w:highlight w:val="none"/>
              </w:rPr>
            </w:pPr>
          </w:p>
        </w:tc>
        <w:tc>
          <w:tcPr>
            <w:tcW w:w="1167" w:type="dxa"/>
          </w:tcPr>
          <w:p w14:paraId="0E447E90">
            <w:pPr>
              <w:autoSpaceDE w:val="0"/>
              <w:autoSpaceDN w:val="0"/>
              <w:adjustRightInd w:val="0"/>
              <w:snapToGrid w:val="0"/>
              <w:jc w:val="left"/>
              <w:rPr>
                <w:rFonts w:ascii="宋体" w:hAnsi="宋体"/>
                <w:color w:val="auto"/>
                <w:kern w:val="0"/>
                <w:szCs w:val="21"/>
                <w:highlight w:val="none"/>
              </w:rPr>
            </w:pPr>
          </w:p>
        </w:tc>
        <w:tc>
          <w:tcPr>
            <w:tcW w:w="776" w:type="dxa"/>
          </w:tcPr>
          <w:p w14:paraId="3DB61978">
            <w:pPr>
              <w:autoSpaceDE w:val="0"/>
              <w:autoSpaceDN w:val="0"/>
              <w:adjustRightInd w:val="0"/>
              <w:snapToGrid w:val="0"/>
              <w:jc w:val="left"/>
              <w:rPr>
                <w:rFonts w:ascii="宋体" w:hAnsi="宋体"/>
                <w:color w:val="auto"/>
                <w:kern w:val="0"/>
                <w:szCs w:val="21"/>
                <w:highlight w:val="none"/>
              </w:rPr>
            </w:pPr>
          </w:p>
        </w:tc>
        <w:tc>
          <w:tcPr>
            <w:tcW w:w="778" w:type="dxa"/>
          </w:tcPr>
          <w:p w14:paraId="2D2E1641">
            <w:pPr>
              <w:autoSpaceDE w:val="0"/>
              <w:autoSpaceDN w:val="0"/>
              <w:adjustRightInd w:val="0"/>
              <w:snapToGrid w:val="0"/>
              <w:jc w:val="left"/>
              <w:rPr>
                <w:rFonts w:ascii="宋体" w:hAnsi="宋体"/>
                <w:color w:val="auto"/>
                <w:kern w:val="0"/>
                <w:szCs w:val="21"/>
                <w:highlight w:val="none"/>
              </w:rPr>
            </w:pPr>
          </w:p>
        </w:tc>
        <w:tc>
          <w:tcPr>
            <w:tcW w:w="776" w:type="dxa"/>
          </w:tcPr>
          <w:p w14:paraId="14D3915B">
            <w:pPr>
              <w:autoSpaceDE w:val="0"/>
              <w:autoSpaceDN w:val="0"/>
              <w:adjustRightInd w:val="0"/>
              <w:snapToGrid w:val="0"/>
              <w:jc w:val="left"/>
              <w:rPr>
                <w:rFonts w:ascii="宋体" w:hAnsi="宋体"/>
                <w:color w:val="auto"/>
                <w:kern w:val="0"/>
                <w:szCs w:val="21"/>
                <w:highlight w:val="none"/>
              </w:rPr>
            </w:pPr>
          </w:p>
        </w:tc>
        <w:tc>
          <w:tcPr>
            <w:tcW w:w="2723" w:type="dxa"/>
          </w:tcPr>
          <w:p w14:paraId="4F8A0260">
            <w:pPr>
              <w:autoSpaceDE w:val="0"/>
              <w:autoSpaceDN w:val="0"/>
              <w:adjustRightInd w:val="0"/>
              <w:snapToGrid w:val="0"/>
              <w:jc w:val="left"/>
              <w:rPr>
                <w:rFonts w:ascii="宋体" w:hAnsi="宋体"/>
                <w:color w:val="auto"/>
                <w:kern w:val="0"/>
                <w:szCs w:val="21"/>
                <w:highlight w:val="none"/>
              </w:rPr>
            </w:pPr>
          </w:p>
        </w:tc>
        <w:tc>
          <w:tcPr>
            <w:tcW w:w="896" w:type="dxa"/>
          </w:tcPr>
          <w:p w14:paraId="5ECD8D93">
            <w:pPr>
              <w:autoSpaceDE w:val="0"/>
              <w:autoSpaceDN w:val="0"/>
              <w:adjustRightInd w:val="0"/>
              <w:snapToGrid w:val="0"/>
              <w:jc w:val="left"/>
              <w:rPr>
                <w:rFonts w:ascii="宋体" w:hAnsi="宋体"/>
                <w:color w:val="auto"/>
                <w:kern w:val="0"/>
                <w:szCs w:val="21"/>
                <w:highlight w:val="none"/>
              </w:rPr>
            </w:pPr>
          </w:p>
        </w:tc>
      </w:tr>
      <w:tr w14:paraId="28A205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856" w:type="dxa"/>
            <w:vAlign w:val="center"/>
          </w:tcPr>
          <w:p w14:paraId="3A71C485">
            <w:pPr>
              <w:autoSpaceDE w:val="0"/>
              <w:autoSpaceDN w:val="0"/>
              <w:adjustRightInd w:val="0"/>
              <w:snapToGrid w:val="0"/>
              <w:jc w:val="center"/>
              <w:rPr>
                <w:rFonts w:ascii="宋体" w:hAnsi="宋体"/>
                <w:color w:val="auto"/>
                <w:kern w:val="0"/>
                <w:szCs w:val="21"/>
                <w:highlight w:val="none"/>
              </w:rPr>
            </w:pPr>
          </w:p>
        </w:tc>
        <w:tc>
          <w:tcPr>
            <w:tcW w:w="734" w:type="dxa"/>
          </w:tcPr>
          <w:p w14:paraId="66062D41">
            <w:pPr>
              <w:autoSpaceDE w:val="0"/>
              <w:autoSpaceDN w:val="0"/>
              <w:adjustRightInd w:val="0"/>
              <w:snapToGrid w:val="0"/>
              <w:jc w:val="left"/>
              <w:rPr>
                <w:rFonts w:ascii="宋体" w:hAnsi="宋体"/>
                <w:color w:val="auto"/>
                <w:kern w:val="0"/>
                <w:szCs w:val="21"/>
                <w:highlight w:val="none"/>
              </w:rPr>
            </w:pPr>
          </w:p>
        </w:tc>
        <w:tc>
          <w:tcPr>
            <w:tcW w:w="776" w:type="dxa"/>
          </w:tcPr>
          <w:p w14:paraId="4733AA2C">
            <w:pPr>
              <w:autoSpaceDE w:val="0"/>
              <w:autoSpaceDN w:val="0"/>
              <w:adjustRightInd w:val="0"/>
              <w:snapToGrid w:val="0"/>
              <w:jc w:val="left"/>
              <w:rPr>
                <w:rFonts w:ascii="宋体" w:hAnsi="宋体"/>
                <w:color w:val="auto"/>
                <w:kern w:val="0"/>
                <w:szCs w:val="21"/>
                <w:highlight w:val="none"/>
              </w:rPr>
            </w:pPr>
          </w:p>
        </w:tc>
        <w:tc>
          <w:tcPr>
            <w:tcW w:w="1167" w:type="dxa"/>
          </w:tcPr>
          <w:p w14:paraId="2DFB98E4">
            <w:pPr>
              <w:autoSpaceDE w:val="0"/>
              <w:autoSpaceDN w:val="0"/>
              <w:adjustRightInd w:val="0"/>
              <w:snapToGrid w:val="0"/>
              <w:jc w:val="left"/>
              <w:rPr>
                <w:rFonts w:ascii="宋体" w:hAnsi="宋体"/>
                <w:color w:val="auto"/>
                <w:kern w:val="0"/>
                <w:szCs w:val="21"/>
                <w:highlight w:val="none"/>
              </w:rPr>
            </w:pPr>
          </w:p>
        </w:tc>
        <w:tc>
          <w:tcPr>
            <w:tcW w:w="776" w:type="dxa"/>
          </w:tcPr>
          <w:p w14:paraId="5D22E8FF">
            <w:pPr>
              <w:autoSpaceDE w:val="0"/>
              <w:autoSpaceDN w:val="0"/>
              <w:adjustRightInd w:val="0"/>
              <w:snapToGrid w:val="0"/>
              <w:jc w:val="left"/>
              <w:rPr>
                <w:rFonts w:ascii="宋体" w:hAnsi="宋体"/>
                <w:color w:val="auto"/>
                <w:kern w:val="0"/>
                <w:szCs w:val="21"/>
                <w:highlight w:val="none"/>
              </w:rPr>
            </w:pPr>
          </w:p>
        </w:tc>
        <w:tc>
          <w:tcPr>
            <w:tcW w:w="778" w:type="dxa"/>
          </w:tcPr>
          <w:p w14:paraId="0D39C61B">
            <w:pPr>
              <w:autoSpaceDE w:val="0"/>
              <w:autoSpaceDN w:val="0"/>
              <w:adjustRightInd w:val="0"/>
              <w:snapToGrid w:val="0"/>
              <w:jc w:val="left"/>
              <w:rPr>
                <w:rFonts w:ascii="宋体" w:hAnsi="宋体"/>
                <w:color w:val="auto"/>
                <w:kern w:val="0"/>
                <w:szCs w:val="21"/>
                <w:highlight w:val="none"/>
              </w:rPr>
            </w:pPr>
          </w:p>
        </w:tc>
        <w:tc>
          <w:tcPr>
            <w:tcW w:w="776" w:type="dxa"/>
          </w:tcPr>
          <w:p w14:paraId="0D7DC063">
            <w:pPr>
              <w:autoSpaceDE w:val="0"/>
              <w:autoSpaceDN w:val="0"/>
              <w:adjustRightInd w:val="0"/>
              <w:snapToGrid w:val="0"/>
              <w:jc w:val="left"/>
              <w:rPr>
                <w:rFonts w:ascii="宋体" w:hAnsi="宋体"/>
                <w:color w:val="auto"/>
                <w:kern w:val="0"/>
                <w:szCs w:val="21"/>
                <w:highlight w:val="none"/>
              </w:rPr>
            </w:pPr>
          </w:p>
        </w:tc>
        <w:tc>
          <w:tcPr>
            <w:tcW w:w="2723" w:type="dxa"/>
          </w:tcPr>
          <w:p w14:paraId="623A5DDE">
            <w:pPr>
              <w:autoSpaceDE w:val="0"/>
              <w:autoSpaceDN w:val="0"/>
              <w:adjustRightInd w:val="0"/>
              <w:snapToGrid w:val="0"/>
              <w:jc w:val="left"/>
              <w:rPr>
                <w:rFonts w:ascii="宋体" w:hAnsi="宋体"/>
                <w:color w:val="auto"/>
                <w:kern w:val="0"/>
                <w:szCs w:val="21"/>
                <w:highlight w:val="none"/>
              </w:rPr>
            </w:pPr>
          </w:p>
        </w:tc>
        <w:tc>
          <w:tcPr>
            <w:tcW w:w="896" w:type="dxa"/>
          </w:tcPr>
          <w:p w14:paraId="32F650A9">
            <w:pPr>
              <w:autoSpaceDE w:val="0"/>
              <w:autoSpaceDN w:val="0"/>
              <w:adjustRightInd w:val="0"/>
              <w:snapToGrid w:val="0"/>
              <w:jc w:val="left"/>
              <w:rPr>
                <w:rFonts w:ascii="宋体" w:hAnsi="宋体"/>
                <w:color w:val="auto"/>
                <w:kern w:val="0"/>
                <w:szCs w:val="21"/>
                <w:highlight w:val="none"/>
              </w:rPr>
            </w:pPr>
          </w:p>
        </w:tc>
      </w:tr>
      <w:tr w14:paraId="0B7735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33A869">
            <w:pPr>
              <w:autoSpaceDE w:val="0"/>
              <w:autoSpaceDN w:val="0"/>
              <w:adjustRightInd w:val="0"/>
              <w:snapToGrid w:val="0"/>
              <w:jc w:val="left"/>
              <w:rPr>
                <w:rFonts w:ascii="宋体" w:hAnsi="宋体"/>
                <w:color w:val="auto"/>
                <w:kern w:val="0"/>
                <w:szCs w:val="21"/>
                <w:highlight w:val="none"/>
              </w:rPr>
            </w:pPr>
          </w:p>
        </w:tc>
        <w:tc>
          <w:tcPr>
            <w:tcW w:w="734" w:type="dxa"/>
          </w:tcPr>
          <w:p w14:paraId="6BBEDE6C">
            <w:pPr>
              <w:autoSpaceDE w:val="0"/>
              <w:autoSpaceDN w:val="0"/>
              <w:adjustRightInd w:val="0"/>
              <w:snapToGrid w:val="0"/>
              <w:jc w:val="left"/>
              <w:rPr>
                <w:rFonts w:ascii="宋体" w:hAnsi="宋体"/>
                <w:color w:val="auto"/>
                <w:kern w:val="0"/>
                <w:szCs w:val="21"/>
                <w:highlight w:val="none"/>
              </w:rPr>
            </w:pPr>
          </w:p>
        </w:tc>
        <w:tc>
          <w:tcPr>
            <w:tcW w:w="776" w:type="dxa"/>
          </w:tcPr>
          <w:p w14:paraId="60C06337">
            <w:pPr>
              <w:autoSpaceDE w:val="0"/>
              <w:autoSpaceDN w:val="0"/>
              <w:adjustRightInd w:val="0"/>
              <w:snapToGrid w:val="0"/>
              <w:jc w:val="left"/>
              <w:rPr>
                <w:rFonts w:ascii="宋体" w:hAnsi="宋体"/>
                <w:color w:val="auto"/>
                <w:kern w:val="0"/>
                <w:szCs w:val="21"/>
                <w:highlight w:val="none"/>
              </w:rPr>
            </w:pPr>
          </w:p>
        </w:tc>
        <w:tc>
          <w:tcPr>
            <w:tcW w:w="1167" w:type="dxa"/>
          </w:tcPr>
          <w:p w14:paraId="5F49B51F">
            <w:pPr>
              <w:autoSpaceDE w:val="0"/>
              <w:autoSpaceDN w:val="0"/>
              <w:adjustRightInd w:val="0"/>
              <w:snapToGrid w:val="0"/>
              <w:jc w:val="left"/>
              <w:rPr>
                <w:rFonts w:ascii="宋体" w:hAnsi="宋体"/>
                <w:color w:val="auto"/>
                <w:kern w:val="0"/>
                <w:szCs w:val="21"/>
                <w:highlight w:val="none"/>
              </w:rPr>
            </w:pPr>
          </w:p>
        </w:tc>
        <w:tc>
          <w:tcPr>
            <w:tcW w:w="776" w:type="dxa"/>
          </w:tcPr>
          <w:p w14:paraId="34F1794D">
            <w:pPr>
              <w:autoSpaceDE w:val="0"/>
              <w:autoSpaceDN w:val="0"/>
              <w:adjustRightInd w:val="0"/>
              <w:snapToGrid w:val="0"/>
              <w:jc w:val="left"/>
              <w:rPr>
                <w:rFonts w:ascii="宋体" w:hAnsi="宋体"/>
                <w:color w:val="auto"/>
                <w:kern w:val="0"/>
                <w:szCs w:val="21"/>
                <w:highlight w:val="none"/>
              </w:rPr>
            </w:pPr>
          </w:p>
        </w:tc>
        <w:tc>
          <w:tcPr>
            <w:tcW w:w="778" w:type="dxa"/>
          </w:tcPr>
          <w:p w14:paraId="5A3AC138">
            <w:pPr>
              <w:autoSpaceDE w:val="0"/>
              <w:autoSpaceDN w:val="0"/>
              <w:adjustRightInd w:val="0"/>
              <w:snapToGrid w:val="0"/>
              <w:jc w:val="left"/>
              <w:rPr>
                <w:rFonts w:ascii="宋体" w:hAnsi="宋体"/>
                <w:color w:val="auto"/>
                <w:kern w:val="0"/>
                <w:szCs w:val="21"/>
                <w:highlight w:val="none"/>
              </w:rPr>
            </w:pPr>
          </w:p>
        </w:tc>
        <w:tc>
          <w:tcPr>
            <w:tcW w:w="776" w:type="dxa"/>
          </w:tcPr>
          <w:p w14:paraId="5DC1081C">
            <w:pPr>
              <w:autoSpaceDE w:val="0"/>
              <w:autoSpaceDN w:val="0"/>
              <w:adjustRightInd w:val="0"/>
              <w:snapToGrid w:val="0"/>
              <w:jc w:val="left"/>
              <w:rPr>
                <w:rFonts w:ascii="宋体" w:hAnsi="宋体"/>
                <w:color w:val="auto"/>
                <w:kern w:val="0"/>
                <w:szCs w:val="21"/>
                <w:highlight w:val="none"/>
              </w:rPr>
            </w:pPr>
          </w:p>
        </w:tc>
        <w:tc>
          <w:tcPr>
            <w:tcW w:w="2723" w:type="dxa"/>
          </w:tcPr>
          <w:p w14:paraId="46F1F984">
            <w:pPr>
              <w:autoSpaceDE w:val="0"/>
              <w:autoSpaceDN w:val="0"/>
              <w:adjustRightInd w:val="0"/>
              <w:snapToGrid w:val="0"/>
              <w:jc w:val="left"/>
              <w:rPr>
                <w:rFonts w:ascii="宋体" w:hAnsi="宋体"/>
                <w:color w:val="auto"/>
                <w:kern w:val="0"/>
                <w:szCs w:val="21"/>
                <w:highlight w:val="none"/>
              </w:rPr>
            </w:pPr>
          </w:p>
        </w:tc>
        <w:tc>
          <w:tcPr>
            <w:tcW w:w="896" w:type="dxa"/>
          </w:tcPr>
          <w:p w14:paraId="2E85F83D">
            <w:pPr>
              <w:autoSpaceDE w:val="0"/>
              <w:autoSpaceDN w:val="0"/>
              <w:adjustRightInd w:val="0"/>
              <w:snapToGrid w:val="0"/>
              <w:jc w:val="left"/>
              <w:rPr>
                <w:rFonts w:ascii="宋体" w:hAnsi="宋体"/>
                <w:color w:val="auto"/>
                <w:kern w:val="0"/>
                <w:szCs w:val="21"/>
                <w:highlight w:val="none"/>
              </w:rPr>
            </w:pPr>
          </w:p>
        </w:tc>
      </w:tr>
      <w:tr w14:paraId="3FEDD4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8D70B93">
            <w:pPr>
              <w:autoSpaceDE w:val="0"/>
              <w:autoSpaceDN w:val="0"/>
              <w:adjustRightInd w:val="0"/>
              <w:snapToGrid w:val="0"/>
              <w:jc w:val="left"/>
              <w:rPr>
                <w:rFonts w:ascii="宋体" w:hAnsi="宋体"/>
                <w:color w:val="auto"/>
                <w:kern w:val="0"/>
                <w:szCs w:val="21"/>
                <w:highlight w:val="none"/>
              </w:rPr>
            </w:pPr>
          </w:p>
        </w:tc>
        <w:tc>
          <w:tcPr>
            <w:tcW w:w="734" w:type="dxa"/>
          </w:tcPr>
          <w:p w14:paraId="4873FFDA">
            <w:pPr>
              <w:autoSpaceDE w:val="0"/>
              <w:autoSpaceDN w:val="0"/>
              <w:adjustRightInd w:val="0"/>
              <w:snapToGrid w:val="0"/>
              <w:jc w:val="left"/>
              <w:rPr>
                <w:rFonts w:ascii="宋体" w:hAnsi="宋体"/>
                <w:color w:val="auto"/>
                <w:kern w:val="0"/>
                <w:szCs w:val="21"/>
                <w:highlight w:val="none"/>
              </w:rPr>
            </w:pPr>
          </w:p>
        </w:tc>
        <w:tc>
          <w:tcPr>
            <w:tcW w:w="776" w:type="dxa"/>
          </w:tcPr>
          <w:p w14:paraId="66B91DB3">
            <w:pPr>
              <w:autoSpaceDE w:val="0"/>
              <w:autoSpaceDN w:val="0"/>
              <w:adjustRightInd w:val="0"/>
              <w:snapToGrid w:val="0"/>
              <w:jc w:val="left"/>
              <w:rPr>
                <w:rFonts w:ascii="宋体" w:hAnsi="宋体"/>
                <w:color w:val="auto"/>
                <w:kern w:val="0"/>
                <w:szCs w:val="21"/>
                <w:highlight w:val="none"/>
              </w:rPr>
            </w:pPr>
          </w:p>
        </w:tc>
        <w:tc>
          <w:tcPr>
            <w:tcW w:w="1167" w:type="dxa"/>
          </w:tcPr>
          <w:p w14:paraId="00A4D28C">
            <w:pPr>
              <w:autoSpaceDE w:val="0"/>
              <w:autoSpaceDN w:val="0"/>
              <w:adjustRightInd w:val="0"/>
              <w:snapToGrid w:val="0"/>
              <w:jc w:val="left"/>
              <w:rPr>
                <w:rFonts w:ascii="宋体" w:hAnsi="宋体"/>
                <w:color w:val="auto"/>
                <w:kern w:val="0"/>
                <w:szCs w:val="21"/>
                <w:highlight w:val="none"/>
              </w:rPr>
            </w:pPr>
          </w:p>
        </w:tc>
        <w:tc>
          <w:tcPr>
            <w:tcW w:w="776" w:type="dxa"/>
          </w:tcPr>
          <w:p w14:paraId="45069A6F">
            <w:pPr>
              <w:autoSpaceDE w:val="0"/>
              <w:autoSpaceDN w:val="0"/>
              <w:adjustRightInd w:val="0"/>
              <w:snapToGrid w:val="0"/>
              <w:jc w:val="left"/>
              <w:rPr>
                <w:rFonts w:ascii="宋体" w:hAnsi="宋体"/>
                <w:color w:val="auto"/>
                <w:kern w:val="0"/>
                <w:szCs w:val="21"/>
                <w:highlight w:val="none"/>
              </w:rPr>
            </w:pPr>
          </w:p>
        </w:tc>
        <w:tc>
          <w:tcPr>
            <w:tcW w:w="778" w:type="dxa"/>
          </w:tcPr>
          <w:p w14:paraId="4292D4C9">
            <w:pPr>
              <w:autoSpaceDE w:val="0"/>
              <w:autoSpaceDN w:val="0"/>
              <w:adjustRightInd w:val="0"/>
              <w:snapToGrid w:val="0"/>
              <w:jc w:val="left"/>
              <w:rPr>
                <w:rFonts w:ascii="宋体" w:hAnsi="宋体"/>
                <w:color w:val="auto"/>
                <w:kern w:val="0"/>
                <w:szCs w:val="21"/>
                <w:highlight w:val="none"/>
              </w:rPr>
            </w:pPr>
          </w:p>
        </w:tc>
        <w:tc>
          <w:tcPr>
            <w:tcW w:w="776" w:type="dxa"/>
          </w:tcPr>
          <w:p w14:paraId="20C7A24A">
            <w:pPr>
              <w:autoSpaceDE w:val="0"/>
              <w:autoSpaceDN w:val="0"/>
              <w:adjustRightInd w:val="0"/>
              <w:snapToGrid w:val="0"/>
              <w:jc w:val="left"/>
              <w:rPr>
                <w:rFonts w:ascii="宋体" w:hAnsi="宋体"/>
                <w:color w:val="auto"/>
                <w:kern w:val="0"/>
                <w:szCs w:val="21"/>
                <w:highlight w:val="none"/>
              </w:rPr>
            </w:pPr>
          </w:p>
        </w:tc>
        <w:tc>
          <w:tcPr>
            <w:tcW w:w="2723" w:type="dxa"/>
          </w:tcPr>
          <w:p w14:paraId="6350CC33">
            <w:pPr>
              <w:autoSpaceDE w:val="0"/>
              <w:autoSpaceDN w:val="0"/>
              <w:adjustRightInd w:val="0"/>
              <w:snapToGrid w:val="0"/>
              <w:jc w:val="left"/>
              <w:rPr>
                <w:rFonts w:ascii="宋体" w:hAnsi="宋体"/>
                <w:color w:val="auto"/>
                <w:kern w:val="0"/>
                <w:szCs w:val="21"/>
                <w:highlight w:val="none"/>
              </w:rPr>
            </w:pPr>
          </w:p>
        </w:tc>
        <w:tc>
          <w:tcPr>
            <w:tcW w:w="896" w:type="dxa"/>
          </w:tcPr>
          <w:p w14:paraId="53A62D96">
            <w:pPr>
              <w:autoSpaceDE w:val="0"/>
              <w:autoSpaceDN w:val="0"/>
              <w:adjustRightInd w:val="0"/>
              <w:snapToGrid w:val="0"/>
              <w:jc w:val="left"/>
              <w:rPr>
                <w:rFonts w:ascii="宋体" w:hAnsi="宋体"/>
                <w:color w:val="auto"/>
                <w:kern w:val="0"/>
                <w:szCs w:val="21"/>
                <w:highlight w:val="none"/>
              </w:rPr>
            </w:pPr>
          </w:p>
        </w:tc>
      </w:tr>
      <w:tr w14:paraId="118BAD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F77CF21">
            <w:pPr>
              <w:autoSpaceDE w:val="0"/>
              <w:autoSpaceDN w:val="0"/>
              <w:adjustRightInd w:val="0"/>
              <w:snapToGrid w:val="0"/>
              <w:jc w:val="left"/>
              <w:rPr>
                <w:rFonts w:ascii="宋体" w:hAnsi="宋体"/>
                <w:color w:val="auto"/>
                <w:kern w:val="0"/>
                <w:szCs w:val="21"/>
                <w:highlight w:val="none"/>
              </w:rPr>
            </w:pPr>
          </w:p>
        </w:tc>
        <w:tc>
          <w:tcPr>
            <w:tcW w:w="734" w:type="dxa"/>
          </w:tcPr>
          <w:p w14:paraId="59F43063">
            <w:pPr>
              <w:autoSpaceDE w:val="0"/>
              <w:autoSpaceDN w:val="0"/>
              <w:adjustRightInd w:val="0"/>
              <w:snapToGrid w:val="0"/>
              <w:jc w:val="left"/>
              <w:rPr>
                <w:rFonts w:ascii="宋体" w:hAnsi="宋体"/>
                <w:color w:val="auto"/>
                <w:kern w:val="0"/>
                <w:szCs w:val="21"/>
                <w:highlight w:val="none"/>
              </w:rPr>
            </w:pPr>
          </w:p>
        </w:tc>
        <w:tc>
          <w:tcPr>
            <w:tcW w:w="776" w:type="dxa"/>
          </w:tcPr>
          <w:p w14:paraId="3ADF5FC3">
            <w:pPr>
              <w:autoSpaceDE w:val="0"/>
              <w:autoSpaceDN w:val="0"/>
              <w:adjustRightInd w:val="0"/>
              <w:snapToGrid w:val="0"/>
              <w:jc w:val="left"/>
              <w:rPr>
                <w:rFonts w:ascii="宋体" w:hAnsi="宋体"/>
                <w:color w:val="auto"/>
                <w:kern w:val="0"/>
                <w:szCs w:val="21"/>
                <w:highlight w:val="none"/>
              </w:rPr>
            </w:pPr>
          </w:p>
        </w:tc>
        <w:tc>
          <w:tcPr>
            <w:tcW w:w="1167" w:type="dxa"/>
          </w:tcPr>
          <w:p w14:paraId="11DB04F8">
            <w:pPr>
              <w:autoSpaceDE w:val="0"/>
              <w:autoSpaceDN w:val="0"/>
              <w:adjustRightInd w:val="0"/>
              <w:snapToGrid w:val="0"/>
              <w:jc w:val="left"/>
              <w:rPr>
                <w:rFonts w:ascii="宋体" w:hAnsi="宋体"/>
                <w:color w:val="auto"/>
                <w:kern w:val="0"/>
                <w:szCs w:val="21"/>
                <w:highlight w:val="none"/>
              </w:rPr>
            </w:pPr>
          </w:p>
        </w:tc>
        <w:tc>
          <w:tcPr>
            <w:tcW w:w="776" w:type="dxa"/>
          </w:tcPr>
          <w:p w14:paraId="6E608810">
            <w:pPr>
              <w:autoSpaceDE w:val="0"/>
              <w:autoSpaceDN w:val="0"/>
              <w:adjustRightInd w:val="0"/>
              <w:snapToGrid w:val="0"/>
              <w:jc w:val="left"/>
              <w:rPr>
                <w:rFonts w:ascii="宋体" w:hAnsi="宋体"/>
                <w:color w:val="auto"/>
                <w:kern w:val="0"/>
                <w:szCs w:val="21"/>
                <w:highlight w:val="none"/>
              </w:rPr>
            </w:pPr>
          </w:p>
        </w:tc>
        <w:tc>
          <w:tcPr>
            <w:tcW w:w="778" w:type="dxa"/>
          </w:tcPr>
          <w:p w14:paraId="43C09807">
            <w:pPr>
              <w:autoSpaceDE w:val="0"/>
              <w:autoSpaceDN w:val="0"/>
              <w:adjustRightInd w:val="0"/>
              <w:snapToGrid w:val="0"/>
              <w:jc w:val="left"/>
              <w:rPr>
                <w:rFonts w:ascii="宋体" w:hAnsi="宋体"/>
                <w:color w:val="auto"/>
                <w:kern w:val="0"/>
                <w:szCs w:val="21"/>
                <w:highlight w:val="none"/>
              </w:rPr>
            </w:pPr>
          </w:p>
        </w:tc>
        <w:tc>
          <w:tcPr>
            <w:tcW w:w="776" w:type="dxa"/>
          </w:tcPr>
          <w:p w14:paraId="78CBE85B">
            <w:pPr>
              <w:autoSpaceDE w:val="0"/>
              <w:autoSpaceDN w:val="0"/>
              <w:adjustRightInd w:val="0"/>
              <w:snapToGrid w:val="0"/>
              <w:jc w:val="left"/>
              <w:rPr>
                <w:rFonts w:ascii="宋体" w:hAnsi="宋体"/>
                <w:color w:val="auto"/>
                <w:kern w:val="0"/>
                <w:szCs w:val="21"/>
                <w:highlight w:val="none"/>
              </w:rPr>
            </w:pPr>
          </w:p>
        </w:tc>
        <w:tc>
          <w:tcPr>
            <w:tcW w:w="2723" w:type="dxa"/>
          </w:tcPr>
          <w:p w14:paraId="32B622DA">
            <w:pPr>
              <w:autoSpaceDE w:val="0"/>
              <w:autoSpaceDN w:val="0"/>
              <w:adjustRightInd w:val="0"/>
              <w:snapToGrid w:val="0"/>
              <w:jc w:val="left"/>
              <w:rPr>
                <w:rFonts w:ascii="宋体" w:hAnsi="宋体"/>
                <w:color w:val="auto"/>
                <w:kern w:val="0"/>
                <w:szCs w:val="21"/>
                <w:highlight w:val="none"/>
              </w:rPr>
            </w:pPr>
          </w:p>
        </w:tc>
        <w:tc>
          <w:tcPr>
            <w:tcW w:w="896" w:type="dxa"/>
          </w:tcPr>
          <w:p w14:paraId="7054E775">
            <w:pPr>
              <w:autoSpaceDE w:val="0"/>
              <w:autoSpaceDN w:val="0"/>
              <w:adjustRightInd w:val="0"/>
              <w:snapToGrid w:val="0"/>
              <w:jc w:val="left"/>
              <w:rPr>
                <w:rFonts w:ascii="宋体" w:hAnsi="宋体"/>
                <w:color w:val="auto"/>
                <w:kern w:val="0"/>
                <w:szCs w:val="21"/>
                <w:highlight w:val="none"/>
              </w:rPr>
            </w:pPr>
          </w:p>
        </w:tc>
      </w:tr>
      <w:tr w14:paraId="581FBB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6458C7">
            <w:pPr>
              <w:autoSpaceDE w:val="0"/>
              <w:autoSpaceDN w:val="0"/>
              <w:adjustRightInd w:val="0"/>
              <w:snapToGrid w:val="0"/>
              <w:jc w:val="left"/>
              <w:rPr>
                <w:rFonts w:ascii="宋体" w:hAnsi="宋体"/>
                <w:color w:val="auto"/>
                <w:kern w:val="0"/>
                <w:szCs w:val="21"/>
                <w:highlight w:val="none"/>
              </w:rPr>
            </w:pPr>
          </w:p>
        </w:tc>
        <w:tc>
          <w:tcPr>
            <w:tcW w:w="734" w:type="dxa"/>
          </w:tcPr>
          <w:p w14:paraId="5A7D2976">
            <w:pPr>
              <w:autoSpaceDE w:val="0"/>
              <w:autoSpaceDN w:val="0"/>
              <w:adjustRightInd w:val="0"/>
              <w:snapToGrid w:val="0"/>
              <w:jc w:val="left"/>
              <w:rPr>
                <w:rFonts w:ascii="宋体" w:hAnsi="宋体"/>
                <w:color w:val="auto"/>
                <w:kern w:val="0"/>
                <w:szCs w:val="21"/>
                <w:highlight w:val="none"/>
              </w:rPr>
            </w:pPr>
          </w:p>
        </w:tc>
        <w:tc>
          <w:tcPr>
            <w:tcW w:w="776" w:type="dxa"/>
          </w:tcPr>
          <w:p w14:paraId="164A3C6D">
            <w:pPr>
              <w:autoSpaceDE w:val="0"/>
              <w:autoSpaceDN w:val="0"/>
              <w:adjustRightInd w:val="0"/>
              <w:snapToGrid w:val="0"/>
              <w:jc w:val="left"/>
              <w:rPr>
                <w:rFonts w:ascii="宋体" w:hAnsi="宋体"/>
                <w:color w:val="auto"/>
                <w:kern w:val="0"/>
                <w:szCs w:val="21"/>
                <w:highlight w:val="none"/>
              </w:rPr>
            </w:pPr>
          </w:p>
        </w:tc>
        <w:tc>
          <w:tcPr>
            <w:tcW w:w="1167" w:type="dxa"/>
          </w:tcPr>
          <w:p w14:paraId="52D64E6F">
            <w:pPr>
              <w:autoSpaceDE w:val="0"/>
              <w:autoSpaceDN w:val="0"/>
              <w:adjustRightInd w:val="0"/>
              <w:snapToGrid w:val="0"/>
              <w:jc w:val="left"/>
              <w:rPr>
                <w:rFonts w:ascii="宋体" w:hAnsi="宋体"/>
                <w:color w:val="auto"/>
                <w:kern w:val="0"/>
                <w:szCs w:val="21"/>
                <w:highlight w:val="none"/>
              </w:rPr>
            </w:pPr>
          </w:p>
        </w:tc>
        <w:tc>
          <w:tcPr>
            <w:tcW w:w="776" w:type="dxa"/>
          </w:tcPr>
          <w:p w14:paraId="5E993E31">
            <w:pPr>
              <w:autoSpaceDE w:val="0"/>
              <w:autoSpaceDN w:val="0"/>
              <w:adjustRightInd w:val="0"/>
              <w:snapToGrid w:val="0"/>
              <w:jc w:val="left"/>
              <w:rPr>
                <w:rFonts w:ascii="宋体" w:hAnsi="宋体"/>
                <w:color w:val="auto"/>
                <w:kern w:val="0"/>
                <w:szCs w:val="21"/>
                <w:highlight w:val="none"/>
              </w:rPr>
            </w:pPr>
          </w:p>
        </w:tc>
        <w:tc>
          <w:tcPr>
            <w:tcW w:w="778" w:type="dxa"/>
          </w:tcPr>
          <w:p w14:paraId="0CF63F91">
            <w:pPr>
              <w:autoSpaceDE w:val="0"/>
              <w:autoSpaceDN w:val="0"/>
              <w:adjustRightInd w:val="0"/>
              <w:snapToGrid w:val="0"/>
              <w:jc w:val="left"/>
              <w:rPr>
                <w:rFonts w:ascii="宋体" w:hAnsi="宋体"/>
                <w:color w:val="auto"/>
                <w:kern w:val="0"/>
                <w:szCs w:val="21"/>
                <w:highlight w:val="none"/>
              </w:rPr>
            </w:pPr>
          </w:p>
        </w:tc>
        <w:tc>
          <w:tcPr>
            <w:tcW w:w="776" w:type="dxa"/>
          </w:tcPr>
          <w:p w14:paraId="0B4E511F">
            <w:pPr>
              <w:autoSpaceDE w:val="0"/>
              <w:autoSpaceDN w:val="0"/>
              <w:adjustRightInd w:val="0"/>
              <w:snapToGrid w:val="0"/>
              <w:jc w:val="left"/>
              <w:rPr>
                <w:rFonts w:ascii="宋体" w:hAnsi="宋体"/>
                <w:color w:val="auto"/>
                <w:kern w:val="0"/>
                <w:szCs w:val="21"/>
                <w:highlight w:val="none"/>
              </w:rPr>
            </w:pPr>
          </w:p>
        </w:tc>
        <w:tc>
          <w:tcPr>
            <w:tcW w:w="2723" w:type="dxa"/>
          </w:tcPr>
          <w:p w14:paraId="05E0B1A3">
            <w:pPr>
              <w:autoSpaceDE w:val="0"/>
              <w:autoSpaceDN w:val="0"/>
              <w:adjustRightInd w:val="0"/>
              <w:snapToGrid w:val="0"/>
              <w:jc w:val="left"/>
              <w:rPr>
                <w:rFonts w:ascii="宋体" w:hAnsi="宋体"/>
                <w:color w:val="auto"/>
                <w:kern w:val="0"/>
                <w:szCs w:val="21"/>
                <w:highlight w:val="none"/>
              </w:rPr>
            </w:pPr>
          </w:p>
        </w:tc>
        <w:tc>
          <w:tcPr>
            <w:tcW w:w="896" w:type="dxa"/>
          </w:tcPr>
          <w:p w14:paraId="2042C9C9">
            <w:pPr>
              <w:autoSpaceDE w:val="0"/>
              <w:autoSpaceDN w:val="0"/>
              <w:adjustRightInd w:val="0"/>
              <w:snapToGrid w:val="0"/>
              <w:jc w:val="left"/>
              <w:rPr>
                <w:rFonts w:ascii="宋体" w:hAnsi="宋体"/>
                <w:color w:val="auto"/>
                <w:kern w:val="0"/>
                <w:szCs w:val="21"/>
                <w:highlight w:val="none"/>
              </w:rPr>
            </w:pPr>
          </w:p>
        </w:tc>
      </w:tr>
      <w:tr w14:paraId="657813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CB29570">
            <w:pPr>
              <w:autoSpaceDE w:val="0"/>
              <w:autoSpaceDN w:val="0"/>
              <w:adjustRightInd w:val="0"/>
              <w:snapToGrid w:val="0"/>
              <w:jc w:val="left"/>
              <w:rPr>
                <w:rFonts w:ascii="宋体" w:hAnsi="宋体"/>
                <w:color w:val="auto"/>
                <w:kern w:val="0"/>
                <w:szCs w:val="21"/>
                <w:highlight w:val="none"/>
              </w:rPr>
            </w:pPr>
          </w:p>
        </w:tc>
        <w:tc>
          <w:tcPr>
            <w:tcW w:w="734" w:type="dxa"/>
          </w:tcPr>
          <w:p w14:paraId="26203371">
            <w:pPr>
              <w:autoSpaceDE w:val="0"/>
              <w:autoSpaceDN w:val="0"/>
              <w:adjustRightInd w:val="0"/>
              <w:snapToGrid w:val="0"/>
              <w:jc w:val="left"/>
              <w:rPr>
                <w:rFonts w:ascii="宋体" w:hAnsi="宋体"/>
                <w:color w:val="auto"/>
                <w:kern w:val="0"/>
                <w:szCs w:val="21"/>
                <w:highlight w:val="none"/>
              </w:rPr>
            </w:pPr>
          </w:p>
        </w:tc>
        <w:tc>
          <w:tcPr>
            <w:tcW w:w="776" w:type="dxa"/>
          </w:tcPr>
          <w:p w14:paraId="4DCAB2AB">
            <w:pPr>
              <w:autoSpaceDE w:val="0"/>
              <w:autoSpaceDN w:val="0"/>
              <w:adjustRightInd w:val="0"/>
              <w:snapToGrid w:val="0"/>
              <w:jc w:val="left"/>
              <w:rPr>
                <w:rFonts w:ascii="宋体" w:hAnsi="宋体"/>
                <w:color w:val="auto"/>
                <w:kern w:val="0"/>
                <w:szCs w:val="21"/>
                <w:highlight w:val="none"/>
              </w:rPr>
            </w:pPr>
          </w:p>
        </w:tc>
        <w:tc>
          <w:tcPr>
            <w:tcW w:w="1167" w:type="dxa"/>
          </w:tcPr>
          <w:p w14:paraId="63704527">
            <w:pPr>
              <w:autoSpaceDE w:val="0"/>
              <w:autoSpaceDN w:val="0"/>
              <w:adjustRightInd w:val="0"/>
              <w:snapToGrid w:val="0"/>
              <w:jc w:val="left"/>
              <w:rPr>
                <w:rFonts w:ascii="宋体" w:hAnsi="宋体"/>
                <w:color w:val="auto"/>
                <w:kern w:val="0"/>
                <w:szCs w:val="21"/>
                <w:highlight w:val="none"/>
              </w:rPr>
            </w:pPr>
          </w:p>
        </w:tc>
        <w:tc>
          <w:tcPr>
            <w:tcW w:w="776" w:type="dxa"/>
          </w:tcPr>
          <w:p w14:paraId="25BC8127">
            <w:pPr>
              <w:autoSpaceDE w:val="0"/>
              <w:autoSpaceDN w:val="0"/>
              <w:adjustRightInd w:val="0"/>
              <w:snapToGrid w:val="0"/>
              <w:jc w:val="left"/>
              <w:rPr>
                <w:rFonts w:ascii="宋体" w:hAnsi="宋体"/>
                <w:color w:val="auto"/>
                <w:kern w:val="0"/>
                <w:szCs w:val="21"/>
                <w:highlight w:val="none"/>
              </w:rPr>
            </w:pPr>
          </w:p>
        </w:tc>
        <w:tc>
          <w:tcPr>
            <w:tcW w:w="778" w:type="dxa"/>
          </w:tcPr>
          <w:p w14:paraId="6ED5CDEA">
            <w:pPr>
              <w:autoSpaceDE w:val="0"/>
              <w:autoSpaceDN w:val="0"/>
              <w:adjustRightInd w:val="0"/>
              <w:snapToGrid w:val="0"/>
              <w:jc w:val="left"/>
              <w:rPr>
                <w:rFonts w:ascii="宋体" w:hAnsi="宋体"/>
                <w:color w:val="auto"/>
                <w:kern w:val="0"/>
                <w:szCs w:val="21"/>
                <w:highlight w:val="none"/>
              </w:rPr>
            </w:pPr>
          </w:p>
        </w:tc>
        <w:tc>
          <w:tcPr>
            <w:tcW w:w="776" w:type="dxa"/>
          </w:tcPr>
          <w:p w14:paraId="53F927BB">
            <w:pPr>
              <w:autoSpaceDE w:val="0"/>
              <w:autoSpaceDN w:val="0"/>
              <w:adjustRightInd w:val="0"/>
              <w:snapToGrid w:val="0"/>
              <w:jc w:val="left"/>
              <w:rPr>
                <w:rFonts w:ascii="宋体" w:hAnsi="宋体"/>
                <w:color w:val="auto"/>
                <w:kern w:val="0"/>
                <w:szCs w:val="21"/>
                <w:highlight w:val="none"/>
              </w:rPr>
            </w:pPr>
          </w:p>
        </w:tc>
        <w:tc>
          <w:tcPr>
            <w:tcW w:w="2723" w:type="dxa"/>
          </w:tcPr>
          <w:p w14:paraId="26C1E4E1">
            <w:pPr>
              <w:autoSpaceDE w:val="0"/>
              <w:autoSpaceDN w:val="0"/>
              <w:adjustRightInd w:val="0"/>
              <w:snapToGrid w:val="0"/>
              <w:jc w:val="left"/>
              <w:rPr>
                <w:rFonts w:ascii="宋体" w:hAnsi="宋体"/>
                <w:color w:val="auto"/>
                <w:kern w:val="0"/>
                <w:szCs w:val="21"/>
                <w:highlight w:val="none"/>
              </w:rPr>
            </w:pPr>
          </w:p>
        </w:tc>
        <w:tc>
          <w:tcPr>
            <w:tcW w:w="896" w:type="dxa"/>
          </w:tcPr>
          <w:p w14:paraId="31665860">
            <w:pPr>
              <w:autoSpaceDE w:val="0"/>
              <w:autoSpaceDN w:val="0"/>
              <w:adjustRightInd w:val="0"/>
              <w:snapToGrid w:val="0"/>
              <w:jc w:val="left"/>
              <w:rPr>
                <w:rFonts w:ascii="宋体" w:hAnsi="宋体"/>
                <w:color w:val="auto"/>
                <w:kern w:val="0"/>
                <w:szCs w:val="21"/>
                <w:highlight w:val="none"/>
              </w:rPr>
            </w:pPr>
          </w:p>
        </w:tc>
      </w:tr>
      <w:tr w14:paraId="6E0057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08EB187">
            <w:pPr>
              <w:autoSpaceDE w:val="0"/>
              <w:autoSpaceDN w:val="0"/>
              <w:adjustRightInd w:val="0"/>
              <w:snapToGrid w:val="0"/>
              <w:jc w:val="left"/>
              <w:rPr>
                <w:rFonts w:ascii="宋体" w:hAnsi="宋体"/>
                <w:color w:val="auto"/>
                <w:kern w:val="0"/>
                <w:szCs w:val="21"/>
                <w:highlight w:val="none"/>
              </w:rPr>
            </w:pPr>
          </w:p>
        </w:tc>
        <w:tc>
          <w:tcPr>
            <w:tcW w:w="734" w:type="dxa"/>
          </w:tcPr>
          <w:p w14:paraId="5133CD3B">
            <w:pPr>
              <w:autoSpaceDE w:val="0"/>
              <w:autoSpaceDN w:val="0"/>
              <w:adjustRightInd w:val="0"/>
              <w:snapToGrid w:val="0"/>
              <w:jc w:val="left"/>
              <w:rPr>
                <w:rFonts w:ascii="宋体" w:hAnsi="宋体"/>
                <w:color w:val="auto"/>
                <w:kern w:val="0"/>
                <w:szCs w:val="21"/>
                <w:highlight w:val="none"/>
              </w:rPr>
            </w:pPr>
          </w:p>
        </w:tc>
        <w:tc>
          <w:tcPr>
            <w:tcW w:w="776" w:type="dxa"/>
          </w:tcPr>
          <w:p w14:paraId="5E93AC8D">
            <w:pPr>
              <w:autoSpaceDE w:val="0"/>
              <w:autoSpaceDN w:val="0"/>
              <w:adjustRightInd w:val="0"/>
              <w:snapToGrid w:val="0"/>
              <w:jc w:val="left"/>
              <w:rPr>
                <w:rFonts w:ascii="宋体" w:hAnsi="宋体"/>
                <w:color w:val="auto"/>
                <w:kern w:val="0"/>
                <w:szCs w:val="21"/>
                <w:highlight w:val="none"/>
              </w:rPr>
            </w:pPr>
          </w:p>
        </w:tc>
        <w:tc>
          <w:tcPr>
            <w:tcW w:w="1167" w:type="dxa"/>
          </w:tcPr>
          <w:p w14:paraId="5E971BEA">
            <w:pPr>
              <w:autoSpaceDE w:val="0"/>
              <w:autoSpaceDN w:val="0"/>
              <w:adjustRightInd w:val="0"/>
              <w:snapToGrid w:val="0"/>
              <w:jc w:val="left"/>
              <w:rPr>
                <w:rFonts w:ascii="宋体" w:hAnsi="宋体"/>
                <w:color w:val="auto"/>
                <w:kern w:val="0"/>
                <w:szCs w:val="21"/>
                <w:highlight w:val="none"/>
              </w:rPr>
            </w:pPr>
          </w:p>
        </w:tc>
        <w:tc>
          <w:tcPr>
            <w:tcW w:w="776" w:type="dxa"/>
          </w:tcPr>
          <w:p w14:paraId="5A03A7E1">
            <w:pPr>
              <w:autoSpaceDE w:val="0"/>
              <w:autoSpaceDN w:val="0"/>
              <w:adjustRightInd w:val="0"/>
              <w:snapToGrid w:val="0"/>
              <w:jc w:val="left"/>
              <w:rPr>
                <w:rFonts w:ascii="宋体" w:hAnsi="宋体"/>
                <w:color w:val="auto"/>
                <w:kern w:val="0"/>
                <w:szCs w:val="21"/>
                <w:highlight w:val="none"/>
              </w:rPr>
            </w:pPr>
          </w:p>
        </w:tc>
        <w:tc>
          <w:tcPr>
            <w:tcW w:w="778" w:type="dxa"/>
          </w:tcPr>
          <w:p w14:paraId="2138FCDC">
            <w:pPr>
              <w:autoSpaceDE w:val="0"/>
              <w:autoSpaceDN w:val="0"/>
              <w:adjustRightInd w:val="0"/>
              <w:snapToGrid w:val="0"/>
              <w:jc w:val="left"/>
              <w:rPr>
                <w:rFonts w:ascii="宋体" w:hAnsi="宋体"/>
                <w:color w:val="auto"/>
                <w:kern w:val="0"/>
                <w:szCs w:val="21"/>
                <w:highlight w:val="none"/>
              </w:rPr>
            </w:pPr>
          </w:p>
        </w:tc>
        <w:tc>
          <w:tcPr>
            <w:tcW w:w="776" w:type="dxa"/>
          </w:tcPr>
          <w:p w14:paraId="3708FC3D">
            <w:pPr>
              <w:autoSpaceDE w:val="0"/>
              <w:autoSpaceDN w:val="0"/>
              <w:adjustRightInd w:val="0"/>
              <w:snapToGrid w:val="0"/>
              <w:jc w:val="left"/>
              <w:rPr>
                <w:rFonts w:ascii="宋体" w:hAnsi="宋体"/>
                <w:color w:val="auto"/>
                <w:kern w:val="0"/>
                <w:szCs w:val="21"/>
                <w:highlight w:val="none"/>
              </w:rPr>
            </w:pPr>
          </w:p>
        </w:tc>
        <w:tc>
          <w:tcPr>
            <w:tcW w:w="2723" w:type="dxa"/>
          </w:tcPr>
          <w:p w14:paraId="56AE2B54">
            <w:pPr>
              <w:autoSpaceDE w:val="0"/>
              <w:autoSpaceDN w:val="0"/>
              <w:adjustRightInd w:val="0"/>
              <w:snapToGrid w:val="0"/>
              <w:jc w:val="left"/>
              <w:rPr>
                <w:rFonts w:ascii="宋体" w:hAnsi="宋体"/>
                <w:color w:val="auto"/>
                <w:kern w:val="0"/>
                <w:szCs w:val="21"/>
                <w:highlight w:val="none"/>
              </w:rPr>
            </w:pPr>
          </w:p>
        </w:tc>
        <w:tc>
          <w:tcPr>
            <w:tcW w:w="896" w:type="dxa"/>
          </w:tcPr>
          <w:p w14:paraId="105D9B47">
            <w:pPr>
              <w:autoSpaceDE w:val="0"/>
              <w:autoSpaceDN w:val="0"/>
              <w:adjustRightInd w:val="0"/>
              <w:snapToGrid w:val="0"/>
              <w:jc w:val="left"/>
              <w:rPr>
                <w:rFonts w:ascii="宋体" w:hAnsi="宋体"/>
                <w:color w:val="auto"/>
                <w:kern w:val="0"/>
                <w:szCs w:val="21"/>
                <w:highlight w:val="none"/>
              </w:rPr>
            </w:pPr>
          </w:p>
        </w:tc>
      </w:tr>
      <w:tr w14:paraId="696EE2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2228CB5">
            <w:pPr>
              <w:autoSpaceDE w:val="0"/>
              <w:autoSpaceDN w:val="0"/>
              <w:adjustRightInd w:val="0"/>
              <w:snapToGrid w:val="0"/>
              <w:jc w:val="left"/>
              <w:rPr>
                <w:rFonts w:ascii="宋体" w:hAnsi="宋体"/>
                <w:color w:val="auto"/>
                <w:kern w:val="0"/>
                <w:szCs w:val="21"/>
                <w:highlight w:val="none"/>
              </w:rPr>
            </w:pPr>
          </w:p>
        </w:tc>
        <w:tc>
          <w:tcPr>
            <w:tcW w:w="734" w:type="dxa"/>
          </w:tcPr>
          <w:p w14:paraId="6C641D9B">
            <w:pPr>
              <w:autoSpaceDE w:val="0"/>
              <w:autoSpaceDN w:val="0"/>
              <w:adjustRightInd w:val="0"/>
              <w:snapToGrid w:val="0"/>
              <w:jc w:val="left"/>
              <w:rPr>
                <w:rFonts w:ascii="宋体" w:hAnsi="宋体"/>
                <w:color w:val="auto"/>
                <w:kern w:val="0"/>
                <w:szCs w:val="21"/>
                <w:highlight w:val="none"/>
              </w:rPr>
            </w:pPr>
          </w:p>
        </w:tc>
        <w:tc>
          <w:tcPr>
            <w:tcW w:w="776" w:type="dxa"/>
          </w:tcPr>
          <w:p w14:paraId="58F73A6F">
            <w:pPr>
              <w:autoSpaceDE w:val="0"/>
              <w:autoSpaceDN w:val="0"/>
              <w:adjustRightInd w:val="0"/>
              <w:snapToGrid w:val="0"/>
              <w:jc w:val="left"/>
              <w:rPr>
                <w:rFonts w:ascii="宋体" w:hAnsi="宋体"/>
                <w:color w:val="auto"/>
                <w:kern w:val="0"/>
                <w:szCs w:val="21"/>
                <w:highlight w:val="none"/>
              </w:rPr>
            </w:pPr>
          </w:p>
        </w:tc>
        <w:tc>
          <w:tcPr>
            <w:tcW w:w="1167" w:type="dxa"/>
          </w:tcPr>
          <w:p w14:paraId="33CEF782">
            <w:pPr>
              <w:autoSpaceDE w:val="0"/>
              <w:autoSpaceDN w:val="0"/>
              <w:adjustRightInd w:val="0"/>
              <w:snapToGrid w:val="0"/>
              <w:jc w:val="left"/>
              <w:rPr>
                <w:rFonts w:ascii="宋体" w:hAnsi="宋体"/>
                <w:color w:val="auto"/>
                <w:kern w:val="0"/>
                <w:szCs w:val="21"/>
                <w:highlight w:val="none"/>
              </w:rPr>
            </w:pPr>
          </w:p>
        </w:tc>
        <w:tc>
          <w:tcPr>
            <w:tcW w:w="776" w:type="dxa"/>
          </w:tcPr>
          <w:p w14:paraId="44FEB1D8">
            <w:pPr>
              <w:autoSpaceDE w:val="0"/>
              <w:autoSpaceDN w:val="0"/>
              <w:adjustRightInd w:val="0"/>
              <w:snapToGrid w:val="0"/>
              <w:jc w:val="left"/>
              <w:rPr>
                <w:rFonts w:ascii="宋体" w:hAnsi="宋体"/>
                <w:color w:val="auto"/>
                <w:kern w:val="0"/>
                <w:szCs w:val="21"/>
                <w:highlight w:val="none"/>
              </w:rPr>
            </w:pPr>
          </w:p>
        </w:tc>
        <w:tc>
          <w:tcPr>
            <w:tcW w:w="778" w:type="dxa"/>
          </w:tcPr>
          <w:p w14:paraId="28E67C02">
            <w:pPr>
              <w:autoSpaceDE w:val="0"/>
              <w:autoSpaceDN w:val="0"/>
              <w:adjustRightInd w:val="0"/>
              <w:snapToGrid w:val="0"/>
              <w:jc w:val="left"/>
              <w:rPr>
                <w:rFonts w:ascii="宋体" w:hAnsi="宋体"/>
                <w:color w:val="auto"/>
                <w:kern w:val="0"/>
                <w:szCs w:val="21"/>
                <w:highlight w:val="none"/>
              </w:rPr>
            </w:pPr>
          </w:p>
        </w:tc>
        <w:tc>
          <w:tcPr>
            <w:tcW w:w="776" w:type="dxa"/>
          </w:tcPr>
          <w:p w14:paraId="2D652A0F">
            <w:pPr>
              <w:autoSpaceDE w:val="0"/>
              <w:autoSpaceDN w:val="0"/>
              <w:adjustRightInd w:val="0"/>
              <w:snapToGrid w:val="0"/>
              <w:jc w:val="left"/>
              <w:rPr>
                <w:rFonts w:ascii="宋体" w:hAnsi="宋体"/>
                <w:color w:val="auto"/>
                <w:kern w:val="0"/>
                <w:szCs w:val="21"/>
                <w:highlight w:val="none"/>
              </w:rPr>
            </w:pPr>
          </w:p>
        </w:tc>
        <w:tc>
          <w:tcPr>
            <w:tcW w:w="2723" w:type="dxa"/>
          </w:tcPr>
          <w:p w14:paraId="62FF9C25">
            <w:pPr>
              <w:autoSpaceDE w:val="0"/>
              <w:autoSpaceDN w:val="0"/>
              <w:adjustRightInd w:val="0"/>
              <w:snapToGrid w:val="0"/>
              <w:jc w:val="left"/>
              <w:rPr>
                <w:rFonts w:ascii="宋体" w:hAnsi="宋体"/>
                <w:color w:val="auto"/>
                <w:kern w:val="0"/>
                <w:szCs w:val="21"/>
                <w:highlight w:val="none"/>
              </w:rPr>
            </w:pPr>
          </w:p>
        </w:tc>
        <w:tc>
          <w:tcPr>
            <w:tcW w:w="896" w:type="dxa"/>
          </w:tcPr>
          <w:p w14:paraId="1402F8D8">
            <w:pPr>
              <w:autoSpaceDE w:val="0"/>
              <w:autoSpaceDN w:val="0"/>
              <w:adjustRightInd w:val="0"/>
              <w:snapToGrid w:val="0"/>
              <w:jc w:val="left"/>
              <w:rPr>
                <w:rFonts w:ascii="宋体" w:hAnsi="宋体"/>
                <w:color w:val="auto"/>
                <w:kern w:val="0"/>
                <w:szCs w:val="21"/>
                <w:highlight w:val="none"/>
              </w:rPr>
            </w:pPr>
          </w:p>
        </w:tc>
      </w:tr>
      <w:tr w14:paraId="5A184D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3257095">
            <w:pPr>
              <w:autoSpaceDE w:val="0"/>
              <w:autoSpaceDN w:val="0"/>
              <w:adjustRightInd w:val="0"/>
              <w:snapToGrid w:val="0"/>
              <w:jc w:val="left"/>
              <w:rPr>
                <w:rFonts w:ascii="宋体" w:hAnsi="宋体"/>
                <w:color w:val="auto"/>
                <w:kern w:val="0"/>
                <w:szCs w:val="21"/>
                <w:highlight w:val="none"/>
              </w:rPr>
            </w:pPr>
          </w:p>
        </w:tc>
        <w:tc>
          <w:tcPr>
            <w:tcW w:w="734" w:type="dxa"/>
          </w:tcPr>
          <w:p w14:paraId="6C81B3DF">
            <w:pPr>
              <w:autoSpaceDE w:val="0"/>
              <w:autoSpaceDN w:val="0"/>
              <w:adjustRightInd w:val="0"/>
              <w:snapToGrid w:val="0"/>
              <w:jc w:val="left"/>
              <w:rPr>
                <w:rFonts w:ascii="宋体" w:hAnsi="宋体"/>
                <w:color w:val="auto"/>
                <w:kern w:val="0"/>
                <w:szCs w:val="21"/>
                <w:highlight w:val="none"/>
              </w:rPr>
            </w:pPr>
          </w:p>
        </w:tc>
        <w:tc>
          <w:tcPr>
            <w:tcW w:w="776" w:type="dxa"/>
          </w:tcPr>
          <w:p w14:paraId="71A0FB51">
            <w:pPr>
              <w:autoSpaceDE w:val="0"/>
              <w:autoSpaceDN w:val="0"/>
              <w:adjustRightInd w:val="0"/>
              <w:snapToGrid w:val="0"/>
              <w:jc w:val="left"/>
              <w:rPr>
                <w:rFonts w:ascii="宋体" w:hAnsi="宋体"/>
                <w:color w:val="auto"/>
                <w:kern w:val="0"/>
                <w:szCs w:val="21"/>
                <w:highlight w:val="none"/>
              </w:rPr>
            </w:pPr>
          </w:p>
        </w:tc>
        <w:tc>
          <w:tcPr>
            <w:tcW w:w="1167" w:type="dxa"/>
          </w:tcPr>
          <w:p w14:paraId="5FBA2619">
            <w:pPr>
              <w:autoSpaceDE w:val="0"/>
              <w:autoSpaceDN w:val="0"/>
              <w:adjustRightInd w:val="0"/>
              <w:snapToGrid w:val="0"/>
              <w:jc w:val="left"/>
              <w:rPr>
                <w:rFonts w:ascii="宋体" w:hAnsi="宋体"/>
                <w:color w:val="auto"/>
                <w:kern w:val="0"/>
                <w:szCs w:val="21"/>
                <w:highlight w:val="none"/>
              </w:rPr>
            </w:pPr>
          </w:p>
        </w:tc>
        <w:tc>
          <w:tcPr>
            <w:tcW w:w="776" w:type="dxa"/>
          </w:tcPr>
          <w:p w14:paraId="36BDC11C">
            <w:pPr>
              <w:autoSpaceDE w:val="0"/>
              <w:autoSpaceDN w:val="0"/>
              <w:adjustRightInd w:val="0"/>
              <w:snapToGrid w:val="0"/>
              <w:jc w:val="left"/>
              <w:rPr>
                <w:rFonts w:ascii="宋体" w:hAnsi="宋体"/>
                <w:color w:val="auto"/>
                <w:kern w:val="0"/>
                <w:szCs w:val="21"/>
                <w:highlight w:val="none"/>
              </w:rPr>
            </w:pPr>
          </w:p>
        </w:tc>
        <w:tc>
          <w:tcPr>
            <w:tcW w:w="778" w:type="dxa"/>
          </w:tcPr>
          <w:p w14:paraId="367FCB82">
            <w:pPr>
              <w:autoSpaceDE w:val="0"/>
              <w:autoSpaceDN w:val="0"/>
              <w:adjustRightInd w:val="0"/>
              <w:snapToGrid w:val="0"/>
              <w:jc w:val="left"/>
              <w:rPr>
                <w:rFonts w:ascii="宋体" w:hAnsi="宋体"/>
                <w:color w:val="auto"/>
                <w:kern w:val="0"/>
                <w:szCs w:val="21"/>
                <w:highlight w:val="none"/>
              </w:rPr>
            </w:pPr>
          </w:p>
        </w:tc>
        <w:tc>
          <w:tcPr>
            <w:tcW w:w="776" w:type="dxa"/>
          </w:tcPr>
          <w:p w14:paraId="69D9B44F">
            <w:pPr>
              <w:autoSpaceDE w:val="0"/>
              <w:autoSpaceDN w:val="0"/>
              <w:adjustRightInd w:val="0"/>
              <w:snapToGrid w:val="0"/>
              <w:jc w:val="left"/>
              <w:rPr>
                <w:rFonts w:ascii="宋体" w:hAnsi="宋体"/>
                <w:color w:val="auto"/>
                <w:kern w:val="0"/>
                <w:szCs w:val="21"/>
                <w:highlight w:val="none"/>
              </w:rPr>
            </w:pPr>
          </w:p>
        </w:tc>
        <w:tc>
          <w:tcPr>
            <w:tcW w:w="2723" w:type="dxa"/>
          </w:tcPr>
          <w:p w14:paraId="34CCAA85">
            <w:pPr>
              <w:autoSpaceDE w:val="0"/>
              <w:autoSpaceDN w:val="0"/>
              <w:adjustRightInd w:val="0"/>
              <w:snapToGrid w:val="0"/>
              <w:jc w:val="left"/>
              <w:rPr>
                <w:rFonts w:ascii="宋体" w:hAnsi="宋体"/>
                <w:color w:val="auto"/>
                <w:kern w:val="0"/>
                <w:szCs w:val="21"/>
                <w:highlight w:val="none"/>
              </w:rPr>
            </w:pPr>
          </w:p>
        </w:tc>
        <w:tc>
          <w:tcPr>
            <w:tcW w:w="896" w:type="dxa"/>
          </w:tcPr>
          <w:p w14:paraId="37910EB9">
            <w:pPr>
              <w:autoSpaceDE w:val="0"/>
              <w:autoSpaceDN w:val="0"/>
              <w:adjustRightInd w:val="0"/>
              <w:snapToGrid w:val="0"/>
              <w:jc w:val="left"/>
              <w:rPr>
                <w:rFonts w:ascii="宋体" w:hAnsi="宋体"/>
                <w:color w:val="auto"/>
                <w:kern w:val="0"/>
                <w:szCs w:val="21"/>
                <w:highlight w:val="none"/>
              </w:rPr>
            </w:pPr>
          </w:p>
        </w:tc>
      </w:tr>
      <w:tr w14:paraId="017B33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1A4BC23">
            <w:pPr>
              <w:autoSpaceDE w:val="0"/>
              <w:autoSpaceDN w:val="0"/>
              <w:adjustRightInd w:val="0"/>
              <w:snapToGrid w:val="0"/>
              <w:jc w:val="left"/>
              <w:rPr>
                <w:rFonts w:ascii="宋体" w:hAnsi="宋体"/>
                <w:color w:val="auto"/>
                <w:kern w:val="0"/>
                <w:szCs w:val="21"/>
                <w:highlight w:val="none"/>
              </w:rPr>
            </w:pPr>
          </w:p>
        </w:tc>
        <w:tc>
          <w:tcPr>
            <w:tcW w:w="734" w:type="dxa"/>
          </w:tcPr>
          <w:p w14:paraId="4037946D">
            <w:pPr>
              <w:autoSpaceDE w:val="0"/>
              <w:autoSpaceDN w:val="0"/>
              <w:adjustRightInd w:val="0"/>
              <w:snapToGrid w:val="0"/>
              <w:jc w:val="left"/>
              <w:rPr>
                <w:rFonts w:ascii="宋体" w:hAnsi="宋体"/>
                <w:color w:val="auto"/>
                <w:kern w:val="0"/>
                <w:szCs w:val="21"/>
                <w:highlight w:val="none"/>
              </w:rPr>
            </w:pPr>
          </w:p>
        </w:tc>
        <w:tc>
          <w:tcPr>
            <w:tcW w:w="776" w:type="dxa"/>
          </w:tcPr>
          <w:p w14:paraId="4A410D78">
            <w:pPr>
              <w:autoSpaceDE w:val="0"/>
              <w:autoSpaceDN w:val="0"/>
              <w:adjustRightInd w:val="0"/>
              <w:snapToGrid w:val="0"/>
              <w:jc w:val="left"/>
              <w:rPr>
                <w:rFonts w:ascii="宋体" w:hAnsi="宋体"/>
                <w:color w:val="auto"/>
                <w:kern w:val="0"/>
                <w:szCs w:val="21"/>
                <w:highlight w:val="none"/>
              </w:rPr>
            </w:pPr>
          </w:p>
        </w:tc>
        <w:tc>
          <w:tcPr>
            <w:tcW w:w="1167" w:type="dxa"/>
          </w:tcPr>
          <w:p w14:paraId="4D6B8F57">
            <w:pPr>
              <w:autoSpaceDE w:val="0"/>
              <w:autoSpaceDN w:val="0"/>
              <w:adjustRightInd w:val="0"/>
              <w:snapToGrid w:val="0"/>
              <w:jc w:val="left"/>
              <w:rPr>
                <w:rFonts w:ascii="宋体" w:hAnsi="宋体"/>
                <w:color w:val="auto"/>
                <w:kern w:val="0"/>
                <w:szCs w:val="21"/>
                <w:highlight w:val="none"/>
              </w:rPr>
            </w:pPr>
          </w:p>
        </w:tc>
        <w:tc>
          <w:tcPr>
            <w:tcW w:w="776" w:type="dxa"/>
          </w:tcPr>
          <w:p w14:paraId="22FDD489">
            <w:pPr>
              <w:autoSpaceDE w:val="0"/>
              <w:autoSpaceDN w:val="0"/>
              <w:adjustRightInd w:val="0"/>
              <w:snapToGrid w:val="0"/>
              <w:jc w:val="left"/>
              <w:rPr>
                <w:rFonts w:ascii="宋体" w:hAnsi="宋体"/>
                <w:color w:val="auto"/>
                <w:kern w:val="0"/>
                <w:szCs w:val="21"/>
                <w:highlight w:val="none"/>
              </w:rPr>
            </w:pPr>
          </w:p>
        </w:tc>
        <w:tc>
          <w:tcPr>
            <w:tcW w:w="778" w:type="dxa"/>
          </w:tcPr>
          <w:p w14:paraId="46659E45">
            <w:pPr>
              <w:autoSpaceDE w:val="0"/>
              <w:autoSpaceDN w:val="0"/>
              <w:adjustRightInd w:val="0"/>
              <w:snapToGrid w:val="0"/>
              <w:jc w:val="left"/>
              <w:rPr>
                <w:rFonts w:ascii="宋体" w:hAnsi="宋体"/>
                <w:color w:val="auto"/>
                <w:kern w:val="0"/>
                <w:szCs w:val="21"/>
                <w:highlight w:val="none"/>
              </w:rPr>
            </w:pPr>
          </w:p>
        </w:tc>
        <w:tc>
          <w:tcPr>
            <w:tcW w:w="776" w:type="dxa"/>
          </w:tcPr>
          <w:p w14:paraId="0E828B49">
            <w:pPr>
              <w:autoSpaceDE w:val="0"/>
              <w:autoSpaceDN w:val="0"/>
              <w:adjustRightInd w:val="0"/>
              <w:snapToGrid w:val="0"/>
              <w:jc w:val="left"/>
              <w:rPr>
                <w:rFonts w:ascii="宋体" w:hAnsi="宋体"/>
                <w:color w:val="auto"/>
                <w:kern w:val="0"/>
                <w:szCs w:val="21"/>
                <w:highlight w:val="none"/>
              </w:rPr>
            </w:pPr>
          </w:p>
        </w:tc>
        <w:tc>
          <w:tcPr>
            <w:tcW w:w="2723" w:type="dxa"/>
          </w:tcPr>
          <w:p w14:paraId="06C539BD">
            <w:pPr>
              <w:autoSpaceDE w:val="0"/>
              <w:autoSpaceDN w:val="0"/>
              <w:adjustRightInd w:val="0"/>
              <w:snapToGrid w:val="0"/>
              <w:jc w:val="left"/>
              <w:rPr>
                <w:rFonts w:ascii="宋体" w:hAnsi="宋体"/>
                <w:color w:val="auto"/>
                <w:kern w:val="0"/>
                <w:szCs w:val="21"/>
                <w:highlight w:val="none"/>
              </w:rPr>
            </w:pPr>
          </w:p>
        </w:tc>
        <w:tc>
          <w:tcPr>
            <w:tcW w:w="896" w:type="dxa"/>
          </w:tcPr>
          <w:p w14:paraId="37992888">
            <w:pPr>
              <w:autoSpaceDE w:val="0"/>
              <w:autoSpaceDN w:val="0"/>
              <w:adjustRightInd w:val="0"/>
              <w:snapToGrid w:val="0"/>
              <w:jc w:val="left"/>
              <w:rPr>
                <w:rFonts w:ascii="宋体" w:hAnsi="宋体"/>
                <w:color w:val="auto"/>
                <w:kern w:val="0"/>
                <w:szCs w:val="21"/>
                <w:highlight w:val="none"/>
              </w:rPr>
            </w:pPr>
          </w:p>
        </w:tc>
      </w:tr>
      <w:tr w14:paraId="02EDA5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3522DE4">
            <w:pPr>
              <w:autoSpaceDE w:val="0"/>
              <w:autoSpaceDN w:val="0"/>
              <w:adjustRightInd w:val="0"/>
              <w:snapToGrid w:val="0"/>
              <w:jc w:val="left"/>
              <w:rPr>
                <w:rFonts w:ascii="宋体" w:hAnsi="宋体"/>
                <w:color w:val="auto"/>
                <w:kern w:val="0"/>
                <w:szCs w:val="21"/>
                <w:highlight w:val="none"/>
              </w:rPr>
            </w:pPr>
          </w:p>
        </w:tc>
        <w:tc>
          <w:tcPr>
            <w:tcW w:w="734" w:type="dxa"/>
          </w:tcPr>
          <w:p w14:paraId="1C108883">
            <w:pPr>
              <w:autoSpaceDE w:val="0"/>
              <w:autoSpaceDN w:val="0"/>
              <w:adjustRightInd w:val="0"/>
              <w:snapToGrid w:val="0"/>
              <w:jc w:val="left"/>
              <w:rPr>
                <w:rFonts w:ascii="宋体" w:hAnsi="宋体"/>
                <w:color w:val="auto"/>
                <w:kern w:val="0"/>
                <w:szCs w:val="21"/>
                <w:highlight w:val="none"/>
              </w:rPr>
            </w:pPr>
          </w:p>
        </w:tc>
        <w:tc>
          <w:tcPr>
            <w:tcW w:w="776" w:type="dxa"/>
          </w:tcPr>
          <w:p w14:paraId="4B5367FF">
            <w:pPr>
              <w:autoSpaceDE w:val="0"/>
              <w:autoSpaceDN w:val="0"/>
              <w:adjustRightInd w:val="0"/>
              <w:snapToGrid w:val="0"/>
              <w:jc w:val="left"/>
              <w:rPr>
                <w:rFonts w:ascii="宋体" w:hAnsi="宋体"/>
                <w:color w:val="auto"/>
                <w:kern w:val="0"/>
                <w:szCs w:val="21"/>
                <w:highlight w:val="none"/>
              </w:rPr>
            </w:pPr>
          </w:p>
        </w:tc>
        <w:tc>
          <w:tcPr>
            <w:tcW w:w="1167" w:type="dxa"/>
          </w:tcPr>
          <w:p w14:paraId="516F754C">
            <w:pPr>
              <w:autoSpaceDE w:val="0"/>
              <w:autoSpaceDN w:val="0"/>
              <w:adjustRightInd w:val="0"/>
              <w:snapToGrid w:val="0"/>
              <w:jc w:val="left"/>
              <w:rPr>
                <w:rFonts w:ascii="宋体" w:hAnsi="宋体"/>
                <w:color w:val="auto"/>
                <w:kern w:val="0"/>
                <w:szCs w:val="21"/>
                <w:highlight w:val="none"/>
              </w:rPr>
            </w:pPr>
          </w:p>
        </w:tc>
        <w:tc>
          <w:tcPr>
            <w:tcW w:w="776" w:type="dxa"/>
          </w:tcPr>
          <w:p w14:paraId="4869C8A0">
            <w:pPr>
              <w:autoSpaceDE w:val="0"/>
              <w:autoSpaceDN w:val="0"/>
              <w:adjustRightInd w:val="0"/>
              <w:snapToGrid w:val="0"/>
              <w:jc w:val="left"/>
              <w:rPr>
                <w:rFonts w:ascii="宋体" w:hAnsi="宋体"/>
                <w:color w:val="auto"/>
                <w:kern w:val="0"/>
                <w:szCs w:val="21"/>
                <w:highlight w:val="none"/>
              </w:rPr>
            </w:pPr>
          </w:p>
        </w:tc>
        <w:tc>
          <w:tcPr>
            <w:tcW w:w="778" w:type="dxa"/>
          </w:tcPr>
          <w:p w14:paraId="45BAF75E">
            <w:pPr>
              <w:autoSpaceDE w:val="0"/>
              <w:autoSpaceDN w:val="0"/>
              <w:adjustRightInd w:val="0"/>
              <w:snapToGrid w:val="0"/>
              <w:jc w:val="left"/>
              <w:rPr>
                <w:rFonts w:ascii="宋体" w:hAnsi="宋体"/>
                <w:color w:val="auto"/>
                <w:kern w:val="0"/>
                <w:szCs w:val="21"/>
                <w:highlight w:val="none"/>
              </w:rPr>
            </w:pPr>
          </w:p>
        </w:tc>
        <w:tc>
          <w:tcPr>
            <w:tcW w:w="776" w:type="dxa"/>
          </w:tcPr>
          <w:p w14:paraId="32666082">
            <w:pPr>
              <w:autoSpaceDE w:val="0"/>
              <w:autoSpaceDN w:val="0"/>
              <w:adjustRightInd w:val="0"/>
              <w:snapToGrid w:val="0"/>
              <w:jc w:val="left"/>
              <w:rPr>
                <w:rFonts w:ascii="宋体" w:hAnsi="宋体"/>
                <w:color w:val="auto"/>
                <w:kern w:val="0"/>
                <w:szCs w:val="21"/>
                <w:highlight w:val="none"/>
              </w:rPr>
            </w:pPr>
          </w:p>
        </w:tc>
        <w:tc>
          <w:tcPr>
            <w:tcW w:w="2723" w:type="dxa"/>
          </w:tcPr>
          <w:p w14:paraId="1F90BDF1">
            <w:pPr>
              <w:autoSpaceDE w:val="0"/>
              <w:autoSpaceDN w:val="0"/>
              <w:adjustRightInd w:val="0"/>
              <w:snapToGrid w:val="0"/>
              <w:jc w:val="left"/>
              <w:rPr>
                <w:rFonts w:ascii="宋体" w:hAnsi="宋体"/>
                <w:color w:val="auto"/>
                <w:kern w:val="0"/>
                <w:szCs w:val="21"/>
                <w:highlight w:val="none"/>
              </w:rPr>
            </w:pPr>
          </w:p>
        </w:tc>
        <w:tc>
          <w:tcPr>
            <w:tcW w:w="896" w:type="dxa"/>
          </w:tcPr>
          <w:p w14:paraId="263BBBEC">
            <w:pPr>
              <w:autoSpaceDE w:val="0"/>
              <w:autoSpaceDN w:val="0"/>
              <w:adjustRightInd w:val="0"/>
              <w:snapToGrid w:val="0"/>
              <w:jc w:val="left"/>
              <w:rPr>
                <w:rFonts w:ascii="宋体" w:hAnsi="宋体"/>
                <w:color w:val="auto"/>
                <w:kern w:val="0"/>
                <w:szCs w:val="21"/>
                <w:highlight w:val="none"/>
              </w:rPr>
            </w:pPr>
          </w:p>
        </w:tc>
      </w:tr>
      <w:tr w14:paraId="15B2D2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497F964">
            <w:pPr>
              <w:autoSpaceDE w:val="0"/>
              <w:autoSpaceDN w:val="0"/>
              <w:adjustRightInd w:val="0"/>
              <w:snapToGrid w:val="0"/>
              <w:jc w:val="left"/>
              <w:rPr>
                <w:rFonts w:ascii="宋体" w:hAnsi="宋体"/>
                <w:color w:val="auto"/>
                <w:kern w:val="0"/>
                <w:szCs w:val="21"/>
                <w:highlight w:val="none"/>
              </w:rPr>
            </w:pPr>
          </w:p>
        </w:tc>
        <w:tc>
          <w:tcPr>
            <w:tcW w:w="734" w:type="dxa"/>
          </w:tcPr>
          <w:p w14:paraId="1A959B5F">
            <w:pPr>
              <w:autoSpaceDE w:val="0"/>
              <w:autoSpaceDN w:val="0"/>
              <w:adjustRightInd w:val="0"/>
              <w:snapToGrid w:val="0"/>
              <w:jc w:val="left"/>
              <w:rPr>
                <w:rFonts w:ascii="宋体" w:hAnsi="宋体"/>
                <w:color w:val="auto"/>
                <w:kern w:val="0"/>
                <w:szCs w:val="21"/>
                <w:highlight w:val="none"/>
              </w:rPr>
            </w:pPr>
          </w:p>
        </w:tc>
        <w:tc>
          <w:tcPr>
            <w:tcW w:w="776" w:type="dxa"/>
          </w:tcPr>
          <w:p w14:paraId="342BDA26">
            <w:pPr>
              <w:autoSpaceDE w:val="0"/>
              <w:autoSpaceDN w:val="0"/>
              <w:adjustRightInd w:val="0"/>
              <w:snapToGrid w:val="0"/>
              <w:jc w:val="left"/>
              <w:rPr>
                <w:rFonts w:ascii="宋体" w:hAnsi="宋体"/>
                <w:color w:val="auto"/>
                <w:kern w:val="0"/>
                <w:szCs w:val="21"/>
                <w:highlight w:val="none"/>
              </w:rPr>
            </w:pPr>
          </w:p>
        </w:tc>
        <w:tc>
          <w:tcPr>
            <w:tcW w:w="1167" w:type="dxa"/>
          </w:tcPr>
          <w:p w14:paraId="311B0D52">
            <w:pPr>
              <w:autoSpaceDE w:val="0"/>
              <w:autoSpaceDN w:val="0"/>
              <w:adjustRightInd w:val="0"/>
              <w:snapToGrid w:val="0"/>
              <w:jc w:val="left"/>
              <w:rPr>
                <w:rFonts w:ascii="宋体" w:hAnsi="宋体"/>
                <w:color w:val="auto"/>
                <w:kern w:val="0"/>
                <w:szCs w:val="21"/>
                <w:highlight w:val="none"/>
              </w:rPr>
            </w:pPr>
          </w:p>
        </w:tc>
        <w:tc>
          <w:tcPr>
            <w:tcW w:w="776" w:type="dxa"/>
          </w:tcPr>
          <w:p w14:paraId="10A1E3DB">
            <w:pPr>
              <w:autoSpaceDE w:val="0"/>
              <w:autoSpaceDN w:val="0"/>
              <w:adjustRightInd w:val="0"/>
              <w:snapToGrid w:val="0"/>
              <w:jc w:val="left"/>
              <w:rPr>
                <w:rFonts w:ascii="宋体" w:hAnsi="宋体"/>
                <w:color w:val="auto"/>
                <w:kern w:val="0"/>
                <w:szCs w:val="21"/>
                <w:highlight w:val="none"/>
              </w:rPr>
            </w:pPr>
          </w:p>
        </w:tc>
        <w:tc>
          <w:tcPr>
            <w:tcW w:w="778" w:type="dxa"/>
          </w:tcPr>
          <w:p w14:paraId="4A9A31DA">
            <w:pPr>
              <w:autoSpaceDE w:val="0"/>
              <w:autoSpaceDN w:val="0"/>
              <w:adjustRightInd w:val="0"/>
              <w:snapToGrid w:val="0"/>
              <w:jc w:val="left"/>
              <w:rPr>
                <w:rFonts w:ascii="宋体" w:hAnsi="宋体"/>
                <w:color w:val="auto"/>
                <w:kern w:val="0"/>
                <w:szCs w:val="21"/>
                <w:highlight w:val="none"/>
              </w:rPr>
            </w:pPr>
          </w:p>
        </w:tc>
        <w:tc>
          <w:tcPr>
            <w:tcW w:w="776" w:type="dxa"/>
          </w:tcPr>
          <w:p w14:paraId="3FD35DAC">
            <w:pPr>
              <w:autoSpaceDE w:val="0"/>
              <w:autoSpaceDN w:val="0"/>
              <w:adjustRightInd w:val="0"/>
              <w:snapToGrid w:val="0"/>
              <w:jc w:val="left"/>
              <w:rPr>
                <w:rFonts w:ascii="宋体" w:hAnsi="宋体"/>
                <w:color w:val="auto"/>
                <w:kern w:val="0"/>
                <w:szCs w:val="21"/>
                <w:highlight w:val="none"/>
              </w:rPr>
            </w:pPr>
          </w:p>
        </w:tc>
        <w:tc>
          <w:tcPr>
            <w:tcW w:w="2723" w:type="dxa"/>
          </w:tcPr>
          <w:p w14:paraId="09779E45">
            <w:pPr>
              <w:autoSpaceDE w:val="0"/>
              <w:autoSpaceDN w:val="0"/>
              <w:adjustRightInd w:val="0"/>
              <w:snapToGrid w:val="0"/>
              <w:jc w:val="left"/>
              <w:rPr>
                <w:rFonts w:ascii="宋体" w:hAnsi="宋体"/>
                <w:color w:val="auto"/>
                <w:kern w:val="0"/>
                <w:szCs w:val="21"/>
                <w:highlight w:val="none"/>
              </w:rPr>
            </w:pPr>
          </w:p>
        </w:tc>
        <w:tc>
          <w:tcPr>
            <w:tcW w:w="896" w:type="dxa"/>
          </w:tcPr>
          <w:p w14:paraId="0ED1CB76">
            <w:pPr>
              <w:autoSpaceDE w:val="0"/>
              <w:autoSpaceDN w:val="0"/>
              <w:adjustRightInd w:val="0"/>
              <w:snapToGrid w:val="0"/>
              <w:jc w:val="left"/>
              <w:rPr>
                <w:rFonts w:ascii="宋体" w:hAnsi="宋体"/>
                <w:color w:val="auto"/>
                <w:kern w:val="0"/>
                <w:szCs w:val="21"/>
                <w:highlight w:val="none"/>
              </w:rPr>
            </w:pPr>
          </w:p>
        </w:tc>
      </w:tr>
      <w:tr w14:paraId="39EBA3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6060336">
            <w:pPr>
              <w:autoSpaceDE w:val="0"/>
              <w:autoSpaceDN w:val="0"/>
              <w:adjustRightInd w:val="0"/>
              <w:snapToGrid w:val="0"/>
              <w:jc w:val="left"/>
              <w:rPr>
                <w:rFonts w:ascii="宋体" w:hAnsi="宋体"/>
                <w:color w:val="auto"/>
                <w:kern w:val="0"/>
                <w:szCs w:val="21"/>
                <w:highlight w:val="none"/>
              </w:rPr>
            </w:pPr>
          </w:p>
        </w:tc>
        <w:tc>
          <w:tcPr>
            <w:tcW w:w="734" w:type="dxa"/>
          </w:tcPr>
          <w:p w14:paraId="5C638950">
            <w:pPr>
              <w:autoSpaceDE w:val="0"/>
              <w:autoSpaceDN w:val="0"/>
              <w:adjustRightInd w:val="0"/>
              <w:snapToGrid w:val="0"/>
              <w:jc w:val="left"/>
              <w:rPr>
                <w:rFonts w:ascii="宋体" w:hAnsi="宋体"/>
                <w:color w:val="auto"/>
                <w:kern w:val="0"/>
                <w:szCs w:val="21"/>
                <w:highlight w:val="none"/>
              </w:rPr>
            </w:pPr>
          </w:p>
        </w:tc>
        <w:tc>
          <w:tcPr>
            <w:tcW w:w="776" w:type="dxa"/>
          </w:tcPr>
          <w:p w14:paraId="03DD5378">
            <w:pPr>
              <w:autoSpaceDE w:val="0"/>
              <w:autoSpaceDN w:val="0"/>
              <w:adjustRightInd w:val="0"/>
              <w:snapToGrid w:val="0"/>
              <w:jc w:val="left"/>
              <w:rPr>
                <w:rFonts w:ascii="宋体" w:hAnsi="宋体"/>
                <w:color w:val="auto"/>
                <w:kern w:val="0"/>
                <w:szCs w:val="21"/>
                <w:highlight w:val="none"/>
              </w:rPr>
            </w:pPr>
          </w:p>
        </w:tc>
        <w:tc>
          <w:tcPr>
            <w:tcW w:w="1167" w:type="dxa"/>
          </w:tcPr>
          <w:p w14:paraId="1E0F6DFC">
            <w:pPr>
              <w:autoSpaceDE w:val="0"/>
              <w:autoSpaceDN w:val="0"/>
              <w:adjustRightInd w:val="0"/>
              <w:snapToGrid w:val="0"/>
              <w:jc w:val="left"/>
              <w:rPr>
                <w:rFonts w:ascii="宋体" w:hAnsi="宋体"/>
                <w:color w:val="auto"/>
                <w:kern w:val="0"/>
                <w:szCs w:val="21"/>
                <w:highlight w:val="none"/>
              </w:rPr>
            </w:pPr>
          </w:p>
        </w:tc>
        <w:tc>
          <w:tcPr>
            <w:tcW w:w="776" w:type="dxa"/>
          </w:tcPr>
          <w:p w14:paraId="38AC5512">
            <w:pPr>
              <w:autoSpaceDE w:val="0"/>
              <w:autoSpaceDN w:val="0"/>
              <w:adjustRightInd w:val="0"/>
              <w:snapToGrid w:val="0"/>
              <w:jc w:val="left"/>
              <w:rPr>
                <w:rFonts w:ascii="宋体" w:hAnsi="宋体"/>
                <w:color w:val="auto"/>
                <w:kern w:val="0"/>
                <w:szCs w:val="21"/>
                <w:highlight w:val="none"/>
              </w:rPr>
            </w:pPr>
          </w:p>
        </w:tc>
        <w:tc>
          <w:tcPr>
            <w:tcW w:w="778" w:type="dxa"/>
          </w:tcPr>
          <w:p w14:paraId="0B0EEEA8">
            <w:pPr>
              <w:autoSpaceDE w:val="0"/>
              <w:autoSpaceDN w:val="0"/>
              <w:adjustRightInd w:val="0"/>
              <w:snapToGrid w:val="0"/>
              <w:jc w:val="left"/>
              <w:rPr>
                <w:rFonts w:ascii="宋体" w:hAnsi="宋体"/>
                <w:color w:val="auto"/>
                <w:kern w:val="0"/>
                <w:szCs w:val="21"/>
                <w:highlight w:val="none"/>
              </w:rPr>
            </w:pPr>
          </w:p>
        </w:tc>
        <w:tc>
          <w:tcPr>
            <w:tcW w:w="776" w:type="dxa"/>
          </w:tcPr>
          <w:p w14:paraId="77A848AF">
            <w:pPr>
              <w:autoSpaceDE w:val="0"/>
              <w:autoSpaceDN w:val="0"/>
              <w:adjustRightInd w:val="0"/>
              <w:snapToGrid w:val="0"/>
              <w:jc w:val="left"/>
              <w:rPr>
                <w:rFonts w:ascii="宋体" w:hAnsi="宋体"/>
                <w:color w:val="auto"/>
                <w:kern w:val="0"/>
                <w:szCs w:val="21"/>
                <w:highlight w:val="none"/>
              </w:rPr>
            </w:pPr>
          </w:p>
        </w:tc>
        <w:tc>
          <w:tcPr>
            <w:tcW w:w="2723" w:type="dxa"/>
          </w:tcPr>
          <w:p w14:paraId="55E59FE2">
            <w:pPr>
              <w:autoSpaceDE w:val="0"/>
              <w:autoSpaceDN w:val="0"/>
              <w:adjustRightInd w:val="0"/>
              <w:snapToGrid w:val="0"/>
              <w:jc w:val="left"/>
              <w:rPr>
                <w:rFonts w:ascii="宋体" w:hAnsi="宋体"/>
                <w:color w:val="auto"/>
                <w:kern w:val="0"/>
                <w:szCs w:val="21"/>
                <w:highlight w:val="none"/>
              </w:rPr>
            </w:pPr>
          </w:p>
        </w:tc>
        <w:tc>
          <w:tcPr>
            <w:tcW w:w="896" w:type="dxa"/>
          </w:tcPr>
          <w:p w14:paraId="53C1D309">
            <w:pPr>
              <w:autoSpaceDE w:val="0"/>
              <w:autoSpaceDN w:val="0"/>
              <w:adjustRightInd w:val="0"/>
              <w:snapToGrid w:val="0"/>
              <w:jc w:val="left"/>
              <w:rPr>
                <w:rFonts w:ascii="宋体" w:hAnsi="宋体"/>
                <w:color w:val="auto"/>
                <w:kern w:val="0"/>
                <w:szCs w:val="21"/>
                <w:highlight w:val="none"/>
              </w:rPr>
            </w:pPr>
          </w:p>
        </w:tc>
      </w:tr>
      <w:tr w14:paraId="1F2C69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5D0811">
            <w:pPr>
              <w:autoSpaceDE w:val="0"/>
              <w:autoSpaceDN w:val="0"/>
              <w:adjustRightInd w:val="0"/>
              <w:snapToGrid w:val="0"/>
              <w:jc w:val="left"/>
              <w:rPr>
                <w:rFonts w:ascii="宋体" w:hAnsi="宋体"/>
                <w:color w:val="auto"/>
                <w:kern w:val="0"/>
                <w:szCs w:val="21"/>
                <w:highlight w:val="none"/>
              </w:rPr>
            </w:pPr>
          </w:p>
        </w:tc>
        <w:tc>
          <w:tcPr>
            <w:tcW w:w="734" w:type="dxa"/>
          </w:tcPr>
          <w:p w14:paraId="09B7A701">
            <w:pPr>
              <w:autoSpaceDE w:val="0"/>
              <w:autoSpaceDN w:val="0"/>
              <w:adjustRightInd w:val="0"/>
              <w:snapToGrid w:val="0"/>
              <w:jc w:val="left"/>
              <w:rPr>
                <w:rFonts w:ascii="宋体" w:hAnsi="宋体"/>
                <w:color w:val="auto"/>
                <w:kern w:val="0"/>
                <w:szCs w:val="21"/>
                <w:highlight w:val="none"/>
              </w:rPr>
            </w:pPr>
          </w:p>
        </w:tc>
        <w:tc>
          <w:tcPr>
            <w:tcW w:w="776" w:type="dxa"/>
          </w:tcPr>
          <w:p w14:paraId="4C359883">
            <w:pPr>
              <w:autoSpaceDE w:val="0"/>
              <w:autoSpaceDN w:val="0"/>
              <w:adjustRightInd w:val="0"/>
              <w:snapToGrid w:val="0"/>
              <w:jc w:val="left"/>
              <w:rPr>
                <w:rFonts w:ascii="宋体" w:hAnsi="宋体"/>
                <w:color w:val="auto"/>
                <w:kern w:val="0"/>
                <w:szCs w:val="21"/>
                <w:highlight w:val="none"/>
              </w:rPr>
            </w:pPr>
          </w:p>
        </w:tc>
        <w:tc>
          <w:tcPr>
            <w:tcW w:w="1167" w:type="dxa"/>
          </w:tcPr>
          <w:p w14:paraId="6BCBD8F5">
            <w:pPr>
              <w:autoSpaceDE w:val="0"/>
              <w:autoSpaceDN w:val="0"/>
              <w:adjustRightInd w:val="0"/>
              <w:snapToGrid w:val="0"/>
              <w:jc w:val="left"/>
              <w:rPr>
                <w:rFonts w:ascii="宋体" w:hAnsi="宋体"/>
                <w:color w:val="auto"/>
                <w:kern w:val="0"/>
                <w:szCs w:val="21"/>
                <w:highlight w:val="none"/>
              </w:rPr>
            </w:pPr>
          </w:p>
        </w:tc>
        <w:tc>
          <w:tcPr>
            <w:tcW w:w="776" w:type="dxa"/>
          </w:tcPr>
          <w:p w14:paraId="6DBC300F">
            <w:pPr>
              <w:autoSpaceDE w:val="0"/>
              <w:autoSpaceDN w:val="0"/>
              <w:adjustRightInd w:val="0"/>
              <w:snapToGrid w:val="0"/>
              <w:jc w:val="left"/>
              <w:rPr>
                <w:rFonts w:ascii="宋体" w:hAnsi="宋体"/>
                <w:color w:val="auto"/>
                <w:kern w:val="0"/>
                <w:szCs w:val="21"/>
                <w:highlight w:val="none"/>
              </w:rPr>
            </w:pPr>
          </w:p>
        </w:tc>
        <w:tc>
          <w:tcPr>
            <w:tcW w:w="778" w:type="dxa"/>
          </w:tcPr>
          <w:p w14:paraId="5FBB3917">
            <w:pPr>
              <w:autoSpaceDE w:val="0"/>
              <w:autoSpaceDN w:val="0"/>
              <w:adjustRightInd w:val="0"/>
              <w:snapToGrid w:val="0"/>
              <w:jc w:val="left"/>
              <w:rPr>
                <w:rFonts w:ascii="宋体" w:hAnsi="宋体"/>
                <w:color w:val="auto"/>
                <w:kern w:val="0"/>
                <w:szCs w:val="21"/>
                <w:highlight w:val="none"/>
              </w:rPr>
            </w:pPr>
          </w:p>
        </w:tc>
        <w:tc>
          <w:tcPr>
            <w:tcW w:w="776" w:type="dxa"/>
          </w:tcPr>
          <w:p w14:paraId="681509BA">
            <w:pPr>
              <w:autoSpaceDE w:val="0"/>
              <w:autoSpaceDN w:val="0"/>
              <w:adjustRightInd w:val="0"/>
              <w:snapToGrid w:val="0"/>
              <w:jc w:val="left"/>
              <w:rPr>
                <w:rFonts w:ascii="宋体" w:hAnsi="宋体"/>
                <w:color w:val="auto"/>
                <w:kern w:val="0"/>
                <w:szCs w:val="21"/>
                <w:highlight w:val="none"/>
              </w:rPr>
            </w:pPr>
          </w:p>
        </w:tc>
        <w:tc>
          <w:tcPr>
            <w:tcW w:w="2723" w:type="dxa"/>
          </w:tcPr>
          <w:p w14:paraId="1C483CDE">
            <w:pPr>
              <w:autoSpaceDE w:val="0"/>
              <w:autoSpaceDN w:val="0"/>
              <w:adjustRightInd w:val="0"/>
              <w:snapToGrid w:val="0"/>
              <w:jc w:val="left"/>
              <w:rPr>
                <w:rFonts w:ascii="宋体" w:hAnsi="宋体"/>
                <w:color w:val="auto"/>
                <w:kern w:val="0"/>
                <w:szCs w:val="21"/>
                <w:highlight w:val="none"/>
              </w:rPr>
            </w:pPr>
          </w:p>
        </w:tc>
        <w:tc>
          <w:tcPr>
            <w:tcW w:w="896" w:type="dxa"/>
          </w:tcPr>
          <w:p w14:paraId="22CECE0A">
            <w:pPr>
              <w:autoSpaceDE w:val="0"/>
              <w:autoSpaceDN w:val="0"/>
              <w:adjustRightInd w:val="0"/>
              <w:snapToGrid w:val="0"/>
              <w:jc w:val="left"/>
              <w:rPr>
                <w:rFonts w:ascii="宋体" w:hAnsi="宋体"/>
                <w:color w:val="auto"/>
                <w:kern w:val="0"/>
                <w:szCs w:val="21"/>
                <w:highlight w:val="none"/>
              </w:rPr>
            </w:pPr>
          </w:p>
        </w:tc>
      </w:tr>
      <w:tr w14:paraId="5E9FD5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B62DEBD">
            <w:pPr>
              <w:autoSpaceDE w:val="0"/>
              <w:autoSpaceDN w:val="0"/>
              <w:adjustRightInd w:val="0"/>
              <w:snapToGrid w:val="0"/>
              <w:jc w:val="left"/>
              <w:rPr>
                <w:rFonts w:ascii="宋体" w:hAnsi="宋体"/>
                <w:color w:val="auto"/>
                <w:kern w:val="0"/>
                <w:szCs w:val="21"/>
                <w:highlight w:val="none"/>
              </w:rPr>
            </w:pPr>
          </w:p>
        </w:tc>
        <w:tc>
          <w:tcPr>
            <w:tcW w:w="734" w:type="dxa"/>
          </w:tcPr>
          <w:p w14:paraId="0349380E">
            <w:pPr>
              <w:autoSpaceDE w:val="0"/>
              <w:autoSpaceDN w:val="0"/>
              <w:adjustRightInd w:val="0"/>
              <w:snapToGrid w:val="0"/>
              <w:jc w:val="left"/>
              <w:rPr>
                <w:rFonts w:ascii="宋体" w:hAnsi="宋体"/>
                <w:color w:val="auto"/>
                <w:kern w:val="0"/>
                <w:szCs w:val="21"/>
                <w:highlight w:val="none"/>
              </w:rPr>
            </w:pPr>
          </w:p>
        </w:tc>
        <w:tc>
          <w:tcPr>
            <w:tcW w:w="776" w:type="dxa"/>
          </w:tcPr>
          <w:p w14:paraId="588C7C71">
            <w:pPr>
              <w:autoSpaceDE w:val="0"/>
              <w:autoSpaceDN w:val="0"/>
              <w:adjustRightInd w:val="0"/>
              <w:snapToGrid w:val="0"/>
              <w:jc w:val="left"/>
              <w:rPr>
                <w:rFonts w:ascii="宋体" w:hAnsi="宋体"/>
                <w:color w:val="auto"/>
                <w:kern w:val="0"/>
                <w:szCs w:val="21"/>
                <w:highlight w:val="none"/>
              </w:rPr>
            </w:pPr>
          </w:p>
        </w:tc>
        <w:tc>
          <w:tcPr>
            <w:tcW w:w="1167" w:type="dxa"/>
          </w:tcPr>
          <w:p w14:paraId="4BD12C61">
            <w:pPr>
              <w:autoSpaceDE w:val="0"/>
              <w:autoSpaceDN w:val="0"/>
              <w:adjustRightInd w:val="0"/>
              <w:snapToGrid w:val="0"/>
              <w:jc w:val="left"/>
              <w:rPr>
                <w:rFonts w:ascii="宋体" w:hAnsi="宋体"/>
                <w:color w:val="auto"/>
                <w:kern w:val="0"/>
                <w:szCs w:val="21"/>
                <w:highlight w:val="none"/>
              </w:rPr>
            </w:pPr>
          </w:p>
        </w:tc>
        <w:tc>
          <w:tcPr>
            <w:tcW w:w="776" w:type="dxa"/>
          </w:tcPr>
          <w:p w14:paraId="2D42AE81">
            <w:pPr>
              <w:autoSpaceDE w:val="0"/>
              <w:autoSpaceDN w:val="0"/>
              <w:adjustRightInd w:val="0"/>
              <w:snapToGrid w:val="0"/>
              <w:jc w:val="left"/>
              <w:rPr>
                <w:rFonts w:ascii="宋体" w:hAnsi="宋体"/>
                <w:color w:val="auto"/>
                <w:kern w:val="0"/>
                <w:szCs w:val="21"/>
                <w:highlight w:val="none"/>
              </w:rPr>
            </w:pPr>
          </w:p>
        </w:tc>
        <w:tc>
          <w:tcPr>
            <w:tcW w:w="778" w:type="dxa"/>
          </w:tcPr>
          <w:p w14:paraId="5F1BCD38">
            <w:pPr>
              <w:autoSpaceDE w:val="0"/>
              <w:autoSpaceDN w:val="0"/>
              <w:adjustRightInd w:val="0"/>
              <w:snapToGrid w:val="0"/>
              <w:jc w:val="left"/>
              <w:rPr>
                <w:rFonts w:ascii="宋体" w:hAnsi="宋体"/>
                <w:color w:val="auto"/>
                <w:kern w:val="0"/>
                <w:szCs w:val="21"/>
                <w:highlight w:val="none"/>
              </w:rPr>
            </w:pPr>
          </w:p>
        </w:tc>
        <w:tc>
          <w:tcPr>
            <w:tcW w:w="776" w:type="dxa"/>
          </w:tcPr>
          <w:p w14:paraId="54FEE46E">
            <w:pPr>
              <w:autoSpaceDE w:val="0"/>
              <w:autoSpaceDN w:val="0"/>
              <w:adjustRightInd w:val="0"/>
              <w:snapToGrid w:val="0"/>
              <w:jc w:val="left"/>
              <w:rPr>
                <w:rFonts w:ascii="宋体" w:hAnsi="宋体"/>
                <w:color w:val="auto"/>
                <w:kern w:val="0"/>
                <w:szCs w:val="21"/>
                <w:highlight w:val="none"/>
              </w:rPr>
            </w:pPr>
          </w:p>
        </w:tc>
        <w:tc>
          <w:tcPr>
            <w:tcW w:w="2723" w:type="dxa"/>
          </w:tcPr>
          <w:p w14:paraId="1F45F7CC">
            <w:pPr>
              <w:autoSpaceDE w:val="0"/>
              <w:autoSpaceDN w:val="0"/>
              <w:adjustRightInd w:val="0"/>
              <w:snapToGrid w:val="0"/>
              <w:jc w:val="left"/>
              <w:rPr>
                <w:rFonts w:ascii="宋体" w:hAnsi="宋体"/>
                <w:color w:val="auto"/>
                <w:kern w:val="0"/>
                <w:szCs w:val="21"/>
                <w:highlight w:val="none"/>
              </w:rPr>
            </w:pPr>
          </w:p>
        </w:tc>
        <w:tc>
          <w:tcPr>
            <w:tcW w:w="896" w:type="dxa"/>
          </w:tcPr>
          <w:p w14:paraId="57C080D0">
            <w:pPr>
              <w:autoSpaceDE w:val="0"/>
              <w:autoSpaceDN w:val="0"/>
              <w:adjustRightInd w:val="0"/>
              <w:snapToGrid w:val="0"/>
              <w:jc w:val="left"/>
              <w:rPr>
                <w:rFonts w:ascii="宋体" w:hAnsi="宋体"/>
                <w:color w:val="auto"/>
                <w:kern w:val="0"/>
                <w:szCs w:val="21"/>
                <w:highlight w:val="none"/>
              </w:rPr>
            </w:pPr>
          </w:p>
        </w:tc>
      </w:tr>
      <w:tr w14:paraId="598613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F5D2600">
            <w:pPr>
              <w:autoSpaceDE w:val="0"/>
              <w:autoSpaceDN w:val="0"/>
              <w:adjustRightInd w:val="0"/>
              <w:snapToGrid w:val="0"/>
              <w:jc w:val="left"/>
              <w:rPr>
                <w:rFonts w:ascii="宋体" w:hAnsi="宋体"/>
                <w:color w:val="auto"/>
                <w:kern w:val="0"/>
                <w:szCs w:val="21"/>
                <w:highlight w:val="none"/>
              </w:rPr>
            </w:pPr>
          </w:p>
        </w:tc>
        <w:tc>
          <w:tcPr>
            <w:tcW w:w="734" w:type="dxa"/>
          </w:tcPr>
          <w:p w14:paraId="2ED7B8BA">
            <w:pPr>
              <w:autoSpaceDE w:val="0"/>
              <w:autoSpaceDN w:val="0"/>
              <w:adjustRightInd w:val="0"/>
              <w:snapToGrid w:val="0"/>
              <w:jc w:val="left"/>
              <w:rPr>
                <w:rFonts w:ascii="宋体" w:hAnsi="宋体"/>
                <w:color w:val="auto"/>
                <w:kern w:val="0"/>
                <w:szCs w:val="21"/>
                <w:highlight w:val="none"/>
              </w:rPr>
            </w:pPr>
          </w:p>
        </w:tc>
        <w:tc>
          <w:tcPr>
            <w:tcW w:w="776" w:type="dxa"/>
          </w:tcPr>
          <w:p w14:paraId="7E3B3068">
            <w:pPr>
              <w:autoSpaceDE w:val="0"/>
              <w:autoSpaceDN w:val="0"/>
              <w:adjustRightInd w:val="0"/>
              <w:snapToGrid w:val="0"/>
              <w:jc w:val="left"/>
              <w:rPr>
                <w:rFonts w:ascii="宋体" w:hAnsi="宋体"/>
                <w:color w:val="auto"/>
                <w:kern w:val="0"/>
                <w:szCs w:val="21"/>
                <w:highlight w:val="none"/>
              </w:rPr>
            </w:pPr>
          </w:p>
        </w:tc>
        <w:tc>
          <w:tcPr>
            <w:tcW w:w="1167" w:type="dxa"/>
          </w:tcPr>
          <w:p w14:paraId="11B3334F">
            <w:pPr>
              <w:autoSpaceDE w:val="0"/>
              <w:autoSpaceDN w:val="0"/>
              <w:adjustRightInd w:val="0"/>
              <w:snapToGrid w:val="0"/>
              <w:jc w:val="left"/>
              <w:rPr>
                <w:rFonts w:ascii="宋体" w:hAnsi="宋体"/>
                <w:color w:val="auto"/>
                <w:kern w:val="0"/>
                <w:szCs w:val="21"/>
                <w:highlight w:val="none"/>
              </w:rPr>
            </w:pPr>
          </w:p>
        </w:tc>
        <w:tc>
          <w:tcPr>
            <w:tcW w:w="776" w:type="dxa"/>
          </w:tcPr>
          <w:p w14:paraId="2802F8D3">
            <w:pPr>
              <w:autoSpaceDE w:val="0"/>
              <w:autoSpaceDN w:val="0"/>
              <w:adjustRightInd w:val="0"/>
              <w:snapToGrid w:val="0"/>
              <w:jc w:val="left"/>
              <w:rPr>
                <w:rFonts w:ascii="宋体" w:hAnsi="宋体"/>
                <w:color w:val="auto"/>
                <w:kern w:val="0"/>
                <w:szCs w:val="21"/>
                <w:highlight w:val="none"/>
              </w:rPr>
            </w:pPr>
          </w:p>
        </w:tc>
        <w:tc>
          <w:tcPr>
            <w:tcW w:w="778" w:type="dxa"/>
          </w:tcPr>
          <w:p w14:paraId="685264E0">
            <w:pPr>
              <w:autoSpaceDE w:val="0"/>
              <w:autoSpaceDN w:val="0"/>
              <w:adjustRightInd w:val="0"/>
              <w:snapToGrid w:val="0"/>
              <w:jc w:val="left"/>
              <w:rPr>
                <w:rFonts w:ascii="宋体" w:hAnsi="宋体"/>
                <w:color w:val="auto"/>
                <w:kern w:val="0"/>
                <w:szCs w:val="21"/>
                <w:highlight w:val="none"/>
              </w:rPr>
            </w:pPr>
          </w:p>
        </w:tc>
        <w:tc>
          <w:tcPr>
            <w:tcW w:w="776" w:type="dxa"/>
          </w:tcPr>
          <w:p w14:paraId="0A237820">
            <w:pPr>
              <w:autoSpaceDE w:val="0"/>
              <w:autoSpaceDN w:val="0"/>
              <w:adjustRightInd w:val="0"/>
              <w:snapToGrid w:val="0"/>
              <w:jc w:val="left"/>
              <w:rPr>
                <w:rFonts w:ascii="宋体" w:hAnsi="宋体"/>
                <w:color w:val="auto"/>
                <w:kern w:val="0"/>
                <w:szCs w:val="21"/>
                <w:highlight w:val="none"/>
              </w:rPr>
            </w:pPr>
          </w:p>
        </w:tc>
        <w:tc>
          <w:tcPr>
            <w:tcW w:w="2723" w:type="dxa"/>
          </w:tcPr>
          <w:p w14:paraId="3D547631">
            <w:pPr>
              <w:autoSpaceDE w:val="0"/>
              <w:autoSpaceDN w:val="0"/>
              <w:adjustRightInd w:val="0"/>
              <w:snapToGrid w:val="0"/>
              <w:jc w:val="left"/>
              <w:rPr>
                <w:rFonts w:ascii="宋体" w:hAnsi="宋体"/>
                <w:color w:val="auto"/>
                <w:kern w:val="0"/>
                <w:szCs w:val="21"/>
                <w:highlight w:val="none"/>
              </w:rPr>
            </w:pPr>
          </w:p>
        </w:tc>
        <w:tc>
          <w:tcPr>
            <w:tcW w:w="896" w:type="dxa"/>
          </w:tcPr>
          <w:p w14:paraId="1CAB696F">
            <w:pPr>
              <w:autoSpaceDE w:val="0"/>
              <w:autoSpaceDN w:val="0"/>
              <w:adjustRightInd w:val="0"/>
              <w:snapToGrid w:val="0"/>
              <w:jc w:val="left"/>
              <w:rPr>
                <w:rFonts w:ascii="宋体" w:hAnsi="宋体"/>
                <w:color w:val="auto"/>
                <w:kern w:val="0"/>
                <w:szCs w:val="21"/>
                <w:highlight w:val="none"/>
              </w:rPr>
            </w:pPr>
          </w:p>
        </w:tc>
      </w:tr>
      <w:tr w14:paraId="4C05DE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C237060">
            <w:pPr>
              <w:autoSpaceDE w:val="0"/>
              <w:autoSpaceDN w:val="0"/>
              <w:adjustRightInd w:val="0"/>
              <w:snapToGrid w:val="0"/>
              <w:jc w:val="left"/>
              <w:rPr>
                <w:rFonts w:ascii="宋体" w:hAnsi="宋体"/>
                <w:color w:val="auto"/>
                <w:kern w:val="0"/>
                <w:szCs w:val="21"/>
                <w:highlight w:val="none"/>
              </w:rPr>
            </w:pPr>
          </w:p>
        </w:tc>
        <w:tc>
          <w:tcPr>
            <w:tcW w:w="734" w:type="dxa"/>
          </w:tcPr>
          <w:p w14:paraId="37285858">
            <w:pPr>
              <w:autoSpaceDE w:val="0"/>
              <w:autoSpaceDN w:val="0"/>
              <w:adjustRightInd w:val="0"/>
              <w:snapToGrid w:val="0"/>
              <w:jc w:val="left"/>
              <w:rPr>
                <w:rFonts w:ascii="宋体" w:hAnsi="宋体"/>
                <w:color w:val="auto"/>
                <w:kern w:val="0"/>
                <w:szCs w:val="21"/>
                <w:highlight w:val="none"/>
              </w:rPr>
            </w:pPr>
          </w:p>
        </w:tc>
        <w:tc>
          <w:tcPr>
            <w:tcW w:w="776" w:type="dxa"/>
          </w:tcPr>
          <w:p w14:paraId="3FFCE833">
            <w:pPr>
              <w:autoSpaceDE w:val="0"/>
              <w:autoSpaceDN w:val="0"/>
              <w:adjustRightInd w:val="0"/>
              <w:snapToGrid w:val="0"/>
              <w:jc w:val="left"/>
              <w:rPr>
                <w:rFonts w:ascii="宋体" w:hAnsi="宋体"/>
                <w:color w:val="auto"/>
                <w:kern w:val="0"/>
                <w:szCs w:val="21"/>
                <w:highlight w:val="none"/>
              </w:rPr>
            </w:pPr>
          </w:p>
        </w:tc>
        <w:tc>
          <w:tcPr>
            <w:tcW w:w="1167" w:type="dxa"/>
          </w:tcPr>
          <w:p w14:paraId="401746C4">
            <w:pPr>
              <w:autoSpaceDE w:val="0"/>
              <w:autoSpaceDN w:val="0"/>
              <w:adjustRightInd w:val="0"/>
              <w:snapToGrid w:val="0"/>
              <w:jc w:val="left"/>
              <w:rPr>
                <w:rFonts w:ascii="宋体" w:hAnsi="宋体"/>
                <w:color w:val="auto"/>
                <w:kern w:val="0"/>
                <w:szCs w:val="21"/>
                <w:highlight w:val="none"/>
              </w:rPr>
            </w:pPr>
          </w:p>
        </w:tc>
        <w:tc>
          <w:tcPr>
            <w:tcW w:w="776" w:type="dxa"/>
          </w:tcPr>
          <w:p w14:paraId="1736011E">
            <w:pPr>
              <w:autoSpaceDE w:val="0"/>
              <w:autoSpaceDN w:val="0"/>
              <w:adjustRightInd w:val="0"/>
              <w:snapToGrid w:val="0"/>
              <w:jc w:val="left"/>
              <w:rPr>
                <w:rFonts w:ascii="宋体" w:hAnsi="宋体"/>
                <w:color w:val="auto"/>
                <w:kern w:val="0"/>
                <w:szCs w:val="21"/>
                <w:highlight w:val="none"/>
              </w:rPr>
            </w:pPr>
          </w:p>
        </w:tc>
        <w:tc>
          <w:tcPr>
            <w:tcW w:w="778" w:type="dxa"/>
          </w:tcPr>
          <w:p w14:paraId="6F53BD21">
            <w:pPr>
              <w:autoSpaceDE w:val="0"/>
              <w:autoSpaceDN w:val="0"/>
              <w:adjustRightInd w:val="0"/>
              <w:snapToGrid w:val="0"/>
              <w:jc w:val="left"/>
              <w:rPr>
                <w:rFonts w:ascii="宋体" w:hAnsi="宋体"/>
                <w:color w:val="auto"/>
                <w:kern w:val="0"/>
                <w:szCs w:val="21"/>
                <w:highlight w:val="none"/>
              </w:rPr>
            </w:pPr>
          </w:p>
        </w:tc>
        <w:tc>
          <w:tcPr>
            <w:tcW w:w="776" w:type="dxa"/>
          </w:tcPr>
          <w:p w14:paraId="2A722175">
            <w:pPr>
              <w:autoSpaceDE w:val="0"/>
              <w:autoSpaceDN w:val="0"/>
              <w:adjustRightInd w:val="0"/>
              <w:snapToGrid w:val="0"/>
              <w:jc w:val="left"/>
              <w:rPr>
                <w:rFonts w:ascii="宋体" w:hAnsi="宋体"/>
                <w:color w:val="auto"/>
                <w:kern w:val="0"/>
                <w:szCs w:val="21"/>
                <w:highlight w:val="none"/>
              </w:rPr>
            </w:pPr>
          </w:p>
        </w:tc>
        <w:tc>
          <w:tcPr>
            <w:tcW w:w="2723" w:type="dxa"/>
          </w:tcPr>
          <w:p w14:paraId="6B152156">
            <w:pPr>
              <w:autoSpaceDE w:val="0"/>
              <w:autoSpaceDN w:val="0"/>
              <w:adjustRightInd w:val="0"/>
              <w:snapToGrid w:val="0"/>
              <w:jc w:val="left"/>
              <w:rPr>
                <w:rFonts w:ascii="宋体" w:hAnsi="宋体"/>
                <w:color w:val="auto"/>
                <w:kern w:val="0"/>
                <w:szCs w:val="21"/>
                <w:highlight w:val="none"/>
              </w:rPr>
            </w:pPr>
          </w:p>
        </w:tc>
        <w:tc>
          <w:tcPr>
            <w:tcW w:w="896" w:type="dxa"/>
          </w:tcPr>
          <w:p w14:paraId="1EC90A29">
            <w:pPr>
              <w:autoSpaceDE w:val="0"/>
              <w:autoSpaceDN w:val="0"/>
              <w:adjustRightInd w:val="0"/>
              <w:snapToGrid w:val="0"/>
              <w:jc w:val="left"/>
              <w:rPr>
                <w:rFonts w:ascii="宋体" w:hAnsi="宋体"/>
                <w:color w:val="auto"/>
                <w:kern w:val="0"/>
                <w:szCs w:val="21"/>
                <w:highlight w:val="none"/>
              </w:rPr>
            </w:pPr>
          </w:p>
        </w:tc>
      </w:tr>
    </w:tbl>
    <w:p w14:paraId="1D40528B">
      <w:pPr>
        <w:spacing w:line="20" w:lineRule="exact"/>
        <w:jc w:val="center"/>
        <w:rPr>
          <w:rFonts w:ascii="宋体" w:hAnsi="宋体"/>
          <w:color w:val="auto"/>
          <w:szCs w:val="21"/>
          <w:highlight w:val="none"/>
        </w:rPr>
      </w:pPr>
    </w:p>
    <w:p w14:paraId="1945C132">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项目负责人简历表</w:t>
      </w:r>
      <w:bookmarkEnd w:id="806"/>
      <w:bookmarkEnd w:id="807"/>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5F908D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6486951">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20BE2BB6">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77840E8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108A277A">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29D1C74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3703F344">
            <w:pPr>
              <w:autoSpaceDE w:val="0"/>
              <w:autoSpaceDN w:val="0"/>
              <w:adjustRightInd w:val="0"/>
              <w:snapToGrid w:val="0"/>
              <w:jc w:val="center"/>
              <w:rPr>
                <w:rFonts w:ascii="宋体" w:hAnsi="宋体"/>
                <w:color w:val="auto"/>
                <w:kern w:val="0"/>
                <w:szCs w:val="21"/>
                <w:highlight w:val="none"/>
              </w:rPr>
            </w:pPr>
          </w:p>
        </w:tc>
      </w:tr>
      <w:tr w14:paraId="758BD7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5F15D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56EE65EC">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0CBB26C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D15BB72">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5354C80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776A1D80">
            <w:pPr>
              <w:autoSpaceDE w:val="0"/>
              <w:autoSpaceDN w:val="0"/>
              <w:adjustRightInd w:val="0"/>
              <w:snapToGrid w:val="0"/>
              <w:jc w:val="center"/>
              <w:rPr>
                <w:rFonts w:ascii="宋体" w:hAnsi="宋体"/>
                <w:color w:val="auto"/>
                <w:kern w:val="0"/>
                <w:szCs w:val="21"/>
                <w:highlight w:val="none"/>
              </w:rPr>
            </w:pPr>
          </w:p>
        </w:tc>
      </w:tr>
      <w:tr w14:paraId="09161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C57DE4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3EF2D04F">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49DA01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616DA01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1BB35D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7374F9">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7CDFE1D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25AD787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6AF0E24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169FEF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95153C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B8B7DF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813E87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4D1B44C">
            <w:pPr>
              <w:autoSpaceDE w:val="0"/>
              <w:autoSpaceDN w:val="0"/>
              <w:adjustRightInd w:val="0"/>
              <w:snapToGrid w:val="0"/>
              <w:jc w:val="center"/>
              <w:rPr>
                <w:rFonts w:ascii="宋体" w:hAnsi="宋体"/>
                <w:color w:val="auto"/>
                <w:kern w:val="0"/>
                <w:szCs w:val="21"/>
                <w:highlight w:val="none"/>
              </w:rPr>
            </w:pPr>
          </w:p>
        </w:tc>
      </w:tr>
      <w:tr w14:paraId="195D05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B0CE761">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6C30B3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951E35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A904243">
            <w:pPr>
              <w:autoSpaceDE w:val="0"/>
              <w:autoSpaceDN w:val="0"/>
              <w:adjustRightInd w:val="0"/>
              <w:snapToGrid w:val="0"/>
              <w:jc w:val="center"/>
              <w:rPr>
                <w:rFonts w:ascii="宋体" w:hAnsi="宋体"/>
                <w:color w:val="auto"/>
                <w:kern w:val="0"/>
                <w:szCs w:val="21"/>
                <w:highlight w:val="none"/>
              </w:rPr>
            </w:pPr>
          </w:p>
        </w:tc>
      </w:tr>
      <w:tr w14:paraId="1E4EC7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4914A4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C430A5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3672AA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689B579">
            <w:pPr>
              <w:autoSpaceDE w:val="0"/>
              <w:autoSpaceDN w:val="0"/>
              <w:adjustRightInd w:val="0"/>
              <w:snapToGrid w:val="0"/>
              <w:jc w:val="center"/>
              <w:rPr>
                <w:rFonts w:ascii="宋体" w:hAnsi="宋体"/>
                <w:color w:val="auto"/>
                <w:kern w:val="0"/>
                <w:szCs w:val="21"/>
                <w:highlight w:val="none"/>
              </w:rPr>
            </w:pPr>
          </w:p>
        </w:tc>
      </w:tr>
      <w:tr w14:paraId="61C393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1CCA92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C0E10E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2AF560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643142B">
            <w:pPr>
              <w:autoSpaceDE w:val="0"/>
              <w:autoSpaceDN w:val="0"/>
              <w:adjustRightInd w:val="0"/>
              <w:snapToGrid w:val="0"/>
              <w:jc w:val="center"/>
              <w:rPr>
                <w:rFonts w:ascii="宋体" w:hAnsi="宋体"/>
                <w:color w:val="auto"/>
                <w:kern w:val="0"/>
                <w:szCs w:val="21"/>
                <w:highlight w:val="none"/>
              </w:rPr>
            </w:pPr>
          </w:p>
        </w:tc>
      </w:tr>
      <w:tr w14:paraId="0945BC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ADE78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5E042B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CDC65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1C55566">
            <w:pPr>
              <w:autoSpaceDE w:val="0"/>
              <w:autoSpaceDN w:val="0"/>
              <w:adjustRightInd w:val="0"/>
              <w:snapToGrid w:val="0"/>
              <w:jc w:val="center"/>
              <w:rPr>
                <w:rFonts w:ascii="宋体" w:hAnsi="宋体"/>
                <w:color w:val="auto"/>
                <w:kern w:val="0"/>
                <w:szCs w:val="21"/>
                <w:highlight w:val="none"/>
              </w:rPr>
            </w:pPr>
          </w:p>
        </w:tc>
      </w:tr>
      <w:tr w14:paraId="1300CB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3B4E0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F5C54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EB6991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033D181">
            <w:pPr>
              <w:autoSpaceDE w:val="0"/>
              <w:autoSpaceDN w:val="0"/>
              <w:adjustRightInd w:val="0"/>
              <w:snapToGrid w:val="0"/>
              <w:jc w:val="center"/>
              <w:rPr>
                <w:rFonts w:ascii="宋体" w:hAnsi="宋体"/>
                <w:color w:val="auto"/>
                <w:kern w:val="0"/>
                <w:szCs w:val="21"/>
                <w:highlight w:val="none"/>
              </w:rPr>
            </w:pPr>
          </w:p>
        </w:tc>
      </w:tr>
      <w:tr w14:paraId="0B0EC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DB149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F50D66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C608DB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0068162">
            <w:pPr>
              <w:autoSpaceDE w:val="0"/>
              <w:autoSpaceDN w:val="0"/>
              <w:adjustRightInd w:val="0"/>
              <w:snapToGrid w:val="0"/>
              <w:jc w:val="center"/>
              <w:rPr>
                <w:rFonts w:ascii="宋体" w:hAnsi="宋体"/>
                <w:color w:val="auto"/>
                <w:kern w:val="0"/>
                <w:szCs w:val="21"/>
                <w:highlight w:val="none"/>
              </w:rPr>
            </w:pPr>
          </w:p>
        </w:tc>
      </w:tr>
      <w:tr w14:paraId="672890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2CB63E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DF5857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16B432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B792284">
            <w:pPr>
              <w:autoSpaceDE w:val="0"/>
              <w:autoSpaceDN w:val="0"/>
              <w:adjustRightInd w:val="0"/>
              <w:snapToGrid w:val="0"/>
              <w:jc w:val="center"/>
              <w:rPr>
                <w:rFonts w:ascii="宋体" w:hAnsi="宋体"/>
                <w:color w:val="auto"/>
                <w:kern w:val="0"/>
                <w:szCs w:val="21"/>
                <w:highlight w:val="none"/>
              </w:rPr>
            </w:pPr>
          </w:p>
        </w:tc>
      </w:tr>
      <w:tr w14:paraId="3B4D2D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7BA4DB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511F13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1B75B1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DCEE1DC">
            <w:pPr>
              <w:autoSpaceDE w:val="0"/>
              <w:autoSpaceDN w:val="0"/>
              <w:adjustRightInd w:val="0"/>
              <w:snapToGrid w:val="0"/>
              <w:jc w:val="center"/>
              <w:rPr>
                <w:rFonts w:ascii="宋体" w:hAnsi="宋体"/>
                <w:color w:val="auto"/>
                <w:kern w:val="0"/>
                <w:szCs w:val="21"/>
                <w:highlight w:val="none"/>
              </w:rPr>
            </w:pPr>
          </w:p>
        </w:tc>
      </w:tr>
      <w:tr w14:paraId="7763A1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F436B3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8ABC00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63C86D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B4B99C7">
            <w:pPr>
              <w:autoSpaceDE w:val="0"/>
              <w:autoSpaceDN w:val="0"/>
              <w:adjustRightInd w:val="0"/>
              <w:snapToGrid w:val="0"/>
              <w:jc w:val="center"/>
              <w:rPr>
                <w:rFonts w:ascii="宋体" w:hAnsi="宋体"/>
                <w:color w:val="auto"/>
                <w:kern w:val="0"/>
                <w:szCs w:val="21"/>
                <w:highlight w:val="none"/>
              </w:rPr>
            </w:pPr>
          </w:p>
        </w:tc>
      </w:tr>
      <w:tr w14:paraId="52741F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B7F0DE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FE1C19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C67A6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FFB8A42">
            <w:pPr>
              <w:autoSpaceDE w:val="0"/>
              <w:autoSpaceDN w:val="0"/>
              <w:adjustRightInd w:val="0"/>
              <w:snapToGrid w:val="0"/>
              <w:jc w:val="center"/>
              <w:rPr>
                <w:rFonts w:ascii="宋体" w:hAnsi="宋体"/>
                <w:color w:val="auto"/>
                <w:kern w:val="0"/>
                <w:szCs w:val="21"/>
                <w:highlight w:val="none"/>
              </w:rPr>
            </w:pPr>
          </w:p>
        </w:tc>
      </w:tr>
      <w:tr w14:paraId="71DB2B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EB0F0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550E13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3600BA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C89A828">
            <w:pPr>
              <w:autoSpaceDE w:val="0"/>
              <w:autoSpaceDN w:val="0"/>
              <w:adjustRightInd w:val="0"/>
              <w:snapToGrid w:val="0"/>
              <w:jc w:val="center"/>
              <w:rPr>
                <w:rFonts w:ascii="宋体" w:hAnsi="宋体"/>
                <w:color w:val="auto"/>
                <w:kern w:val="0"/>
                <w:szCs w:val="21"/>
                <w:highlight w:val="none"/>
              </w:rPr>
            </w:pPr>
          </w:p>
        </w:tc>
      </w:tr>
      <w:tr w14:paraId="636E70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79416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AC2D93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61ED33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C1BCCB">
            <w:pPr>
              <w:autoSpaceDE w:val="0"/>
              <w:autoSpaceDN w:val="0"/>
              <w:adjustRightInd w:val="0"/>
              <w:snapToGrid w:val="0"/>
              <w:jc w:val="center"/>
              <w:rPr>
                <w:rFonts w:ascii="宋体" w:hAnsi="宋体"/>
                <w:color w:val="auto"/>
                <w:kern w:val="0"/>
                <w:szCs w:val="21"/>
                <w:highlight w:val="none"/>
              </w:rPr>
            </w:pPr>
          </w:p>
        </w:tc>
      </w:tr>
    </w:tbl>
    <w:p w14:paraId="71A3DE5F">
      <w:pPr>
        <w:spacing w:line="360" w:lineRule="auto"/>
        <w:rPr>
          <w:rFonts w:ascii="宋体" w:hAnsi="宋体"/>
          <w:color w:val="auto"/>
          <w:highlight w:val="none"/>
        </w:rPr>
      </w:pPr>
      <w:bookmarkStart w:id="811" w:name="_Toc224103515"/>
    </w:p>
    <w:bookmarkEnd w:id="811"/>
    <w:p w14:paraId="7AB806D5">
      <w:pPr>
        <w:adjustRightInd w:val="0"/>
        <w:snapToGrid w:val="0"/>
        <w:spacing w:line="360" w:lineRule="auto"/>
        <w:rPr>
          <w:rFonts w:ascii="宋体" w:hAnsi="宋体"/>
          <w:color w:val="auto"/>
          <w:highlight w:val="none"/>
        </w:rPr>
      </w:pPr>
    </w:p>
    <w:p w14:paraId="7B200CC3">
      <w:pPr>
        <w:pStyle w:val="5"/>
        <w:spacing w:before="0" w:after="0" w:line="360" w:lineRule="auto"/>
        <w:jc w:val="center"/>
        <w:rPr>
          <w:rFonts w:ascii="宋体" w:hAnsi="宋体"/>
          <w:b w:val="0"/>
          <w:color w:val="auto"/>
          <w:highlight w:val="none"/>
        </w:rPr>
      </w:pPr>
      <w:bookmarkStart w:id="812" w:name="_Toc224103520"/>
      <w:bookmarkStart w:id="813" w:name="_Toc430530552"/>
      <w:bookmarkStart w:id="814" w:name="_Toc277082663"/>
      <w:bookmarkStart w:id="815" w:name="_Toc287620839"/>
      <w:bookmarkStart w:id="816" w:name="_Toc287607893"/>
      <w:bookmarkStart w:id="817" w:name="_Toc57905935"/>
      <w:bookmarkStart w:id="818" w:name="_Toc509218866"/>
      <w:bookmarkStart w:id="819" w:name="_Toc534185843"/>
      <w:r>
        <w:rPr>
          <w:rFonts w:ascii="宋体" w:hAnsi="宋体"/>
          <w:b w:val="0"/>
          <w:color w:val="auto"/>
          <w:highlight w:val="none"/>
        </w:rPr>
        <w:t>（</w:t>
      </w:r>
      <w:r>
        <w:rPr>
          <w:rFonts w:hint="eastAsia" w:ascii="宋体" w:hAnsi="宋体"/>
          <w:b w:val="0"/>
          <w:color w:val="auto"/>
          <w:highlight w:val="none"/>
        </w:rPr>
        <w:t>四</w:t>
      </w:r>
      <w:r>
        <w:rPr>
          <w:rFonts w:ascii="宋体" w:hAnsi="宋体"/>
          <w:b w:val="0"/>
          <w:color w:val="auto"/>
          <w:highlight w:val="none"/>
        </w:rPr>
        <w:t>）</w:t>
      </w:r>
      <w:bookmarkEnd w:id="812"/>
      <w:bookmarkEnd w:id="813"/>
      <w:bookmarkEnd w:id="814"/>
      <w:bookmarkEnd w:id="815"/>
      <w:bookmarkEnd w:id="816"/>
      <w:r>
        <w:rPr>
          <w:rFonts w:hint="eastAsia" w:ascii="宋体" w:hAnsi="宋体"/>
          <w:b w:val="0"/>
          <w:color w:val="auto"/>
          <w:highlight w:val="none"/>
        </w:rPr>
        <w:t>承诺</w:t>
      </w:r>
      <w:bookmarkEnd w:id="817"/>
    </w:p>
    <w:p w14:paraId="4E4CF939">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14:paraId="1E35FC8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（竞选人名称）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6518B56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4E6A3EBF">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A7555E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5A7CF50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76A416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4212ECC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7DFF7F7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若中标，在签订合同之前，将按照建设行政主管部门的要求组建工程质量检测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14:paraId="4C34FDF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3、我公司在资格审查部分中提供的相关证明材料真实有效，不存在弄虚作假情形。</w:t>
      </w:r>
      <w:r>
        <w:rPr>
          <w:rFonts w:hint="eastAsia" w:ascii="宋体" w:hAnsi="宋体"/>
          <w:color w:val="auto"/>
          <w:szCs w:val="21"/>
          <w:highlight w:val="none"/>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highlight w:val="none"/>
        </w:rPr>
        <w:t>。</w:t>
      </w:r>
    </w:p>
    <w:p w14:paraId="41FD6FD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4、我公司不存在第二章 竞选人须知第 1.4.3 项规定的任何一种情形。</w:t>
      </w:r>
    </w:p>
    <w:p w14:paraId="2D89A1E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5、我公司的竞选文件符合第二章 竞选人须知第 1.3.1 项的规定。</w:t>
      </w:r>
    </w:p>
    <w:p w14:paraId="17AB9F3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6、我公司的竞选文件符合第四章 合同条款及格式规定，竞选文件中没有贵单位不能接受的条件。</w:t>
      </w:r>
    </w:p>
    <w:p w14:paraId="0407890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7、我公司的竞选文件符合第七章 技术标准和要求（如有）。</w:t>
      </w:r>
    </w:p>
    <w:p w14:paraId="0124B7CB">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818"/>
    <w:bookmarkEnd w:id="819"/>
    <w:p w14:paraId="585004A3">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258B27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B182CF7">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32DED9D5">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6EB1FB87">
      <w:pPr>
        <w:rPr>
          <w:color w:val="auto"/>
          <w:highlight w:val="none"/>
        </w:rPr>
      </w:pPr>
      <w:r>
        <w:rPr>
          <w:color w:val="auto"/>
          <w:highlight w:val="none"/>
        </w:rPr>
        <w:br w:type="page"/>
      </w:r>
    </w:p>
    <w:p w14:paraId="2C65724A">
      <w:pPr>
        <w:pStyle w:val="5"/>
        <w:spacing w:before="0" w:line="360" w:lineRule="auto"/>
        <w:jc w:val="center"/>
        <w:rPr>
          <w:rFonts w:ascii="宋体" w:hAnsi="宋体"/>
          <w:b w:val="0"/>
          <w:color w:val="auto"/>
          <w:highlight w:val="none"/>
        </w:rPr>
      </w:pPr>
      <w:bookmarkStart w:id="820" w:name="_Toc57905936"/>
      <w:r>
        <w:rPr>
          <w:rFonts w:hint="eastAsia" w:ascii="宋体" w:hAnsi="宋体"/>
          <w:b w:val="0"/>
          <w:color w:val="auto"/>
          <w:highlight w:val="none"/>
        </w:rPr>
        <w:t>（五）其他资料</w:t>
      </w:r>
      <w:bookmarkEnd w:id="820"/>
    </w:p>
    <w:bookmarkEnd w:id="684"/>
    <w:bookmarkEnd w:id="685"/>
    <w:bookmarkEnd w:id="686"/>
    <w:p w14:paraId="362859D3">
      <w:pPr>
        <w:rPr>
          <w:rFonts w:ascii="宋体" w:hAnsi="宋体"/>
          <w:b/>
          <w:color w:val="auto"/>
          <w:highlight w:val="none"/>
        </w:rPr>
      </w:pPr>
    </w:p>
    <w:sectPr>
      <w:headerReference r:id="rId7" w:type="default"/>
      <w:footerReference r:id="rId8"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CBDA">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330182F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D857A">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4631">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027AC367">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A455">
    <w:pPr>
      <w:spacing w:line="167" w:lineRule="auto"/>
      <w:ind w:left="4641"/>
      <w:rPr>
        <w:rFonts w:ascii="Calibri" w:hAnsi="Calibri" w:eastAsia="Calibri" w:cs="Calibri"/>
        <w:sz w:val="18"/>
        <w:szCs w:val="18"/>
      </w:rPr>
    </w:pPr>
    <w:r>
      <w:rPr>
        <w:rFonts w:ascii="Calibri" w:hAnsi="Calibri" w:eastAsia="Calibri" w:cs="Calibri"/>
        <w:spacing w:val="-3"/>
        <w:sz w:val="18"/>
        <w:szCs w:val="18"/>
      </w:rPr>
      <w:t>60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93CC">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BBB2">
    <w:pPr>
      <w:pStyle w:val="30"/>
      <w:pBdr>
        <w:bottom w:val="none" w:color="auto" w:sz="0"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8F8E5"/>
    <w:multiLevelType w:val="singleLevel"/>
    <w:tmpl w:val="C7E8F8E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OTk2YmZjZjk1ODc5MjY5ZjA2ZTRkM2U4ZGMwMmQ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3F91"/>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57662"/>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0FF"/>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58B4"/>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1935"/>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0C2"/>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545"/>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518"/>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3BC"/>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5AF8"/>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80C"/>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4743"/>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28"/>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B82"/>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1E77"/>
    <w:rsid w:val="00D1221F"/>
    <w:rsid w:val="00D126B1"/>
    <w:rsid w:val="00D160D4"/>
    <w:rsid w:val="00D1657E"/>
    <w:rsid w:val="00D207F5"/>
    <w:rsid w:val="00D20DE3"/>
    <w:rsid w:val="00D21526"/>
    <w:rsid w:val="00D2187E"/>
    <w:rsid w:val="00D21F51"/>
    <w:rsid w:val="00D226A5"/>
    <w:rsid w:val="00D22BCC"/>
    <w:rsid w:val="00D24678"/>
    <w:rsid w:val="00D26414"/>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1B40"/>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739"/>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2D07"/>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5D4C24"/>
    <w:rsid w:val="02197498"/>
    <w:rsid w:val="026D5716"/>
    <w:rsid w:val="029B6737"/>
    <w:rsid w:val="029E16D8"/>
    <w:rsid w:val="02C60B85"/>
    <w:rsid w:val="02D3433D"/>
    <w:rsid w:val="02E7478A"/>
    <w:rsid w:val="03000A08"/>
    <w:rsid w:val="03454DED"/>
    <w:rsid w:val="03C545D6"/>
    <w:rsid w:val="03F66486"/>
    <w:rsid w:val="03FD05D6"/>
    <w:rsid w:val="04486771"/>
    <w:rsid w:val="046D5737"/>
    <w:rsid w:val="04717E20"/>
    <w:rsid w:val="04E84DE3"/>
    <w:rsid w:val="057228FE"/>
    <w:rsid w:val="05AB059E"/>
    <w:rsid w:val="05DC71B6"/>
    <w:rsid w:val="063330F2"/>
    <w:rsid w:val="06665122"/>
    <w:rsid w:val="06C43DE0"/>
    <w:rsid w:val="06C64491"/>
    <w:rsid w:val="074A1FE5"/>
    <w:rsid w:val="077305E3"/>
    <w:rsid w:val="07B471FE"/>
    <w:rsid w:val="080A52B6"/>
    <w:rsid w:val="0A93506B"/>
    <w:rsid w:val="0B9E48FD"/>
    <w:rsid w:val="0BB622A7"/>
    <w:rsid w:val="0C3E42BE"/>
    <w:rsid w:val="0D4806BF"/>
    <w:rsid w:val="0D5C636E"/>
    <w:rsid w:val="0E024D74"/>
    <w:rsid w:val="0E0B0A7A"/>
    <w:rsid w:val="0E484301"/>
    <w:rsid w:val="0E5F1249"/>
    <w:rsid w:val="0EE303C9"/>
    <w:rsid w:val="0EF57096"/>
    <w:rsid w:val="0F3C50C9"/>
    <w:rsid w:val="0FD67D5C"/>
    <w:rsid w:val="102B5AE8"/>
    <w:rsid w:val="10611A0A"/>
    <w:rsid w:val="10AC5059"/>
    <w:rsid w:val="116D0F4A"/>
    <w:rsid w:val="118A4AEB"/>
    <w:rsid w:val="1247497E"/>
    <w:rsid w:val="126F4142"/>
    <w:rsid w:val="127A292F"/>
    <w:rsid w:val="1282121E"/>
    <w:rsid w:val="13012641"/>
    <w:rsid w:val="13FD7A4B"/>
    <w:rsid w:val="146E3E3D"/>
    <w:rsid w:val="14DC6FEA"/>
    <w:rsid w:val="152F2422"/>
    <w:rsid w:val="15F36B10"/>
    <w:rsid w:val="15F67B8F"/>
    <w:rsid w:val="15F873A5"/>
    <w:rsid w:val="160F7356"/>
    <w:rsid w:val="164400B1"/>
    <w:rsid w:val="16CD33F4"/>
    <w:rsid w:val="16E1457B"/>
    <w:rsid w:val="16F26FDC"/>
    <w:rsid w:val="17721137"/>
    <w:rsid w:val="17E75995"/>
    <w:rsid w:val="19380B2A"/>
    <w:rsid w:val="19450E59"/>
    <w:rsid w:val="19813FB0"/>
    <w:rsid w:val="19DE460B"/>
    <w:rsid w:val="1A3D4C07"/>
    <w:rsid w:val="1B5A4D98"/>
    <w:rsid w:val="1B610368"/>
    <w:rsid w:val="1BA96B88"/>
    <w:rsid w:val="1BC31CAE"/>
    <w:rsid w:val="1BDC7544"/>
    <w:rsid w:val="1BED490B"/>
    <w:rsid w:val="1C6A496F"/>
    <w:rsid w:val="1D7B7A85"/>
    <w:rsid w:val="1DD063A3"/>
    <w:rsid w:val="1F071EB1"/>
    <w:rsid w:val="1F125176"/>
    <w:rsid w:val="1F374DC3"/>
    <w:rsid w:val="1FFE6BEE"/>
    <w:rsid w:val="20185B20"/>
    <w:rsid w:val="20385BC6"/>
    <w:rsid w:val="20BA340F"/>
    <w:rsid w:val="210E1A59"/>
    <w:rsid w:val="21696E53"/>
    <w:rsid w:val="216F7993"/>
    <w:rsid w:val="21825E03"/>
    <w:rsid w:val="21843E98"/>
    <w:rsid w:val="21BB220E"/>
    <w:rsid w:val="221D5633"/>
    <w:rsid w:val="23682531"/>
    <w:rsid w:val="24A10DF8"/>
    <w:rsid w:val="25C30D2D"/>
    <w:rsid w:val="26C171CB"/>
    <w:rsid w:val="271423B4"/>
    <w:rsid w:val="2805374C"/>
    <w:rsid w:val="28054429"/>
    <w:rsid w:val="280612BF"/>
    <w:rsid w:val="285A1251"/>
    <w:rsid w:val="286E52FC"/>
    <w:rsid w:val="29272709"/>
    <w:rsid w:val="296E3259"/>
    <w:rsid w:val="29AA1DB7"/>
    <w:rsid w:val="29D62AA3"/>
    <w:rsid w:val="2ABB7DF2"/>
    <w:rsid w:val="2ADE448E"/>
    <w:rsid w:val="2B0674C1"/>
    <w:rsid w:val="2BD902EC"/>
    <w:rsid w:val="2BF437BD"/>
    <w:rsid w:val="2C361D24"/>
    <w:rsid w:val="2D8C1F00"/>
    <w:rsid w:val="2DE175C3"/>
    <w:rsid w:val="2E135BB8"/>
    <w:rsid w:val="2E386092"/>
    <w:rsid w:val="2EE737A0"/>
    <w:rsid w:val="2EF21CAB"/>
    <w:rsid w:val="2F3841ED"/>
    <w:rsid w:val="2F58187C"/>
    <w:rsid w:val="2FA07EE4"/>
    <w:rsid w:val="30B1408E"/>
    <w:rsid w:val="30CE71F9"/>
    <w:rsid w:val="30EF67E5"/>
    <w:rsid w:val="310311E3"/>
    <w:rsid w:val="31837D89"/>
    <w:rsid w:val="31F4722E"/>
    <w:rsid w:val="32120641"/>
    <w:rsid w:val="328D7DE2"/>
    <w:rsid w:val="32BA571C"/>
    <w:rsid w:val="32EE6C13"/>
    <w:rsid w:val="33602869"/>
    <w:rsid w:val="344D3544"/>
    <w:rsid w:val="35DB1C68"/>
    <w:rsid w:val="35EC697A"/>
    <w:rsid w:val="36C3270A"/>
    <w:rsid w:val="36D500B5"/>
    <w:rsid w:val="36F4767F"/>
    <w:rsid w:val="37556CA1"/>
    <w:rsid w:val="37696C56"/>
    <w:rsid w:val="378418A7"/>
    <w:rsid w:val="37D54A07"/>
    <w:rsid w:val="380769FD"/>
    <w:rsid w:val="383C102E"/>
    <w:rsid w:val="386709AA"/>
    <w:rsid w:val="387D642F"/>
    <w:rsid w:val="38D86C09"/>
    <w:rsid w:val="3919772A"/>
    <w:rsid w:val="39BD354F"/>
    <w:rsid w:val="3A310809"/>
    <w:rsid w:val="3A7645E5"/>
    <w:rsid w:val="3AA01AB2"/>
    <w:rsid w:val="3ABF25F9"/>
    <w:rsid w:val="3AC705C2"/>
    <w:rsid w:val="3AFC47E7"/>
    <w:rsid w:val="3B3339E2"/>
    <w:rsid w:val="3B4130B9"/>
    <w:rsid w:val="3B6C3C70"/>
    <w:rsid w:val="3BBF0327"/>
    <w:rsid w:val="3D2A703F"/>
    <w:rsid w:val="3D4027C3"/>
    <w:rsid w:val="3DB46376"/>
    <w:rsid w:val="3DFB39FD"/>
    <w:rsid w:val="3E287CA5"/>
    <w:rsid w:val="3E500D27"/>
    <w:rsid w:val="3E771761"/>
    <w:rsid w:val="3E971150"/>
    <w:rsid w:val="3ED16F9F"/>
    <w:rsid w:val="3ED216D9"/>
    <w:rsid w:val="3ED95EA9"/>
    <w:rsid w:val="3EF43270"/>
    <w:rsid w:val="3EFE309E"/>
    <w:rsid w:val="3F512870"/>
    <w:rsid w:val="3F6236D0"/>
    <w:rsid w:val="3F94702A"/>
    <w:rsid w:val="3FE06D3B"/>
    <w:rsid w:val="3FE2521F"/>
    <w:rsid w:val="40D309FB"/>
    <w:rsid w:val="41092CBA"/>
    <w:rsid w:val="419B75A1"/>
    <w:rsid w:val="41D71CA1"/>
    <w:rsid w:val="420A743F"/>
    <w:rsid w:val="4233454F"/>
    <w:rsid w:val="42A77BCB"/>
    <w:rsid w:val="43527DA5"/>
    <w:rsid w:val="446454B9"/>
    <w:rsid w:val="44721986"/>
    <w:rsid w:val="44763E68"/>
    <w:rsid w:val="44DA46CB"/>
    <w:rsid w:val="45093CD4"/>
    <w:rsid w:val="454D7023"/>
    <w:rsid w:val="46F07AD6"/>
    <w:rsid w:val="47937B86"/>
    <w:rsid w:val="48826C2D"/>
    <w:rsid w:val="489573EB"/>
    <w:rsid w:val="49B0540B"/>
    <w:rsid w:val="49CF100D"/>
    <w:rsid w:val="49DC28FF"/>
    <w:rsid w:val="4A4D3D1A"/>
    <w:rsid w:val="4A9A409A"/>
    <w:rsid w:val="4AF83480"/>
    <w:rsid w:val="4B241572"/>
    <w:rsid w:val="4B85051F"/>
    <w:rsid w:val="4C251A45"/>
    <w:rsid w:val="4C806421"/>
    <w:rsid w:val="4CA0475B"/>
    <w:rsid w:val="4CA9593B"/>
    <w:rsid w:val="4CDF4A30"/>
    <w:rsid w:val="4D0E1A0D"/>
    <w:rsid w:val="4D450A84"/>
    <w:rsid w:val="4DFB11F6"/>
    <w:rsid w:val="4E774DAA"/>
    <w:rsid w:val="4ECE577B"/>
    <w:rsid w:val="4EE3490D"/>
    <w:rsid w:val="4EF13B48"/>
    <w:rsid w:val="4EF75EC0"/>
    <w:rsid w:val="4FB76013"/>
    <w:rsid w:val="4FBE01E7"/>
    <w:rsid w:val="50EB36A6"/>
    <w:rsid w:val="51025EB1"/>
    <w:rsid w:val="51032397"/>
    <w:rsid w:val="51051E45"/>
    <w:rsid w:val="52D80BEE"/>
    <w:rsid w:val="535A7E01"/>
    <w:rsid w:val="537E1A3B"/>
    <w:rsid w:val="538928D5"/>
    <w:rsid w:val="538C54A6"/>
    <w:rsid w:val="546B6E19"/>
    <w:rsid w:val="548254F0"/>
    <w:rsid w:val="5485514F"/>
    <w:rsid w:val="548D558B"/>
    <w:rsid w:val="549A6C2B"/>
    <w:rsid w:val="54C36344"/>
    <w:rsid w:val="54C664C3"/>
    <w:rsid w:val="55082A65"/>
    <w:rsid w:val="55BD2CEE"/>
    <w:rsid w:val="55C53EA6"/>
    <w:rsid w:val="565B7FD3"/>
    <w:rsid w:val="56751819"/>
    <w:rsid w:val="56BA0FDC"/>
    <w:rsid w:val="57D07063"/>
    <w:rsid w:val="57D4668D"/>
    <w:rsid w:val="58D02C46"/>
    <w:rsid w:val="59016536"/>
    <w:rsid w:val="590C29FE"/>
    <w:rsid w:val="59382F53"/>
    <w:rsid w:val="59A537CB"/>
    <w:rsid w:val="59F26FCA"/>
    <w:rsid w:val="5A2B7E5E"/>
    <w:rsid w:val="5A4E2167"/>
    <w:rsid w:val="5AA07F40"/>
    <w:rsid w:val="5B071AB3"/>
    <w:rsid w:val="5B650D9F"/>
    <w:rsid w:val="5B7C4A30"/>
    <w:rsid w:val="5BDE0537"/>
    <w:rsid w:val="5BED4D57"/>
    <w:rsid w:val="5C55338C"/>
    <w:rsid w:val="5D4D387D"/>
    <w:rsid w:val="5D6851F5"/>
    <w:rsid w:val="5DCA09A3"/>
    <w:rsid w:val="5E443FAD"/>
    <w:rsid w:val="5E531B97"/>
    <w:rsid w:val="5E9D57EE"/>
    <w:rsid w:val="5F144DEA"/>
    <w:rsid w:val="5F3D7E25"/>
    <w:rsid w:val="5F7E3018"/>
    <w:rsid w:val="60F1388E"/>
    <w:rsid w:val="61A77079"/>
    <w:rsid w:val="624A6B57"/>
    <w:rsid w:val="627D5CDF"/>
    <w:rsid w:val="62D6732E"/>
    <w:rsid w:val="63731F3D"/>
    <w:rsid w:val="638279B4"/>
    <w:rsid w:val="639C64A0"/>
    <w:rsid w:val="642372D3"/>
    <w:rsid w:val="651708B8"/>
    <w:rsid w:val="65454382"/>
    <w:rsid w:val="65523BAB"/>
    <w:rsid w:val="655D0FA7"/>
    <w:rsid w:val="655D7FBE"/>
    <w:rsid w:val="65FF1E91"/>
    <w:rsid w:val="67483644"/>
    <w:rsid w:val="676C1E7F"/>
    <w:rsid w:val="67D31AEC"/>
    <w:rsid w:val="68BB4E93"/>
    <w:rsid w:val="69232124"/>
    <w:rsid w:val="69675787"/>
    <w:rsid w:val="6A617661"/>
    <w:rsid w:val="6ABD617F"/>
    <w:rsid w:val="6AC25622"/>
    <w:rsid w:val="6AEC3960"/>
    <w:rsid w:val="6B40235F"/>
    <w:rsid w:val="6B57195A"/>
    <w:rsid w:val="6B8320C0"/>
    <w:rsid w:val="6BD154CC"/>
    <w:rsid w:val="6CC92D08"/>
    <w:rsid w:val="6CEA21C3"/>
    <w:rsid w:val="6D800432"/>
    <w:rsid w:val="6E071562"/>
    <w:rsid w:val="6E8757F0"/>
    <w:rsid w:val="6F0357BE"/>
    <w:rsid w:val="6F083740"/>
    <w:rsid w:val="704C0CF7"/>
    <w:rsid w:val="70642D99"/>
    <w:rsid w:val="70C31D6B"/>
    <w:rsid w:val="70F74CDB"/>
    <w:rsid w:val="71904B0C"/>
    <w:rsid w:val="71C73801"/>
    <w:rsid w:val="71FA2F1C"/>
    <w:rsid w:val="7233601F"/>
    <w:rsid w:val="732E6B78"/>
    <w:rsid w:val="74533F62"/>
    <w:rsid w:val="74891E24"/>
    <w:rsid w:val="74F84576"/>
    <w:rsid w:val="751122B7"/>
    <w:rsid w:val="75745BF3"/>
    <w:rsid w:val="7658702E"/>
    <w:rsid w:val="76C667BC"/>
    <w:rsid w:val="770E6D4C"/>
    <w:rsid w:val="77646FC0"/>
    <w:rsid w:val="776F0CF3"/>
    <w:rsid w:val="78DB67FF"/>
    <w:rsid w:val="78EF711B"/>
    <w:rsid w:val="79BF22E2"/>
    <w:rsid w:val="79F0693F"/>
    <w:rsid w:val="79FE79DA"/>
    <w:rsid w:val="7A735C17"/>
    <w:rsid w:val="7A887546"/>
    <w:rsid w:val="7A8B0052"/>
    <w:rsid w:val="7AA71D7C"/>
    <w:rsid w:val="7AAD5FEE"/>
    <w:rsid w:val="7BB87930"/>
    <w:rsid w:val="7BC73B55"/>
    <w:rsid w:val="7BF9402F"/>
    <w:rsid w:val="7C8233E8"/>
    <w:rsid w:val="7CDD6F81"/>
    <w:rsid w:val="7CF312BE"/>
    <w:rsid w:val="7D9120E2"/>
    <w:rsid w:val="7DFF53A3"/>
    <w:rsid w:val="7E1352F2"/>
    <w:rsid w:val="7E6671D0"/>
    <w:rsid w:val="7E695E0F"/>
    <w:rsid w:val="7E910D86"/>
    <w:rsid w:val="7FBA0FC0"/>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21"/>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71"/>
    <w:qFormat/>
    <w:uiPriority w:val="0"/>
    <w:pPr>
      <w:widowControl/>
      <w:spacing w:line="480" w:lineRule="auto"/>
      <w:ind w:firstLine="560"/>
      <w:jc w:val="left"/>
    </w:pPr>
    <w:rPr>
      <w:kern w:val="0"/>
      <w:sz w:val="28"/>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w:basedOn w:val="1"/>
    <w:next w:val="1"/>
    <w:link w:val="214"/>
    <w:qFormat/>
    <w:uiPriority w:val="0"/>
    <w:pPr>
      <w:spacing w:after="120"/>
    </w:pPr>
  </w:style>
  <w:style w:type="paragraph" w:styleId="19">
    <w:name w:val="Body Text Indent"/>
    <w:basedOn w:val="1"/>
    <w:link w:val="26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57"/>
    <w:qFormat/>
    <w:uiPriority w:val="0"/>
    <w:pPr>
      <w:ind w:left="100" w:leftChars="2500"/>
    </w:p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caps/>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paragraph" w:styleId="45">
    <w:name w:val="Body Text First Indent 2"/>
    <w:basedOn w:val="19"/>
    <w:unhideWhenUsed/>
    <w:qFormat/>
    <w:uiPriority w:val="99"/>
    <w:pPr>
      <w:widowControl w:val="0"/>
      <w:tabs>
        <w:tab w:val="left" w:pos="720"/>
      </w:tabs>
      <w:spacing w:line="360" w:lineRule="auto"/>
      <w:ind w:firstLine="420" w:firstLineChars="200"/>
    </w:pPr>
    <w:rPr>
      <w:rFonts w:hAnsi="宋体"/>
      <w:color w:val="auto"/>
      <w:kern w:val="2"/>
      <w:sz w:val="24"/>
      <w:szCs w:val="24"/>
      <w:lang w:val="en-U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1"/>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6"/>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5"/>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18"/>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9"/>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3"/>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4"/>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列表段落2"/>
    <w:basedOn w:val="1"/>
    <w:qFormat/>
    <w:uiPriority w:val="99"/>
    <w:pPr>
      <w:ind w:firstLine="420" w:firstLineChars="200"/>
    </w:pPr>
    <w:rPr>
      <w:sz w:val="28"/>
      <w:szCs w:val="28"/>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14">
    <w:name w:val="NormalCharacter"/>
    <w:semiHidden/>
    <w:qFormat/>
    <w:uiPriority w:val="0"/>
  </w:style>
  <w:style w:type="paragraph" w:customStyle="1" w:styleId="315">
    <w:name w:val="Body text|2"/>
    <w:basedOn w:val="1"/>
    <w:qFormat/>
    <w:uiPriority w:val="0"/>
    <w:pPr>
      <w:spacing w:after="280"/>
      <w:jc w:val="center"/>
    </w:pPr>
    <w:rPr>
      <w:rFonts w:ascii="宋体" w:hAnsi="宋体" w:cs="宋体"/>
      <w:sz w:val="42"/>
      <w:szCs w:val="42"/>
      <w:lang w:val="zh-TW" w:eastAsia="zh-TW"/>
    </w:rPr>
  </w:style>
  <w:style w:type="paragraph" w:customStyle="1" w:styleId="316">
    <w:name w:val="Body text|1"/>
    <w:basedOn w:val="1"/>
    <w:qFormat/>
    <w:uiPriority w:val="0"/>
    <w:pPr>
      <w:spacing w:after="480" w:line="480" w:lineRule="auto"/>
      <w:ind w:firstLine="400"/>
      <w:jc w:val="left"/>
    </w:pPr>
    <w:rPr>
      <w:rFonts w:ascii="宋体" w:hAnsi="宋体" w:cs="宋体"/>
      <w:sz w:val="26"/>
      <w:szCs w:val="26"/>
      <w:lang w:val="zh-TW" w:eastAsia="zh-TW"/>
    </w:rPr>
  </w:style>
  <w:style w:type="paragraph" w:customStyle="1" w:styleId="317">
    <w:name w:val="Table Text"/>
    <w:basedOn w:val="1"/>
    <w:semiHidden/>
    <w:qFormat/>
    <w:uiPriority w:val="0"/>
    <w:rPr>
      <w:rFonts w:ascii="宋体" w:hAnsi="宋体" w:cs="宋体"/>
      <w:szCs w:val="21"/>
      <w:lang w:eastAsia="en-US"/>
    </w:rPr>
  </w:style>
  <w:style w:type="table" w:customStyle="1" w:styleId="318">
    <w:name w:val="Table Normal"/>
    <w:semiHidden/>
    <w:unhideWhenUsed/>
    <w:qFormat/>
    <w:uiPriority w:val="0"/>
    <w:tblPr>
      <w:tblCellMar>
        <w:top w:w="0" w:type="dxa"/>
        <w:left w:w="0" w:type="dxa"/>
        <w:bottom w:w="0" w:type="dxa"/>
        <w:right w:w="0" w:type="dxa"/>
      </w:tblCellMar>
    </w:tblPr>
  </w:style>
  <w:style w:type="paragraph" w:customStyle="1" w:styleId="319">
    <w:name w:val="目录 53"/>
    <w:next w:val="1"/>
    <w:qFormat/>
    <w:uiPriority w:val="0"/>
    <w:pPr>
      <w:wordWrap w:val="0"/>
      <w:ind w:left="1275"/>
      <w:jc w:val="both"/>
    </w:pPr>
    <w:rPr>
      <w:rFonts w:ascii="Calibri" w:hAnsi="Calibri" w:eastAsia="等线" w:cs="Times New Roman"/>
      <w:sz w:val="21"/>
      <w:szCs w:val="22"/>
      <w:lang w:val="en-US" w:eastAsia="zh-CN" w:bidi="ar-SA"/>
    </w:rPr>
  </w:style>
  <w:style w:type="character" w:customStyle="1" w:styleId="320">
    <w:name w:val="font41"/>
    <w:basedOn w:val="48"/>
    <w:qFormat/>
    <w:uiPriority w:val="0"/>
    <w:rPr>
      <w:rFonts w:hint="eastAsia" w:ascii="宋体" w:hAnsi="宋体" w:eastAsia="宋体" w:cs="宋体"/>
      <w:color w:val="000000"/>
      <w:sz w:val="20"/>
      <w:szCs w:val="20"/>
      <w:u w:val="none"/>
    </w:rPr>
  </w:style>
  <w:style w:type="character" w:customStyle="1" w:styleId="321">
    <w:name w:val="标题 3 字符1"/>
    <w:link w:val="5"/>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74</Pages>
  <Words>2270</Words>
  <Characters>2718</Characters>
  <Lines>292</Lines>
  <Paragraphs>82</Paragraphs>
  <TotalTime>7</TotalTime>
  <ScaleCrop>false</ScaleCrop>
  <LinksUpToDate>false</LinksUpToDate>
  <CharactersWithSpaces>3132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123</cp:lastModifiedBy>
  <cp:lastPrinted>2020-08-27T03:13:00Z</cp:lastPrinted>
  <dcterms:modified xsi:type="dcterms:W3CDTF">2025-06-06T09:38:57Z</dcterms:modified>
  <dc:title>第一卷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D578C1AC44BC4B04B59E571782A563B7_13</vt:lpwstr>
  </property>
  <property fmtid="{D5CDD505-2E9C-101B-9397-08002B2CF9AE}" pid="4" name="KSOTemplateDocerSaveRecord">
    <vt:lpwstr>eyJoZGlkIjoiMzdlOTk2YmZjZjk1ODc5MjY5ZjA2ZTRkM2U4ZGMwMmQiLCJ1c2VySWQiOiIyOTIwNjkxNDIifQ==</vt:lpwstr>
  </property>
</Properties>
</file>