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AB9532">
      <w:pPr>
        <w:jc w:val="center"/>
        <w:rPr>
          <w:rFonts w:ascii="黑体" w:hAnsi="黑体" w:eastAsia="黑体"/>
          <w:spacing w:val="80"/>
          <w:sz w:val="44"/>
          <w:szCs w:val="44"/>
        </w:rPr>
      </w:pPr>
      <w:r>
        <w:rPr>
          <w:rFonts w:hint="eastAsia" w:ascii="宋体" w:hAnsi="宋体"/>
        </w:rPr>
        <w:t xml:space="preserve"> </w:t>
      </w:r>
      <w:r>
        <w:rPr>
          <w:rFonts w:hint="eastAsia" w:ascii="黑体" w:hAnsi="黑体" w:eastAsia="黑体"/>
          <w:spacing w:val="80"/>
          <w:sz w:val="44"/>
          <w:szCs w:val="44"/>
        </w:rPr>
        <w:t>（</w:t>
      </w:r>
      <w:r>
        <w:rPr>
          <w:rFonts w:hint="eastAsia" w:ascii="黑体" w:hAnsi="黑体" w:eastAsia="黑体"/>
          <w:spacing w:val="80"/>
          <w:sz w:val="44"/>
          <w:szCs w:val="44"/>
          <w:lang w:val="en-US" w:eastAsia="zh-CN"/>
        </w:rPr>
        <w:t>综合评分法</w:t>
      </w:r>
      <w:r>
        <w:rPr>
          <w:rFonts w:hint="eastAsia" w:ascii="黑体" w:hAnsi="黑体" w:eastAsia="黑体"/>
          <w:spacing w:val="80"/>
          <w:sz w:val="44"/>
          <w:szCs w:val="44"/>
        </w:rPr>
        <w:t>）</w:t>
      </w:r>
    </w:p>
    <w:p w14:paraId="02826987">
      <w:pPr>
        <w:spacing w:line="560" w:lineRule="exact"/>
        <w:ind w:firstLine="480" w:firstLineChars="200"/>
        <w:rPr>
          <w:rFonts w:hint="eastAsia" w:ascii="方正黑体_GBK" w:hAnsi="宋体" w:eastAsia="方正黑体_GBK" w:cs="宋体"/>
          <w:b w:val="0"/>
          <w:bCs/>
          <w:sz w:val="24"/>
          <w:szCs w:val="24"/>
          <w:lang w:val="en-US" w:eastAsia="zh-CN"/>
        </w:rPr>
      </w:pPr>
      <w:bookmarkStart w:id="0" w:name="_Toc7648"/>
      <w:bookmarkStart w:id="1" w:name="_Toc4745"/>
      <w:bookmarkStart w:id="2" w:name="_Toc12680"/>
      <w:bookmarkStart w:id="3" w:name="_Toc521661359"/>
      <w:bookmarkStart w:id="4" w:name="_Toc1363"/>
      <w:r>
        <w:rPr>
          <w:rFonts w:hint="eastAsia" w:ascii="方正黑体_GBK" w:hAnsi="宋体" w:eastAsia="方正黑体_GBK" w:cs="宋体"/>
          <w:b w:val="0"/>
          <w:bCs/>
          <w:sz w:val="24"/>
          <w:szCs w:val="24"/>
          <w:lang w:val="en-US" w:eastAsia="zh-CN"/>
        </w:rPr>
        <w:t>一、询比采购内容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14:paraId="1BBD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33C379B2">
            <w:pPr>
              <w:widowControl/>
              <w:spacing w:line="56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项目名称</w:t>
            </w:r>
          </w:p>
        </w:tc>
        <w:tc>
          <w:tcPr>
            <w:tcW w:w="1746" w:type="dxa"/>
            <w:tcBorders>
              <w:top w:val="single" w:color="auto" w:sz="4" w:space="0"/>
              <w:left w:val="single" w:color="auto" w:sz="4" w:space="0"/>
              <w:right w:val="single" w:color="auto" w:sz="4" w:space="0"/>
            </w:tcBorders>
            <w:vAlign w:val="center"/>
          </w:tcPr>
          <w:p w14:paraId="48D0A931">
            <w:pPr>
              <w:widowControl/>
              <w:spacing w:line="560" w:lineRule="exact"/>
              <w:jc w:val="center"/>
              <w:rPr>
                <w:rFonts w:hint="default" w:ascii="方正黑体_GBK" w:hAnsi="宋体" w:eastAsia="方正黑体_GBK" w:cs="宋体"/>
                <w:kern w:val="0"/>
                <w:sz w:val="24"/>
                <w:szCs w:val="24"/>
                <w:lang w:val="en-US" w:eastAsia="zh-CN"/>
              </w:rPr>
            </w:pPr>
            <w:r>
              <w:rPr>
                <w:rFonts w:hint="eastAsia" w:ascii="方正黑体_GBK" w:hAnsi="宋体" w:eastAsia="方正黑体_GBK" w:cs="宋体"/>
                <w:kern w:val="0"/>
                <w:sz w:val="24"/>
                <w:szCs w:val="24"/>
                <w:lang w:val="en-US" w:eastAsia="zh-CN"/>
              </w:rPr>
              <w:t>招标限价</w:t>
            </w:r>
          </w:p>
          <w:p w14:paraId="4BCBED8C">
            <w:pPr>
              <w:spacing w:line="56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w:t>
            </w:r>
            <w:r>
              <w:rPr>
                <w:rFonts w:hint="eastAsia" w:ascii="方正黑体_GBK" w:hAnsi="宋体" w:eastAsia="方正黑体_GBK" w:cs="宋体"/>
                <w:kern w:val="0"/>
                <w:sz w:val="24"/>
                <w:szCs w:val="24"/>
                <w:lang w:val="en-US" w:eastAsia="zh-CN"/>
              </w:rPr>
              <w:t>万元</w:t>
            </w:r>
            <w:r>
              <w:rPr>
                <w:rFonts w:hint="eastAsia" w:ascii="方正黑体_GBK" w:hAnsi="宋体" w:eastAsia="方正黑体_GBK" w:cs="宋体"/>
                <w:kern w:val="0"/>
                <w:sz w:val="24"/>
                <w:szCs w:val="24"/>
              </w:rPr>
              <w:t>）</w:t>
            </w:r>
          </w:p>
        </w:tc>
        <w:tc>
          <w:tcPr>
            <w:tcW w:w="1903" w:type="dxa"/>
            <w:tcBorders>
              <w:top w:val="single" w:color="auto" w:sz="4" w:space="0"/>
              <w:left w:val="single" w:color="auto" w:sz="4" w:space="0"/>
              <w:right w:val="single" w:color="auto" w:sz="4" w:space="0"/>
            </w:tcBorders>
            <w:vAlign w:val="center"/>
          </w:tcPr>
          <w:p w14:paraId="43F71A07">
            <w:pPr>
              <w:spacing w:line="56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资金来源</w:t>
            </w:r>
          </w:p>
        </w:tc>
        <w:tc>
          <w:tcPr>
            <w:tcW w:w="1231" w:type="dxa"/>
            <w:tcBorders>
              <w:top w:val="single" w:color="auto" w:sz="4" w:space="0"/>
              <w:left w:val="single" w:color="auto" w:sz="4" w:space="0"/>
              <w:right w:val="single" w:color="auto" w:sz="4" w:space="0"/>
            </w:tcBorders>
            <w:vAlign w:val="center"/>
          </w:tcPr>
          <w:p w14:paraId="4F2CAE69">
            <w:pPr>
              <w:spacing w:line="560" w:lineRule="exact"/>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备注</w:t>
            </w:r>
          </w:p>
        </w:tc>
      </w:tr>
      <w:tr w14:paraId="779F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0C9AC5D6">
            <w:pPr>
              <w:spacing w:line="240" w:lineRule="atLeast"/>
              <w:jc w:val="center"/>
              <w:rPr>
                <w:rFonts w:ascii="宋体" w:hAnsi="宋体" w:cs="宋体"/>
                <w:color w:val="FF0000"/>
                <w:kern w:val="0"/>
                <w:sz w:val="24"/>
                <w:szCs w:val="24"/>
              </w:rPr>
            </w:pPr>
            <w:r>
              <w:rPr>
                <w:rFonts w:hint="eastAsia" w:eastAsia="方正仿宋_GBK"/>
                <w:sz w:val="24"/>
                <w:szCs w:val="24"/>
                <w:lang w:val="en-US" w:eastAsia="zh-CN"/>
              </w:rPr>
              <w:t>重庆高</w:t>
            </w:r>
            <w:r>
              <w:rPr>
                <w:rFonts w:hint="eastAsia" w:eastAsia="方正仿宋_GBK"/>
                <w:sz w:val="24"/>
                <w:szCs w:val="24"/>
              </w:rPr>
              <w:t>新区天然林保护修复实施方案编制及“十五五”期间年森林采伐限额编制技术服务项目</w:t>
            </w:r>
          </w:p>
        </w:tc>
        <w:tc>
          <w:tcPr>
            <w:tcW w:w="1746" w:type="dxa"/>
            <w:tcBorders>
              <w:top w:val="single" w:color="auto" w:sz="4" w:space="0"/>
              <w:left w:val="single" w:color="auto" w:sz="4" w:space="0"/>
              <w:right w:val="single" w:color="auto" w:sz="4" w:space="0"/>
            </w:tcBorders>
            <w:vAlign w:val="center"/>
          </w:tcPr>
          <w:p w14:paraId="72285669">
            <w:pPr>
              <w:spacing w:line="240" w:lineRule="atLeast"/>
              <w:jc w:val="center"/>
              <w:rPr>
                <w:rFonts w:hint="default" w:ascii="宋体" w:hAnsi="宋体" w:eastAsia="宋体" w:cs="宋体"/>
                <w:color w:val="FF0000"/>
                <w:kern w:val="0"/>
                <w:sz w:val="24"/>
                <w:szCs w:val="24"/>
                <w:lang w:val="en-US" w:eastAsia="zh-CN"/>
              </w:rPr>
            </w:pPr>
            <w:r>
              <w:rPr>
                <w:rFonts w:hint="eastAsia" w:eastAsia="方正仿宋_GBK"/>
                <w:sz w:val="24"/>
                <w:szCs w:val="24"/>
                <w:lang w:val="en-US" w:eastAsia="zh-CN"/>
              </w:rPr>
              <w:t>34</w:t>
            </w:r>
          </w:p>
        </w:tc>
        <w:tc>
          <w:tcPr>
            <w:tcW w:w="1903" w:type="dxa"/>
            <w:tcBorders>
              <w:top w:val="single" w:color="auto" w:sz="4" w:space="0"/>
              <w:left w:val="single" w:color="auto" w:sz="4" w:space="0"/>
              <w:right w:val="single" w:color="auto" w:sz="4" w:space="0"/>
            </w:tcBorders>
            <w:vAlign w:val="center"/>
          </w:tcPr>
          <w:p w14:paraId="3F42F8A7">
            <w:pPr>
              <w:spacing w:line="240" w:lineRule="atLeast"/>
              <w:jc w:val="center"/>
              <w:rPr>
                <w:rFonts w:ascii="宋体" w:hAnsi="宋体" w:cs="宋体"/>
                <w:color w:val="000000"/>
                <w:kern w:val="0"/>
                <w:sz w:val="24"/>
                <w:szCs w:val="24"/>
              </w:rPr>
            </w:pPr>
            <w:r>
              <w:rPr>
                <w:rFonts w:hint="eastAsia" w:eastAsia="方正仿宋_GBK"/>
                <w:sz w:val="24"/>
                <w:szCs w:val="24"/>
              </w:rPr>
              <w:t>财政预算资金</w:t>
            </w:r>
          </w:p>
        </w:tc>
        <w:tc>
          <w:tcPr>
            <w:tcW w:w="1231" w:type="dxa"/>
            <w:tcBorders>
              <w:top w:val="single" w:color="auto" w:sz="4" w:space="0"/>
              <w:left w:val="single" w:color="auto" w:sz="4" w:space="0"/>
              <w:right w:val="single" w:color="auto" w:sz="4" w:space="0"/>
            </w:tcBorders>
            <w:vAlign w:val="center"/>
          </w:tcPr>
          <w:p w14:paraId="53C9BE13">
            <w:pPr>
              <w:spacing w:line="240" w:lineRule="atLeast"/>
              <w:rPr>
                <w:rFonts w:ascii="宋体" w:hAnsi="宋体" w:cs="宋体"/>
                <w:b/>
                <w:sz w:val="24"/>
                <w:szCs w:val="24"/>
              </w:rPr>
            </w:pPr>
          </w:p>
        </w:tc>
      </w:tr>
    </w:tbl>
    <w:p w14:paraId="36D7F217">
      <w:pPr>
        <w:spacing w:line="560" w:lineRule="exact"/>
        <w:ind w:firstLine="480" w:firstLineChars="200"/>
        <w:rPr>
          <w:rFonts w:hint="eastAsia" w:ascii="方正黑体_GBK" w:hAnsi="宋体" w:eastAsia="方正黑体_GBK" w:cs="宋体"/>
          <w:b w:val="0"/>
          <w:bCs/>
          <w:sz w:val="24"/>
          <w:szCs w:val="24"/>
          <w:lang w:val="en-US" w:eastAsia="zh-CN"/>
        </w:rPr>
      </w:pPr>
      <w:r>
        <w:rPr>
          <w:rFonts w:hint="eastAsia" w:ascii="方正黑体_GBK" w:hAnsi="宋体" w:eastAsia="方正黑体_GBK" w:cs="宋体"/>
          <w:b w:val="0"/>
          <w:bCs/>
          <w:sz w:val="24"/>
          <w:szCs w:val="24"/>
          <w:lang w:val="en-US" w:eastAsia="zh-CN"/>
        </w:rPr>
        <w:t>二、询比资格条件</w:t>
      </w:r>
    </w:p>
    <w:p w14:paraId="3A91D081">
      <w:pPr>
        <w:snapToGrid w:val="0"/>
        <w:spacing w:line="560" w:lineRule="exact"/>
        <w:ind w:firstLine="480" w:firstLineChars="200"/>
        <w:rPr>
          <w:rFonts w:eastAsia="方正仿宋_GBK"/>
          <w:sz w:val="24"/>
          <w:szCs w:val="24"/>
        </w:rPr>
      </w:pPr>
      <w:r>
        <w:rPr>
          <w:rFonts w:eastAsia="方正仿宋_GBK"/>
          <w:sz w:val="24"/>
          <w:szCs w:val="24"/>
        </w:rPr>
        <w:t>合格的供应商应符合下列条件：</w:t>
      </w:r>
    </w:p>
    <w:p w14:paraId="2CC96C34">
      <w:pPr>
        <w:spacing w:line="560" w:lineRule="exact"/>
        <w:ind w:firstLine="480" w:firstLineChars="200"/>
        <w:rPr>
          <w:rFonts w:eastAsia="方正仿宋_GBK"/>
          <w:sz w:val="24"/>
          <w:szCs w:val="24"/>
        </w:rPr>
      </w:pPr>
      <w:r>
        <w:rPr>
          <w:rFonts w:eastAsia="方正仿宋_GBK"/>
          <w:sz w:val="24"/>
          <w:szCs w:val="24"/>
        </w:rPr>
        <w:t>（一）一般资格条件</w:t>
      </w:r>
    </w:p>
    <w:p w14:paraId="5B6A4881">
      <w:pPr>
        <w:spacing w:line="560" w:lineRule="exact"/>
        <w:ind w:firstLine="480" w:firstLineChars="200"/>
        <w:rPr>
          <w:rFonts w:hint="eastAsia" w:eastAsia="方正仿宋_GBK"/>
          <w:sz w:val="24"/>
          <w:szCs w:val="24"/>
        </w:rPr>
      </w:pPr>
      <w:r>
        <w:rPr>
          <w:rFonts w:hint="eastAsia" w:eastAsia="方正仿宋_GBK"/>
          <w:sz w:val="24"/>
          <w:szCs w:val="24"/>
        </w:rPr>
        <w:t>1.具有独立承担民事责任的能力（提供营业执照复印件）；</w:t>
      </w:r>
    </w:p>
    <w:p w14:paraId="592B768E">
      <w:pPr>
        <w:spacing w:line="560" w:lineRule="exact"/>
        <w:ind w:firstLine="480" w:firstLineChars="200"/>
        <w:rPr>
          <w:rFonts w:hint="eastAsia" w:eastAsia="方正仿宋_GBK"/>
          <w:sz w:val="24"/>
          <w:szCs w:val="24"/>
        </w:rPr>
      </w:pPr>
      <w:r>
        <w:rPr>
          <w:rFonts w:hint="eastAsia" w:eastAsia="方正仿宋_GBK"/>
          <w:sz w:val="24"/>
          <w:szCs w:val="24"/>
        </w:rPr>
        <w:t>2.具有良好的商业信誉和健全的财务会计制度（提供证明材料或者书面承诺）；</w:t>
      </w:r>
    </w:p>
    <w:p w14:paraId="6E01F46C">
      <w:pPr>
        <w:spacing w:line="560" w:lineRule="exact"/>
        <w:ind w:firstLine="480" w:firstLineChars="200"/>
        <w:rPr>
          <w:rFonts w:hint="eastAsia" w:eastAsia="方正仿宋_GBK"/>
          <w:sz w:val="24"/>
          <w:szCs w:val="24"/>
        </w:rPr>
      </w:pPr>
      <w:r>
        <w:rPr>
          <w:rFonts w:hint="eastAsia" w:eastAsia="方正仿宋_GBK"/>
          <w:sz w:val="24"/>
          <w:szCs w:val="24"/>
        </w:rPr>
        <w:t>3.具有履行合同所必需的设备和专业技术能力（提供证明材料或者书面承诺）；</w:t>
      </w:r>
    </w:p>
    <w:p w14:paraId="17CEF318">
      <w:pPr>
        <w:spacing w:line="560" w:lineRule="exact"/>
        <w:ind w:firstLine="480" w:firstLineChars="200"/>
        <w:rPr>
          <w:rFonts w:hint="eastAsia" w:eastAsia="方正仿宋_GBK"/>
          <w:sz w:val="24"/>
          <w:szCs w:val="24"/>
        </w:rPr>
      </w:pPr>
      <w:r>
        <w:rPr>
          <w:rFonts w:hint="eastAsia" w:eastAsia="方正仿宋_GBK"/>
          <w:sz w:val="24"/>
          <w:szCs w:val="24"/>
        </w:rPr>
        <w:t>4.有依法缴纳税收和社会保障资金的良好记录（提供证明材料或者书面承诺）；</w:t>
      </w:r>
    </w:p>
    <w:p w14:paraId="31787BC9">
      <w:pPr>
        <w:spacing w:line="560" w:lineRule="exact"/>
        <w:ind w:firstLine="480" w:firstLineChars="200"/>
        <w:rPr>
          <w:rFonts w:hint="eastAsia" w:eastAsia="方正仿宋_GBK"/>
          <w:sz w:val="24"/>
          <w:szCs w:val="24"/>
        </w:rPr>
      </w:pPr>
      <w:r>
        <w:rPr>
          <w:rFonts w:hint="eastAsia" w:eastAsia="方正仿宋_GBK"/>
          <w:sz w:val="24"/>
          <w:szCs w:val="24"/>
        </w:rPr>
        <w:t>5.参加政府采购活动前三年内，在经营活动中没有重大违法记录（提供证明材料或者承诺）；</w:t>
      </w:r>
    </w:p>
    <w:p w14:paraId="36C87501">
      <w:pPr>
        <w:spacing w:line="560" w:lineRule="exact"/>
        <w:ind w:firstLine="480" w:firstLineChars="200"/>
        <w:rPr>
          <w:rFonts w:hint="eastAsia" w:eastAsia="方正仿宋_GBK"/>
          <w:sz w:val="24"/>
          <w:szCs w:val="24"/>
        </w:rPr>
      </w:pPr>
      <w:r>
        <w:rPr>
          <w:rFonts w:hint="eastAsia" w:eastAsia="方正仿宋_GBK"/>
          <w:sz w:val="24"/>
          <w:szCs w:val="24"/>
        </w:rPr>
        <w:t>6.法律、行政法规规定的其他条件（提供证明材料或者书面承诺）。</w:t>
      </w:r>
    </w:p>
    <w:p w14:paraId="5171CE14">
      <w:pPr>
        <w:spacing w:line="560" w:lineRule="exact"/>
        <w:ind w:firstLine="480" w:firstLineChars="200"/>
        <w:rPr>
          <w:rFonts w:ascii="方正黑体_GBK" w:hAnsi="宋体" w:eastAsia="方正黑体_GBK" w:cs="宋体"/>
          <w:b w:val="0"/>
          <w:bCs/>
          <w:sz w:val="24"/>
          <w:szCs w:val="24"/>
        </w:rPr>
      </w:pPr>
      <w:r>
        <w:rPr>
          <w:rFonts w:hint="eastAsia" w:ascii="方正黑体_GBK" w:hAnsi="宋体" w:eastAsia="方正黑体_GBK" w:cs="宋体"/>
          <w:b w:val="0"/>
          <w:bCs/>
          <w:sz w:val="24"/>
          <w:szCs w:val="24"/>
        </w:rPr>
        <w:t>三、采购服务内容</w:t>
      </w:r>
    </w:p>
    <w:p w14:paraId="563D85EA">
      <w:pPr>
        <w:spacing w:line="560" w:lineRule="exact"/>
        <w:ind w:firstLine="480" w:firstLineChars="200"/>
        <w:rPr>
          <w:rFonts w:hint="eastAsia" w:eastAsia="方正仿宋_GBK"/>
          <w:sz w:val="24"/>
          <w:szCs w:val="24"/>
        </w:rPr>
      </w:pPr>
      <w:bookmarkStart w:id="5" w:name="_Hlk106353595"/>
      <w:r>
        <w:rPr>
          <w:rFonts w:hint="eastAsia" w:eastAsia="方正仿宋_GBK"/>
          <w:sz w:val="24"/>
          <w:szCs w:val="24"/>
        </w:rPr>
        <w:t>（一）</w:t>
      </w:r>
      <w:r>
        <w:rPr>
          <w:rFonts w:hint="eastAsia" w:eastAsia="方正仿宋_GBK"/>
          <w:sz w:val="24"/>
          <w:szCs w:val="24"/>
          <w:lang w:val="en-US" w:eastAsia="zh-CN"/>
        </w:rPr>
        <w:t>重庆高</w:t>
      </w:r>
      <w:r>
        <w:rPr>
          <w:rFonts w:hint="eastAsia" w:eastAsia="方正仿宋_GBK"/>
          <w:sz w:val="24"/>
          <w:szCs w:val="24"/>
        </w:rPr>
        <w:t>新区天然林保护修复实施方案编制</w:t>
      </w:r>
    </w:p>
    <w:p w14:paraId="7857C882">
      <w:pPr>
        <w:spacing w:line="560" w:lineRule="exact"/>
        <w:ind w:firstLine="480" w:firstLineChars="200"/>
        <w:rPr>
          <w:rFonts w:hint="eastAsia" w:eastAsia="方正仿宋_GBK"/>
          <w:sz w:val="24"/>
          <w:szCs w:val="24"/>
        </w:rPr>
      </w:pPr>
      <w:r>
        <w:rPr>
          <w:rFonts w:hint="eastAsia" w:eastAsia="方正仿宋_GBK"/>
          <w:sz w:val="24"/>
          <w:szCs w:val="24"/>
          <w:lang w:val="en-US" w:eastAsia="zh-CN"/>
        </w:rPr>
        <w:t>1.编制</w:t>
      </w:r>
      <w:r>
        <w:rPr>
          <w:rFonts w:hint="eastAsia" w:eastAsia="方正仿宋_GBK"/>
          <w:sz w:val="24"/>
          <w:szCs w:val="24"/>
        </w:rPr>
        <w:t>范围</w:t>
      </w:r>
      <w:r>
        <w:rPr>
          <w:rFonts w:hint="eastAsia" w:eastAsia="方正仿宋_GBK"/>
          <w:sz w:val="24"/>
          <w:szCs w:val="24"/>
          <w:lang w:eastAsia="zh-CN"/>
        </w:rPr>
        <w:t>。</w:t>
      </w:r>
      <w:r>
        <w:rPr>
          <w:rFonts w:hint="eastAsia" w:eastAsia="方正仿宋_GBK"/>
          <w:sz w:val="24"/>
          <w:szCs w:val="24"/>
          <w:lang w:val="en-US" w:eastAsia="zh-CN"/>
        </w:rPr>
        <w:t>高新区全域天然林及非天然公益林，合计约7万亩</w:t>
      </w:r>
      <w:r>
        <w:rPr>
          <w:rFonts w:hint="eastAsia" w:eastAsia="方正仿宋_GBK"/>
          <w:sz w:val="24"/>
          <w:szCs w:val="24"/>
        </w:rPr>
        <w:t>。</w:t>
      </w:r>
    </w:p>
    <w:p w14:paraId="014CCB73">
      <w:pPr>
        <w:spacing w:line="560" w:lineRule="exact"/>
        <w:ind w:firstLine="480" w:firstLineChars="200"/>
        <w:rPr>
          <w:rFonts w:hint="eastAsia" w:eastAsia="方正仿宋_GBK"/>
          <w:sz w:val="24"/>
          <w:szCs w:val="24"/>
        </w:rPr>
      </w:pPr>
      <w:r>
        <w:rPr>
          <w:rFonts w:hint="eastAsia" w:eastAsia="方正仿宋_GBK"/>
          <w:sz w:val="24"/>
          <w:szCs w:val="24"/>
          <w:lang w:val="en-US" w:eastAsia="zh-CN"/>
        </w:rPr>
        <w:t>2.编制</w:t>
      </w:r>
      <w:r>
        <w:rPr>
          <w:rFonts w:hint="eastAsia" w:eastAsia="方正仿宋_GBK"/>
          <w:sz w:val="24"/>
          <w:szCs w:val="24"/>
        </w:rPr>
        <w:t>期限</w:t>
      </w:r>
      <w:r>
        <w:rPr>
          <w:rFonts w:hint="eastAsia" w:eastAsia="方正仿宋_GBK"/>
          <w:sz w:val="24"/>
          <w:szCs w:val="24"/>
          <w:lang w:eastAsia="zh-CN"/>
        </w:rPr>
        <w:t>。</w:t>
      </w:r>
      <w:r>
        <w:rPr>
          <w:rFonts w:hint="eastAsia" w:eastAsia="方正仿宋_GBK"/>
          <w:sz w:val="24"/>
          <w:szCs w:val="24"/>
        </w:rPr>
        <w:t>2025年</w:t>
      </w:r>
      <w:r>
        <w:rPr>
          <w:rFonts w:hint="eastAsia" w:eastAsia="方正仿宋_GBK"/>
          <w:sz w:val="24"/>
          <w:szCs w:val="24"/>
          <w:lang w:eastAsia="zh-CN"/>
        </w:rPr>
        <w:t>—</w:t>
      </w:r>
      <w:r>
        <w:rPr>
          <w:rFonts w:hint="eastAsia" w:eastAsia="方正仿宋_GBK"/>
          <w:sz w:val="24"/>
          <w:szCs w:val="24"/>
        </w:rPr>
        <w:t>2035年</w:t>
      </w:r>
      <w:r>
        <w:rPr>
          <w:rFonts w:hint="eastAsia" w:eastAsia="方正仿宋_GBK"/>
          <w:sz w:val="24"/>
          <w:szCs w:val="24"/>
          <w:lang w:eastAsia="zh-CN"/>
        </w:rPr>
        <w:t>，</w:t>
      </w:r>
      <w:r>
        <w:rPr>
          <w:rFonts w:hint="eastAsia" w:eastAsia="方正仿宋_GBK"/>
          <w:sz w:val="24"/>
          <w:szCs w:val="24"/>
        </w:rPr>
        <w:t>其中近期为2025年</w:t>
      </w:r>
      <w:r>
        <w:rPr>
          <w:rFonts w:hint="eastAsia" w:eastAsia="方正仿宋_GBK"/>
          <w:sz w:val="24"/>
          <w:szCs w:val="24"/>
          <w:lang w:eastAsia="zh-CN"/>
        </w:rPr>
        <w:t>—</w:t>
      </w:r>
      <w:r>
        <w:rPr>
          <w:rFonts w:hint="eastAsia" w:eastAsia="方正仿宋_GBK"/>
          <w:sz w:val="24"/>
          <w:szCs w:val="24"/>
        </w:rPr>
        <w:t>2030年，远期为2031年</w:t>
      </w:r>
      <w:r>
        <w:rPr>
          <w:rFonts w:hint="eastAsia" w:eastAsia="方正仿宋_GBK"/>
          <w:sz w:val="24"/>
          <w:szCs w:val="24"/>
          <w:lang w:eastAsia="zh-CN"/>
        </w:rPr>
        <w:t>—</w:t>
      </w:r>
      <w:r>
        <w:rPr>
          <w:rFonts w:hint="eastAsia" w:eastAsia="方正仿宋_GBK"/>
          <w:sz w:val="24"/>
          <w:szCs w:val="24"/>
        </w:rPr>
        <w:t>2035年。</w:t>
      </w:r>
    </w:p>
    <w:p w14:paraId="6E70AC3C">
      <w:pPr>
        <w:spacing w:line="560" w:lineRule="exact"/>
        <w:ind w:firstLine="480" w:firstLineChars="200"/>
        <w:rPr>
          <w:rFonts w:hint="eastAsia" w:eastAsia="方正仿宋_GBK"/>
          <w:sz w:val="24"/>
          <w:szCs w:val="24"/>
        </w:rPr>
      </w:pPr>
      <w:r>
        <w:rPr>
          <w:rFonts w:hint="eastAsia" w:eastAsia="方正仿宋_GBK"/>
          <w:sz w:val="24"/>
          <w:szCs w:val="24"/>
          <w:lang w:val="en-US" w:eastAsia="zh-CN"/>
        </w:rPr>
        <w:t>3.编制</w:t>
      </w:r>
      <w:r>
        <w:rPr>
          <w:rFonts w:hint="eastAsia" w:eastAsia="方正仿宋_GBK"/>
          <w:sz w:val="24"/>
          <w:szCs w:val="24"/>
        </w:rPr>
        <w:t>要求</w:t>
      </w:r>
      <w:r>
        <w:rPr>
          <w:rFonts w:hint="eastAsia" w:eastAsia="方正仿宋_GBK"/>
          <w:sz w:val="24"/>
          <w:szCs w:val="24"/>
          <w:lang w:eastAsia="zh-CN"/>
        </w:rPr>
        <w:t>。（</w:t>
      </w:r>
      <w:r>
        <w:rPr>
          <w:rFonts w:hint="eastAsia" w:eastAsia="方正仿宋_GBK"/>
          <w:sz w:val="24"/>
          <w:szCs w:val="24"/>
          <w:lang w:val="en-US" w:eastAsia="zh-CN"/>
        </w:rPr>
        <w:t>1</w:t>
      </w:r>
      <w:r>
        <w:rPr>
          <w:rFonts w:hint="eastAsia" w:eastAsia="方正仿宋_GBK"/>
          <w:sz w:val="24"/>
          <w:szCs w:val="24"/>
          <w:lang w:eastAsia="zh-CN"/>
        </w:rPr>
        <w:t>）</w:t>
      </w:r>
      <w:r>
        <w:rPr>
          <w:rFonts w:hint="eastAsia" w:eastAsia="方正仿宋_GBK"/>
          <w:sz w:val="24"/>
          <w:szCs w:val="24"/>
        </w:rPr>
        <w:t>方案编制：按照《全国天然林保护修复中长期规划》《重庆市天然林保护修复中长期规划》相关要求，开展外业调查，各项指标达到要求的精度；相关资料收集详尽准确；技术经济指标合理；设计思路清晰、方法科学、方案合理、内容全面、切实可行。</w:t>
      </w:r>
      <w:r>
        <w:rPr>
          <w:rFonts w:hint="eastAsia" w:eastAsia="方正仿宋_GBK"/>
          <w:sz w:val="24"/>
          <w:szCs w:val="24"/>
          <w:lang w:eastAsia="zh-CN"/>
        </w:rPr>
        <w:t>（</w:t>
      </w:r>
      <w:r>
        <w:rPr>
          <w:rFonts w:hint="eastAsia" w:eastAsia="方正仿宋_GBK"/>
          <w:sz w:val="24"/>
          <w:szCs w:val="24"/>
          <w:lang w:val="en-US" w:eastAsia="zh-CN"/>
        </w:rPr>
        <w:t>2</w:t>
      </w:r>
      <w:r>
        <w:rPr>
          <w:rFonts w:hint="eastAsia" w:eastAsia="方正仿宋_GBK"/>
          <w:sz w:val="24"/>
          <w:szCs w:val="24"/>
          <w:lang w:eastAsia="zh-CN"/>
        </w:rPr>
        <w:t>）</w:t>
      </w:r>
      <w:r>
        <w:rPr>
          <w:rFonts w:hint="eastAsia" w:eastAsia="方正仿宋_GBK"/>
          <w:sz w:val="24"/>
          <w:szCs w:val="24"/>
        </w:rPr>
        <w:t>完成时限：2025年8月</w:t>
      </w:r>
      <w:r>
        <w:rPr>
          <w:rFonts w:hint="eastAsia" w:eastAsia="方正仿宋_GBK"/>
          <w:sz w:val="24"/>
          <w:szCs w:val="24"/>
          <w:lang w:val="en-US" w:eastAsia="zh-CN"/>
        </w:rPr>
        <w:t>底</w:t>
      </w:r>
      <w:r>
        <w:rPr>
          <w:rFonts w:hint="eastAsia" w:eastAsia="方正仿宋_GBK"/>
          <w:sz w:val="24"/>
          <w:szCs w:val="24"/>
        </w:rPr>
        <w:t>前全面完成方案编制工作（市级另有时限要求按市级要求执行）。</w:t>
      </w:r>
      <w:bookmarkEnd w:id="5"/>
    </w:p>
    <w:p w14:paraId="380C0E1E">
      <w:pPr>
        <w:spacing w:line="560" w:lineRule="exact"/>
        <w:ind w:firstLine="480" w:firstLineChars="200"/>
        <w:rPr>
          <w:rFonts w:hint="default" w:eastAsia="方正仿宋_GBK"/>
          <w:sz w:val="24"/>
          <w:szCs w:val="24"/>
          <w:lang w:val="en-US" w:eastAsia="zh-CN"/>
        </w:rPr>
      </w:pPr>
      <w:r>
        <w:rPr>
          <w:rFonts w:hint="eastAsia" w:eastAsia="方正仿宋_GBK"/>
          <w:sz w:val="24"/>
          <w:szCs w:val="24"/>
          <w:lang w:val="en-US" w:eastAsia="zh-CN"/>
        </w:rPr>
        <w:t>4.成果要求。编制完成《高</w:t>
      </w:r>
      <w:r>
        <w:rPr>
          <w:rFonts w:hint="eastAsia" w:eastAsia="方正仿宋_GBK"/>
          <w:sz w:val="24"/>
          <w:szCs w:val="24"/>
        </w:rPr>
        <w:t>新区天然林保护修复实施方案</w:t>
      </w:r>
      <w:r>
        <w:rPr>
          <w:rFonts w:hint="eastAsia" w:eastAsia="方正仿宋_GBK"/>
          <w:sz w:val="24"/>
          <w:szCs w:val="24"/>
          <w:lang w:val="en-US" w:eastAsia="zh-CN"/>
        </w:rPr>
        <w:t>》，按市林业局要求完成配套资料，并提交有关矢量数据。</w:t>
      </w:r>
    </w:p>
    <w:p w14:paraId="54880C8B">
      <w:pPr>
        <w:spacing w:line="560" w:lineRule="exact"/>
        <w:ind w:firstLine="480" w:firstLineChars="200"/>
        <w:rPr>
          <w:rFonts w:hint="eastAsia" w:eastAsia="方正仿宋_GBK"/>
          <w:sz w:val="24"/>
          <w:szCs w:val="24"/>
        </w:rPr>
      </w:pPr>
      <w:r>
        <w:rPr>
          <w:rFonts w:hint="eastAsia" w:eastAsia="方正仿宋_GBK"/>
          <w:sz w:val="24"/>
          <w:szCs w:val="24"/>
        </w:rPr>
        <w:t>（</w:t>
      </w:r>
      <w:r>
        <w:rPr>
          <w:rFonts w:hint="eastAsia" w:eastAsia="方正仿宋_GBK"/>
          <w:sz w:val="24"/>
          <w:szCs w:val="24"/>
          <w:lang w:val="en-US" w:eastAsia="zh-CN"/>
        </w:rPr>
        <w:t>二</w:t>
      </w:r>
      <w:r>
        <w:rPr>
          <w:rFonts w:hint="eastAsia" w:eastAsia="方正仿宋_GBK"/>
          <w:sz w:val="24"/>
          <w:szCs w:val="24"/>
        </w:rPr>
        <w:t>）</w:t>
      </w:r>
      <w:r>
        <w:rPr>
          <w:rFonts w:hint="eastAsia" w:eastAsia="方正仿宋_GBK"/>
          <w:sz w:val="24"/>
          <w:szCs w:val="24"/>
          <w:lang w:val="en-US" w:eastAsia="zh-CN"/>
        </w:rPr>
        <w:t>重庆高新区</w:t>
      </w:r>
      <w:r>
        <w:rPr>
          <w:rFonts w:hint="eastAsia" w:eastAsia="方正仿宋_GBK"/>
          <w:sz w:val="24"/>
          <w:szCs w:val="24"/>
        </w:rPr>
        <w:t>“十五五”期间年森林采伐限额编制</w:t>
      </w:r>
    </w:p>
    <w:p w14:paraId="29141425">
      <w:pPr>
        <w:spacing w:line="56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1.编限范围。林地上的林木采伐应纳入森林采伐限额管理。竹林采伐，非林地上的林木采伐，以及《中华人民共和国森林法》等法律法规规定不需办理林木采伐许可证的林木采伐等，不纳入森林采伐限额管理。</w:t>
      </w:r>
    </w:p>
    <w:p w14:paraId="5760EF10">
      <w:pPr>
        <w:spacing w:line="56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2.编限单位。国有林原则上以国有林场为单位编限；自然保护区、森林公园等可单独编限；非林业系统国有林编限单位由各区县确定。集体林原则上以区县为单位编限。结合集体林权制度改革，经营规模达到3000亩以上、依法取得林木经营权证或签订流转合同明确取得林木经营权的集体林经营主体，可单独编限，并在区县域采伐限额中单列。单独编限的集体林经营主体应结合森林经营方案或计划合理提出需求，并将采伐指标纳入森林经营方案编制中，作为采伐审批依据。</w:t>
      </w:r>
    </w:p>
    <w:p w14:paraId="7AB0B55A">
      <w:pPr>
        <w:spacing w:line="560" w:lineRule="exact"/>
        <w:ind w:firstLine="480" w:firstLineChars="200"/>
        <w:rPr>
          <w:rFonts w:hint="eastAsia" w:eastAsia="方正仿宋_GBK"/>
          <w:sz w:val="24"/>
          <w:szCs w:val="24"/>
        </w:rPr>
      </w:pPr>
      <w:r>
        <w:rPr>
          <w:rFonts w:hint="eastAsia" w:eastAsia="方正仿宋_GBK"/>
          <w:sz w:val="24"/>
          <w:szCs w:val="24"/>
          <w:lang w:val="en-US" w:eastAsia="zh-CN"/>
        </w:rPr>
        <w:t>3.编限依据。林地范围以第三次全国国土调查成果及最新年度国土变更调查成果为基础，森林资源数据以重庆市森林资源专项调查成果为基础。参考“十四五”采伐限额执行情况，合理编制采伐限额</w:t>
      </w:r>
      <w:r>
        <w:rPr>
          <w:rFonts w:hint="eastAsia" w:eastAsia="方正仿宋_GBK"/>
          <w:sz w:val="24"/>
          <w:szCs w:val="24"/>
        </w:rPr>
        <w:t>。</w:t>
      </w:r>
    </w:p>
    <w:p w14:paraId="001345EC">
      <w:pPr>
        <w:spacing w:line="560" w:lineRule="exact"/>
        <w:ind w:firstLine="480" w:firstLineChars="200"/>
        <w:rPr>
          <w:rFonts w:hint="default" w:eastAsia="方正仿宋_GBK"/>
          <w:sz w:val="24"/>
          <w:szCs w:val="24"/>
          <w:lang w:val="en-US" w:eastAsia="zh-CN"/>
        </w:rPr>
      </w:pPr>
      <w:r>
        <w:rPr>
          <w:rFonts w:hint="eastAsia" w:eastAsia="方正仿宋_GBK"/>
          <w:sz w:val="24"/>
          <w:szCs w:val="24"/>
          <w:lang w:val="en-US" w:eastAsia="zh-CN"/>
        </w:rPr>
        <w:t>4.</w:t>
      </w:r>
      <w:r>
        <w:rPr>
          <w:rFonts w:hint="eastAsia" w:eastAsia="方正仿宋_GBK"/>
          <w:sz w:val="24"/>
          <w:szCs w:val="24"/>
        </w:rPr>
        <w:t>完成时限：2025年8月前全面完成（市级另有时限要求按市级要求执行）。</w:t>
      </w:r>
    </w:p>
    <w:p w14:paraId="38A0347F">
      <w:pPr>
        <w:spacing w:line="560" w:lineRule="exact"/>
        <w:ind w:firstLine="480" w:firstLineChars="200"/>
        <w:rPr>
          <w:rFonts w:hint="default" w:eastAsia="方正仿宋_GBK"/>
          <w:sz w:val="24"/>
          <w:szCs w:val="24"/>
          <w:lang w:val="en-US" w:eastAsia="zh-CN"/>
        </w:rPr>
      </w:pPr>
      <w:r>
        <w:rPr>
          <w:rFonts w:hint="eastAsia" w:eastAsia="方正仿宋_GBK"/>
          <w:sz w:val="24"/>
          <w:szCs w:val="24"/>
          <w:lang w:val="en-US" w:eastAsia="zh-CN"/>
        </w:rPr>
        <w:t>5.成果要求。编制完成《高新区十五五采伐限额报告》，按市林业局要求完成配套资料，并提交有关矢量数据。</w:t>
      </w:r>
    </w:p>
    <w:p w14:paraId="38B3F111">
      <w:pPr>
        <w:spacing w:line="560" w:lineRule="exact"/>
        <w:ind w:firstLine="480" w:firstLineChars="200"/>
        <w:rPr>
          <w:rFonts w:hint="eastAsia" w:ascii="方正黑体_GBK" w:hAnsi="宋体" w:eastAsia="方正黑体_GBK" w:cs="宋体"/>
          <w:b w:val="0"/>
          <w:bCs/>
          <w:sz w:val="24"/>
          <w:szCs w:val="24"/>
        </w:rPr>
      </w:pPr>
      <w:bookmarkStart w:id="6" w:name="_Toc2127"/>
      <w:r>
        <w:rPr>
          <w:rFonts w:hint="eastAsia" w:ascii="方正黑体_GBK" w:hAnsi="宋体" w:eastAsia="方正黑体_GBK" w:cs="宋体"/>
          <w:b w:val="0"/>
          <w:bCs/>
          <w:sz w:val="24"/>
          <w:szCs w:val="24"/>
        </w:rPr>
        <w:t>四、报价要求</w:t>
      </w:r>
      <w:bookmarkEnd w:id="6"/>
    </w:p>
    <w:p w14:paraId="5A1969FB">
      <w:pPr>
        <w:spacing w:line="560" w:lineRule="exact"/>
        <w:ind w:firstLine="480" w:firstLineChars="200"/>
        <w:rPr>
          <w:rFonts w:eastAsia="方正仿宋_GBK"/>
          <w:sz w:val="24"/>
          <w:szCs w:val="24"/>
        </w:rPr>
      </w:pPr>
      <w:r>
        <w:rPr>
          <w:rFonts w:hint="eastAsia" w:eastAsia="方正仿宋_GBK"/>
          <w:sz w:val="24"/>
          <w:szCs w:val="24"/>
        </w:rPr>
        <w:t>本项目采购预算为：</w:t>
      </w:r>
      <w:r>
        <w:rPr>
          <w:rFonts w:hint="eastAsia" w:eastAsia="方正仿宋_GBK"/>
          <w:sz w:val="24"/>
          <w:szCs w:val="24"/>
          <w:lang w:val="en-US" w:eastAsia="zh-CN"/>
        </w:rPr>
        <w:t>34</w:t>
      </w:r>
      <w:r>
        <w:rPr>
          <w:rFonts w:hint="eastAsia" w:eastAsia="方正仿宋_GBK"/>
          <w:sz w:val="24"/>
          <w:szCs w:val="24"/>
        </w:rPr>
        <w:t>万元，本次报价</w:t>
      </w:r>
      <w:r>
        <w:rPr>
          <w:rFonts w:hint="eastAsia" w:eastAsia="方正仿宋_GBK"/>
          <w:sz w:val="24"/>
          <w:szCs w:val="24"/>
          <w:lang w:val="en-US" w:eastAsia="zh-CN"/>
        </w:rPr>
        <w:t>为包干价</w:t>
      </w:r>
      <w:r>
        <w:rPr>
          <w:rFonts w:hint="eastAsia" w:eastAsia="方正仿宋_GBK"/>
          <w:sz w:val="24"/>
          <w:szCs w:val="24"/>
        </w:rPr>
        <w:t>，此价包括中标人完成本项目所需的人工费、运输费、交通费、辅助材料费、机械费、专家审查费、企业管理费、利润、保险、风险费等和各种应纳的税费。由投标人结合自身实力、市场行情自主合理报价，投标人必须自行考虑本项目在实施期间的一切可能产生的费用，中标后，采购人不另外增加任何费用。</w:t>
      </w:r>
    </w:p>
    <w:p w14:paraId="347C446A">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五、服务期</w:t>
      </w:r>
    </w:p>
    <w:p w14:paraId="1EE2CDEF">
      <w:pPr>
        <w:spacing w:line="560" w:lineRule="exact"/>
        <w:ind w:firstLine="480" w:firstLineChars="200"/>
        <w:rPr>
          <w:rFonts w:eastAsia="方正仿宋_GBK"/>
          <w:sz w:val="24"/>
          <w:szCs w:val="24"/>
        </w:rPr>
      </w:pPr>
      <w:r>
        <w:rPr>
          <w:rFonts w:hint="eastAsia" w:eastAsia="方正仿宋_GBK"/>
          <w:sz w:val="24"/>
          <w:szCs w:val="24"/>
        </w:rPr>
        <w:t>自合同签订之日起至完成</w:t>
      </w:r>
      <w:r>
        <w:rPr>
          <w:rFonts w:hint="eastAsia" w:eastAsia="方正仿宋_GBK"/>
          <w:sz w:val="24"/>
          <w:szCs w:val="24"/>
          <w:lang w:val="en-US" w:eastAsia="zh-CN"/>
        </w:rPr>
        <w:t>全部</w:t>
      </w:r>
      <w:r>
        <w:rPr>
          <w:rFonts w:hint="eastAsia" w:eastAsia="方正仿宋_GBK"/>
          <w:sz w:val="24"/>
          <w:szCs w:val="24"/>
        </w:rPr>
        <w:t>工作为止。</w:t>
      </w:r>
    </w:p>
    <w:p w14:paraId="596AC6F0">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六、付款方式</w:t>
      </w:r>
    </w:p>
    <w:p w14:paraId="10DFC087">
      <w:pPr>
        <w:spacing w:line="560" w:lineRule="exact"/>
        <w:ind w:firstLine="480" w:firstLineChars="200"/>
        <w:rPr>
          <w:rFonts w:eastAsia="方正仿宋_GBK"/>
          <w:sz w:val="24"/>
          <w:szCs w:val="24"/>
        </w:rPr>
      </w:pPr>
      <w:r>
        <w:rPr>
          <w:rFonts w:hint="eastAsia" w:eastAsia="方正仿宋_GBK"/>
          <w:sz w:val="24"/>
          <w:szCs w:val="24"/>
          <w:lang w:val="en-US" w:eastAsia="zh-CN"/>
        </w:rPr>
        <w:t>1</w:t>
      </w:r>
      <w:r>
        <w:rPr>
          <w:rFonts w:hint="eastAsia" w:eastAsia="方正仿宋_GBK"/>
          <w:sz w:val="24"/>
          <w:szCs w:val="24"/>
        </w:rPr>
        <w:t>、</w:t>
      </w:r>
      <w:r>
        <w:rPr>
          <w:rFonts w:hint="eastAsia" w:eastAsia="方正仿宋_GBK"/>
          <w:sz w:val="24"/>
          <w:szCs w:val="24"/>
          <w:lang w:val="en-US" w:eastAsia="zh-CN"/>
        </w:rPr>
        <w:t>完成重庆高</w:t>
      </w:r>
      <w:r>
        <w:rPr>
          <w:rFonts w:hint="eastAsia" w:eastAsia="方正仿宋_GBK"/>
          <w:sz w:val="24"/>
          <w:szCs w:val="24"/>
        </w:rPr>
        <w:t>新区天然林保护修复实施方案编制</w:t>
      </w:r>
      <w:r>
        <w:rPr>
          <w:rFonts w:hint="eastAsia" w:eastAsia="方正仿宋_GBK"/>
          <w:sz w:val="24"/>
          <w:szCs w:val="24"/>
          <w:lang w:eastAsia="zh-CN"/>
        </w:rPr>
        <w:t>，</w:t>
      </w:r>
      <w:r>
        <w:rPr>
          <w:rFonts w:hint="eastAsia" w:eastAsia="方正仿宋_GBK"/>
          <w:sz w:val="24"/>
          <w:szCs w:val="24"/>
          <w:lang w:val="en-US" w:eastAsia="zh-CN"/>
        </w:rPr>
        <w:t>提交编制成果通过甲方审核后，支付合同总价的50%；完成高新区</w:t>
      </w:r>
      <w:r>
        <w:rPr>
          <w:rFonts w:hint="eastAsia" w:eastAsia="方正仿宋_GBK"/>
          <w:sz w:val="24"/>
          <w:szCs w:val="24"/>
        </w:rPr>
        <w:t>“十五五”期间年森林采伐限额编制</w:t>
      </w:r>
      <w:r>
        <w:rPr>
          <w:rFonts w:hint="eastAsia" w:eastAsia="方正仿宋_GBK"/>
          <w:sz w:val="24"/>
          <w:szCs w:val="24"/>
          <w:lang w:eastAsia="zh-CN"/>
        </w:rPr>
        <w:t>，</w:t>
      </w:r>
      <w:r>
        <w:rPr>
          <w:rFonts w:hint="eastAsia" w:eastAsia="方正仿宋_GBK"/>
          <w:sz w:val="24"/>
          <w:szCs w:val="24"/>
          <w:lang w:val="en-US" w:eastAsia="zh-CN"/>
        </w:rPr>
        <w:t>提交编制成果通过甲方审核后</w:t>
      </w:r>
      <w:r>
        <w:rPr>
          <w:rFonts w:hint="eastAsia" w:eastAsia="方正仿宋_GBK"/>
          <w:sz w:val="24"/>
          <w:szCs w:val="24"/>
        </w:rPr>
        <w:t>，</w:t>
      </w:r>
      <w:r>
        <w:rPr>
          <w:rFonts w:hint="eastAsia" w:eastAsia="方正仿宋_GBK"/>
          <w:sz w:val="24"/>
          <w:szCs w:val="24"/>
          <w:lang w:val="en-US" w:eastAsia="zh-CN"/>
        </w:rPr>
        <w:t>支付合同总价的50%。</w:t>
      </w:r>
      <w:r>
        <w:rPr>
          <w:rFonts w:hint="eastAsia" w:eastAsia="方正仿宋_GBK"/>
          <w:sz w:val="24"/>
          <w:szCs w:val="24"/>
        </w:rPr>
        <w:t>根据合同约定，如有需进行罚款的，应先扣除罚款后再行支付。</w:t>
      </w:r>
    </w:p>
    <w:p w14:paraId="5126823C">
      <w:pPr>
        <w:spacing w:line="560" w:lineRule="exact"/>
        <w:ind w:firstLine="480" w:firstLineChars="200"/>
        <w:rPr>
          <w:rFonts w:eastAsia="方正仿宋_GBK"/>
          <w:sz w:val="24"/>
          <w:szCs w:val="24"/>
        </w:rPr>
      </w:pPr>
      <w:r>
        <w:rPr>
          <w:rFonts w:hint="eastAsia" w:eastAsia="方正仿宋_GBK"/>
          <w:sz w:val="24"/>
          <w:szCs w:val="24"/>
          <w:lang w:val="en-US" w:eastAsia="zh-CN"/>
        </w:rPr>
        <w:t>2</w:t>
      </w:r>
      <w:r>
        <w:rPr>
          <w:rFonts w:eastAsia="方正仿宋_GBK"/>
          <w:sz w:val="24"/>
          <w:szCs w:val="24"/>
        </w:rPr>
        <w:t>、采购人每次支付款项以收到供应商开具的与付款金额一致的发票为前提，否则付款时间顺延。</w:t>
      </w:r>
    </w:p>
    <w:p w14:paraId="777BCE7C">
      <w:pPr>
        <w:spacing w:line="560" w:lineRule="exact"/>
        <w:ind w:firstLine="480" w:firstLineChars="200"/>
        <w:rPr>
          <w:rFonts w:hint="eastAsia" w:ascii="方正黑体_GBK" w:hAnsi="宋体" w:eastAsia="方正黑体_GBK" w:cs="宋体"/>
          <w:b w:val="0"/>
          <w:bCs/>
          <w:sz w:val="24"/>
          <w:szCs w:val="24"/>
        </w:rPr>
      </w:pPr>
      <w:bookmarkStart w:id="7" w:name="_Toc344475123"/>
      <w:bookmarkStart w:id="8" w:name="_Toc466546917"/>
      <w:bookmarkStart w:id="9" w:name="_Toc18171"/>
      <w:r>
        <w:rPr>
          <w:rFonts w:hint="eastAsia" w:ascii="方正黑体_GBK" w:hAnsi="宋体" w:eastAsia="方正黑体_GBK" w:cs="宋体"/>
          <w:b w:val="0"/>
          <w:bCs/>
          <w:sz w:val="24"/>
          <w:szCs w:val="24"/>
        </w:rPr>
        <w:t>七、知识产权</w:t>
      </w:r>
      <w:bookmarkEnd w:id="7"/>
      <w:bookmarkEnd w:id="8"/>
      <w:bookmarkEnd w:id="9"/>
    </w:p>
    <w:p w14:paraId="2E50319E">
      <w:pPr>
        <w:spacing w:line="560" w:lineRule="exact"/>
        <w:ind w:firstLine="480" w:firstLineChars="200"/>
        <w:rPr>
          <w:rFonts w:eastAsia="方正仿宋_GBK"/>
          <w:sz w:val="24"/>
          <w:szCs w:val="24"/>
        </w:rPr>
      </w:pPr>
      <w:r>
        <w:rPr>
          <w:rFonts w:hint="eastAsia" w:eastAsia="方正仿宋_GBK"/>
          <w:sz w:val="24"/>
          <w:szCs w:val="24"/>
        </w:rPr>
        <w:t>采购人在中华人民共和国境内使用成交供应商提供的服务时免受第三方提出的侵犯其专利权或</w:t>
      </w:r>
      <w:r>
        <w:rPr>
          <w:rFonts w:hint="eastAsia" w:eastAsia="方正仿宋_GBK"/>
          <w:sz w:val="24"/>
          <w:szCs w:val="24"/>
          <w:lang w:eastAsia="zh-CN"/>
        </w:rPr>
        <w:t>其他</w:t>
      </w:r>
      <w:r>
        <w:rPr>
          <w:rFonts w:hint="eastAsia" w:eastAsia="方正仿宋_GBK"/>
          <w:sz w:val="24"/>
          <w:szCs w:val="24"/>
        </w:rPr>
        <w:t>知识产权的起诉。如果第三方提出侵权指控，成交供应商应承担由此而引起的一切法律责任和费用。</w:t>
      </w:r>
    </w:p>
    <w:p w14:paraId="5566B391">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八、联系方式</w:t>
      </w:r>
    </w:p>
    <w:p w14:paraId="1F11EF1C">
      <w:pPr>
        <w:snapToGrid w:val="0"/>
        <w:spacing w:line="560" w:lineRule="exact"/>
        <w:ind w:firstLine="480" w:firstLineChars="200"/>
        <w:rPr>
          <w:rFonts w:eastAsia="方正仿宋_GBK"/>
          <w:sz w:val="24"/>
          <w:szCs w:val="24"/>
        </w:rPr>
      </w:pPr>
      <w:r>
        <w:rPr>
          <w:rFonts w:eastAsia="方正仿宋_GBK"/>
          <w:sz w:val="24"/>
          <w:szCs w:val="24"/>
        </w:rPr>
        <w:t>采购人：重庆高新技术产业开发区管理委员会规划</w:t>
      </w:r>
      <w:r>
        <w:rPr>
          <w:rFonts w:hint="eastAsia" w:eastAsia="方正仿宋_GBK"/>
          <w:sz w:val="24"/>
          <w:szCs w:val="24"/>
        </w:rPr>
        <w:t>和</w:t>
      </w:r>
      <w:r>
        <w:rPr>
          <w:rFonts w:eastAsia="方正仿宋_GBK"/>
          <w:sz w:val="24"/>
          <w:szCs w:val="24"/>
        </w:rPr>
        <w:t>自然资源局</w:t>
      </w:r>
    </w:p>
    <w:p w14:paraId="6318D35A">
      <w:pPr>
        <w:snapToGrid w:val="0"/>
        <w:spacing w:line="560" w:lineRule="exact"/>
        <w:ind w:firstLine="480" w:firstLineChars="200"/>
        <w:rPr>
          <w:rFonts w:eastAsia="方正仿宋_GBK"/>
          <w:sz w:val="24"/>
          <w:szCs w:val="24"/>
        </w:rPr>
      </w:pPr>
      <w:r>
        <w:rPr>
          <w:rFonts w:eastAsia="方正仿宋_GBK"/>
          <w:sz w:val="24"/>
          <w:szCs w:val="24"/>
        </w:rPr>
        <w:t>联系人：陈阳</w:t>
      </w:r>
    </w:p>
    <w:p w14:paraId="185A13AA">
      <w:pPr>
        <w:snapToGrid w:val="0"/>
        <w:spacing w:line="560" w:lineRule="exact"/>
        <w:ind w:firstLine="480" w:firstLineChars="200"/>
        <w:rPr>
          <w:rFonts w:eastAsia="方正仿宋_GBK"/>
          <w:sz w:val="24"/>
          <w:szCs w:val="24"/>
        </w:rPr>
      </w:pPr>
      <w:r>
        <w:rPr>
          <w:rFonts w:eastAsia="方正仿宋_GBK"/>
          <w:sz w:val="24"/>
          <w:szCs w:val="24"/>
        </w:rPr>
        <w:t>电话：023-68600385</w:t>
      </w:r>
    </w:p>
    <w:p w14:paraId="0DA0A380">
      <w:pPr>
        <w:snapToGrid w:val="0"/>
        <w:spacing w:line="560" w:lineRule="exact"/>
        <w:ind w:firstLine="480" w:firstLineChars="200"/>
        <w:rPr>
          <w:rFonts w:eastAsia="方正仿宋_GBK"/>
          <w:sz w:val="24"/>
          <w:szCs w:val="24"/>
        </w:rPr>
      </w:pPr>
      <w:r>
        <w:rPr>
          <w:rFonts w:eastAsia="方正仿宋_GBK"/>
          <w:sz w:val="24"/>
          <w:szCs w:val="24"/>
        </w:rPr>
        <w:t>地址：重庆高新区高新大道6号</w:t>
      </w:r>
    </w:p>
    <w:p w14:paraId="4C5C40DB">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九、</w:t>
      </w:r>
      <w:r>
        <w:rPr>
          <w:rFonts w:hint="eastAsia" w:ascii="方正黑体_GBK" w:hAnsi="宋体" w:eastAsia="方正黑体_GBK" w:cs="宋体"/>
          <w:b w:val="0"/>
          <w:bCs/>
          <w:sz w:val="24"/>
          <w:szCs w:val="24"/>
          <w:lang w:eastAsia="zh-CN"/>
        </w:rPr>
        <w:t>其他</w:t>
      </w:r>
      <w:r>
        <w:rPr>
          <w:rFonts w:hint="eastAsia" w:ascii="方正黑体_GBK" w:hAnsi="宋体" w:eastAsia="方正黑体_GBK" w:cs="宋体"/>
          <w:b w:val="0"/>
          <w:bCs/>
          <w:sz w:val="24"/>
          <w:szCs w:val="24"/>
        </w:rPr>
        <w:t>有关规定</w:t>
      </w:r>
    </w:p>
    <w:p w14:paraId="17F06C8D">
      <w:pPr>
        <w:spacing w:line="560" w:lineRule="exact"/>
        <w:ind w:firstLine="480" w:firstLineChars="200"/>
        <w:rPr>
          <w:rFonts w:eastAsia="方正仿宋_GBK"/>
          <w:sz w:val="24"/>
          <w:szCs w:val="24"/>
        </w:rPr>
      </w:pPr>
      <w:r>
        <w:rPr>
          <w:rFonts w:hint="eastAsia" w:eastAsia="方正仿宋_GBK"/>
          <w:sz w:val="24"/>
          <w:szCs w:val="24"/>
        </w:rPr>
        <w:t>1、凡有意参加询比的供应商，请于公告发布之日起至报名截止时间之前，在行采家平台上下载查看本项目需求文件以及变更公告等询比前公布的所有项目资料，无论供应商下载查看与否，均视为已知晓所有询比实质性要求内容。</w:t>
      </w:r>
    </w:p>
    <w:p w14:paraId="353BAAB9">
      <w:pPr>
        <w:spacing w:line="560" w:lineRule="exact"/>
        <w:ind w:firstLine="480" w:firstLineChars="200"/>
        <w:rPr>
          <w:rFonts w:eastAsia="方正仿宋_GBK"/>
          <w:sz w:val="24"/>
          <w:szCs w:val="24"/>
        </w:rPr>
      </w:pPr>
      <w:r>
        <w:rPr>
          <w:rFonts w:hint="eastAsia" w:eastAsia="方正仿宋_GBK"/>
          <w:sz w:val="24"/>
          <w:szCs w:val="24"/>
        </w:rPr>
        <w:t>2、供应商须在平台上报名并按要求上传响应文件，未按要求提供的为无效供应商。</w:t>
      </w:r>
    </w:p>
    <w:p w14:paraId="3CACF18C">
      <w:pPr>
        <w:spacing w:line="560" w:lineRule="exact"/>
        <w:ind w:firstLine="480" w:firstLineChars="200"/>
        <w:rPr>
          <w:rFonts w:eastAsia="方正仿宋_GBK"/>
          <w:sz w:val="24"/>
          <w:szCs w:val="24"/>
        </w:rPr>
      </w:pPr>
      <w:r>
        <w:rPr>
          <w:rFonts w:hint="eastAsia" w:eastAsia="方正仿宋_GBK"/>
          <w:sz w:val="24"/>
          <w:szCs w:val="24"/>
        </w:rPr>
        <w:t>3、无论询比结果如何，供应商参与本项目的所有费用均由自行承担。</w:t>
      </w:r>
    </w:p>
    <w:p w14:paraId="79C63852">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十、评选方法</w:t>
      </w:r>
    </w:p>
    <w:p w14:paraId="37130043">
      <w:pPr>
        <w:spacing w:line="560" w:lineRule="exact"/>
        <w:ind w:firstLine="480" w:firstLineChars="200"/>
        <w:rPr>
          <w:rFonts w:hint="eastAsia" w:eastAsia="方正仿宋_GBK"/>
          <w:sz w:val="24"/>
          <w:szCs w:val="24"/>
        </w:rPr>
      </w:pPr>
      <w:r>
        <w:rPr>
          <w:rFonts w:hint="eastAsia" w:eastAsia="方正仿宋_GBK"/>
          <w:sz w:val="24"/>
          <w:szCs w:val="24"/>
        </w:rPr>
        <w:t>最综合评分法。满分100分，采购人对已入围评审的报名供应商的响应文件和报价进行评分，得分最高的供应商为成交供应商；未入围的报名供应商不参与评审。</w:t>
      </w:r>
    </w:p>
    <w:p w14:paraId="37580103">
      <w:pPr>
        <w:spacing w:line="560" w:lineRule="exact"/>
        <w:ind w:firstLine="480" w:firstLineChars="200"/>
        <w:rPr>
          <w:rFonts w:eastAsia="方正仿宋_GBK"/>
          <w:sz w:val="24"/>
          <w:szCs w:val="24"/>
        </w:rPr>
      </w:pPr>
      <w:r>
        <w:rPr>
          <w:rFonts w:hint="eastAsia" w:eastAsia="方正仿宋_GBK"/>
          <w:sz w:val="24"/>
          <w:szCs w:val="24"/>
        </w:rPr>
        <w:t>供应商若出现评分相同的情况，则报价低者中标。</w:t>
      </w:r>
    </w:p>
    <w:p w14:paraId="7FD2ADE8">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十一、其他</w:t>
      </w:r>
    </w:p>
    <w:p w14:paraId="2124F3C1">
      <w:pPr>
        <w:spacing w:line="560" w:lineRule="exact"/>
        <w:ind w:firstLine="480" w:firstLineChars="200"/>
        <w:rPr>
          <w:rFonts w:eastAsia="方正仿宋_GBK"/>
          <w:sz w:val="24"/>
          <w:szCs w:val="24"/>
        </w:rPr>
      </w:pPr>
      <w:r>
        <w:rPr>
          <w:rFonts w:hint="eastAsia" w:eastAsia="方正仿宋_GBK"/>
          <w:sz w:val="24"/>
          <w:szCs w:val="24"/>
        </w:rPr>
        <w:t>1、供应商必须对以上条款和服务承诺明确列出，承诺内容必须达到要求。</w:t>
      </w:r>
    </w:p>
    <w:p w14:paraId="045A9576">
      <w:pPr>
        <w:spacing w:line="560" w:lineRule="exact"/>
        <w:ind w:firstLine="480" w:firstLineChars="200"/>
        <w:rPr>
          <w:rFonts w:eastAsia="方正仿宋_GBK"/>
          <w:sz w:val="24"/>
          <w:szCs w:val="24"/>
        </w:rPr>
      </w:pPr>
      <w:r>
        <w:rPr>
          <w:rFonts w:hint="eastAsia" w:eastAsia="方正仿宋_GBK"/>
          <w:sz w:val="24"/>
          <w:szCs w:val="24"/>
        </w:rPr>
        <w:t>2、其他未尽事宜由供需双方在采购合同中详细约定。</w:t>
      </w:r>
    </w:p>
    <w:p w14:paraId="716E3322">
      <w:pPr>
        <w:spacing w:line="560" w:lineRule="exact"/>
        <w:ind w:firstLine="480" w:firstLineChars="200"/>
        <w:rPr>
          <w:rFonts w:hint="eastAsia" w:ascii="方正黑体_GBK" w:hAnsi="宋体" w:eastAsia="方正黑体_GBK" w:cs="宋体"/>
          <w:b w:val="0"/>
          <w:bCs/>
          <w:sz w:val="24"/>
          <w:szCs w:val="24"/>
        </w:rPr>
      </w:pPr>
      <w:r>
        <w:rPr>
          <w:rFonts w:hint="eastAsia" w:ascii="方正黑体_GBK" w:hAnsi="宋体" w:eastAsia="方正黑体_GBK" w:cs="宋体"/>
          <w:b w:val="0"/>
          <w:bCs/>
          <w:sz w:val="24"/>
          <w:szCs w:val="24"/>
        </w:rPr>
        <w:t>十二、供应商提交响应文件</w:t>
      </w:r>
    </w:p>
    <w:p w14:paraId="0D89C76F">
      <w:pPr>
        <w:spacing w:line="560" w:lineRule="exact"/>
        <w:ind w:firstLine="480" w:firstLineChars="200"/>
        <w:rPr>
          <w:rFonts w:eastAsia="方正仿宋_GBK"/>
          <w:sz w:val="24"/>
          <w:szCs w:val="24"/>
        </w:rPr>
      </w:pPr>
      <w:r>
        <w:rPr>
          <w:rFonts w:hint="eastAsia" w:eastAsia="方正仿宋_GBK"/>
          <w:sz w:val="24"/>
          <w:szCs w:val="24"/>
        </w:rPr>
        <w:t>1、供应商线上报名、报价时需上传盖章后的电子文档一份。</w:t>
      </w:r>
    </w:p>
    <w:p w14:paraId="404DFFF7">
      <w:pPr>
        <w:spacing w:line="560" w:lineRule="exact"/>
        <w:ind w:firstLine="480" w:firstLineChars="200"/>
        <w:rPr>
          <w:rFonts w:eastAsia="方正仿宋_GBK"/>
          <w:sz w:val="24"/>
          <w:szCs w:val="24"/>
        </w:rPr>
      </w:pPr>
      <w:r>
        <w:rPr>
          <w:rFonts w:hint="eastAsia" w:eastAsia="方正仿宋_GBK"/>
          <w:sz w:val="24"/>
          <w:szCs w:val="24"/>
        </w:rPr>
        <w:t>2、采购人将以平台的线上资料作为评判依据。</w:t>
      </w:r>
    </w:p>
    <w:p w14:paraId="158CE3EF">
      <w:pPr>
        <w:spacing w:line="560" w:lineRule="exact"/>
        <w:ind w:firstLine="480" w:firstLineChars="200"/>
        <w:rPr>
          <w:rFonts w:eastAsia="方正仿宋_GBK"/>
          <w:sz w:val="24"/>
          <w:szCs w:val="24"/>
        </w:rPr>
      </w:pPr>
      <w:r>
        <w:rPr>
          <w:rFonts w:hint="eastAsia" w:eastAsia="方正仿宋_GBK"/>
          <w:sz w:val="24"/>
          <w:szCs w:val="24"/>
        </w:rPr>
        <w:t>3、供应商制作的响应文件电子文档，须按照要求制作，规定签字、盖章的地方必须按其规定签字、盖章，未按要求制作响应文件的进行废标处理。</w:t>
      </w:r>
    </w:p>
    <w:p w14:paraId="04B6D646">
      <w:pPr>
        <w:spacing w:line="560" w:lineRule="exact"/>
        <w:ind w:firstLine="480" w:firstLineChars="200"/>
        <w:rPr>
          <w:rFonts w:hint="eastAsia" w:eastAsia="方正仿宋_GBK"/>
          <w:sz w:val="24"/>
          <w:szCs w:val="24"/>
        </w:rPr>
      </w:pPr>
      <w:r>
        <w:rPr>
          <w:rFonts w:eastAsia="方正仿宋_GBK"/>
          <w:sz w:val="24"/>
          <w:szCs w:val="24"/>
        </w:rPr>
        <w:t>4</w:t>
      </w:r>
      <w:r>
        <w:rPr>
          <w:rFonts w:hint="eastAsia" w:eastAsia="方正仿宋_GBK"/>
          <w:sz w:val="24"/>
          <w:szCs w:val="24"/>
        </w:rPr>
        <w:t>、供应商报价不得超过最高限价，否则作废标处理。</w:t>
      </w:r>
    </w:p>
    <w:p w14:paraId="6DE67C3C">
      <w:pPr>
        <w:rPr>
          <w:rFonts w:eastAsia="方正仿宋_GBK"/>
          <w:b/>
          <w:bCs/>
          <w:szCs w:val="28"/>
        </w:rPr>
      </w:pPr>
      <w:r>
        <w:rPr>
          <w:rFonts w:eastAsia="方正仿宋_GBK"/>
          <w:b/>
          <w:bCs/>
          <w:szCs w:val="28"/>
        </w:rPr>
        <w:br w:type="page"/>
      </w:r>
    </w:p>
    <w:p w14:paraId="3AB1DF38">
      <w:pPr>
        <w:jc w:val="left"/>
        <w:rPr>
          <w:rFonts w:eastAsia="方正仿宋_GBK"/>
          <w:b/>
          <w:bCs/>
          <w:szCs w:val="28"/>
        </w:rPr>
      </w:pPr>
      <w:r>
        <w:rPr>
          <w:rFonts w:eastAsia="方正仿宋_GBK"/>
          <w:b/>
          <w:bCs/>
          <w:szCs w:val="28"/>
        </w:rPr>
        <w:t>评审标准</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012"/>
        <w:gridCol w:w="1231"/>
        <w:gridCol w:w="3896"/>
        <w:gridCol w:w="3010"/>
      </w:tblGrid>
      <w:tr w14:paraId="4874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 w:type="pct"/>
            <w:noWrap w:val="0"/>
            <w:vAlign w:val="center"/>
          </w:tcPr>
          <w:p w14:paraId="0DE90E54">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hint="eastAsia" w:ascii="方正黑体_GBK" w:hAnsi="方正黑体_GBK" w:eastAsia="方正黑体_GBK" w:cs="方正黑体_GBK"/>
                <w:kern w:val="0"/>
                <w:sz w:val="21"/>
                <w:szCs w:val="21"/>
                <w:lang w:val="en-US" w:eastAsia="zh-CN" w:bidi="ar-SA"/>
              </w:rPr>
            </w:pPr>
            <w:r>
              <w:rPr>
                <w:rFonts w:hint="eastAsia" w:ascii="方正黑体_GBK" w:hAnsi="方正黑体_GBK" w:eastAsia="方正黑体_GBK" w:cs="方正黑体_GBK"/>
                <w:kern w:val="0"/>
                <w:sz w:val="21"/>
                <w:szCs w:val="21"/>
                <w:lang w:val="en-US" w:eastAsia="zh-CN" w:bidi="ar-SA"/>
              </w:rPr>
              <w:t>序号</w:t>
            </w:r>
          </w:p>
        </w:tc>
        <w:tc>
          <w:tcPr>
            <w:tcW w:w="525" w:type="pct"/>
            <w:noWrap w:val="0"/>
            <w:vAlign w:val="center"/>
          </w:tcPr>
          <w:p w14:paraId="4500942D">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jc w:val="center"/>
              <w:textAlignment w:val="auto"/>
              <w:rPr>
                <w:rFonts w:hint="eastAsia" w:ascii="方正黑体_GBK" w:hAnsi="方正黑体_GBK" w:eastAsia="方正黑体_GBK" w:cs="方正黑体_GBK"/>
                <w:kern w:val="0"/>
                <w:sz w:val="21"/>
                <w:szCs w:val="21"/>
                <w:lang w:val="en-US" w:eastAsia="zh-CN" w:bidi="ar-SA"/>
              </w:rPr>
            </w:pPr>
            <w:r>
              <w:rPr>
                <w:rFonts w:hint="eastAsia" w:ascii="方正黑体_GBK" w:hAnsi="方正黑体_GBK" w:eastAsia="方正黑体_GBK" w:cs="方正黑体_GBK"/>
                <w:kern w:val="0"/>
                <w:sz w:val="21"/>
                <w:szCs w:val="21"/>
                <w:lang w:val="en-US" w:eastAsia="zh-CN" w:bidi="ar-SA"/>
              </w:rPr>
              <w:t>评分因素及权值</w:t>
            </w:r>
          </w:p>
        </w:tc>
        <w:tc>
          <w:tcPr>
            <w:tcW w:w="639" w:type="pct"/>
            <w:noWrap w:val="0"/>
            <w:vAlign w:val="center"/>
          </w:tcPr>
          <w:p w14:paraId="1FA25182">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jc w:val="center"/>
              <w:textAlignment w:val="auto"/>
              <w:rPr>
                <w:rFonts w:hint="eastAsia" w:ascii="方正黑体_GBK" w:hAnsi="方正黑体_GBK" w:eastAsia="方正黑体_GBK" w:cs="方正黑体_GBK"/>
                <w:kern w:val="0"/>
                <w:sz w:val="21"/>
                <w:szCs w:val="21"/>
                <w:lang w:val="en-US" w:eastAsia="zh-CN" w:bidi="ar-SA"/>
              </w:rPr>
            </w:pPr>
            <w:r>
              <w:rPr>
                <w:rFonts w:hint="eastAsia" w:ascii="方正黑体_GBK" w:hAnsi="方正黑体_GBK" w:eastAsia="方正黑体_GBK" w:cs="方正黑体_GBK"/>
                <w:kern w:val="0"/>
                <w:sz w:val="21"/>
                <w:szCs w:val="21"/>
                <w:lang w:val="en-US" w:eastAsia="zh-CN" w:bidi="ar-SA"/>
              </w:rPr>
              <w:t>分值</w:t>
            </w:r>
          </w:p>
        </w:tc>
        <w:tc>
          <w:tcPr>
            <w:tcW w:w="2022" w:type="pct"/>
            <w:noWrap w:val="0"/>
            <w:vAlign w:val="center"/>
          </w:tcPr>
          <w:p w14:paraId="24DF78B4">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hint="eastAsia" w:ascii="方正黑体_GBK" w:hAnsi="方正黑体_GBK" w:eastAsia="方正黑体_GBK" w:cs="方正黑体_GBK"/>
                <w:kern w:val="0"/>
                <w:sz w:val="21"/>
                <w:szCs w:val="21"/>
                <w:lang w:val="en-US" w:eastAsia="zh-CN" w:bidi="ar-SA"/>
              </w:rPr>
            </w:pPr>
            <w:r>
              <w:rPr>
                <w:rFonts w:hint="eastAsia" w:ascii="方正黑体_GBK" w:hAnsi="方正黑体_GBK" w:eastAsia="方正黑体_GBK" w:cs="方正黑体_GBK"/>
                <w:kern w:val="0"/>
                <w:sz w:val="21"/>
                <w:szCs w:val="21"/>
                <w:lang w:val="en-US" w:eastAsia="zh-CN" w:bidi="ar-SA"/>
              </w:rPr>
              <w:t>评分标准</w:t>
            </w:r>
          </w:p>
        </w:tc>
        <w:tc>
          <w:tcPr>
            <w:tcW w:w="1562" w:type="pct"/>
            <w:noWrap w:val="0"/>
            <w:vAlign w:val="center"/>
          </w:tcPr>
          <w:p w14:paraId="61525C22">
            <w:pPr>
              <w:keepNext w:val="0"/>
              <w:keepLines w:val="0"/>
              <w:pageBreakBefore w:val="0"/>
              <w:widowControl w:val="0"/>
              <w:kinsoku/>
              <w:wordWrap w:val="0"/>
              <w:overflowPunct/>
              <w:topLinePunct w:val="0"/>
              <w:autoSpaceDE/>
              <w:autoSpaceDN/>
              <w:bidi w:val="0"/>
              <w:adjustRightInd w:val="0"/>
              <w:snapToGrid w:val="0"/>
              <w:spacing w:line="360" w:lineRule="exact"/>
              <w:ind w:firstLine="0"/>
              <w:jc w:val="center"/>
              <w:textAlignment w:val="auto"/>
              <w:rPr>
                <w:rFonts w:hint="eastAsia" w:ascii="方正黑体_GBK" w:hAnsi="方正黑体_GBK" w:eastAsia="方正黑体_GBK" w:cs="方正黑体_GBK"/>
                <w:kern w:val="0"/>
                <w:sz w:val="21"/>
                <w:szCs w:val="21"/>
                <w:lang w:val="en-US" w:eastAsia="zh-CN" w:bidi="ar-SA"/>
              </w:rPr>
            </w:pPr>
            <w:r>
              <w:rPr>
                <w:rFonts w:hint="eastAsia" w:ascii="方正黑体_GBK" w:hAnsi="方正黑体_GBK" w:eastAsia="方正黑体_GBK" w:cs="方正黑体_GBK"/>
                <w:kern w:val="0"/>
                <w:sz w:val="21"/>
                <w:szCs w:val="21"/>
                <w:lang w:val="en-US" w:eastAsia="zh-CN" w:bidi="ar-SA"/>
              </w:rPr>
              <w:t>说明</w:t>
            </w:r>
          </w:p>
        </w:tc>
      </w:tr>
      <w:tr w14:paraId="10B2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49" w:type="pct"/>
            <w:noWrap w:val="0"/>
            <w:vAlign w:val="center"/>
          </w:tcPr>
          <w:p w14:paraId="3E0971F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w:t>
            </w:r>
          </w:p>
        </w:tc>
        <w:tc>
          <w:tcPr>
            <w:tcW w:w="525" w:type="pct"/>
            <w:noWrap w:val="0"/>
            <w:vAlign w:val="center"/>
          </w:tcPr>
          <w:p w14:paraId="7F851005">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报价（20%）</w:t>
            </w:r>
          </w:p>
        </w:tc>
        <w:tc>
          <w:tcPr>
            <w:tcW w:w="639" w:type="pct"/>
            <w:noWrap w:val="0"/>
            <w:vAlign w:val="center"/>
          </w:tcPr>
          <w:p w14:paraId="114CF36B">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20分</w:t>
            </w:r>
          </w:p>
        </w:tc>
        <w:tc>
          <w:tcPr>
            <w:tcW w:w="2022" w:type="pct"/>
            <w:noWrap w:val="0"/>
            <w:vAlign w:val="center"/>
          </w:tcPr>
          <w:p w14:paraId="77A1A07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有效的报价中的最低价为评审基准价，其价格分得满分，其余供应商报价得分按照下列公式计算：</w:t>
            </w:r>
          </w:p>
          <w:p w14:paraId="3A4FABC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报价得分=（评审基准价/报价）×价格权重×100。</w:t>
            </w:r>
          </w:p>
        </w:tc>
        <w:tc>
          <w:tcPr>
            <w:tcW w:w="1562" w:type="pct"/>
            <w:noWrap w:val="0"/>
            <w:vAlign w:val="center"/>
          </w:tcPr>
          <w:p w14:paraId="15F7D868">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计算结果保留两位小数，第三位四舍五入。</w:t>
            </w:r>
          </w:p>
        </w:tc>
      </w:tr>
      <w:tr w14:paraId="1524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9" w:type="pct"/>
            <w:vMerge w:val="restart"/>
            <w:noWrap w:val="0"/>
            <w:vAlign w:val="center"/>
          </w:tcPr>
          <w:p w14:paraId="11303409">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p>
        </w:tc>
        <w:tc>
          <w:tcPr>
            <w:tcW w:w="525" w:type="pct"/>
            <w:vMerge w:val="restart"/>
            <w:noWrap w:val="0"/>
            <w:vAlign w:val="center"/>
          </w:tcPr>
          <w:p w14:paraId="5DC02594">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技术部分（45%）</w:t>
            </w:r>
          </w:p>
        </w:tc>
        <w:tc>
          <w:tcPr>
            <w:tcW w:w="639" w:type="pct"/>
            <w:tcBorders>
              <w:bottom w:val="single" w:color="auto" w:sz="4" w:space="0"/>
            </w:tcBorders>
            <w:noWrap w:val="0"/>
            <w:vAlign w:val="center"/>
          </w:tcPr>
          <w:p w14:paraId="7F4A6BC0">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对项目需求的理解（9分）</w:t>
            </w:r>
          </w:p>
        </w:tc>
        <w:tc>
          <w:tcPr>
            <w:tcW w:w="2022" w:type="pct"/>
            <w:tcBorders>
              <w:bottom w:val="single" w:color="auto" w:sz="4" w:space="0"/>
            </w:tcBorders>
            <w:noWrap w:val="0"/>
            <w:vAlign w:val="center"/>
          </w:tcPr>
          <w:p w14:paraId="30A9EA3C">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1.供应商对本项目需求的理解，包含不限于工作背景、目标要求、技术要求、成果要求等：</w:t>
            </w:r>
          </w:p>
          <w:p w14:paraId="5C3052D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内容完整且无瑕疵得9分；</w:t>
            </w:r>
          </w:p>
          <w:p w14:paraId="20158505">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内容存在1处瑕疵得7分；</w:t>
            </w:r>
          </w:p>
          <w:p w14:paraId="54A9FB7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内容存在2处瑕疵得5分；</w:t>
            </w:r>
          </w:p>
          <w:p w14:paraId="1311F3EC">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内容存在3处瑕疵得2分；</w:t>
            </w:r>
          </w:p>
          <w:p w14:paraId="43BC2B98">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内容存在4处及以上瑕疵的或未提供得0分。</w:t>
            </w:r>
          </w:p>
        </w:tc>
        <w:tc>
          <w:tcPr>
            <w:tcW w:w="1562" w:type="pct"/>
            <w:vMerge w:val="restart"/>
            <w:noWrap w:val="0"/>
            <w:vAlign w:val="center"/>
          </w:tcPr>
          <w:p w14:paraId="1F2D2CD4">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1.提供方案（格式自定）</w:t>
            </w:r>
          </w:p>
          <w:p w14:paraId="228A1295">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2.本项内容中所称的“瑕疵”指以下内容：</w:t>
            </w:r>
          </w:p>
          <w:p w14:paraId="1DB39253">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①方案缺项或内容表述不完整或缺少关键分析点；</w:t>
            </w:r>
          </w:p>
          <w:p w14:paraId="7B3D2512">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②方案不科学或不合理；</w:t>
            </w:r>
          </w:p>
          <w:p w14:paraId="3996ADC0">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③内容表述前后矛盾、无连贯性、内容存在逻辑漏洞；</w:t>
            </w:r>
          </w:p>
          <w:p w14:paraId="3E002D1C">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④常识性错误；</w:t>
            </w:r>
          </w:p>
          <w:p w14:paraId="18072EAA">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⑤技术措施保障安排并不适用本项目特性或非专门针对本项目制定；</w:t>
            </w:r>
          </w:p>
          <w:p w14:paraId="1B65B785">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⑥方案中提出的措施举措不利于本项目目标的实现；</w:t>
            </w:r>
          </w:p>
          <w:p w14:paraId="79110938">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⑦现有技术条件下不可能实现采购目标；</w:t>
            </w:r>
          </w:p>
          <w:p w14:paraId="07FEAB23">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上述任意一种情形为1处缺陷。</w:t>
            </w:r>
          </w:p>
        </w:tc>
      </w:tr>
      <w:tr w14:paraId="15DBB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49" w:type="pct"/>
            <w:vMerge w:val="continue"/>
            <w:noWrap w:val="0"/>
            <w:vAlign w:val="center"/>
          </w:tcPr>
          <w:p w14:paraId="02A88C1C">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noWrap w:val="0"/>
            <w:vAlign w:val="center"/>
          </w:tcPr>
          <w:p w14:paraId="3C3704D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tcBorders>
              <w:bottom w:val="single" w:color="auto" w:sz="4" w:space="0"/>
            </w:tcBorders>
            <w:noWrap w:val="0"/>
            <w:vAlign w:val="center"/>
          </w:tcPr>
          <w:p w14:paraId="101A9935">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组织及工作计划（9分）</w:t>
            </w:r>
          </w:p>
        </w:tc>
        <w:tc>
          <w:tcPr>
            <w:tcW w:w="2022" w:type="pct"/>
            <w:tcBorders>
              <w:bottom w:val="single" w:color="auto" w:sz="4" w:space="0"/>
            </w:tcBorders>
            <w:noWrap w:val="0"/>
            <w:vAlign w:val="center"/>
          </w:tcPr>
          <w:p w14:paraId="0075110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2.供应商针对本项目提供完善的组织及工作计划，包括但不限于项目实施方案、具体工作计划：</w:t>
            </w:r>
          </w:p>
          <w:p w14:paraId="5A970EA3">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内容完整且无瑕疵得9分；</w:t>
            </w:r>
          </w:p>
          <w:p w14:paraId="675964E3">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内容存在1处瑕疵得7分；</w:t>
            </w:r>
          </w:p>
          <w:p w14:paraId="136CAD7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内容存在2处瑕疵得5分；</w:t>
            </w:r>
          </w:p>
          <w:p w14:paraId="345C6A6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内容存在3处瑕疵得2分；</w:t>
            </w:r>
          </w:p>
          <w:p w14:paraId="42C0A6F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内容存在4处及以上瑕疵的或未提供得0分。</w:t>
            </w:r>
          </w:p>
        </w:tc>
        <w:tc>
          <w:tcPr>
            <w:tcW w:w="1562" w:type="pct"/>
            <w:vMerge w:val="continue"/>
            <w:noWrap w:val="0"/>
            <w:vAlign w:val="center"/>
          </w:tcPr>
          <w:p w14:paraId="2B1D5EA9">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r w14:paraId="7861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49" w:type="pct"/>
            <w:vMerge w:val="continue"/>
            <w:noWrap w:val="0"/>
            <w:vAlign w:val="center"/>
          </w:tcPr>
          <w:p w14:paraId="76364FFC">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noWrap w:val="0"/>
            <w:vAlign w:val="center"/>
          </w:tcPr>
          <w:p w14:paraId="74E67E61">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tcBorders>
              <w:bottom w:val="single" w:color="auto" w:sz="4" w:space="0"/>
            </w:tcBorders>
            <w:noWrap w:val="0"/>
            <w:vAlign w:val="center"/>
          </w:tcPr>
          <w:p w14:paraId="302174DE">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总体技术路线与要求（9分）</w:t>
            </w:r>
          </w:p>
        </w:tc>
        <w:tc>
          <w:tcPr>
            <w:tcW w:w="2022" w:type="pct"/>
            <w:tcBorders>
              <w:bottom w:val="single" w:color="auto" w:sz="4" w:space="0"/>
            </w:tcBorders>
            <w:noWrap w:val="0"/>
            <w:vAlign w:val="center"/>
          </w:tcPr>
          <w:p w14:paraId="5149CC7F">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3.供应商提供对本项目的总体技术路线和关键性技术问题的技术路线。内容包括但不限于：服务内容、技术要求、技术流程、成果形式等：</w:t>
            </w:r>
          </w:p>
          <w:p w14:paraId="09006DCB">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内容完整且无瑕疵得9分；</w:t>
            </w:r>
          </w:p>
          <w:p w14:paraId="65FF1FE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内容存在1处瑕疵得7分；</w:t>
            </w:r>
          </w:p>
          <w:p w14:paraId="3268EF3F">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内容存在2处瑕疵得5分；</w:t>
            </w:r>
          </w:p>
          <w:p w14:paraId="19CEB10A">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内容存在3处瑕疵得2分；</w:t>
            </w:r>
          </w:p>
          <w:p w14:paraId="1626DB3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内容存在4处及以上瑕疵的或未提供得0分。</w:t>
            </w:r>
            <w:bookmarkStart w:id="10" w:name="_GoBack"/>
            <w:bookmarkEnd w:id="10"/>
          </w:p>
        </w:tc>
        <w:tc>
          <w:tcPr>
            <w:tcW w:w="1562" w:type="pct"/>
            <w:vMerge w:val="continue"/>
            <w:noWrap w:val="0"/>
            <w:vAlign w:val="center"/>
          </w:tcPr>
          <w:p w14:paraId="15A9CCC5">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r w14:paraId="77B9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9" w:type="pct"/>
            <w:vMerge w:val="continue"/>
            <w:noWrap w:val="0"/>
            <w:vAlign w:val="center"/>
          </w:tcPr>
          <w:p w14:paraId="20355216">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noWrap w:val="0"/>
            <w:vAlign w:val="center"/>
          </w:tcPr>
          <w:p w14:paraId="7AE9EA0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tcBorders>
              <w:bottom w:val="single" w:color="auto" w:sz="4" w:space="0"/>
            </w:tcBorders>
            <w:noWrap w:val="0"/>
            <w:vAlign w:val="center"/>
          </w:tcPr>
          <w:p w14:paraId="315E9808">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进度、质量保障措施（9分）</w:t>
            </w:r>
          </w:p>
        </w:tc>
        <w:tc>
          <w:tcPr>
            <w:tcW w:w="2022" w:type="pct"/>
            <w:tcBorders>
              <w:bottom w:val="single" w:color="auto" w:sz="4" w:space="0"/>
            </w:tcBorders>
            <w:noWrap w:val="0"/>
            <w:vAlign w:val="center"/>
          </w:tcPr>
          <w:p w14:paraId="68607FE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4.供应商针对本项目提供完善的进度、质量保证措施，包括但不限于进度计划、进度保障措施、质量保证计划及措施：</w:t>
            </w:r>
          </w:p>
          <w:p w14:paraId="5282AB8C">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内容完整且无瑕疵得9分；</w:t>
            </w:r>
          </w:p>
          <w:p w14:paraId="5C225513">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内容存在1处瑕疵得7分；</w:t>
            </w:r>
          </w:p>
          <w:p w14:paraId="7B9D059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内容存在2处瑕疵得5分；</w:t>
            </w:r>
          </w:p>
          <w:p w14:paraId="6B18FF6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内容存在3处瑕疵得2分；</w:t>
            </w:r>
          </w:p>
          <w:p w14:paraId="25A2021F">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内容存在4处及以上瑕疵的或未提供得0分。</w:t>
            </w:r>
          </w:p>
        </w:tc>
        <w:tc>
          <w:tcPr>
            <w:tcW w:w="1562" w:type="pct"/>
            <w:vMerge w:val="continue"/>
            <w:noWrap w:val="0"/>
            <w:vAlign w:val="center"/>
          </w:tcPr>
          <w:p w14:paraId="72725174">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r w14:paraId="5386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49" w:type="pct"/>
            <w:vMerge w:val="continue"/>
            <w:noWrap w:val="0"/>
            <w:vAlign w:val="center"/>
          </w:tcPr>
          <w:p w14:paraId="09128D6B">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noWrap w:val="0"/>
            <w:vAlign w:val="center"/>
          </w:tcPr>
          <w:p w14:paraId="575EDF69">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tcBorders>
              <w:bottom w:val="single" w:color="auto" w:sz="4" w:space="0"/>
            </w:tcBorders>
            <w:noWrap w:val="0"/>
            <w:vAlign w:val="center"/>
          </w:tcPr>
          <w:p w14:paraId="7FD96359">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项目安全保密措施（9分）</w:t>
            </w:r>
          </w:p>
        </w:tc>
        <w:tc>
          <w:tcPr>
            <w:tcW w:w="2022" w:type="pct"/>
            <w:tcBorders>
              <w:bottom w:val="single" w:color="auto" w:sz="4" w:space="0"/>
            </w:tcBorders>
            <w:noWrap w:val="0"/>
            <w:vAlign w:val="center"/>
          </w:tcPr>
          <w:p w14:paraId="6F3293F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5.供应商针对本项目提供完善的项目安全、保密措施方案：</w:t>
            </w:r>
          </w:p>
          <w:p w14:paraId="68B1010C">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内容完整且无瑕疵得9分；</w:t>
            </w:r>
          </w:p>
          <w:p w14:paraId="10B08E25">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内容存在1处瑕疵得7分；</w:t>
            </w:r>
          </w:p>
          <w:p w14:paraId="6CAF162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内容存在2处瑕疵得5分；</w:t>
            </w:r>
          </w:p>
          <w:p w14:paraId="45312D6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内容存在3处瑕疵得2分；</w:t>
            </w:r>
          </w:p>
          <w:p w14:paraId="11EEF86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内容存在4处及以上瑕疵的或未提供得0分。</w:t>
            </w:r>
          </w:p>
        </w:tc>
        <w:tc>
          <w:tcPr>
            <w:tcW w:w="1562" w:type="pct"/>
            <w:vMerge w:val="continue"/>
            <w:noWrap w:val="0"/>
            <w:vAlign w:val="center"/>
          </w:tcPr>
          <w:p w14:paraId="501D3A1A">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r w14:paraId="07C7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49" w:type="pct"/>
            <w:vMerge w:val="restart"/>
            <w:tcBorders>
              <w:top w:val="single" w:color="auto" w:sz="4" w:space="0"/>
              <w:left w:val="single" w:color="auto" w:sz="4" w:space="0"/>
              <w:right w:val="single" w:color="auto" w:sz="4" w:space="0"/>
            </w:tcBorders>
            <w:noWrap w:val="0"/>
            <w:vAlign w:val="center"/>
          </w:tcPr>
          <w:p w14:paraId="1D4E782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3</w:t>
            </w:r>
          </w:p>
          <w:p w14:paraId="7190C452">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restart"/>
            <w:tcBorders>
              <w:top w:val="single" w:color="auto" w:sz="4" w:space="0"/>
              <w:left w:val="single" w:color="auto" w:sz="4" w:space="0"/>
              <w:right w:val="single" w:color="auto" w:sz="4" w:space="0"/>
            </w:tcBorders>
            <w:noWrap w:val="0"/>
            <w:vAlign w:val="center"/>
          </w:tcPr>
          <w:p w14:paraId="695B6C7D">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商务部分（35%）</w:t>
            </w:r>
          </w:p>
        </w:tc>
        <w:tc>
          <w:tcPr>
            <w:tcW w:w="639" w:type="pct"/>
            <w:tcBorders>
              <w:top w:val="single" w:color="auto" w:sz="4" w:space="0"/>
              <w:left w:val="single" w:color="auto" w:sz="4" w:space="0"/>
              <w:right w:val="single" w:color="auto" w:sz="4" w:space="0"/>
            </w:tcBorders>
            <w:noWrap w:val="0"/>
            <w:vAlign w:val="center"/>
          </w:tcPr>
          <w:p w14:paraId="7D63AFA8">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业绩</w:t>
            </w:r>
          </w:p>
          <w:p w14:paraId="7157D6F5">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（15分）</w:t>
            </w:r>
          </w:p>
        </w:tc>
        <w:tc>
          <w:tcPr>
            <w:tcW w:w="2022" w:type="pct"/>
            <w:tcBorders>
              <w:top w:val="single" w:color="auto" w:sz="4" w:space="0"/>
              <w:left w:val="single" w:color="auto" w:sz="4" w:space="0"/>
              <w:bottom w:val="single" w:color="auto" w:sz="4" w:space="0"/>
              <w:right w:val="single" w:color="auto" w:sz="4" w:space="0"/>
            </w:tcBorders>
            <w:noWrap w:val="0"/>
            <w:vAlign w:val="center"/>
          </w:tcPr>
          <w:p w14:paraId="3FF4CB6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highlight w:val="none"/>
                <w:lang w:val="en-US" w:eastAsia="zh-CN" w:bidi="ar-SA"/>
              </w:rPr>
            </w:pPr>
            <w:r>
              <w:rPr>
                <w:rFonts w:hint="eastAsia" w:ascii="Times New Roman" w:hAnsi="Times New Roman" w:eastAsia="方正仿宋_GBK" w:cs="Times New Roman"/>
                <w:kern w:val="0"/>
                <w:sz w:val="21"/>
                <w:szCs w:val="21"/>
                <w:highlight w:val="none"/>
                <w:lang w:val="en-US" w:eastAsia="zh-CN" w:bidi="ar-SA"/>
              </w:rPr>
              <w:t>供应商2020年1月1日至报价截止时间，承接过林业规划类项目的，每提供1个项目业绩得</w:t>
            </w:r>
            <w:r>
              <w:rPr>
                <w:rFonts w:hint="eastAsia" w:eastAsia="方正仿宋_GBK" w:cs="Times New Roman"/>
                <w:kern w:val="0"/>
                <w:sz w:val="21"/>
                <w:szCs w:val="21"/>
                <w:highlight w:val="none"/>
                <w:lang w:val="en-US" w:eastAsia="zh-CN" w:bidi="ar-SA"/>
              </w:rPr>
              <w:t>2</w:t>
            </w:r>
            <w:r>
              <w:rPr>
                <w:rFonts w:hint="eastAsia" w:ascii="Times New Roman" w:hAnsi="Times New Roman" w:eastAsia="方正仿宋_GBK" w:cs="Times New Roman"/>
                <w:kern w:val="0"/>
                <w:sz w:val="21"/>
                <w:szCs w:val="21"/>
                <w:highlight w:val="none"/>
                <w:lang w:val="en-US" w:eastAsia="zh-CN" w:bidi="ar-SA"/>
              </w:rPr>
              <w:t>分，最多得15分。</w:t>
            </w:r>
          </w:p>
        </w:tc>
        <w:tc>
          <w:tcPr>
            <w:tcW w:w="1562" w:type="pct"/>
            <w:tcBorders>
              <w:top w:val="single" w:color="auto" w:sz="4" w:space="0"/>
              <w:left w:val="single" w:color="auto" w:sz="4" w:space="0"/>
              <w:right w:val="single" w:color="auto" w:sz="4" w:space="0"/>
            </w:tcBorders>
            <w:noWrap w:val="0"/>
            <w:vAlign w:val="center"/>
          </w:tcPr>
          <w:p w14:paraId="3F8CEE8B">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提供业绩合同复印件并加盖供应商公章，合同时间以签订时间为准。</w:t>
            </w:r>
          </w:p>
        </w:tc>
      </w:tr>
      <w:tr w14:paraId="3391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49" w:type="pct"/>
            <w:vMerge w:val="continue"/>
            <w:tcBorders>
              <w:left w:val="single" w:color="auto" w:sz="4" w:space="0"/>
              <w:right w:val="single" w:color="auto" w:sz="4" w:space="0"/>
            </w:tcBorders>
            <w:noWrap w:val="0"/>
            <w:vAlign w:val="center"/>
          </w:tcPr>
          <w:p w14:paraId="1A2B182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tcBorders>
              <w:left w:val="single" w:color="auto" w:sz="4" w:space="0"/>
              <w:right w:val="single" w:color="auto" w:sz="4" w:space="0"/>
            </w:tcBorders>
            <w:noWrap w:val="0"/>
            <w:vAlign w:val="center"/>
          </w:tcPr>
          <w:p w14:paraId="2ACF3764">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vMerge w:val="restart"/>
            <w:tcBorders>
              <w:top w:val="single" w:color="auto" w:sz="4" w:space="0"/>
              <w:left w:val="single" w:color="auto" w:sz="4" w:space="0"/>
              <w:right w:val="single" w:color="auto" w:sz="4" w:space="0"/>
            </w:tcBorders>
            <w:noWrap w:val="0"/>
            <w:vAlign w:val="center"/>
          </w:tcPr>
          <w:p w14:paraId="7FAA0F74">
            <w:pPr>
              <w:keepNext w:val="0"/>
              <w:keepLines w:val="0"/>
              <w:pageBreakBefore w:val="0"/>
              <w:widowControl w:val="0"/>
              <w:kinsoku/>
              <w:wordWrap w:val="0"/>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项目团队20分</w:t>
            </w:r>
          </w:p>
        </w:tc>
        <w:tc>
          <w:tcPr>
            <w:tcW w:w="2022" w:type="pct"/>
            <w:tcBorders>
              <w:top w:val="single" w:color="auto" w:sz="4" w:space="0"/>
              <w:left w:val="single" w:color="auto" w:sz="4" w:space="0"/>
              <w:bottom w:val="single" w:color="auto" w:sz="4" w:space="0"/>
              <w:right w:val="single" w:color="auto" w:sz="4" w:space="0"/>
            </w:tcBorders>
            <w:noWrap w:val="0"/>
            <w:vAlign w:val="center"/>
          </w:tcPr>
          <w:p w14:paraId="1F262427">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default"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1.供应商拟投入本项目的项目负责人具备林业类</w:t>
            </w:r>
            <w:r>
              <w:rPr>
                <w:rFonts w:hint="eastAsia" w:eastAsia="方正仿宋_GBK" w:cs="Times New Roman"/>
                <w:kern w:val="0"/>
                <w:sz w:val="21"/>
                <w:szCs w:val="21"/>
                <w:lang w:val="en-US" w:eastAsia="zh-CN" w:bidi="ar-SA"/>
              </w:rPr>
              <w:t>正</w:t>
            </w:r>
            <w:r>
              <w:rPr>
                <w:rFonts w:hint="eastAsia" w:ascii="Times New Roman" w:hAnsi="Times New Roman" w:eastAsia="方正仿宋_GBK" w:cs="Times New Roman"/>
                <w:kern w:val="0"/>
                <w:sz w:val="21"/>
                <w:szCs w:val="21"/>
                <w:lang w:val="en-US" w:eastAsia="zh-CN" w:bidi="ar-SA"/>
              </w:rPr>
              <w:t>高级技术职称的，得</w:t>
            </w:r>
            <w:r>
              <w:rPr>
                <w:rFonts w:hint="eastAsia" w:eastAsia="方正仿宋_GBK" w:cs="Times New Roman"/>
                <w:kern w:val="0"/>
                <w:sz w:val="21"/>
                <w:szCs w:val="21"/>
                <w:lang w:val="en-US" w:eastAsia="zh-CN" w:bidi="ar-SA"/>
              </w:rPr>
              <w:t>3</w:t>
            </w:r>
            <w:r>
              <w:rPr>
                <w:rFonts w:hint="eastAsia" w:ascii="Times New Roman" w:hAnsi="Times New Roman" w:eastAsia="方正仿宋_GBK" w:cs="Times New Roman"/>
                <w:kern w:val="0"/>
                <w:sz w:val="21"/>
                <w:szCs w:val="21"/>
                <w:lang w:val="en-US" w:eastAsia="zh-CN" w:bidi="ar-SA"/>
              </w:rPr>
              <w:t>分；林业类</w:t>
            </w:r>
            <w:r>
              <w:rPr>
                <w:rFonts w:hint="eastAsia" w:eastAsia="方正仿宋_GBK" w:cs="Times New Roman"/>
                <w:kern w:val="0"/>
                <w:sz w:val="21"/>
                <w:szCs w:val="21"/>
                <w:lang w:val="en-US" w:eastAsia="zh-CN" w:bidi="ar-SA"/>
              </w:rPr>
              <w:t>高级</w:t>
            </w:r>
            <w:r>
              <w:rPr>
                <w:rFonts w:hint="eastAsia" w:ascii="Times New Roman" w:hAnsi="Times New Roman" w:eastAsia="方正仿宋_GBK" w:cs="Times New Roman"/>
                <w:kern w:val="0"/>
                <w:sz w:val="21"/>
                <w:szCs w:val="21"/>
                <w:lang w:val="en-US" w:eastAsia="zh-CN" w:bidi="ar-SA"/>
              </w:rPr>
              <w:t>技术职称的，得</w:t>
            </w:r>
            <w:r>
              <w:rPr>
                <w:rFonts w:hint="eastAsia" w:eastAsia="方正仿宋_GBK" w:cs="Times New Roman"/>
                <w:kern w:val="0"/>
                <w:sz w:val="21"/>
                <w:szCs w:val="21"/>
                <w:lang w:val="en-US" w:eastAsia="zh-CN" w:bidi="ar-SA"/>
              </w:rPr>
              <w:t>2</w:t>
            </w:r>
            <w:r>
              <w:rPr>
                <w:rFonts w:hint="eastAsia" w:ascii="Times New Roman" w:hAnsi="Times New Roman" w:eastAsia="方正仿宋_GBK" w:cs="Times New Roman"/>
                <w:kern w:val="0"/>
                <w:sz w:val="21"/>
                <w:szCs w:val="21"/>
                <w:lang w:val="en-US" w:eastAsia="zh-CN" w:bidi="ar-SA"/>
              </w:rPr>
              <w:t>分</w:t>
            </w:r>
            <w:r>
              <w:rPr>
                <w:rFonts w:hint="eastAsia" w:eastAsia="方正仿宋_GBK" w:cs="Times New Roman"/>
                <w:kern w:val="0"/>
                <w:sz w:val="21"/>
                <w:szCs w:val="21"/>
                <w:lang w:val="en-US" w:eastAsia="zh-CN" w:bidi="ar-SA"/>
              </w:rPr>
              <w:t>；</w:t>
            </w:r>
            <w:r>
              <w:rPr>
                <w:rFonts w:hint="eastAsia" w:ascii="Times New Roman" w:hAnsi="Times New Roman" w:eastAsia="方正仿宋_GBK" w:cs="Times New Roman"/>
                <w:kern w:val="0"/>
                <w:sz w:val="21"/>
                <w:szCs w:val="21"/>
                <w:lang w:val="en-US" w:eastAsia="zh-CN" w:bidi="ar-SA"/>
              </w:rPr>
              <w:t>林业类</w:t>
            </w:r>
            <w:r>
              <w:rPr>
                <w:rFonts w:hint="eastAsia" w:eastAsia="方正仿宋_GBK" w:cs="Times New Roman"/>
                <w:kern w:val="0"/>
                <w:sz w:val="21"/>
                <w:szCs w:val="21"/>
                <w:lang w:val="en-US" w:eastAsia="zh-CN" w:bidi="ar-SA"/>
              </w:rPr>
              <w:t>中级</w:t>
            </w:r>
            <w:r>
              <w:rPr>
                <w:rFonts w:hint="eastAsia" w:ascii="Times New Roman" w:hAnsi="Times New Roman" w:eastAsia="方正仿宋_GBK" w:cs="Times New Roman"/>
                <w:kern w:val="0"/>
                <w:sz w:val="21"/>
                <w:szCs w:val="21"/>
                <w:lang w:val="en-US" w:eastAsia="zh-CN" w:bidi="ar-SA"/>
              </w:rPr>
              <w:t>技术职称的，得</w:t>
            </w:r>
            <w:r>
              <w:rPr>
                <w:rFonts w:hint="eastAsia" w:eastAsia="方正仿宋_GBK" w:cs="Times New Roman"/>
                <w:kern w:val="0"/>
                <w:sz w:val="21"/>
                <w:szCs w:val="21"/>
                <w:lang w:val="en-US" w:eastAsia="zh-CN" w:bidi="ar-SA"/>
              </w:rPr>
              <w:t>1</w:t>
            </w:r>
            <w:r>
              <w:rPr>
                <w:rFonts w:hint="eastAsia" w:ascii="Times New Roman" w:hAnsi="Times New Roman" w:eastAsia="方正仿宋_GBK" w:cs="Times New Roman"/>
                <w:kern w:val="0"/>
                <w:sz w:val="21"/>
                <w:szCs w:val="21"/>
                <w:lang w:val="en-US" w:eastAsia="zh-CN" w:bidi="ar-SA"/>
              </w:rPr>
              <w:t>分</w:t>
            </w:r>
            <w:r>
              <w:rPr>
                <w:rFonts w:hint="eastAsia" w:eastAsia="方正仿宋_GBK" w:cs="Times New Roman"/>
                <w:kern w:val="0"/>
                <w:sz w:val="21"/>
                <w:szCs w:val="21"/>
                <w:lang w:val="en-US" w:eastAsia="zh-CN" w:bidi="ar-SA"/>
              </w:rPr>
              <w:t>；其他不得分</w:t>
            </w:r>
            <w:r>
              <w:rPr>
                <w:rFonts w:hint="eastAsia" w:ascii="Times New Roman" w:hAnsi="Times New Roman" w:eastAsia="方正仿宋_GBK" w:cs="Times New Roman"/>
                <w:kern w:val="0"/>
                <w:sz w:val="21"/>
                <w:szCs w:val="21"/>
                <w:lang w:val="en-US" w:eastAsia="zh-CN" w:bidi="ar-SA"/>
              </w:rPr>
              <w:t>。</w:t>
            </w:r>
          </w:p>
        </w:tc>
        <w:tc>
          <w:tcPr>
            <w:tcW w:w="1562" w:type="pct"/>
            <w:vMerge w:val="restart"/>
            <w:tcBorders>
              <w:top w:val="single" w:color="auto" w:sz="4" w:space="0"/>
              <w:left w:val="single" w:color="auto" w:sz="4" w:space="0"/>
              <w:right w:val="single" w:color="auto" w:sz="4" w:space="0"/>
            </w:tcBorders>
            <w:noWrap w:val="0"/>
            <w:vAlign w:val="center"/>
          </w:tcPr>
          <w:p w14:paraId="69A46C5F">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供应商须在响应文件中提供拟投入本项目人员的相关证书复印件，</w:t>
            </w:r>
            <w:r>
              <w:rPr>
                <w:rFonts w:hint="eastAsia" w:eastAsia="方正仿宋_GBK" w:cs="Times New Roman"/>
                <w:kern w:val="0"/>
                <w:sz w:val="21"/>
                <w:szCs w:val="21"/>
                <w:lang w:val="en-US" w:eastAsia="zh-CN" w:bidi="ar-SA"/>
              </w:rPr>
              <w:t>提供人员任一一月社保缴纳记录，上述资料</w:t>
            </w:r>
            <w:r>
              <w:rPr>
                <w:rFonts w:hint="eastAsia" w:ascii="Times New Roman" w:hAnsi="Times New Roman" w:eastAsia="方正仿宋_GBK" w:cs="Times New Roman"/>
                <w:kern w:val="0"/>
                <w:sz w:val="21"/>
                <w:szCs w:val="21"/>
                <w:lang w:val="en-US" w:eastAsia="zh-CN" w:bidi="ar-SA"/>
              </w:rPr>
              <w:t>加盖供应商公章。</w:t>
            </w:r>
          </w:p>
          <w:p w14:paraId="7B0FDEB9">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说明：1.项目负责人与技术负责人</w:t>
            </w:r>
            <w:r>
              <w:rPr>
                <w:rFonts w:hint="eastAsia" w:eastAsia="方正仿宋_GBK" w:cs="Times New Roman"/>
                <w:kern w:val="0"/>
                <w:sz w:val="21"/>
                <w:szCs w:val="21"/>
                <w:lang w:val="en-US" w:eastAsia="zh-CN" w:bidi="ar-SA"/>
              </w:rPr>
              <w:t>分别有且只有一人，且</w:t>
            </w:r>
            <w:r>
              <w:rPr>
                <w:rFonts w:hint="eastAsia" w:ascii="Times New Roman" w:hAnsi="Times New Roman" w:eastAsia="方正仿宋_GBK" w:cs="Times New Roman"/>
                <w:kern w:val="0"/>
                <w:sz w:val="21"/>
                <w:szCs w:val="21"/>
                <w:lang w:val="en-US" w:eastAsia="zh-CN" w:bidi="ar-SA"/>
              </w:rPr>
              <w:t>不能是同一人；</w:t>
            </w:r>
          </w:p>
          <w:p w14:paraId="5B14E78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w:t>
            </w:r>
            <w:r>
              <w:rPr>
                <w:rFonts w:hint="eastAsia" w:eastAsia="方正仿宋_GBK" w:cs="Times New Roman"/>
                <w:kern w:val="0"/>
                <w:sz w:val="21"/>
                <w:szCs w:val="21"/>
                <w:lang w:val="en-US" w:eastAsia="zh-CN" w:bidi="ar-SA"/>
              </w:rPr>
              <w:t>同一人员不重复计分</w:t>
            </w:r>
            <w:r>
              <w:rPr>
                <w:rFonts w:hint="eastAsia" w:ascii="Times New Roman" w:hAnsi="Times New Roman" w:eastAsia="方正仿宋_GBK" w:cs="Times New Roman"/>
                <w:kern w:val="0"/>
                <w:sz w:val="21"/>
                <w:szCs w:val="21"/>
                <w:lang w:val="en-US" w:eastAsia="zh-CN" w:bidi="ar-SA"/>
              </w:rPr>
              <w:t>。</w:t>
            </w:r>
          </w:p>
          <w:p w14:paraId="53DD0AAF">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r w14:paraId="7921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9" w:type="pct"/>
            <w:vMerge w:val="continue"/>
            <w:tcBorders>
              <w:left w:val="single" w:color="auto" w:sz="4" w:space="0"/>
              <w:right w:val="single" w:color="auto" w:sz="4" w:space="0"/>
            </w:tcBorders>
            <w:noWrap w:val="0"/>
            <w:vAlign w:val="center"/>
          </w:tcPr>
          <w:p w14:paraId="3D983A2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tcBorders>
              <w:left w:val="single" w:color="auto" w:sz="4" w:space="0"/>
              <w:right w:val="single" w:color="auto" w:sz="4" w:space="0"/>
            </w:tcBorders>
            <w:noWrap w:val="0"/>
            <w:vAlign w:val="center"/>
          </w:tcPr>
          <w:p w14:paraId="7CF65DE4">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vMerge w:val="continue"/>
            <w:tcBorders>
              <w:left w:val="single" w:color="auto" w:sz="4" w:space="0"/>
              <w:right w:val="single" w:color="auto" w:sz="4" w:space="0"/>
            </w:tcBorders>
            <w:noWrap w:val="0"/>
            <w:vAlign w:val="center"/>
          </w:tcPr>
          <w:p w14:paraId="6CEE7A2D">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2022" w:type="pct"/>
            <w:tcBorders>
              <w:top w:val="single" w:color="auto" w:sz="4" w:space="0"/>
              <w:left w:val="single" w:color="auto" w:sz="4" w:space="0"/>
              <w:bottom w:val="single" w:color="auto" w:sz="4" w:space="0"/>
              <w:right w:val="single" w:color="auto" w:sz="4" w:space="0"/>
            </w:tcBorders>
            <w:noWrap w:val="0"/>
            <w:vAlign w:val="center"/>
          </w:tcPr>
          <w:p w14:paraId="57A7F571">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r>
              <w:rPr>
                <w:rFonts w:hint="eastAsia" w:ascii="Times New Roman" w:hAnsi="Times New Roman" w:eastAsia="方正仿宋_GBK" w:cs="Times New Roman"/>
                <w:kern w:val="0"/>
                <w:sz w:val="21"/>
                <w:szCs w:val="21"/>
                <w:lang w:val="en-US" w:eastAsia="zh-CN" w:bidi="ar-SA"/>
              </w:rPr>
              <w:t>2.供应商拟投入本项目的技术负责人具备林业类</w:t>
            </w:r>
            <w:r>
              <w:rPr>
                <w:rFonts w:hint="eastAsia" w:eastAsia="方正仿宋_GBK" w:cs="Times New Roman"/>
                <w:kern w:val="0"/>
                <w:sz w:val="21"/>
                <w:szCs w:val="21"/>
                <w:lang w:val="en-US" w:eastAsia="zh-CN" w:bidi="ar-SA"/>
              </w:rPr>
              <w:t>正</w:t>
            </w:r>
            <w:r>
              <w:rPr>
                <w:rFonts w:hint="eastAsia" w:ascii="Times New Roman" w:hAnsi="Times New Roman" w:eastAsia="方正仿宋_GBK" w:cs="Times New Roman"/>
                <w:kern w:val="0"/>
                <w:sz w:val="21"/>
                <w:szCs w:val="21"/>
                <w:lang w:val="en-US" w:eastAsia="zh-CN" w:bidi="ar-SA"/>
              </w:rPr>
              <w:t>高级技术职称的，得</w:t>
            </w:r>
            <w:r>
              <w:rPr>
                <w:rFonts w:hint="eastAsia" w:eastAsia="方正仿宋_GBK" w:cs="Times New Roman"/>
                <w:kern w:val="0"/>
                <w:sz w:val="21"/>
                <w:szCs w:val="21"/>
                <w:lang w:val="en-US" w:eastAsia="zh-CN" w:bidi="ar-SA"/>
              </w:rPr>
              <w:t>3</w:t>
            </w:r>
            <w:r>
              <w:rPr>
                <w:rFonts w:hint="eastAsia" w:ascii="Times New Roman" w:hAnsi="Times New Roman" w:eastAsia="方正仿宋_GBK" w:cs="Times New Roman"/>
                <w:kern w:val="0"/>
                <w:sz w:val="21"/>
                <w:szCs w:val="21"/>
                <w:lang w:val="en-US" w:eastAsia="zh-CN" w:bidi="ar-SA"/>
              </w:rPr>
              <w:t>分；林业类</w:t>
            </w:r>
            <w:r>
              <w:rPr>
                <w:rFonts w:hint="eastAsia" w:eastAsia="方正仿宋_GBK" w:cs="Times New Roman"/>
                <w:kern w:val="0"/>
                <w:sz w:val="21"/>
                <w:szCs w:val="21"/>
                <w:lang w:val="en-US" w:eastAsia="zh-CN" w:bidi="ar-SA"/>
              </w:rPr>
              <w:t>高级</w:t>
            </w:r>
            <w:r>
              <w:rPr>
                <w:rFonts w:hint="eastAsia" w:ascii="Times New Roman" w:hAnsi="Times New Roman" w:eastAsia="方正仿宋_GBK" w:cs="Times New Roman"/>
                <w:kern w:val="0"/>
                <w:sz w:val="21"/>
                <w:szCs w:val="21"/>
                <w:lang w:val="en-US" w:eastAsia="zh-CN" w:bidi="ar-SA"/>
              </w:rPr>
              <w:t>技术职称的，得</w:t>
            </w:r>
            <w:r>
              <w:rPr>
                <w:rFonts w:hint="eastAsia" w:eastAsia="方正仿宋_GBK" w:cs="Times New Roman"/>
                <w:kern w:val="0"/>
                <w:sz w:val="21"/>
                <w:szCs w:val="21"/>
                <w:lang w:val="en-US" w:eastAsia="zh-CN" w:bidi="ar-SA"/>
              </w:rPr>
              <w:t>2</w:t>
            </w:r>
            <w:r>
              <w:rPr>
                <w:rFonts w:hint="eastAsia" w:ascii="Times New Roman" w:hAnsi="Times New Roman" w:eastAsia="方正仿宋_GBK" w:cs="Times New Roman"/>
                <w:kern w:val="0"/>
                <w:sz w:val="21"/>
                <w:szCs w:val="21"/>
                <w:lang w:val="en-US" w:eastAsia="zh-CN" w:bidi="ar-SA"/>
              </w:rPr>
              <w:t>分</w:t>
            </w:r>
            <w:r>
              <w:rPr>
                <w:rFonts w:hint="eastAsia" w:eastAsia="方正仿宋_GBK" w:cs="Times New Roman"/>
                <w:kern w:val="0"/>
                <w:sz w:val="21"/>
                <w:szCs w:val="21"/>
                <w:lang w:val="en-US" w:eastAsia="zh-CN" w:bidi="ar-SA"/>
              </w:rPr>
              <w:t>；</w:t>
            </w:r>
            <w:r>
              <w:rPr>
                <w:rFonts w:hint="eastAsia" w:ascii="Times New Roman" w:hAnsi="Times New Roman" w:eastAsia="方正仿宋_GBK" w:cs="Times New Roman"/>
                <w:kern w:val="0"/>
                <w:sz w:val="21"/>
                <w:szCs w:val="21"/>
                <w:lang w:val="en-US" w:eastAsia="zh-CN" w:bidi="ar-SA"/>
              </w:rPr>
              <w:t>林业类</w:t>
            </w:r>
            <w:r>
              <w:rPr>
                <w:rFonts w:hint="eastAsia" w:eastAsia="方正仿宋_GBK" w:cs="Times New Roman"/>
                <w:kern w:val="0"/>
                <w:sz w:val="21"/>
                <w:szCs w:val="21"/>
                <w:lang w:val="en-US" w:eastAsia="zh-CN" w:bidi="ar-SA"/>
              </w:rPr>
              <w:t>中级</w:t>
            </w:r>
            <w:r>
              <w:rPr>
                <w:rFonts w:hint="eastAsia" w:ascii="Times New Roman" w:hAnsi="Times New Roman" w:eastAsia="方正仿宋_GBK" w:cs="Times New Roman"/>
                <w:kern w:val="0"/>
                <w:sz w:val="21"/>
                <w:szCs w:val="21"/>
                <w:lang w:val="en-US" w:eastAsia="zh-CN" w:bidi="ar-SA"/>
              </w:rPr>
              <w:t>技术职称的，得</w:t>
            </w:r>
            <w:r>
              <w:rPr>
                <w:rFonts w:hint="eastAsia" w:eastAsia="方正仿宋_GBK" w:cs="Times New Roman"/>
                <w:kern w:val="0"/>
                <w:sz w:val="21"/>
                <w:szCs w:val="21"/>
                <w:lang w:val="en-US" w:eastAsia="zh-CN" w:bidi="ar-SA"/>
              </w:rPr>
              <w:t>1</w:t>
            </w:r>
            <w:r>
              <w:rPr>
                <w:rFonts w:hint="eastAsia" w:ascii="Times New Roman" w:hAnsi="Times New Roman" w:eastAsia="方正仿宋_GBK" w:cs="Times New Roman"/>
                <w:kern w:val="0"/>
                <w:sz w:val="21"/>
                <w:szCs w:val="21"/>
                <w:lang w:val="en-US" w:eastAsia="zh-CN" w:bidi="ar-SA"/>
              </w:rPr>
              <w:t>分</w:t>
            </w:r>
            <w:r>
              <w:rPr>
                <w:rFonts w:hint="eastAsia" w:eastAsia="方正仿宋_GBK" w:cs="Times New Roman"/>
                <w:kern w:val="0"/>
                <w:sz w:val="21"/>
                <w:szCs w:val="21"/>
                <w:lang w:val="en-US" w:eastAsia="zh-CN" w:bidi="ar-SA"/>
              </w:rPr>
              <w:t>；其他不得分</w:t>
            </w:r>
            <w:r>
              <w:rPr>
                <w:rFonts w:hint="eastAsia" w:ascii="Times New Roman" w:hAnsi="Times New Roman" w:eastAsia="方正仿宋_GBK" w:cs="Times New Roman"/>
                <w:kern w:val="0"/>
                <w:sz w:val="21"/>
                <w:szCs w:val="21"/>
                <w:lang w:val="en-US" w:eastAsia="zh-CN" w:bidi="ar-SA"/>
              </w:rPr>
              <w:t>。</w:t>
            </w:r>
          </w:p>
        </w:tc>
        <w:tc>
          <w:tcPr>
            <w:tcW w:w="1562" w:type="pct"/>
            <w:vMerge w:val="continue"/>
            <w:tcBorders>
              <w:left w:val="single" w:color="auto" w:sz="4" w:space="0"/>
              <w:right w:val="single" w:color="auto" w:sz="4" w:space="0"/>
            </w:tcBorders>
            <w:noWrap w:val="0"/>
            <w:vAlign w:val="center"/>
          </w:tcPr>
          <w:p w14:paraId="2359D0D5">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r w14:paraId="6FD8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249" w:type="pct"/>
            <w:vMerge w:val="continue"/>
            <w:tcBorders>
              <w:left w:val="single" w:color="auto" w:sz="4" w:space="0"/>
              <w:right w:val="single" w:color="auto" w:sz="4" w:space="0"/>
            </w:tcBorders>
            <w:noWrap w:val="0"/>
            <w:vAlign w:val="center"/>
          </w:tcPr>
          <w:p w14:paraId="39F9B509">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525" w:type="pct"/>
            <w:vMerge w:val="continue"/>
            <w:tcBorders>
              <w:left w:val="single" w:color="auto" w:sz="4" w:space="0"/>
              <w:right w:val="single" w:color="auto" w:sz="4" w:space="0"/>
            </w:tcBorders>
            <w:noWrap w:val="0"/>
            <w:vAlign w:val="center"/>
          </w:tcPr>
          <w:p w14:paraId="2ED61A06">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639" w:type="pct"/>
            <w:vMerge w:val="continue"/>
            <w:tcBorders>
              <w:left w:val="single" w:color="auto" w:sz="4" w:space="0"/>
              <w:right w:val="single" w:color="auto" w:sz="4" w:space="0"/>
            </w:tcBorders>
            <w:noWrap w:val="0"/>
            <w:vAlign w:val="center"/>
          </w:tcPr>
          <w:p w14:paraId="1ED22F3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c>
          <w:tcPr>
            <w:tcW w:w="2022" w:type="pct"/>
            <w:tcBorders>
              <w:top w:val="single" w:color="auto" w:sz="4" w:space="0"/>
              <w:left w:val="single" w:color="auto" w:sz="4" w:space="0"/>
              <w:bottom w:val="single" w:color="auto" w:sz="4" w:space="0"/>
              <w:right w:val="single" w:color="auto" w:sz="4" w:space="0"/>
            </w:tcBorders>
            <w:noWrap w:val="0"/>
            <w:vAlign w:val="center"/>
          </w:tcPr>
          <w:p w14:paraId="7030925E">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default" w:ascii="Times New Roman" w:hAnsi="Times New Roman" w:eastAsia="方正仿宋_GBK" w:cs="Times New Roman"/>
                <w:kern w:val="0"/>
                <w:sz w:val="21"/>
                <w:szCs w:val="21"/>
                <w:highlight w:val="none"/>
                <w:lang w:val="en-US" w:eastAsia="zh-CN" w:bidi="ar-SA"/>
              </w:rPr>
            </w:pPr>
            <w:r>
              <w:rPr>
                <w:rFonts w:hint="eastAsia" w:ascii="Times New Roman" w:hAnsi="Times New Roman" w:eastAsia="方正仿宋_GBK" w:cs="Times New Roman"/>
                <w:kern w:val="0"/>
                <w:sz w:val="21"/>
                <w:szCs w:val="21"/>
                <w:highlight w:val="none"/>
                <w:lang w:val="en-US" w:eastAsia="zh-CN" w:bidi="ar-SA"/>
              </w:rPr>
              <w:t>3.</w:t>
            </w:r>
            <w:r>
              <w:rPr>
                <w:rFonts w:hint="eastAsia" w:ascii="Times New Roman" w:hAnsi="Times New Roman" w:eastAsia="方正仿宋_GBK" w:cs="Times New Roman"/>
                <w:color w:val="000000"/>
                <w:kern w:val="0"/>
                <w:sz w:val="21"/>
                <w:szCs w:val="21"/>
                <w:highlight w:val="none"/>
                <w:lang w:val="en-US" w:eastAsia="zh-CN" w:bidi="ar-SA"/>
              </w:rPr>
              <w:t>供应商拟投入本项目的其他技术人员中，具备林业</w:t>
            </w:r>
            <w:r>
              <w:rPr>
                <w:rFonts w:hint="eastAsia" w:ascii="Times New Roman" w:hAnsi="Times New Roman" w:eastAsia="方正仿宋_GBK" w:cs="Times New Roman"/>
                <w:kern w:val="0"/>
                <w:sz w:val="21"/>
                <w:szCs w:val="21"/>
                <w:highlight w:val="none"/>
                <w:lang w:val="en-US" w:eastAsia="zh-CN" w:bidi="ar-SA"/>
              </w:rPr>
              <w:t>类</w:t>
            </w:r>
            <w:r>
              <w:rPr>
                <w:rFonts w:hint="eastAsia" w:eastAsia="方正仿宋_GBK" w:cs="Times New Roman"/>
                <w:color w:val="000000"/>
                <w:kern w:val="0"/>
                <w:sz w:val="21"/>
                <w:szCs w:val="21"/>
                <w:highlight w:val="none"/>
                <w:lang w:val="en-US" w:eastAsia="zh-CN" w:bidi="ar-SA"/>
              </w:rPr>
              <w:t>高级</w:t>
            </w:r>
            <w:r>
              <w:rPr>
                <w:rFonts w:hint="eastAsia" w:ascii="Times New Roman" w:hAnsi="Times New Roman" w:eastAsia="方正仿宋_GBK" w:cs="Times New Roman"/>
                <w:color w:val="000000"/>
                <w:kern w:val="0"/>
                <w:sz w:val="21"/>
                <w:szCs w:val="21"/>
                <w:highlight w:val="none"/>
                <w:lang w:val="en-US" w:eastAsia="zh-CN" w:bidi="ar-SA"/>
              </w:rPr>
              <w:t>工程师及以上职称的，每1人得</w:t>
            </w:r>
            <w:r>
              <w:rPr>
                <w:rFonts w:hint="eastAsia" w:eastAsia="方正仿宋_GBK" w:cs="Times New Roman"/>
                <w:color w:val="000000"/>
                <w:kern w:val="0"/>
                <w:sz w:val="21"/>
                <w:szCs w:val="21"/>
                <w:highlight w:val="none"/>
                <w:lang w:val="en-US" w:eastAsia="zh-CN" w:bidi="ar-SA"/>
              </w:rPr>
              <w:t>2</w:t>
            </w:r>
            <w:r>
              <w:rPr>
                <w:rFonts w:hint="eastAsia" w:ascii="Times New Roman" w:hAnsi="Times New Roman" w:eastAsia="方正仿宋_GBK" w:cs="Times New Roman"/>
                <w:color w:val="000000"/>
                <w:kern w:val="0"/>
                <w:sz w:val="21"/>
                <w:szCs w:val="21"/>
                <w:highlight w:val="none"/>
                <w:lang w:val="en-US" w:eastAsia="zh-CN" w:bidi="ar-SA"/>
              </w:rPr>
              <w:t>分，最高得</w:t>
            </w:r>
            <w:r>
              <w:rPr>
                <w:rFonts w:hint="eastAsia" w:eastAsia="方正仿宋_GBK" w:cs="Times New Roman"/>
                <w:color w:val="000000"/>
                <w:kern w:val="0"/>
                <w:sz w:val="21"/>
                <w:szCs w:val="21"/>
                <w:highlight w:val="none"/>
                <w:lang w:val="en-US" w:eastAsia="zh-CN" w:bidi="ar-SA"/>
              </w:rPr>
              <w:t>6</w:t>
            </w:r>
            <w:r>
              <w:rPr>
                <w:rFonts w:hint="eastAsia" w:ascii="Times New Roman" w:hAnsi="Times New Roman" w:eastAsia="方正仿宋_GBK" w:cs="Times New Roman"/>
                <w:color w:val="000000"/>
                <w:kern w:val="0"/>
                <w:sz w:val="21"/>
                <w:szCs w:val="21"/>
                <w:highlight w:val="none"/>
                <w:lang w:val="en-US" w:eastAsia="zh-CN" w:bidi="ar-SA"/>
              </w:rPr>
              <w:t>分</w:t>
            </w:r>
            <w:r>
              <w:rPr>
                <w:rFonts w:hint="eastAsia" w:eastAsia="方正仿宋_GBK" w:cs="Times New Roman"/>
                <w:color w:val="000000"/>
                <w:kern w:val="0"/>
                <w:sz w:val="21"/>
                <w:szCs w:val="21"/>
                <w:highlight w:val="none"/>
                <w:lang w:val="en-US" w:eastAsia="zh-CN" w:bidi="ar-SA"/>
              </w:rPr>
              <w:t>；</w:t>
            </w:r>
            <w:r>
              <w:rPr>
                <w:rFonts w:hint="eastAsia" w:ascii="Times New Roman" w:hAnsi="Times New Roman" w:eastAsia="方正仿宋_GBK" w:cs="Times New Roman"/>
                <w:color w:val="000000"/>
                <w:kern w:val="0"/>
                <w:sz w:val="21"/>
                <w:szCs w:val="21"/>
                <w:highlight w:val="none"/>
                <w:lang w:val="en-US" w:eastAsia="zh-CN" w:bidi="ar-SA"/>
              </w:rPr>
              <w:t>具备林业</w:t>
            </w:r>
            <w:r>
              <w:rPr>
                <w:rFonts w:hint="eastAsia" w:ascii="Times New Roman" w:hAnsi="Times New Roman" w:eastAsia="方正仿宋_GBK" w:cs="Times New Roman"/>
                <w:kern w:val="0"/>
                <w:sz w:val="21"/>
                <w:szCs w:val="21"/>
                <w:highlight w:val="none"/>
                <w:lang w:val="en-US" w:eastAsia="zh-CN" w:bidi="ar-SA"/>
              </w:rPr>
              <w:t>类</w:t>
            </w:r>
            <w:r>
              <w:rPr>
                <w:rFonts w:hint="eastAsia" w:eastAsia="方正仿宋_GBK" w:cs="Times New Roman"/>
                <w:color w:val="000000"/>
                <w:kern w:val="0"/>
                <w:sz w:val="21"/>
                <w:szCs w:val="21"/>
                <w:highlight w:val="none"/>
                <w:lang w:val="en-US" w:eastAsia="zh-CN" w:bidi="ar-SA"/>
              </w:rPr>
              <w:t>中级</w:t>
            </w:r>
            <w:r>
              <w:rPr>
                <w:rFonts w:hint="eastAsia" w:ascii="Times New Roman" w:hAnsi="Times New Roman" w:eastAsia="方正仿宋_GBK" w:cs="Times New Roman"/>
                <w:color w:val="000000"/>
                <w:kern w:val="0"/>
                <w:sz w:val="21"/>
                <w:szCs w:val="21"/>
                <w:highlight w:val="none"/>
                <w:lang w:val="en-US" w:eastAsia="zh-CN" w:bidi="ar-SA"/>
              </w:rPr>
              <w:t>工程师及以上职称的，每1人得</w:t>
            </w:r>
            <w:r>
              <w:rPr>
                <w:rFonts w:hint="eastAsia" w:eastAsia="方正仿宋_GBK" w:cs="Times New Roman"/>
                <w:color w:val="000000"/>
                <w:kern w:val="0"/>
                <w:sz w:val="21"/>
                <w:szCs w:val="21"/>
                <w:highlight w:val="none"/>
                <w:lang w:val="en-US" w:eastAsia="zh-CN" w:bidi="ar-SA"/>
              </w:rPr>
              <w:t>1</w:t>
            </w:r>
            <w:r>
              <w:rPr>
                <w:rFonts w:hint="eastAsia" w:ascii="Times New Roman" w:hAnsi="Times New Roman" w:eastAsia="方正仿宋_GBK" w:cs="Times New Roman"/>
                <w:color w:val="000000"/>
                <w:kern w:val="0"/>
                <w:sz w:val="21"/>
                <w:szCs w:val="21"/>
                <w:highlight w:val="none"/>
                <w:lang w:val="en-US" w:eastAsia="zh-CN" w:bidi="ar-SA"/>
              </w:rPr>
              <w:t>分，最高得</w:t>
            </w:r>
            <w:r>
              <w:rPr>
                <w:rFonts w:hint="eastAsia" w:eastAsia="方正仿宋_GBK" w:cs="Times New Roman"/>
                <w:color w:val="000000"/>
                <w:kern w:val="0"/>
                <w:sz w:val="21"/>
                <w:szCs w:val="21"/>
                <w:highlight w:val="none"/>
                <w:lang w:val="en-US" w:eastAsia="zh-CN" w:bidi="ar-SA"/>
              </w:rPr>
              <w:t>8</w:t>
            </w:r>
            <w:r>
              <w:rPr>
                <w:rFonts w:hint="eastAsia" w:ascii="Times New Roman" w:hAnsi="Times New Roman" w:eastAsia="方正仿宋_GBK" w:cs="Times New Roman"/>
                <w:color w:val="000000"/>
                <w:kern w:val="0"/>
                <w:sz w:val="21"/>
                <w:szCs w:val="21"/>
                <w:highlight w:val="none"/>
                <w:lang w:val="en-US" w:eastAsia="zh-CN" w:bidi="ar-SA"/>
              </w:rPr>
              <w:t>分</w:t>
            </w:r>
            <w:r>
              <w:rPr>
                <w:rFonts w:hint="eastAsia" w:eastAsia="方正仿宋_GBK" w:cs="Times New Roman"/>
                <w:color w:val="000000"/>
                <w:kern w:val="0"/>
                <w:sz w:val="21"/>
                <w:szCs w:val="21"/>
                <w:highlight w:val="none"/>
                <w:lang w:val="en-US" w:eastAsia="zh-CN" w:bidi="ar-SA"/>
              </w:rPr>
              <w:t>；其他不得分</w:t>
            </w:r>
            <w:r>
              <w:rPr>
                <w:rFonts w:hint="eastAsia" w:ascii="Times New Roman" w:hAnsi="Times New Roman" w:eastAsia="方正仿宋_GBK" w:cs="Times New Roman"/>
                <w:color w:val="000000"/>
                <w:kern w:val="0"/>
                <w:sz w:val="21"/>
                <w:szCs w:val="21"/>
                <w:highlight w:val="none"/>
                <w:lang w:val="en-US" w:eastAsia="zh-CN" w:bidi="ar-SA"/>
              </w:rPr>
              <w:t>。</w:t>
            </w:r>
            <w:r>
              <w:rPr>
                <w:rFonts w:hint="eastAsia" w:eastAsia="方正仿宋_GBK" w:cs="Times New Roman"/>
                <w:color w:val="000000"/>
                <w:kern w:val="0"/>
                <w:sz w:val="21"/>
                <w:szCs w:val="21"/>
                <w:highlight w:val="none"/>
                <w:lang w:val="en-US" w:eastAsia="zh-CN" w:bidi="ar-SA"/>
              </w:rPr>
              <w:t>此项最高得14分。</w:t>
            </w:r>
          </w:p>
        </w:tc>
        <w:tc>
          <w:tcPr>
            <w:tcW w:w="1562" w:type="pct"/>
            <w:vMerge w:val="continue"/>
            <w:tcBorders>
              <w:left w:val="single" w:color="auto" w:sz="4" w:space="0"/>
              <w:right w:val="single" w:color="auto" w:sz="4" w:space="0"/>
            </w:tcBorders>
            <w:noWrap w:val="0"/>
            <w:vAlign w:val="center"/>
          </w:tcPr>
          <w:p w14:paraId="0DEB3ED0">
            <w:pPr>
              <w:keepNext w:val="0"/>
              <w:keepLines w:val="0"/>
              <w:pageBreakBefore w:val="0"/>
              <w:widowControl w:val="0"/>
              <w:kinsoku/>
              <w:wordWrap w:val="0"/>
              <w:overflowPunct/>
              <w:topLinePunct w:val="0"/>
              <w:autoSpaceDE/>
              <w:autoSpaceDN/>
              <w:bidi w:val="0"/>
              <w:adjustRightInd w:val="0"/>
              <w:snapToGrid w:val="0"/>
              <w:spacing w:line="360" w:lineRule="exact"/>
              <w:ind w:firstLine="0"/>
              <w:textAlignment w:val="auto"/>
              <w:rPr>
                <w:rFonts w:hint="eastAsia" w:ascii="Times New Roman" w:hAnsi="Times New Roman" w:eastAsia="方正仿宋_GBK" w:cs="Times New Roman"/>
                <w:kern w:val="0"/>
                <w:sz w:val="21"/>
                <w:szCs w:val="21"/>
                <w:lang w:val="en-US" w:eastAsia="zh-CN" w:bidi="ar-SA"/>
              </w:rPr>
            </w:pPr>
          </w:p>
        </w:tc>
      </w:tr>
    </w:tbl>
    <w:p w14:paraId="4F557120">
      <w:pPr>
        <w:rPr>
          <w:rFonts w:eastAsia="方正仿宋_GBK"/>
          <w:color w:val="FF0000"/>
          <w:sz w:val="24"/>
          <w:szCs w:val="24"/>
        </w:rPr>
      </w:pPr>
    </w:p>
    <w:p w14:paraId="753216F1">
      <w:pPr>
        <w:spacing w:line="560" w:lineRule="exact"/>
        <w:ind w:firstLine="480" w:firstLineChars="200"/>
        <w:rPr>
          <w:rFonts w:eastAsia="方正仿宋_GBK"/>
          <w:sz w:val="24"/>
          <w:szCs w:val="24"/>
        </w:rPr>
      </w:pPr>
      <w:r>
        <w:rPr>
          <w:rFonts w:hint="eastAsia" w:eastAsia="方正仿宋_GBK"/>
          <w:sz w:val="24"/>
          <w:szCs w:val="24"/>
        </w:rPr>
        <w:br w:type="page"/>
      </w:r>
    </w:p>
    <w:p w14:paraId="1E73C600">
      <w:pPr>
        <w:spacing w:line="560" w:lineRule="exact"/>
        <w:jc w:val="center"/>
        <w:rPr>
          <w:rFonts w:ascii="宋体" w:hAnsi="宋体" w:cs="宋体"/>
          <w:b/>
          <w:szCs w:val="28"/>
        </w:rPr>
      </w:pPr>
      <w:r>
        <w:rPr>
          <w:rFonts w:hint="eastAsia" w:ascii="宋体" w:hAnsi="宋体" w:cs="宋体"/>
          <w:b/>
          <w:szCs w:val="28"/>
        </w:rPr>
        <w:t>供应商编制响应文件要求</w:t>
      </w:r>
    </w:p>
    <w:p w14:paraId="4A418E35">
      <w:pPr>
        <w:numPr>
          <w:ilvl w:val="0"/>
          <w:numId w:val="13"/>
        </w:numPr>
        <w:spacing w:line="560" w:lineRule="exact"/>
        <w:rPr>
          <w:rFonts w:ascii="宋体" w:hAnsi="宋体" w:cs="宋体"/>
          <w:b/>
          <w:sz w:val="24"/>
          <w:szCs w:val="24"/>
        </w:rPr>
      </w:pPr>
      <w:r>
        <w:rPr>
          <w:rFonts w:hint="eastAsia" w:ascii="宋体" w:hAnsi="宋体" w:cs="宋体"/>
          <w:b/>
          <w:sz w:val="24"/>
          <w:szCs w:val="24"/>
        </w:rPr>
        <w:t>报价</w:t>
      </w:r>
    </w:p>
    <w:p w14:paraId="54DFDF71">
      <w:pPr>
        <w:tabs>
          <w:tab w:val="left" w:pos="6300"/>
        </w:tabs>
        <w:snapToGrid w:val="0"/>
        <w:spacing w:line="560" w:lineRule="exact"/>
        <w:ind w:firstLine="480" w:firstLineChars="200"/>
        <w:rPr>
          <w:rFonts w:ascii="宋体" w:hAnsi="宋体" w:cs="宋体"/>
          <w:bCs/>
          <w:sz w:val="24"/>
          <w:szCs w:val="24"/>
        </w:rPr>
      </w:pPr>
      <w:r>
        <w:rPr>
          <w:rFonts w:hint="eastAsia" w:ascii="宋体" w:hAnsi="宋体" w:cs="宋体"/>
          <w:bCs/>
          <w:sz w:val="24"/>
          <w:szCs w:val="24"/>
        </w:rPr>
        <w:t>（一）报价函</w:t>
      </w:r>
    </w:p>
    <w:p w14:paraId="6121A236">
      <w:pPr>
        <w:tabs>
          <w:tab w:val="left" w:pos="6300"/>
        </w:tabs>
        <w:snapToGrid w:val="0"/>
        <w:spacing w:line="560" w:lineRule="exact"/>
        <w:jc w:val="center"/>
        <w:outlineLvl w:val="0"/>
        <w:rPr>
          <w:rFonts w:ascii="宋体" w:hAnsi="宋体" w:cs="宋体"/>
          <w:b/>
          <w:szCs w:val="28"/>
        </w:rPr>
      </w:pPr>
      <w:r>
        <w:rPr>
          <w:rFonts w:hint="eastAsia" w:ascii="宋体" w:hAnsi="宋体" w:cs="宋体"/>
          <w:b/>
          <w:szCs w:val="28"/>
        </w:rPr>
        <w:t>报价函</w:t>
      </w:r>
    </w:p>
    <w:p w14:paraId="7E8E080B">
      <w:pPr>
        <w:tabs>
          <w:tab w:val="left" w:pos="6300"/>
        </w:tabs>
        <w:snapToGrid w:val="0"/>
        <w:spacing w:line="560" w:lineRule="exact"/>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14:paraId="1B0BB2DE">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14:paraId="2882FFDD">
      <w:pPr>
        <w:tabs>
          <w:tab w:val="left" w:pos="6300"/>
        </w:tabs>
        <w:snapToGrid w:val="0"/>
        <w:spacing w:line="560" w:lineRule="exact"/>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14:paraId="2C2D35BD">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14:paraId="1DA9176D">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3、我方承诺：本次询比的有效期为90天。</w:t>
      </w:r>
    </w:p>
    <w:p w14:paraId="6F317362">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14:paraId="4C71A361">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14:paraId="61F1A5DE">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14:paraId="691861B6">
      <w:pPr>
        <w:tabs>
          <w:tab w:val="left" w:pos="6300"/>
        </w:tabs>
        <w:snapToGrid w:val="0"/>
        <w:spacing w:line="560" w:lineRule="exact"/>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14:paraId="11502A47">
      <w:pPr>
        <w:tabs>
          <w:tab w:val="left" w:pos="6300"/>
        </w:tabs>
        <w:snapToGrid w:val="0"/>
        <w:spacing w:line="560" w:lineRule="exact"/>
        <w:ind w:firstLine="570"/>
        <w:rPr>
          <w:rFonts w:ascii="宋体" w:hAnsi="宋体" w:cs="宋体"/>
          <w:sz w:val="24"/>
          <w:szCs w:val="24"/>
        </w:rPr>
      </w:pPr>
    </w:p>
    <w:p w14:paraId="32CF0B39">
      <w:pPr>
        <w:tabs>
          <w:tab w:val="left" w:pos="6300"/>
        </w:tabs>
        <w:snapToGrid w:val="0"/>
        <w:spacing w:line="560" w:lineRule="exact"/>
        <w:ind w:firstLine="570"/>
        <w:rPr>
          <w:rFonts w:ascii="宋体" w:hAnsi="宋体" w:cs="宋体"/>
          <w:sz w:val="24"/>
          <w:szCs w:val="24"/>
        </w:rPr>
      </w:pPr>
    </w:p>
    <w:p w14:paraId="4332D637">
      <w:pPr>
        <w:tabs>
          <w:tab w:val="left" w:pos="6300"/>
        </w:tabs>
        <w:snapToGrid w:val="0"/>
        <w:spacing w:line="560" w:lineRule="exact"/>
        <w:ind w:firstLine="570"/>
        <w:rPr>
          <w:rFonts w:ascii="宋体" w:hAnsi="宋体" w:cs="宋体"/>
          <w:sz w:val="24"/>
          <w:szCs w:val="24"/>
        </w:rPr>
      </w:pPr>
    </w:p>
    <w:p w14:paraId="6E8CF085">
      <w:pPr>
        <w:tabs>
          <w:tab w:val="left" w:pos="6300"/>
        </w:tabs>
        <w:snapToGrid w:val="0"/>
        <w:spacing w:line="560" w:lineRule="exact"/>
        <w:ind w:firstLine="570"/>
        <w:rPr>
          <w:rFonts w:ascii="宋体" w:hAnsi="宋体" w:cs="宋体"/>
          <w:sz w:val="24"/>
          <w:szCs w:val="24"/>
        </w:rPr>
      </w:pPr>
    </w:p>
    <w:p w14:paraId="431F8E3C">
      <w:pPr>
        <w:tabs>
          <w:tab w:val="left" w:pos="6300"/>
        </w:tabs>
        <w:snapToGrid w:val="0"/>
        <w:spacing w:line="560" w:lineRule="exact"/>
        <w:ind w:firstLine="570"/>
        <w:rPr>
          <w:rFonts w:ascii="宋体" w:hAnsi="宋体" w:cs="宋体"/>
          <w:sz w:val="24"/>
          <w:szCs w:val="24"/>
        </w:rPr>
      </w:pPr>
      <w:r>
        <w:rPr>
          <w:rFonts w:hint="eastAsia" w:ascii="宋体" w:hAnsi="宋体" w:cs="宋体"/>
          <w:sz w:val="24"/>
          <w:szCs w:val="24"/>
        </w:rPr>
        <w:t xml:space="preserve">                                          供应商名称（公章）：</w:t>
      </w:r>
    </w:p>
    <w:p w14:paraId="7612E3F2">
      <w:pPr>
        <w:snapToGrid w:val="0"/>
        <w:spacing w:line="560" w:lineRule="exact"/>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14:paraId="3EA4B491">
      <w:pPr>
        <w:tabs>
          <w:tab w:val="left" w:pos="2895"/>
        </w:tabs>
        <w:spacing w:line="560" w:lineRule="exact"/>
        <w:ind w:firstLine="480" w:firstLineChars="200"/>
        <w:rPr>
          <w:rFonts w:ascii="宋体" w:hAnsi="宋体" w:cs="宋体"/>
          <w:sz w:val="24"/>
          <w:szCs w:val="24"/>
        </w:rPr>
      </w:pPr>
      <w:r>
        <w:rPr>
          <w:rFonts w:hint="eastAsia" w:ascii="宋体" w:hAnsi="宋体" w:cs="宋体"/>
          <w:sz w:val="24"/>
          <w:szCs w:val="24"/>
        </w:rPr>
        <w:t>（二）明细报价表</w:t>
      </w:r>
    </w:p>
    <w:p w14:paraId="564659EE">
      <w:pPr>
        <w:tabs>
          <w:tab w:val="left" w:pos="2975"/>
          <w:tab w:val="center" w:pos="4765"/>
        </w:tabs>
        <w:spacing w:line="560" w:lineRule="exact"/>
        <w:jc w:val="left"/>
        <w:rPr>
          <w:rFonts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58"/>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4E2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14:paraId="2BACEDFC">
            <w:pPr>
              <w:spacing w:line="240" w:lineRule="atLeast"/>
              <w:jc w:val="center"/>
              <w:rPr>
                <w:rFonts w:ascii="宋体" w:hAnsi="宋体" w:cs="宋体"/>
                <w:b/>
                <w:sz w:val="21"/>
                <w:szCs w:val="21"/>
              </w:rPr>
            </w:pPr>
            <w:r>
              <w:rPr>
                <w:rFonts w:hint="eastAsia" w:ascii="宋体" w:hAnsi="宋体" w:cs="宋体"/>
                <w:b/>
                <w:sz w:val="21"/>
                <w:szCs w:val="21"/>
              </w:rPr>
              <w:t>序号</w:t>
            </w:r>
          </w:p>
        </w:tc>
        <w:tc>
          <w:tcPr>
            <w:tcW w:w="1695" w:type="dxa"/>
            <w:vAlign w:val="center"/>
          </w:tcPr>
          <w:p w14:paraId="43F62695">
            <w:pPr>
              <w:spacing w:line="240" w:lineRule="atLeast"/>
              <w:jc w:val="center"/>
              <w:rPr>
                <w:rFonts w:ascii="宋体" w:hAnsi="宋体" w:cs="宋体"/>
                <w:b/>
                <w:sz w:val="21"/>
                <w:szCs w:val="21"/>
              </w:rPr>
            </w:pPr>
            <w:r>
              <w:rPr>
                <w:rFonts w:hint="eastAsia" w:ascii="宋体" w:hAnsi="宋体" w:cs="宋体"/>
                <w:b/>
                <w:sz w:val="21"/>
                <w:szCs w:val="21"/>
              </w:rPr>
              <w:t>名称</w:t>
            </w:r>
          </w:p>
        </w:tc>
        <w:tc>
          <w:tcPr>
            <w:tcW w:w="3404" w:type="dxa"/>
            <w:vAlign w:val="center"/>
          </w:tcPr>
          <w:p w14:paraId="78D49ADC">
            <w:pPr>
              <w:spacing w:line="240" w:lineRule="atLeast"/>
              <w:jc w:val="center"/>
              <w:rPr>
                <w:rFonts w:ascii="宋体" w:hAnsi="宋体" w:cs="宋体"/>
                <w:b/>
                <w:sz w:val="21"/>
                <w:szCs w:val="21"/>
              </w:rPr>
            </w:pPr>
            <w:r>
              <w:rPr>
                <w:rFonts w:hint="eastAsia" w:ascii="宋体" w:hAnsi="宋体" w:cs="宋体"/>
                <w:b/>
                <w:sz w:val="21"/>
                <w:szCs w:val="21"/>
              </w:rPr>
              <w:t>相关信息</w:t>
            </w:r>
          </w:p>
        </w:tc>
        <w:tc>
          <w:tcPr>
            <w:tcW w:w="1344" w:type="dxa"/>
            <w:vAlign w:val="center"/>
          </w:tcPr>
          <w:p w14:paraId="1354FFA9">
            <w:pPr>
              <w:spacing w:line="240" w:lineRule="atLeast"/>
              <w:jc w:val="center"/>
              <w:rPr>
                <w:rFonts w:ascii="宋体" w:hAnsi="宋体" w:cs="宋体"/>
                <w:b/>
                <w:sz w:val="21"/>
                <w:szCs w:val="21"/>
              </w:rPr>
            </w:pPr>
            <w:r>
              <w:rPr>
                <w:rFonts w:hint="eastAsia" w:ascii="宋体" w:hAnsi="宋体" w:cs="宋体"/>
                <w:b/>
                <w:sz w:val="21"/>
                <w:szCs w:val="21"/>
              </w:rPr>
              <w:t>数量</w:t>
            </w:r>
          </w:p>
        </w:tc>
        <w:tc>
          <w:tcPr>
            <w:tcW w:w="1344" w:type="dxa"/>
            <w:vAlign w:val="center"/>
          </w:tcPr>
          <w:p w14:paraId="6BA19248">
            <w:pPr>
              <w:spacing w:line="240" w:lineRule="atLeast"/>
              <w:jc w:val="center"/>
              <w:rPr>
                <w:rFonts w:ascii="宋体" w:hAnsi="宋体" w:cs="宋体"/>
                <w:b/>
                <w:sz w:val="21"/>
                <w:szCs w:val="21"/>
              </w:rPr>
            </w:pPr>
            <w:r>
              <w:rPr>
                <w:rFonts w:hint="eastAsia" w:ascii="宋体" w:hAnsi="宋体" w:cs="宋体"/>
                <w:b/>
                <w:sz w:val="21"/>
                <w:szCs w:val="21"/>
              </w:rPr>
              <w:t>单价</w:t>
            </w:r>
          </w:p>
        </w:tc>
        <w:tc>
          <w:tcPr>
            <w:tcW w:w="1344" w:type="dxa"/>
            <w:vAlign w:val="center"/>
          </w:tcPr>
          <w:p w14:paraId="592EDDA8">
            <w:pPr>
              <w:spacing w:line="240" w:lineRule="atLeast"/>
              <w:jc w:val="center"/>
              <w:rPr>
                <w:rFonts w:ascii="宋体" w:hAnsi="宋体" w:cs="宋体"/>
                <w:b/>
                <w:sz w:val="21"/>
                <w:szCs w:val="21"/>
              </w:rPr>
            </w:pPr>
            <w:r>
              <w:rPr>
                <w:rFonts w:hint="eastAsia" w:ascii="宋体" w:hAnsi="宋体" w:cs="宋体"/>
                <w:b/>
                <w:sz w:val="21"/>
                <w:szCs w:val="21"/>
              </w:rPr>
              <w:t>合计</w:t>
            </w:r>
          </w:p>
        </w:tc>
      </w:tr>
      <w:tr w14:paraId="5E21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51D9611">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2111</w:t>
            </w:r>
          </w:p>
        </w:tc>
        <w:tc>
          <w:tcPr>
            <w:tcW w:w="1695" w:type="dxa"/>
            <w:vAlign w:val="center"/>
          </w:tcPr>
          <w:p w14:paraId="34528FA9">
            <w:pPr>
              <w:spacing w:line="240" w:lineRule="atLeast"/>
              <w:jc w:val="center"/>
              <w:rPr>
                <w:rFonts w:ascii="宋体" w:hAnsi="宋体" w:cs="宋体"/>
                <w:sz w:val="21"/>
                <w:szCs w:val="21"/>
              </w:rPr>
            </w:pPr>
          </w:p>
        </w:tc>
        <w:tc>
          <w:tcPr>
            <w:tcW w:w="3404" w:type="dxa"/>
          </w:tcPr>
          <w:p w14:paraId="1F63DCC9">
            <w:pPr>
              <w:spacing w:line="240" w:lineRule="atLeast"/>
              <w:jc w:val="center"/>
              <w:rPr>
                <w:rFonts w:ascii="宋体" w:hAnsi="宋体" w:cs="宋体"/>
                <w:sz w:val="21"/>
                <w:szCs w:val="21"/>
              </w:rPr>
            </w:pPr>
          </w:p>
        </w:tc>
        <w:tc>
          <w:tcPr>
            <w:tcW w:w="1344" w:type="dxa"/>
            <w:vAlign w:val="center"/>
          </w:tcPr>
          <w:p w14:paraId="706B8916">
            <w:pPr>
              <w:spacing w:line="240" w:lineRule="atLeast"/>
              <w:jc w:val="center"/>
              <w:rPr>
                <w:rFonts w:ascii="宋体" w:hAnsi="宋体" w:cs="宋体"/>
                <w:sz w:val="21"/>
                <w:szCs w:val="21"/>
              </w:rPr>
            </w:pPr>
          </w:p>
        </w:tc>
        <w:tc>
          <w:tcPr>
            <w:tcW w:w="1344" w:type="dxa"/>
          </w:tcPr>
          <w:p w14:paraId="6395B200">
            <w:pPr>
              <w:spacing w:line="240" w:lineRule="atLeast"/>
              <w:jc w:val="center"/>
              <w:rPr>
                <w:rFonts w:ascii="宋体" w:hAnsi="宋体" w:cs="宋体"/>
                <w:sz w:val="21"/>
                <w:szCs w:val="21"/>
              </w:rPr>
            </w:pPr>
          </w:p>
        </w:tc>
        <w:tc>
          <w:tcPr>
            <w:tcW w:w="1344" w:type="dxa"/>
          </w:tcPr>
          <w:p w14:paraId="79B194BC">
            <w:pPr>
              <w:spacing w:line="240" w:lineRule="atLeast"/>
              <w:jc w:val="center"/>
              <w:rPr>
                <w:rFonts w:ascii="宋体" w:hAnsi="宋体" w:cs="宋体"/>
                <w:sz w:val="21"/>
                <w:szCs w:val="21"/>
              </w:rPr>
            </w:pPr>
          </w:p>
        </w:tc>
      </w:tr>
      <w:tr w14:paraId="35E9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51DAE0F">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22</w:t>
            </w:r>
          </w:p>
        </w:tc>
        <w:tc>
          <w:tcPr>
            <w:tcW w:w="1695" w:type="dxa"/>
            <w:vAlign w:val="center"/>
          </w:tcPr>
          <w:p w14:paraId="2100B865">
            <w:pPr>
              <w:spacing w:line="240" w:lineRule="atLeast"/>
              <w:jc w:val="center"/>
              <w:rPr>
                <w:rFonts w:ascii="宋体" w:hAnsi="宋体" w:cs="宋体"/>
                <w:sz w:val="21"/>
                <w:szCs w:val="21"/>
              </w:rPr>
            </w:pPr>
          </w:p>
        </w:tc>
        <w:tc>
          <w:tcPr>
            <w:tcW w:w="3404" w:type="dxa"/>
          </w:tcPr>
          <w:p w14:paraId="581B3C71">
            <w:pPr>
              <w:spacing w:line="240" w:lineRule="atLeast"/>
              <w:jc w:val="center"/>
              <w:rPr>
                <w:rFonts w:ascii="宋体" w:hAnsi="宋体" w:cs="宋体"/>
                <w:sz w:val="21"/>
                <w:szCs w:val="21"/>
              </w:rPr>
            </w:pPr>
          </w:p>
        </w:tc>
        <w:tc>
          <w:tcPr>
            <w:tcW w:w="1344" w:type="dxa"/>
            <w:vAlign w:val="center"/>
          </w:tcPr>
          <w:p w14:paraId="0F202C6E">
            <w:pPr>
              <w:spacing w:line="240" w:lineRule="atLeast"/>
              <w:jc w:val="center"/>
              <w:rPr>
                <w:rFonts w:ascii="宋体" w:hAnsi="宋体" w:cs="宋体"/>
                <w:sz w:val="21"/>
                <w:szCs w:val="21"/>
              </w:rPr>
            </w:pPr>
          </w:p>
        </w:tc>
        <w:tc>
          <w:tcPr>
            <w:tcW w:w="1344" w:type="dxa"/>
          </w:tcPr>
          <w:p w14:paraId="53788248">
            <w:pPr>
              <w:spacing w:line="240" w:lineRule="atLeast"/>
              <w:jc w:val="center"/>
              <w:rPr>
                <w:rFonts w:ascii="宋体" w:hAnsi="宋体" w:cs="宋体"/>
                <w:sz w:val="21"/>
                <w:szCs w:val="21"/>
              </w:rPr>
            </w:pPr>
          </w:p>
        </w:tc>
        <w:tc>
          <w:tcPr>
            <w:tcW w:w="1344" w:type="dxa"/>
          </w:tcPr>
          <w:p w14:paraId="774C7D18">
            <w:pPr>
              <w:spacing w:line="240" w:lineRule="atLeast"/>
              <w:jc w:val="center"/>
              <w:rPr>
                <w:rFonts w:ascii="宋体" w:hAnsi="宋体" w:cs="宋体"/>
                <w:sz w:val="21"/>
                <w:szCs w:val="21"/>
              </w:rPr>
            </w:pPr>
          </w:p>
        </w:tc>
      </w:tr>
      <w:tr w14:paraId="1D5B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539AECBF">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13</w:t>
            </w:r>
          </w:p>
        </w:tc>
        <w:tc>
          <w:tcPr>
            <w:tcW w:w="1695" w:type="dxa"/>
            <w:vAlign w:val="center"/>
          </w:tcPr>
          <w:p w14:paraId="745FC052">
            <w:pPr>
              <w:spacing w:line="240" w:lineRule="atLeast"/>
              <w:jc w:val="center"/>
              <w:rPr>
                <w:rFonts w:ascii="宋体" w:hAnsi="宋体" w:cs="宋体"/>
                <w:sz w:val="21"/>
                <w:szCs w:val="21"/>
              </w:rPr>
            </w:pPr>
          </w:p>
        </w:tc>
        <w:tc>
          <w:tcPr>
            <w:tcW w:w="3404" w:type="dxa"/>
          </w:tcPr>
          <w:p w14:paraId="1FA12243">
            <w:pPr>
              <w:spacing w:line="240" w:lineRule="atLeast"/>
              <w:jc w:val="center"/>
              <w:rPr>
                <w:rFonts w:ascii="宋体" w:hAnsi="宋体" w:cs="宋体"/>
                <w:sz w:val="21"/>
                <w:szCs w:val="21"/>
              </w:rPr>
            </w:pPr>
          </w:p>
        </w:tc>
        <w:tc>
          <w:tcPr>
            <w:tcW w:w="1344" w:type="dxa"/>
            <w:vAlign w:val="center"/>
          </w:tcPr>
          <w:p w14:paraId="75F81B28">
            <w:pPr>
              <w:spacing w:line="240" w:lineRule="atLeast"/>
              <w:jc w:val="center"/>
              <w:rPr>
                <w:rFonts w:ascii="宋体" w:hAnsi="宋体" w:cs="宋体"/>
                <w:sz w:val="21"/>
                <w:szCs w:val="21"/>
              </w:rPr>
            </w:pPr>
          </w:p>
        </w:tc>
        <w:tc>
          <w:tcPr>
            <w:tcW w:w="1344" w:type="dxa"/>
          </w:tcPr>
          <w:p w14:paraId="7FB9A49D">
            <w:pPr>
              <w:spacing w:line="240" w:lineRule="atLeast"/>
              <w:jc w:val="center"/>
              <w:rPr>
                <w:rFonts w:ascii="宋体" w:hAnsi="宋体" w:cs="宋体"/>
                <w:sz w:val="21"/>
                <w:szCs w:val="21"/>
              </w:rPr>
            </w:pPr>
          </w:p>
        </w:tc>
        <w:tc>
          <w:tcPr>
            <w:tcW w:w="1344" w:type="dxa"/>
          </w:tcPr>
          <w:p w14:paraId="54021173">
            <w:pPr>
              <w:spacing w:line="240" w:lineRule="atLeast"/>
              <w:jc w:val="center"/>
              <w:rPr>
                <w:rFonts w:ascii="宋体" w:hAnsi="宋体" w:cs="宋体"/>
                <w:sz w:val="21"/>
                <w:szCs w:val="21"/>
              </w:rPr>
            </w:pPr>
          </w:p>
        </w:tc>
      </w:tr>
      <w:tr w14:paraId="00BB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9F5191E">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14:paraId="6662B91C">
            <w:pPr>
              <w:spacing w:line="240" w:lineRule="atLeast"/>
              <w:jc w:val="center"/>
              <w:rPr>
                <w:rFonts w:ascii="宋体" w:hAnsi="宋体" w:cs="宋体"/>
                <w:sz w:val="21"/>
                <w:szCs w:val="21"/>
              </w:rPr>
            </w:pPr>
          </w:p>
        </w:tc>
        <w:tc>
          <w:tcPr>
            <w:tcW w:w="3404" w:type="dxa"/>
          </w:tcPr>
          <w:p w14:paraId="24B24CE1">
            <w:pPr>
              <w:spacing w:line="240" w:lineRule="atLeast"/>
              <w:jc w:val="center"/>
              <w:rPr>
                <w:rFonts w:ascii="宋体" w:hAnsi="宋体" w:cs="宋体"/>
                <w:sz w:val="21"/>
                <w:szCs w:val="21"/>
              </w:rPr>
            </w:pPr>
          </w:p>
        </w:tc>
        <w:tc>
          <w:tcPr>
            <w:tcW w:w="1344" w:type="dxa"/>
            <w:vAlign w:val="center"/>
          </w:tcPr>
          <w:p w14:paraId="46AD7E4A">
            <w:pPr>
              <w:spacing w:line="240" w:lineRule="atLeast"/>
              <w:jc w:val="center"/>
              <w:rPr>
                <w:rFonts w:ascii="宋体" w:hAnsi="宋体" w:cs="宋体"/>
                <w:sz w:val="21"/>
                <w:szCs w:val="21"/>
              </w:rPr>
            </w:pPr>
          </w:p>
        </w:tc>
        <w:tc>
          <w:tcPr>
            <w:tcW w:w="1344" w:type="dxa"/>
          </w:tcPr>
          <w:p w14:paraId="65D0581E">
            <w:pPr>
              <w:spacing w:line="240" w:lineRule="atLeast"/>
              <w:jc w:val="center"/>
              <w:rPr>
                <w:rFonts w:ascii="宋体" w:hAnsi="宋体" w:cs="宋体"/>
                <w:sz w:val="21"/>
                <w:szCs w:val="21"/>
              </w:rPr>
            </w:pPr>
          </w:p>
        </w:tc>
        <w:tc>
          <w:tcPr>
            <w:tcW w:w="1344" w:type="dxa"/>
          </w:tcPr>
          <w:p w14:paraId="074C6BC5">
            <w:pPr>
              <w:spacing w:line="240" w:lineRule="atLeast"/>
              <w:jc w:val="center"/>
              <w:rPr>
                <w:rFonts w:ascii="宋体" w:hAnsi="宋体" w:cs="宋体"/>
                <w:sz w:val="21"/>
                <w:szCs w:val="21"/>
              </w:rPr>
            </w:pPr>
          </w:p>
        </w:tc>
      </w:tr>
      <w:tr w14:paraId="7B89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76D27153">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14:paraId="79BD8B7A">
            <w:pPr>
              <w:spacing w:line="240" w:lineRule="atLeast"/>
              <w:jc w:val="center"/>
              <w:rPr>
                <w:rFonts w:ascii="宋体" w:hAnsi="宋体" w:cs="宋体"/>
                <w:sz w:val="21"/>
                <w:szCs w:val="21"/>
              </w:rPr>
            </w:pPr>
          </w:p>
        </w:tc>
        <w:tc>
          <w:tcPr>
            <w:tcW w:w="3404" w:type="dxa"/>
          </w:tcPr>
          <w:p w14:paraId="3ED36B99">
            <w:pPr>
              <w:spacing w:line="240" w:lineRule="atLeast"/>
              <w:jc w:val="center"/>
              <w:rPr>
                <w:rFonts w:ascii="宋体" w:hAnsi="宋体" w:cs="宋体"/>
                <w:sz w:val="21"/>
                <w:szCs w:val="21"/>
              </w:rPr>
            </w:pPr>
          </w:p>
        </w:tc>
        <w:tc>
          <w:tcPr>
            <w:tcW w:w="1344" w:type="dxa"/>
            <w:vAlign w:val="center"/>
          </w:tcPr>
          <w:p w14:paraId="3DD8F40F">
            <w:pPr>
              <w:spacing w:line="240" w:lineRule="atLeast"/>
              <w:jc w:val="center"/>
              <w:rPr>
                <w:rFonts w:ascii="宋体" w:hAnsi="宋体" w:cs="宋体"/>
                <w:sz w:val="21"/>
                <w:szCs w:val="21"/>
              </w:rPr>
            </w:pPr>
          </w:p>
        </w:tc>
        <w:tc>
          <w:tcPr>
            <w:tcW w:w="1344" w:type="dxa"/>
          </w:tcPr>
          <w:p w14:paraId="31858AF5">
            <w:pPr>
              <w:spacing w:line="240" w:lineRule="atLeast"/>
              <w:jc w:val="center"/>
              <w:rPr>
                <w:rFonts w:ascii="宋体" w:hAnsi="宋体" w:cs="宋体"/>
                <w:sz w:val="21"/>
                <w:szCs w:val="21"/>
              </w:rPr>
            </w:pPr>
          </w:p>
        </w:tc>
        <w:tc>
          <w:tcPr>
            <w:tcW w:w="1344" w:type="dxa"/>
          </w:tcPr>
          <w:p w14:paraId="316D7567">
            <w:pPr>
              <w:spacing w:line="240" w:lineRule="atLeast"/>
              <w:jc w:val="center"/>
              <w:rPr>
                <w:rFonts w:ascii="宋体" w:hAnsi="宋体" w:cs="宋体"/>
                <w:sz w:val="21"/>
                <w:szCs w:val="21"/>
              </w:rPr>
            </w:pPr>
          </w:p>
        </w:tc>
      </w:tr>
      <w:tr w14:paraId="4225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158223F4">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14:paraId="0B9F59F6">
            <w:pPr>
              <w:spacing w:line="240" w:lineRule="atLeast"/>
              <w:jc w:val="center"/>
              <w:rPr>
                <w:rFonts w:ascii="宋体" w:hAnsi="宋体" w:cs="宋体"/>
                <w:sz w:val="21"/>
                <w:szCs w:val="21"/>
              </w:rPr>
            </w:pPr>
          </w:p>
        </w:tc>
        <w:tc>
          <w:tcPr>
            <w:tcW w:w="3404" w:type="dxa"/>
          </w:tcPr>
          <w:p w14:paraId="7F0A276D">
            <w:pPr>
              <w:spacing w:line="240" w:lineRule="atLeast"/>
              <w:jc w:val="center"/>
              <w:rPr>
                <w:rFonts w:ascii="宋体" w:hAnsi="宋体" w:cs="宋体"/>
                <w:sz w:val="21"/>
                <w:szCs w:val="21"/>
              </w:rPr>
            </w:pPr>
          </w:p>
        </w:tc>
        <w:tc>
          <w:tcPr>
            <w:tcW w:w="1344" w:type="dxa"/>
            <w:vAlign w:val="center"/>
          </w:tcPr>
          <w:p w14:paraId="4F46BA45">
            <w:pPr>
              <w:spacing w:line="240" w:lineRule="atLeast"/>
              <w:jc w:val="center"/>
              <w:rPr>
                <w:rFonts w:ascii="宋体" w:hAnsi="宋体" w:cs="宋体"/>
                <w:sz w:val="21"/>
                <w:szCs w:val="21"/>
              </w:rPr>
            </w:pPr>
          </w:p>
        </w:tc>
        <w:tc>
          <w:tcPr>
            <w:tcW w:w="1344" w:type="dxa"/>
          </w:tcPr>
          <w:p w14:paraId="48A6FFF6">
            <w:pPr>
              <w:spacing w:line="240" w:lineRule="atLeast"/>
              <w:jc w:val="center"/>
              <w:rPr>
                <w:rFonts w:ascii="宋体" w:hAnsi="宋体" w:cs="宋体"/>
                <w:sz w:val="21"/>
                <w:szCs w:val="21"/>
              </w:rPr>
            </w:pPr>
          </w:p>
        </w:tc>
        <w:tc>
          <w:tcPr>
            <w:tcW w:w="1344" w:type="dxa"/>
          </w:tcPr>
          <w:p w14:paraId="0D3AD5B6">
            <w:pPr>
              <w:spacing w:line="240" w:lineRule="atLeast"/>
              <w:jc w:val="center"/>
              <w:rPr>
                <w:rFonts w:ascii="宋体" w:hAnsi="宋体" w:cs="宋体"/>
                <w:sz w:val="21"/>
                <w:szCs w:val="21"/>
              </w:rPr>
            </w:pPr>
          </w:p>
        </w:tc>
      </w:tr>
      <w:tr w14:paraId="7B73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3F586452">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14:paraId="6410A0F0">
            <w:pPr>
              <w:spacing w:line="240" w:lineRule="atLeast"/>
              <w:jc w:val="center"/>
              <w:rPr>
                <w:rFonts w:ascii="宋体" w:hAnsi="宋体" w:cs="宋体"/>
                <w:sz w:val="21"/>
                <w:szCs w:val="21"/>
              </w:rPr>
            </w:pPr>
          </w:p>
        </w:tc>
        <w:tc>
          <w:tcPr>
            <w:tcW w:w="3404" w:type="dxa"/>
          </w:tcPr>
          <w:p w14:paraId="5AD85F9B">
            <w:pPr>
              <w:spacing w:line="240" w:lineRule="atLeast"/>
              <w:jc w:val="center"/>
              <w:rPr>
                <w:rFonts w:ascii="宋体" w:hAnsi="宋体" w:cs="宋体"/>
                <w:sz w:val="21"/>
                <w:szCs w:val="21"/>
              </w:rPr>
            </w:pPr>
          </w:p>
        </w:tc>
        <w:tc>
          <w:tcPr>
            <w:tcW w:w="1344" w:type="dxa"/>
            <w:vAlign w:val="center"/>
          </w:tcPr>
          <w:p w14:paraId="71C0E361">
            <w:pPr>
              <w:spacing w:line="240" w:lineRule="atLeast"/>
              <w:jc w:val="center"/>
              <w:rPr>
                <w:rFonts w:ascii="宋体" w:hAnsi="宋体" w:cs="宋体"/>
                <w:sz w:val="21"/>
                <w:szCs w:val="21"/>
              </w:rPr>
            </w:pPr>
          </w:p>
        </w:tc>
        <w:tc>
          <w:tcPr>
            <w:tcW w:w="1344" w:type="dxa"/>
          </w:tcPr>
          <w:p w14:paraId="42666FCA">
            <w:pPr>
              <w:spacing w:line="240" w:lineRule="atLeast"/>
              <w:jc w:val="center"/>
              <w:rPr>
                <w:rFonts w:ascii="宋体" w:hAnsi="宋体" w:cs="宋体"/>
                <w:sz w:val="21"/>
                <w:szCs w:val="21"/>
              </w:rPr>
            </w:pPr>
          </w:p>
        </w:tc>
        <w:tc>
          <w:tcPr>
            <w:tcW w:w="1344" w:type="dxa"/>
          </w:tcPr>
          <w:p w14:paraId="0EBFAC85">
            <w:pPr>
              <w:spacing w:line="240" w:lineRule="atLeast"/>
              <w:jc w:val="center"/>
              <w:rPr>
                <w:rFonts w:ascii="宋体" w:hAnsi="宋体" w:cs="宋体"/>
                <w:sz w:val="21"/>
                <w:szCs w:val="21"/>
              </w:rPr>
            </w:pPr>
          </w:p>
        </w:tc>
      </w:tr>
      <w:tr w14:paraId="0F1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429358A">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14:paraId="2F32EA68">
            <w:pPr>
              <w:spacing w:line="240" w:lineRule="atLeast"/>
              <w:jc w:val="center"/>
              <w:rPr>
                <w:rFonts w:ascii="宋体" w:hAnsi="宋体" w:cs="宋体"/>
                <w:sz w:val="21"/>
                <w:szCs w:val="21"/>
              </w:rPr>
            </w:pPr>
            <w:r>
              <w:rPr>
                <w:rFonts w:hint="eastAsia" w:ascii="宋体" w:hAnsi="宋体" w:cs="宋体"/>
                <w:sz w:val="21"/>
                <w:szCs w:val="21"/>
              </w:rPr>
              <w:t>人工费</w:t>
            </w:r>
          </w:p>
        </w:tc>
        <w:tc>
          <w:tcPr>
            <w:tcW w:w="3404" w:type="dxa"/>
          </w:tcPr>
          <w:p w14:paraId="30CA23B9">
            <w:pPr>
              <w:spacing w:line="240" w:lineRule="atLeast"/>
              <w:jc w:val="center"/>
              <w:rPr>
                <w:rFonts w:ascii="宋体" w:hAnsi="宋体" w:cs="宋体"/>
                <w:sz w:val="21"/>
                <w:szCs w:val="21"/>
              </w:rPr>
            </w:pPr>
          </w:p>
        </w:tc>
        <w:tc>
          <w:tcPr>
            <w:tcW w:w="1344" w:type="dxa"/>
            <w:vAlign w:val="center"/>
          </w:tcPr>
          <w:p w14:paraId="0723D63B">
            <w:pPr>
              <w:spacing w:line="240" w:lineRule="atLeast"/>
              <w:jc w:val="center"/>
              <w:rPr>
                <w:rFonts w:ascii="宋体" w:hAnsi="宋体" w:cs="宋体"/>
                <w:sz w:val="21"/>
                <w:szCs w:val="21"/>
              </w:rPr>
            </w:pPr>
            <w:r>
              <w:rPr>
                <w:rFonts w:hint="eastAsia" w:ascii="宋体" w:hAnsi="宋体" w:cs="宋体"/>
                <w:sz w:val="21"/>
                <w:szCs w:val="21"/>
              </w:rPr>
              <w:t>/</w:t>
            </w:r>
          </w:p>
        </w:tc>
        <w:tc>
          <w:tcPr>
            <w:tcW w:w="1344" w:type="dxa"/>
          </w:tcPr>
          <w:p w14:paraId="26B27572">
            <w:pPr>
              <w:spacing w:line="240" w:lineRule="atLeast"/>
              <w:jc w:val="center"/>
              <w:rPr>
                <w:rFonts w:ascii="宋体" w:hAnsi="宋体" w:cs="宋体"/>
                <w:sz w:val="21"/>
                <w:szCs w:val="21"/>
              </w:rPr>
            </w:pPr>
          </w:p>
        </w:tc>
        <w:tc>
          <w:tcPr>
            <w:tcW w:w="1344" w:type="dxa"/>
          </w:tcPr>
          <w:p w14:paraId="18773DEC">
            <w:pPr>
              <w:spacing w:line="240" w:lineRule="atLeast"/>
              <w:jc w:val="center"/>
              <w:rPr>
                <w:rFonts w:ascii="宋体" w:hAnsi="宋体" w:cs="宋体"/>
                <w:sz w:val="21"/>
                <w:szCs w:val="21"/>
              </w:rPr>
            </w:pPr>
          </w:p>
        </w:tc>
      </w:tr>
      <w:tr w14:paraId="6C86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66301DE">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14:paraId="247F110E">
            <w:pPr>
              <w:spacing w:line="240" w:lineRule="atLeast"/>
              <w:jc w:val="center"/>
              <w:rPr>
                <w:rFonts w:ascii="宋体" w:hAnsi="宋体" w:cs="宋体"/>
                <w:sz w:val="21"/>
                <w:szCs w:val="21"/>
              </w:rPr>
            </w:pPr>
            <w:r>
              <w:rPr>
                <w:rFonts w:hint="eastAsia" w:ascii="宋体" w:hAnsi="宋体" w:cs="宋体"/>
                <w:sz w:val="21"/>
                <w:szCs w:val="21"/>
              </w:rPr>
              <w:t>各种税费</w:t>
            </w:r>
          </w:p>
        </w:tc>
        <w:tc>
          <w:tcPr>
            <w:tcW w:w="3404" w:type="dxa"/>
          </w:tcPr>
          <w:p w14:paraId="39441E75">
            <w:pPr>
              <w:spacing w:line="240" w:lineRule="atLeast"/>
              <w:jc w:val="center"/>
              <w:rPr>
                <w:rFonts w:ascii="宋体" w:hAnsi="宋体" w:cs="宋体"/>
                <w:sz w:val="21"/>
                <w:szCs w:val="21"/>
              </w:rPr>
            </w:pPr>
          </w:p>
        </w:tc>
        <w:tc>
          <w:tcPr>
            <w:tcW w:w="1344" w:type="dxa"/>
            <w:vAlign w:val="center"/>
          </w:tcPr>
          <w:p w14:paraId="6D74B340">
            <w:pPr>
              <w:spacing w:line="240" w:lineRule="atLeast"/>
              <w:jc w:val="center"/>
              <w:rPr>
                <w:rFonts w:ascii="宋体" w:hAnsi="宋体" w:cs="宋体"/>
                <w:sz w:val="21"/>
                <w:szCs w:val="21"/>
              </w:rPr>
            </w:pPr>
            <w:r>
              <w:rPr>
                <w:rFonts w:hint="eastAsia" w:ascii="宋体" w:hAnsi="宋体" w:cs="宋体"/>
                <w:sz w:val="21"/>
                <w:szCs w:val="21"/>
              </w:rPr>
              <w:t>/</w:t>
            </w:r>
          </w:p>
        </w:tc>
        <w:tc>
          <w:tcPr>
            <w:tcW w:w="1344" w:type="dxa"/>
          </w:tcPr>
          <w:p w14:paraId="6F3A3002">
            <w:pPr>
              <w:spacing w:line="240" w:lineRule="atLeast"/>
              <w:jc w:val="center"/>
              <w:rPr>
                <w:rFonts w:ascii="宋体" w:hAnsi="宋体" w:cs="宋体"/>
                <w:sz w:val="21"/>
                <w:szCs w:val="21"/>
              </w:rPr>
            </w:pPr>
          </w:p>
        </w:tc>
        <w:tc>
          <w:tcPr>
            <w:tcW w:w="1344" w:type="dxa"/>
          </w:tcPr>
          <w:p w14:paraId="20EA8FAF">
            <w:pPr>
              <w:spacing w:line="240" w:lineRule="atLeast"/>
              <w:jc w:val="center"/>
              <w:rPr>
                <w:rFonts w:ascii="宋体" w:hAnsi="宋体" w:cs="宋体"/>
                <w:sz w:val="21"/>
                <w:szCs w:val="21"/>
              </w:rPr>
            </w:pPr>
          </w:p>
        </w:tc>
      </w:tr>
      <w:tr w14:paraId="1246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231B5B67">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14:paraId="122361F2">
            <w:pPr>
              <w:spacing w:line="240" w:lineRule="atLeast"/>
              <w:jc w:val="center"/>
              <w:rPr>
                <w:rFonts w:ascii="宋体" w:hAnsi="宋体" w:cs="宋体"/>
                <w:sz w:val="21"/>
                <w:szCs w:val="21"/>
              </w:rPr>
            </w:pPr>
            <w:r>
              <w:rPr>
                <w:rFonts w:hint="eastAsia" w:ascii="宋体" w:hAnsi="宋体" w:cs="宋体"/>
                <w:sz w:val="21"/>
                <w:szCs w:val="21"/>
              </w:rPr>
              <w:t>其他费用</w:t>
            </w:r>
          </w:p>
        </w:tc>
        <w:tc>
          <w:tcPr>
            <w:tcW w:w="3404" w:type="dxa"/>
          </w:tcPr>
          <w:p w14:paraId="72FC5214">
            <w:pPr>
              <w:spacing w:line="240" w:lineRule="atLeast"/>
              <w:jc w:val="center"/>
              <w:rPr>
                <w:rFonts w:ascii="宋体" w:hAnsi="宋体" w:cs="宋体"/>
                <w:sz w:val="21"/>
                <w:szCs w:val="21"/>
              </w:rPr>
            </w:pPr>
          </w:p>
        </w:tc>
        <w:tc>
          <w:tcPr>
            <w:tcW w:w="1344" w:type="dxa"/>
            <w:vAlign w:val="center"/>
          </w:tcPr>
          <w:p w14:paraId="394D4593">
            <w:pPr>
              <w:spacing w:line="240" w:lineRule="atLeast"/>
              <w:jc w:val="center"/>
              <w:rPr>
                <w:rFonts w:ascii="宋体" w:hAnsi="宋体" w:cs="宋体"/>
                <w:sz w:val="21"/>
                <w:szCs w:val="21"/>
              </w:rPr>
            </w:pPr>
            <w:r>
              <w:rPr>
                <w:rFonts w:hint="eastAsia" w:ascii="宋体" w:hAnsi="宋体" w:cs="宋体"/>
                <w:sz w:val="21"/>
                <w:szCs w:val="21"/>
              </w:rPr>
              <w:t>/</w:t>
            </w:r>
          </w:p>
        </w:tc>
        <w:tc>
          <w:tcPr>
            <w:tcW w:w="1344" w:type="dxa"/>
          </w:tcPr>
          <w:p w14:paraId="7014E10C">
            <w:pPr>
              <w:spacing w:line="240" w:lineRule="atLeast"/>
              <w:jc w:val="center"/>
              <w:rPr>
                <w:rFonts w:ascii="宋体" w:hAnsi="宋体" w:cs="宋体"/>
                <w:sz w:val="21"/>
                <w:szCs w:val="21"/>
              </w:rPr>
            </w:pPr>
          </w:p>
        </w:tc>
        <w:tc>
          <w:tcPr>
            <w:tcW w:w="1344" w:type="dxa"/>
          </w:tcPr>
          <w:p w14:paraId="79C56B20">
            <w:pPr>
              <w:spacing w:line="240" w:lineRule="atLeast"/>
              <w:jc w:val="center"/>
              <w:rPr>
                <w:rFonts w:ascii="宋体" w:hAnsi="宋体" w:cs="宋体"/>
                <w:sz w:val="21"/>
                <w:szCs w:val="21"/>
              </w:rPr>
            </w:pPr>
          </w:p>
        </w:tc>
      </w:tr>
      <w:tr w14:paraId="6769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01AC5441">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14:paraId="67C1B51E">
            <w:pPr>
              <w:spacing w:line="240" w:lineRule="atLeast"/>
              <w:jc w:val="center"/>
              <w:rPr>
                <w:rFonts w:ascii="宋体" w:hAnsi="宋体" w:cs="宋体"/>
                <w:sz w:val="21"/>
                <w:szCs w:val="21"/>
              </w:rPr>
            </w:pPr>
            <w:r>
              <w:rPr>
                <w:rFonts w:hint="eastAsia" w:ascii="宋体" w:hAnsi="宋体" w:cs="宋体"/>
                <w:sz w:val="21"/>
                <w:szCs w:val="21"/>
              </w:rPr>
              <w:t>……</w:t>
            </w:r>
          </w:p>
        </w:tc>
        <w:tc>
          <w:tcPr>
            <w:tcW w:w="3404" w:type="dxa"/>
          </w:tcPr>
          <w:p w14:paraId="4CF1054B">
            <w:pPr>
              <w:spacing w:line="240" w:lineRule="atLeast"/>
              <w:jc w:val="center"/>
              <w:rPr>
                <w:rFonts w:ascii="宋体" w:hAnsi="宋体" w:cs="宋体"/>
                <w:sz w:val="21"/>
                <w:szCs w:val="21"/>
              </w:rPr>
            </w:pPr>
          </w:p>
        </w:tc>
        <w:tc>
          <w:tcPr>
            <w:tcW w:w="1344" w:type="dxa"/>
            <w:vAlign w:val="center"/>
          </w:tcPr>
          <w:p w14:paraId="5E534AE0">
            <w:pPr>
              <w:spacing w:line="240" w:lineRule="atLeast"/>
              <w:jc w:val="center"/>
              <w:rPr>
                <w:rFonts w:ascii="宋体" w:hAnsi="宋体" w:cs="宋体"/>
                <w:sz w:val="21"/>
                <w:szCs w:val="21"/>
              </w:rPr>
            </w:pPr>
            <w:r>
              <w:rPr>
                <w:rFonts w:hint="eastAsia" w:ascii="宋体" w:hAnsi="宋体" w:cs="宋体"/>
                <w:sz w:val="21"/>
                <w:szCs w:val="21"/>
              </w:rPr>
              <w:t>/</w:t>
            </w:r>
          </w:p>
        </w:tc>
        <w:tc>
          <w:tcPr>
            <w:tcW w:w="1344" w:type="dxa"/>
          </w:tcPr>
          <w:p w14:paraId="3726F28A">
            <w:pPr>
              <w:spacing w:line="240" w:lineRule="atLeast"/>
              <w:jc w:val="center"/>
              <w:rPr>
                <w:rFonts w:ascii="宋体" w:hAnsi="宋体" w:cs="宋体"/>
                <w:sz w:val="21"/>
                <w:szCs w:val="21"/>
              </w:rPr>
            </w:pPr>
          </w:p>
        </w:tc>
        <w:tc>
          <w:tcPr>
            <w:tcW w:w="1344" w:type="dxa"/>
          </w:tcPr>
          <w:p w14:paraId="5815EC4F">
            <w:pPr>
              <w:spacing w:line="240" w:lineRule="atLeast"/>
              <w:jc w:val="center"/>
              <w:rPr>
                <w:rFonts w:ascii="宋体" w:hAnsi="宋体" w:cs="宋体"/>
                <w:sz w:val="21"/>
                <w:szCs w:val="21"/>
              </w:rPr>
            </w:pPr>
          </w:p>
        </w:tc>
      </w:tr>
      <w:tr w14:paraId="44AB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14:paraId="64DA3C8C">
            <w:pPr>
              <w:pStyle w:val="4"/>
              <w:spacing w:line="240" w:lineRule="atLeast"/>
              <w:ind w:left="3920"/>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14:paraId="711C9326">
            <w:pPr>
              <w:spacing w:line="240" w:lineRule="atLeast"/>
              <w:jc w:val="center"/>
              <w:rPr>
                <w:rFonts w:ascii="宋体" w:hAnsi="宋体" w:cs="宋体"/>
                <w:sz w:val="21"/>
                <w:szCs w:val="21"/>
              </w:rPr>
            </w:pPr>
            <w:r>
              <w:rPr>
                <w:rFonts w:hint="eastAsia" w:ascii="宋体" w:hAnsi="宋体" w:cs="宋体"/>
                <w:sz w:val="21"/>
                <w:szCs w:val="21"/>
              </w:rPr>
              <w:t>总计</w:t>
            </w:r>
          </w:p>
        </w:tc>
        <w:tc>
          <w:tcPr>
            <w:tcW w:w="7436" w:type="dxa"/>
            <w:gridSpan w:val="4"/>
          </w:tcPr>
          <w:p w14:paraId="526AE69A">
            <w:pPr>
              <w:spacing w:line="240" w:lineRule="atLeast"/>
              <w:rPr>
                <w:rFonts w:ascii="宋体" w:hAnsi="宋体" w:cs="宋体"/>
                <w:sz w:val="21"/>
                <w:szCs w:val="21"/>
              </w:rPr>
            </w:pPr>
          </w:p>
        </w:tc>
      </w:tr>
    </w:tbl>
    <w:p w14:paraId="7D63BD18">
      <w:pPr>
        <w:snapToGrid w:val="0"/>
        <w:spacing w:line="560" w:lineRule="exact"/>
        <w:ind w:firstLine="480" w:firstLineChars="200"/>
        <w:rPr>
          <w:rFonts w:ascii="宋体" w:hAnsi="宋体" w:cs="宋体"/>
          <w:sz w:val="24"/>
          <w:szCs w:val="28"/>
        </w:rPr>
      </w:pPr>
    </w:p>
    <w:p w14:paraId="3194C3FE">
      <w:pPr>
        <w:snapToGrid w:val="0"/>
        <w:spacing w:line="560" w:lineRule="exact"/>
        <w:ind w:firstLine="480" w:firstLineChars="200"/>
        <w:rPr>
          <w:rFonts w:ascii="宋体" w:hAnsi="宋体" w:cs="宋体"/>
          <w:sz w:val="24"/>
          <w:szCs w:val="28"/>
        </w:rPr>
      </w:pPr>
    </w:p>
    <w:p w14:paraId="442D0707">
      <w:pPr>
        <w:snapToGrid w:val="0"/>
        <w:spacing w:line="560" w:lineRule="exact"/>
        <w:rPr>
          <w:rFonts w:ascii="宋体" w:hAnsi="宋体" w:cs="宋体"/>
          <w:sz w:val="24"/>
          <w:szCs w:val="28"/>
        </w:rPr>
      </w:pPr>
      <w:r>
        <w:rPr>
          <w:rFonts w:hint="eastAsia" w:ascii="宋体" w:hAnsi="宋体" w:cs="宋体"/>
          <w:sz w:val="24"/>
          <w:szCs w:val="28"/>
        </w:rPr>
        <w:t>注：本表可根据项目实际情况调整，并逐页盖章。</w:t>
      </w:r>
    </w:p>
    <w:p w14:paraId="3EE6D52D">
      <w:pPr>
        <w:pStyle w:val="39"/>
        <w:spacing w:line="560" w:lineRule="exact"/>
        <w:ind w:firstLine="480"/>
        <w:rPr>
          <w:rFonts w:ascii="宋体" w:hAnsi="宋体" w:cs="宋体"/>
          <w:sz w:val="24"/>
          <w:szCs w:val="24"/>
        </w:rPr>
      </w:pPr>
    </w:p>
    <w:p w14:paraId="43AF9D13">
      <w:pPr>
        <w:pStyle w:val="39"/>
        <w:spacing w:line="560" w:lineRule="exact"/>
        <w:ind w:firstLine="480"/>
        <w:rPr>
          <w:rFonts w:ascii="宋体" w:hAnsi="宋体" w:cs="宋体"/>
        </w:rPr>
      </w:pPr>
      <w:r>
        <w:rPr>
          <w:rFonts w:hint="eastAsia" w:ascii="宋体" w:hAnsi="宋体" w:cs="宋体"/>
          <w:sz w:val="24"/>
          <w:szCs w:val="24"/>
        </w:rPr>
        <w:t xml:space="preserve">            </w:t>
      </w:r>
    </w:p>
    <w:p w14:paraId="3F65CB05">
      <w:pPr>
        <w:spacing w:line="560" w:lineRule="exact"/>
        <w:rPr>
          <w:rFonts w:ascii="宋体" w:hAnsi="宋体" w:cs="宋体"/>
        </w:rPr>
      </w:pPr>
    </w:p>
    <w:p w14:paraId="7B6326DF">
      <w:pPr>
        <w:spacing w:line="560" w:lineRule="exact"/>
        <w:rPr>
          <w:rFonts w:ascii="宋体" w:hAnsi="宋体" w:cs="宋体"/>
        </w:rPr>
      </w:pPr>
      <w:r>
        <w:rPr>
          <w:rFonts w:hint="eastAsia" w:ascii="宋体" w:hAnsi="宋体" w:cs="宋体"/>
          <w:sz w:val="24"/>
          <w:szCs w:val="24"/>
        </w:rPr>
        <w:t xml:space="preserve">                                                   供应商名称（公章）：</w:t>
      </w:r>
    </w:p>
    <w:p w14:paraId="19F95162">
      <w:pPr>
        <w:spacing w:line="560" w:lineRule="exact"/>
        <w:ind w:right="480" w:firstLine="6480" w:firstLineChars="2700"/>
        <w:rPr>
          <w:rFonts w:ascii="宋体" w:hAnsi="宋体" w:cs="宋体"/>
          <w:sz w:val="24"/>
          <w:szCs w:val="24"/>
        </w:rPr>
      </w:pPr>
      <w:r>
        <w:rPr>
          <w:rFonts w:hint="eastAsia" w:ascii="宋体" w:hAnsi="宋体" w:cs="宋体"/>
          <w:sz w:val="24"/>
          <w:szCs w:val="24"/>
        </w:rPr>
        <w:t>年     月    日</w:t>
      </w:r>
    </w:p>
    <w:p w14:paraId="0F91A70D">
      <w:pPr>
        <w:spacing w:line="560" w:lineRule="exact"/>
        <w:ind w:firstLine="420"/>
        <w:rPr>
          <w:rFonts w:ascii="宋体" w:hAnsi="宋体" w:cs="宋体"/>
          <w:b/>
          <w:szCs w:val="28"/>
        </w:rPr>
      </w:pPr>
    </w:p>
    <w:p w14:paraId="7B4F52AA">
      <w:pPr>
        <w:spacing w:line="560" w:lineRule="exact"/>
        <w:rPr>
          <w:rFonts w:ascii="宋体" w:hAnsi="宋体" w:cs="宋体"/>
          <w:b/>
          <w:szCs w:val="28"/>
        </w:rPr>
      </w:pPr>
    </w:p>
    <w:p w14:paraId="6429D188">
      <w:pPr>
        <w:spacing w:line="560" w:lineRule="exact"/>
        <w:rPr>
          <w:rFonts w:ascii="宋体" w:hAnsi="宋体" w:cs="宋体"/>
          <w:b/>
          <w:szCs w:val="28"/>
        </w:rPr>
      </w:pPr>
    </w:p>
    <w:p w14:paraId="75BA5385">
      <w:pPr>
        <w:spacing w:line="560" w:lineRule="exact"/>
        <w:ind w:firstLine="480" w:firstLineChars="200"/>
        <w:rPr>
          <w:rFonts w:ascii="宋体" w:hAnsi="宋体" w:cs="宋体"/>
          <w:color w:val="FF0000"/>
          <w:sz w:val="24"/>
          <w:szCs w:val="24"/>
        </w:rPr>
      </w:pPr>
    </w:p>
    <w:p w14:paraId="4D72EE77">
      <w:pPr>
        <w:spacing w:line="560" w:lineRule="exact"/>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14:paraId="03BE6FD3">
      <w:pPr>
        <w:numPr>
          <w:ilvl w:val="0"/>
          <w:numId w:val="13"/>
        </w:numPr>
        <w:spacing w:line="560" w:lineRule="exact"/>
        <w:rPr>
          <w:rFonts w:ascii="宋体" w:hAnsi="宋体" w:cs="宋体"/>
          <w:b/>
          <w:sz w:val="24"/>
          <w:szCs w:val="24"/>
        </w:rPr>
      </w:pPr>
      <w:r>
        <w:rPr>
          <w:rFonts w:hint="eastAsia" w:ascii="宋体" w:hAnsi="宋体" w:cs="宋体"/>
          <w:b/>
          <w:sz w:val="24"/>
          <w:szCs w:val="24"/>
        </w:rPr>
        <w:t>服务方案</w:t>
      </w:r>
    </w:p>
    <w:p w14:paraId="60393746">
      <w:pPr>
        <w:spacing w:line="560" w:lineRule="exact"/>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14:paraId="596F192A">
      <w:pPr>
        <w:spacing w:line="560" w:lineRule="exact"/>
        <w:rPr>
          <w:rFonts w:ascii="宋体" w:hAnsi="宋体" w:cs="宋体"/>
          <w:b/>
          <w:sz w:val="24"/>
          <w:szCs w:val="24"/>
        </w:rPr>
      </w:pPr>
    </w:p>
    <w:p w14:paraId="135A7053">
      <w:pPr>
        <w:pStyle w:val="8"/>
        <w:spacing w:before="0" w:after="0" w:line="560" w:lineRule="exact"/>
        <w:jc w:val="left"/>
        <w:rPr>
          <w:rFonts w:ascii="宋体" w:hAnsi="宋体" w:cs="宋体"/>
          <w:sz w:val="24"/>
          <w:szCs w:val="24"/>
        </w:rPr>
      </w:pPr>
    </w:p>
    <w:p w14:paraId="62548A80">
      <w:pPr>
        <w:pStyle w:val="8"/>
        <w:numPr>
          <w:ilvl w:val="0"/>
          <w:numId w:val="13"/>
        </w:numPr>
        <w:spacing w:before="0" w:after="0" w:line="560" w:lineRule="exact"/>
        <w:jc w:val="left"/>
        <w:rPr>
          <w:rFonts w:ascii="宋体" w:hAnsi="宋体" w:cs="宋体"/>
          <w:sz w:val="24"/>
          <w:szCs w:val="24"/>
        </w:rPr>
      </w:pPr>
      <w:r>
        <w:rPr>
          <w:rFonts w:hint="eastAsia" w:ascii="宋体" w:hAnsi="宋体" w:cs="宋体"/>
          <w:sz w:val="24"/>
          <w:szCs w:val="24"/>
        </w:rPr>
        <w:t>资格条件及其他</w:t>
      </w:r>
    </w:p>
    <w:p w14:paraId="61A5B497">
      <w:pPr>
        <w:spacing w:line="560" w:lineRule="exact"/>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14:paraId="01E7831F">
      <w:pPr>
        <w:spacing w:line="560" w:lineRule="exact"/>
      </w:pPr>
    </w:p>
    <w:p w14:paraId="5F169AF2">
      <w:pPr>
        <w:pStyle w:val="8"/>
        <w:spacing w:before="0" w:after="0" w:line="560" w:lineRule="exact"/>
        <w:rPr>
          <w:rFonts w:ascii="宋体" w:hAnsi="宋体" w:cs="宋体"/>
          <w:sz w:val="24"/>
          <w:szCs w:val="24"/>
        </w:rPr>
      </w:pPr>
    </w:p>
    <w:p w14:paraId="64069D84">
      <w:pPr>
        <w:pStyle w:val="8"/>
        <w:spacing w:before="0" w:after="0" w:line="560" w:lineRule="exact"/>
        <w:rPr>
          <w:rFonts w:ascii="宋体" w:hAnsi="宋体" w:cs="宋体"/>
          <w:sz w:val="28"/>
          <w:szCs w:val="28"/>
        </w:rPr>
      </w:pPr>
      <w:r>
        <w:rPr>
          <w:rFonts w:hint="eastAsia" w:ascii="宋体" w:hAnsi="宋体" w:cs="宋体"/>
          <w:sz w:val="24"/>
          <w:szCs w:val="24"/>
        </w:rPr>
        <w:t>四、其</w:t>
      </w:r>
      <w:r>
        <w:rPr>
          <w:rFonts w:hint="eastAsia" w:ascii="宋体" w:hAnsi="宋体" w:cs="宋体"/>
          <w:sz w:val="28"/>
          <w:szCs w:val="28"/>
        </w:rPr>
        <w:t>他应提供的资料</w:t>
      </w:r>
    </w:p>
    <w:p w14:paraId="68E3CD42">
      <w:pPr>
        <w:tabs>
          <w:tab w:val="left" w:pos="6300"/>
        </w:tabs>
        <w:snapToGrid w:val="0"/>
        <w:spacing w:line="560" w:lineRule="exact"/>
        <w:rPr>
          <w:rFonts w:ascii="宋体" w:hAnsi="宋体" w:cs="宋体"/>
          <w:sz w:val="24"/>
          <w:szCs w:val="24"/>
        </w:rPr>
      </w:pPr>
      <w:r>
        <w:rPr>
          <w:rFonts w:hint="eastAsia" w:ascii="宋体" w:hAnsi="宋体" w:cs="宋体"/>
          <w:sz w:val="24"/>
          <w:szCs w:val="24"/>
        </w:rPr>
        <w:t>（一）其他资料</w:t>
      </w:r>
    </w:p>
    <w:p w14:paraId="5B6E4D38">
      <w:pPr>
        <w:spacing w:line="560" w:lineRule="exact"/>
      </w:pPr>
      <w:r>
        <w:rPr>
          <w:rFonts w:hint="eastAsia" w:ascii="宋体" w:hAnsi="宋体" w:cs="宋体"/>
          <w:sz w:val="24"/>
          <w:szCs w:val="24"/>
        </w:rPr>
        <w:t>1、其他与项目有关的资料（自附）：供应商总体情况介绍、其他与本项目有关的资料等。</w:t>
      </w:r>
    </w:p>
    <w:p w14:paraId="3D533F79">
      <w:pPr>
        <w:tabs>
          <w:tab w:val="left" w:pos="6300"/>
        </w:tabs>
        <w:snapToGrid w:val="0"/>
        <w:spacing w:line="560" w:lineRule="exact"/>
        <w:rPr>
          <w:rFonts w:ascii="宋体" w:hAnsi="宋体" w:cs="宋体"/>
          <w:b/>
          <w:bCs/>
          <w:sz w:val="24"/>
          <w:szCs w:val="24"/>
        </w:rPr>
      </w:pPr>
    </w:p>
    <w:p w14:paraId="65D1FF68">
      <w:pPr>
        <w:tabs>
          <w:tab w:val="left" w:pos="6300"/>
        </w:tabs>
        <w:snapToGrid w:val="0"/>
        <w:spacing w:line="560" w:lineRule="exact"/>
        <w:rPr>
          <w:rFonts w:ascii="宋体" w:hAnsi="宋体" w:cs="宋体"/>
          <w:b/>
          <w:bCs/>
          <w:sz w:val="24"/>
          <w:szCs w:val="24"/>
        </w:rPr>
      </w:pPr>
    </w:p>
    <w:p w14:paraId="2276DEFA">
      <w:pPr>
        <w:spacing w:line="560" w:lineRule="exact"/>
        <w:rPr>
          <w:rFonts w:ascii="宋体" w:hAnsi="宋体" w:cs="宋体"/>
          <w:b/>
          <w:bCs/>
          <w:sz w:val="24"/>
          <w:szCs w:val="24"/>
        </w:rPr>
      </w:pPr>
      <w:r>
        <w:rPr>
          <w:rFonts w:hint="eastAsia" w:ascii="宋体" w:hAnsi="宋体" w:cs="宋体"/>
          <w:b/>
          <w:bCs/>
          <w:sz w:val="24"/>
          <w:szCs w:val="24"/>
        </w:rPr>
        <w:br w:type="page"/>
      </w:r>
    </w:p>
    <w:p w14:paraId="376F788B">
      <w:pPr>
        <w:tabs>
          <w:tab w:val="left" w:pos="6300"/>
        </w:tabs>
        <w:snapToGrid w:val="0"/>
        <w:spacing w:line="440" w:lineRule="exact"/>
        <w:rPr>
          <w:rFonts w:ascii="宋体" w:hAnsi="宋体" w:cs="宋体"/>
          <w:b/>
          <w:bCs/>
          <w:sz w:val="24"/>
          <w:szCs w:val="24"/>
        </w:rPr>
      </w:pPr>
      <w:r>
        <w:rPr>
          <w:rFonts w:hint="eastAsia" w:ascii="宋体" w:hAnsi="宋体" w:cs="宋体"/>
          <w:b/>
          <w:bCs/>
          <w:sz w:val="24"/>
          <w:szCs w:val="24"/>
        </w:rPr>
        <w:t>五、</w:t>
      </w:r>
      <w:bookmarkEnd w:id="0"/>
      <w:bookmarkEnd w:id="1"/>
      <w:bookmarkEnd w:id="2"/>
      <w:bookmarkEnd w:id="3"/>
      <w:bookmarkEnd w:id="4"/>
      <w:r>
        <w:rPr>
          <w:rFonts w:hint="eastAsia" w:ascii="宋体" w:hAnsi="宋体" w:cs="宋体"/>
          <w:b/>
          <w:bCs/>
          <w:sz w:val="24"/>
          <w:szCs w:val="24"/>
        </w:rPr>
        <w:t>法定代表人授权委托书（格式）/法定代表人（格式）（二选一）</w:t>
      </w:r>
    </w:p>
    <w:p w14:paraId="06E77EF2">
      <w:pPr>
        <w:tabs>
          <w:tab w:val="left" w:pos="6300"/>
        </w:tabs>
        <w:snapToGrid w:val="0"/>
        <w:spacing w:line="440" w:lineRule="exact"/>
        <w:jc w:val="center"/>
        <w:rPr>
          <w:rFonts w:ascii="宋体" w:hAnsi="宋体" w:cs="宋体"/>
          <w:b/>
          <w:bCs/>
          <w:sz w:val="24"/>
          <w:szCs w:val="24"/>
        </w:rPr>
      </w:pPr>
      <w:r>
        <w:rPr>
          <w:rFonts w:hint="eastAsia" w:ascii="宋体" w:hAnsi="宋体" w:cs="宋体"/>
          <w:b/>
          <w:bCs/>
          <w:sz w:val="24"/>
          <w:szCs w:val="24"/>
        </w:rPr>
        <w:t>法定代表人授权委托书</w:t>
      </w:r>
    </w:p>
    <w:p w14:paraId="13A93B25">
      <w:pPr>
        <w:tabs>
          <w:tab w:val="left" w:pos="6300"/>
        </w:tabs>
        <w:snapToGrid w:val="0"/>
        <w:spacing w:line="44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106FFA8C">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14:paraId="47750659">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14:paraId="6803AFF2">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rPr>
        <w:t>在</w:t>
      </w:r>
      <w:r>
        <w:rPr>
          <w:rFonts w:hint="eastAsia" w:ascii="宋体" w:hAnsi="宋体" w:cs="宋体"/>
          <w:sz w:val="24"/>
          <w:szCs w:val="24"/>
          <w:lang w:eastAsia="zh-CN"/>
        </w:rPr>
        <w:t>撤销</w:t>
      </w:r>
      <w:r>
        <w:rPr>
          <w:rFonts w:hint="eastAsia" w:ascii="宋体" w:hAnsi="宋体" w:cs="宋体"/>
          <w:sz w:val="24"/>
          <w:szCs w:val="24"/>
        </w:rPr>
        <w:t>授权的书面通知以前，本授权书一直有效。被授权人在授权书有效期内签署的所有文件不因授权</w:t>
      </w:r>
      <w:r>
        <w:rPr>
          <w:rFonts w:hint="eastAsia" w:ascii="宋体" w:hAnsi="宋体" w:cs="宋体"/>
          <w:sz w:val="24"/>
          <w:szCs w:val="24"/>
          <w:lang w:eastAsia="zh-CN"/>
        </w:rPr>
        <w:t>的撤销</w:t>
      </w:r>
      <w:r>
        <w:rPr>
          <w:rFonts w:hint="eastAsia" w:ascii="宋体" w:hAnsi="宋体" w:cs="宋体"/>
          <w:sz w:val="24"/>
          <w:szCs w:val="24"/>
        </w:rPr>
        <w:t>而失效。</w:t>
      </w:r>
    </w:p>
    <w:p w14:paraId="70CFBFE8">
      <w:pPr>
        <w:tabs>
          <w:tab w:val="left" w:pos="6300"/>
        </w:tabs>
        <w:snapToGrid w:val="0"/>
        <w:spacing w:line="440" w:lineRule="exact"/>
        <w:ind w:firstLine="570"/>
        <w:rPr>
          <w:rFonts w:ascii="宋体" w:hAnsi="宋体" w:cs="宋体"/>
          <w:sz w:val="24"/>
          <w:szCs w:val="24"/>
        </w:rPr>
      </w:pPr>
    </w:p>
    <w:p w14:paraId="3667B474">
      <w:pPr>
        <w:tabs>
          <w:tab w:val="left" w:pos="6300"/>
        </w:tabs>
        <w:snapToGrid w:val="0"/>
        <w:spacing w:line="440" w:lineRule="exact"/>
        <w:ind w:firstLine="570"/>
        <w:rPr>
          <w:rFonts w:ascii="宋体" w:hAnsi="宋体" w:cs="宋体"/>
          <w:sz w:val="24"/>
          <w:szCs w:val="24"/>
        </w:rPr>
      </w:pPr>
      <w:r>
        <w:rPr>
          <w:rFonts w:hint="eastAsia" w:ascii="宋体" w:hAnsi="宋体" w:cs="宋体"/>
          <w:sz w:val="24"/>
          <w:szCs w:val="24"/>
        </w:rPr>
        <w:t>被授权人：                                 法定代表人：</w:t>
      </w:r>
    </w:p>
    <w:p w14:paraId="4EF8AF02">
      <w:pPr>
        <w:tabs>
          <w:tab w:val="left" w:pos="6300"/>
        </w:tabs>
        <w:snapToGrid w:val="0"/>
        <w:spacing w:line="440" w:lineRule="exact"/>
        <w:ind w:firstLine="570"/>
        <w:rPr>
          <w:rFonts w:ascii="宋体" w:hAnsi="宋体" w:cs="宋体"/>
          <w:sz w:val="24"/>
          <w:szCs w:val="24"/>
        </w:rPr>
      </w:pPr>
      <w:r>
        <w:rPr>
          <w:rFonts w:hint="eastAsia" w:ascii="宋体" w:hAnsi="宋体" w:cs="宋体"/>
          <w:sz w:val="24"/>
          <w:szCs w:val="24"/>
        </w:rPr>
        <w:t>（签字或盖章）                             （签字或盖章）</w:t>
      </w:r>
    </w:p>
    <w:p w14:paraId="0742C161">
      <w:pPr>
        <w:tabs>
          <w:tab w:val="left" w:pos="6300"/>
        </w:tabs>
        <w:snapToGrid w:val="0"/>
        <w:spacing w:line="440" w:lineRule="exact"/>
        <w:ind w:firstLine="570"/>
        <w:rPr>
          <w:rFonts w:ascii="宋体" w:hAnsi="宋体" w:cs="宋体"/>
          <w:sz w:val="24"/>
          <w:szCs w:val="24"/>
        </w:rPr>
      </w:pPr>
    </w:p>
    <w:p w14:paraId="1EFA35B2">
      <w:pPr>
        <w:tabs>
          <w:tab w:val="left" w:pos="6300"/>
        </w:tabs>
        <w:snapToGrid w:val="0"/>
        <w:spacing w:line="440" w:lineRule="exact"/>
        <w:ind w:firstLine="570"/>
        <w:rPr>
          <w:rFonts w:ascii="宋体" w:hAnsi="宋体" w:cs="宋体"/>
          <w:sz w:val="24"/>
          <w:szCs w:val="24"/>
        </w:rPr>
      </w:pPr>
      <w:r>
        <w:rPr>
          <w:rFonts w:hint="eastAsia" w:ascii="宋体" w:hAnsi="宋体" w:cs="宋体"/>
          <w:sz w:val="24"/>
          <w:szCs w:val="24"/>
        </w:rPr>
        <w:t>（附：被授权人身份证正反面复印件）</w:t>
      </w:r>
    </w:p>
    <w:p w14:paraId="3DE11B1C">
      <w:pPr>
        <w:tabs>
          <w:tab w:val="left" w:pos="6300"/>
        </w:tabs>
        <w:snapToGrid w:val="0"/>
        <w:spacing w:line="440" w:lineRule="exact"/>
        <w:ind w:firstLine="570"/>
        <w:rPr>
          <w:rFonts w:ascii="宋体" w:hAnsi="宋体" w:cs="宋体"/>
          <w:sz w:val="24"/>
          <w:szCs w:val="24"/>
        </w:rPr>
      </w:pPr>
    </w:p>
    <w:p w14:paraId="2561B538">
      <w:pPr>
        <w:tabs>
          <w:tab w:val="left" w:pos="6300"/>
        </w:tabs>
        <w:snapToGrid w:val="0"/>
        <w:spacing w:line="440" w:lineRule="exact"/>
        <w:ind w:right="480" w:firstLine="570"/>
        <w:jc w:val="right"/>
        <w:rPr>
          <w:rFonts w:ascii="宋体" w:hAnsi="宋体" w:cs="宋体"/>
          <w:sz w:val="24"/>
          <w:szCs w:val="24"/>
        </w:rPr>
      </w:pPr>
      <w:r>
        <w:rPr>
          <w:rFonts w:hint="eastAsia" w:ascii="宋体" w:hAnsi="宋体" w:cs="宋体"/>
          <w:sz w:val="24"/>
          <w:szCs w:val="24"/>
        </w:rPr>
        <w:t>供应商名称（公章）</w:t>
      </w:r>
    </w:p>
    <w:p w14:paraId="53073FDE">
      <w:pPr>
        <w:tabs>
          <w:tab w:val="left" w:pos="6300"/>
        </w:tabs>
        <w:snapToGrid w:val="0"/>
        <w:spacing w:line="440" w:lineRule="exact"/>
        <w:ind w:right="480" w:firstLine="570"/>
        <w:jc w:val="right"/>
        <w:rPr>
          <w:rFonts w:ascii="宋体" w:hAnsi="宋体" w:cs="宋体"/>
          <w:sz w:val="24"/>
          <w:szCs w:val="24"/>
        </w:rPr>
      </w:pPr>
      <w:r>
        <w:rPr>
          <w:rFonts w:hint="eastAsia" w:ascii="宋体" w:hAnsi="宋体" w:cs="宋体"/>
          <w:sz w:val="24"/>
          <w:szCs w:val="24"/>
        </w:rPr>
        <w:t>年   月   日</w:t>
      </w:r>
    </w:p>
    <w:p w14:paraId="5D5B8493">
      <w:pPr>
        <w:tabs>
          <w:tab w:val="left" w:pos="6300"/>
        </w:tabs>
        <w:snapToGrid w:val="0"/>
        <w:spacing w:line="440" w:lineRule="exact"/>
        <w:ind w:right="-1"/>
        <w:rPr>
          <w:rFonts w:ascii="宋体" w:hAnsi="宋体" w:cs="宋体"/>
          <w:sz w:val="24"/>
          <w:szCs w:val="24"/>
        </w:rPr>
      </w:pPr>
      <w:r>
        <w:rPr>
          <w:rFonts w:ascii="宋体" w:hAnsi="宋体" w:cs="宋体"/>
          <w:sz w:val="24"/>
          <w:szCs w:val="24"/>
        </w:rPr>
        <w:t xml:space="preserve">---------------------------------------------------------------------------   </w:t>
      </w:r>
    </w:p>
    <w:p w14:paraId="5D3E2B76">
      <w:pPr>
        <w:tabs>
          <w:tab w:val="left" w:pos="6300"/>
        </w:tabs>
        <w:snapToGrid w:val="0"/>
        <w:spacing w:line="440" w:lineRule="exact"/>
        <w:jc w:val="center"/>
        <w:rPr>
          <w:rFonts w:ascii="宋体" w:hAnsi="宋体" w:cs="宋体"/>
          <w:b/>
          <w:bCs/>
          <w:sz w:val="24"/>
          <w:szCs w:val="24"/>
        </w:rPr>
      </w:pPr>
      <w:r>
        <w:rPr>
          <w:rFonts w:hint="eastAsia" w:ascii="宋体" w:hAnsi="宋体" w:cs="宋体"/>
          <w:b/>
          <w:bCs/>
          <w:sz w:val="24"/>
          <w:szCs w:val="24"/>
        </w:rPr>
        <w:t>法定代表人证明</w:t>
      </w:r>
    </w:p>
    <w:p w14:paraId="49F233E5">
      <w:pPr>
        <w:tabs>
          <w:tab w:val="left" w:pos="6300"/>
        </w:tabs>
        <w:snapToGrid w:val="0"/>
        <w:spacing w:line="44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14:paraId="1EF9903E">
      <w:pPr>
        <w:tabs>
          <w:tab w:val="left" w:pos="6300"/>
        </w:tabs>
        <w:snapToGrid w:val="0"/>
        <w:spacing w:line="44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14:paraId="06F9F56C">
      <w:pPr>
        <w:tabs>
          <w:tab w:val="left" w:pos="6300"/>
        </w:tabs>
        <w:snapToGrid w:val="0"/>
        <w:spacing w:line="440" w:lineRule="exact"/>
        <w:ind w:firstLine="570"/>
        <w:rPr>
          <w:rFonts w:ascii="宋体" w:hAnsi="宋体" w:cs="宋体"/>
          <w:sz w:val="24"/>
          <w:szCs w:val="24"/>
        </w:rPr>
      </w:pPr>
    </w:p>
    <w:p w14:paraId="23B5A324">
      <w:pPr>
        <w:tabs>
          <w:tab w:val="left" w:pos="6300"/>
        </w:tabs>
        <w:snapToGrid w:val="0"/>
        <w:spacing w:line="440" w:lineRule="exact"/>
        <w:ind w:firstLine="570"/>
        <w:rPr>
          <w:rFonts w:ascii="宋体" w:hAnsi="宋体" w:cs="宋体"/>
          <w:sz w:val="24"/>
          <w:szCs w:val="24"/>
        </w:rPr>
      </w:pPr>
    </w:p>
    <w:p w14:paraId="0D888169">
      <w:pPr>
        <w:tabs>
          <w:tab w:val="left" w:pos="6300"/>
        </w:tabs>
        <w:snapToGrid w:val="0"/>
        <w:spacing w:line="440" w:lineRule="exact"/>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14:paraId="4903547B">
      <w:pPr>
        <w:tabs>
          <w:tab w:val="left" w:pos="6300"/>
        </w:tabs>
        <w:snapToGrid w:val="0"/>
        <w:spacing w:line="440" w:lineRule="exact"/>
        <w:ind w:right="360" w:firstLine="570"/>
        <w:jc w:val="right"/>
        <w:rPr>
          <w:rFonts w:ascii="宋体" w:hAnsi="宋体" w:cs="宋体"/>
          <w:sz w:val="24"/>
          <w:szCs w:val="24"/>
        </w:rPr>
      </w:pPr>
      <w:r>
        <w:rPr>
          <w:rFonts w:hint="eastAsia" w:ascii="宋体" w:hAnsi="宋体" w:cs="宋体"/>
          <w:sz w:val="24"/>
          <w:szCs w:val="24"/>
        </w:rPr>
        <w:t>年   月   日</w:t>
      </w:r>
    </w:p>
    <w:p w14:paraId="47396E2E">
      <w:pPr>
        <w:tabs>
          <w:tab w:val="left" w:pos="6300"/>
        </w:tabs>
        <w:snapToGrid w:val="0"/>
        <w:spacing w:line="440" w:lineRule="exact"/>
        <w:ind w:firstLine="570"/>
        <w:rPr>
          <w:rFonts w:ascii="宋体" w:hAnsi="宋体" w:cs="宋体"/>
          <w:sz w:val="24"/>
          <w:szCs w:val="24"/>
        </w:rPr>
      </w:pPr>
      <w:r>
        <w:rPr>
          <w:rFonts w:hint="eastAsia" w:ascii="宋体" w:hAnsi="宋体" w:cs="宋体"/>
          <w:sz w:val="24"/>
          <w:szCs w:val="24"/>
        </w:rPr>
        <w:t>（附：法定代表人身份证正反面复印件）</w:t>
      </w:r>
    </w:p>
    <w:p w14:paraId="527084BB">
      <w:pPr>
        <w:tabs>
          <w:tab w:val="left" w:pos="6300"/>
        </w:tabs>
        <w:snapToGrid w:val="0"/>
        <w:spacing w:line="440" w:lineRule="exact"/>
        <w:ind w:firstLine="570"/>
        <w:rPr>
          <w:rFonts w:ascii="宋体" w:hAnsi="宋体" w:cs="宋体"/>
          <w:sz w:val="24"/>
          <w:szCs w:val="24"/>
        </w:rPr>
      </w:pPr>
    </w:p>
    <w:p w14:paraId="1C87CE8E">
      <w:pPr>
        <w:tabs>
          <w:tab w:val="left" w:pos="6300"/>
        </w:tabs>
        <w:snapToGrid w:val="0"/>
        <w:spacing w:line="440" w:lineRule="exact"/>
        <w:ind w:firstLine="570"/>
        <w:rPr>
          <w:rFonts w:ascii="宋体" w:hAnsi="宋体" w:cs="宋体"/>
          <w:sz w:val="24"/>
          <w:szCs w:val="24"/>
        </w:rPr>
      </w:pPr>
    </w:p>
    <w:p w14:paraId="5BBA9FEC">
      <w:pPr>
        <w:tabs>
          <w:tab w:val="left" w:pos="6300"/>
        </w:tabs>
        <w:snapToGrid w:val="0"/>
        <w:spacing w:line="440" w:lineRule="exact"/>
        <w:rPr>
          <w:rFonts w:ascii="宋体" w:hAnsi="宋体" w:cs="宋体"/>
          <w:sz w:val="24"/>
          <w:szCs w:val="24"/>
        </w:rPr>
      </w:pPr>
    </w:p>
    <w:p w14:paraId="3BB7554D">
      <w:pPr>
        <w:tabs>
          <w:tab w:val="left" w:pos="6300"/>
        </w:tabs>
        <w:snapToGrid w:val="0"/>
        <w:spacing w:line="440" w:lineRule="exact"/>
        <w:ind w:right="480" w:firstLine="570"/>
        <w:jc w:val="center"/>
        <w:rPr>
          <w:rFonts w:ascii="宋体" w:hAnsi="宋体" w:cs="宋体"/>
          <w:sz w:val="24"/>
          <w:szCs w:val="24"/>
        </w:rPr>
      </w:pPr>
      <w:r>
        <w:rPr>
          <w:rFonts w:hint="eastAsia" w:ascii="宋体" w:hAnsi="宋体" w:cs="宋体"/>
          <w:sz w:val="24"/>
          <w:szCs w:val="24"/>
        </w:rPr>
        <w:t>（结束）</w:t>
      </w: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B494">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327F97F4">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14:paraId="327F97F4">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391A">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4BFB8A7D">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4BFB8A7D">
                    <w:pPr>
                      <w:pStyle w:val="3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BFF7">
    <w:pPr>
      <w:pStyle w:val="3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06F171B">
                          <w:pPr>
                            <w:pStyle w:val="3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106F171B">
                    <w:pPr>
                      <w:pStyle w:val="3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3454">
    <w:pPr>
      <w:pStyle w:val="3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B97C">
    <w:pPr>
      <w:pStyle w:val="3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7"/>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0NzJjMDZmOWNkMDcxZjI2ZWM1Y2U5Y2ZlNDYzYjgifQ=="/>
  </w:docVars>
  <w:rsids>
    <w:rsidRoot w:val="00172A27"/>
    <w:rsid w:val="00001BE6"/>
    <w:rsid w:val="000144C9"/>
    <w:rsid w:val="0002088C"/>
    <w:rsid w:val="00033DAB"/>
    <w:rsid w:val="000342CA"/>
    <w:rsid w:val="000370BC"/>
    <w:rsid w:val="00040A17"/>
    <w:rsid w:val="00042D13"/>
    <w:rsid w:val="00056A6E"/>
    <w:rsid w:val="0008422C"/>
    <w:rsid w:val="00084C93"/>
    <w:rsid w:val="000E232C"/>
    <w:rsid w:val="000E3326"/>
    <w:rsid w:val="001120B2"/>
    <w:rsid w:val="0011647C"/>
    <w:rsid w:val="00116BB6"/>
    <w:rsid w:val="00117275"/>
    <w:rsid w:val="001173E3"/>
    <w:rsid w:val="001306AD"/>
    <w:rsid w:val="001435CF"/>
    <w:rsid w:val="001445A2"/>
    <w:rsid w:val="0015070D"/>
    <w:rsid w:val="0015525F"/>
    <w:rsid w:val="00165915"/>
    <w:rsid w:val="00166EEA"/>
    <w:rsid w:val="00172A27"/>
    <w:rsid w:val="00172C24"/>
    <w:rsid w:val="001765E3"/>
    <w:rsid w:val="0018104A"/>
    <w:rsid w:val="001829E7"/>
    <w:rsid w:val="00192985"/>
    <w:rsid w:val="001A3E64"/>
    <w:rsid w:val="001A7752"/>
    <w:rsid w:val="001B4545"/>
    <w:rsid w:val="001C2109"/>
    <w:rsid w:val="001F74AE"/>
    <w:rsid w:val="002122FC"/>
    <w:rsid w:val="0021327B"/>
    <w:rsid w:val="0021595A"/>
    <w:rsid w:val="00223B9B"/>
    <w:rsid w:val="0022691C"/>
    <w:rsid w:val="00226A1A"/>
    <w:rsid w:val="0026669A"/>
    <w:rsid w:val="002676F5"/>
    <w:rsid w:val="0027186F"/>
    <w:rsid w:val="00276816"/>
    <w:rsid w:val="0029075B"/>
    <w:rsid w:val="00297EC4"/>
    <w:rsid w:val="002B0676"/>
    <w:rsid w:val="002B6A62"/>
    <w:rsid w:val="002C7EDF"/>
    <w:rsid w:val="002F2847"/>
    <w:rsid w:val="002F5C86"/>
    <w:rsid w:val="002F6174"/>
    <w:rsid w:val="00313FC6"/>
    <w:rsid w:val="00314FE1"/>
    <w:rsid w:val="00316DF3"/>
    <w:rsid w:val="00320782"/>
    <w:rsid w:val="00330491"/>
    <w:rsid w:val="003332D6"/>
    <w:rsid w:val="0033562A"/>
    <w:rsid w:val="003453EB"/>
    <w:rsid w:val="003553C3"/>
    <w:rsid w:val="003609C0"/>
    <w:rsid w:val="003876E3"/>
    <w:rsid w:val="003878EB"/>
    <w:rsid w:val="003A0967"/>
    <w:rsid w:val="003B3F33"/>
    <w:rsid w:val="003B48D3"/>
    <w:rsid w:val="003C597E"/>
    <w:rsid w:val="003D1BDC"/>
    <w:rsid w:val="003D7E49"/>
    <w:rsid w:val="003E69B4"/>
    <w:rsid w:val="003E7CAB"/>
    <w:rsid w:val="003F7078"/>
    <w:rsid w:val="00415960"/>
    <w:rsid w:val="00421287"/>
    <w:rsid w:val="0043045D"/>
    <w:rsid w:val="0043243B"/>
    <w:rsid w:val="0044680D"/>
    <w:rsid w:val="00460545"/>
    <w:rsid w:val="00481018"/>
    <w:rsid w:val="00484072"/>
    <w:rsid w:val="00493794"/>
    <w:rsid w:val="00495D1A"/>
    <w:rsid w:val="0049754E"/>
    <w:rsid w:val="004A1198"/>
    <w:rsid w:val="004A2061"/>
    <w:rsid w:val="004A6CE1"/>
    <w:rsid w:val="004B4D5B"/>
    <w:rsid w:val="004C55B8"/>
    <w:rsid w:val="00507899"/>
    <w:rsid w:val="005106F8"/>
    <w:rsid w:val="00514092"/>
    <w:rsid w:val="00521F48"/>
    <w:rsid w:val="00531162"/>
    <w:rsid w:val="00537A61"/>
    <w:rsid w:val="00544AC9"/>
    <w:rsid w:val="0055266E"/>
    <w:rsid w:val="0055762B"/>
    <w:rsid w:val="00562F84"/>
    <w:rsid w:val="00580744"/>
    <w:rsid w:val="005A76BC"/>
    <w:rsid w:val="005C530A"/>
    <w:rsid w:val="005C67E4"/>
    <w:rsid w:val="005C7A84"/>
    <w:rsid w:val="005D6C53"/>
    <w:rsid w:val="005F22A3"/>
    <w:rsid w:val="00625F79"/>
    <w:rsid w:val="00642C5D"/>
    <w:rsid w:val="00643888"/>
    <w:rsid w:val="006452FB"/>
    <w:rsid w:val="00651DD0"/>
    <w:rsid w:val="0065313C"/>
    <w:rsid w:val="006600BD"/>
    <w:rsid w:val="00664DC0"/>
    <w:rsid w:val="00667DF3"/>
    <w:rsid w:val="00675CDE"/>
    <w:rsid w:val="006802F3"/>
    <w:rsid w:val="006A2801"/>
    <w:rsid w:val="006A3401"/>
    <w:rsid w:val="006A4A4D"/>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4E75"/>
    <w:rsid w:val="008F3680"/>
    <w:rsid w:val="00910CCC"/>
    <w:rsid w:val="009261F0"/>
    <w:rsid w:val="009302D1"/>
    <w:rsid w:val="009316A9"/>
    <w:rsid w:val="00936181"/>
    <w:rsid w:val="00936197"/>
    <w:rsid w:val="00940646"/>
    <w:rsid w:val="009415FC"/>
    <w:rsid w:val="009570EF"/>
    <w:rsid w:val="00960873"/>
    <w:rsid w:val="00962AED"/>
    <w:rsid w:val="009710AF"/>
    <w:rsid w:val="0097589B"/>
    <w:rsid w:val="0099728C"/>
    <w:rsid w:val="009A317C"/>
    <w:rsid w:val="009A3815"/>
    <w:rsid w:val="009A770F"/>
    <w:rsid w:val="009B4011"/>
    <w:rsid w:val="009B5C25"/>
    <w:rsid w:val="009C25EB"/>
    <w:rsid w:val="009C273F"/>
    <w:rsid w:val="009D7B45"/>
    <w:rsid w:val="009E62CD"/>
    <w:rsid w:val="00A06259"/>
    <w:rsid w:val="00A26CFD"/>
    <w:rsid w:val="00A3078D"/>
    <w:rsid w:val="00A56F1E"/>
    <w:rsid w:val="00A614CD"/>
    <w:rsid w:val="00A733BE"/>
    <w:rsid w:val="00A9133B"/>
    <w:rsid w:val="00AA293D"/>
    <w:rsid w:val="00AC755D"/>
    <w:rsid w:val="00AF3E34"/>
    <w:rsid w:val="00B000A7"/>
    <w:rsid w:val="00B01F29"/>
    <w:rsid w:val="00B3337A"/>
    <w:rsid w:val="00B43355"/>
    <w:rsid w:val="00B47F90"/>
    <w:rsid w:val="00B60CC0"/>
    <w:rsid w:val="00B60F1F"/>
    <w:rsid w:val="00B730A8"/>
    <w:rsid w:val="00BA1F2C"/>
    <w:rsid w:val="00BA371D"/>
    <w:rsid w:val="00BA7115"/>
    <w:rsid w:val="00BB15F0"/>
    <w:rsid w:val="00BB2389"/>
    <w:rsid w:val="00BB3E0F"/>
    <w:rsid w:val="00BB3F7A"/>
    <w:rsid w:val="00BC4CA6"/>
    <w:rsid w:val="00BC5BE3"/>
    <w:rsid w:val="00BD5A39"/>
    <w:rsid w:val="00BD5D26"/>
    <w:rsid w:val="00BF23A8"/>
    <w:rsid w:val="00BF771D"/>
    <w:rsid w:val="00C14479"/>
    <w:rsid w:val="00C34570"/>
    <w:rsid w:val="00C5046F"/>
    <w:rsid w:val="00C83661"/>
    <w:rsid w:val="00C909A2"/>
    <w:rsid w:val="00CB395B"/>
    <w:rsid w:val="00CC15A7"/>
    <w:rsid w:val="00CC4F85"/>
    <w:rsid w:val="00CD410E"/>
    <w:rsid w:val="00CD444E"/>
    <w:rsid w:val="00CE3D1B"/>
    <w:rsid w:val="00D21D58"/>
    <w:rsid w:val="00D226A5"/>
    <w:rsid w:val="00D2377C"/>
    <w:rsid w:val="00D40159"/>
    <w:rsid w:val="00D81397"/>
    <w:rsid w:val="00D85222"/>
    <w:rsid w:val="00D858CC"/>
    <w:rsid w:val="00DA4850"/>
    <w:rsid w:val="00DA5D57"/>
    <w:rsid w:val="00DB2A64"/>
    <w:rsid w:val="00DC5DA1"/>
    <w:rsid w:val="00DD32F0"/>
    <w:rsid w:val="00DF02E6"/>
    <w:rsid w:val="00E2740B"/>
    <w:rsid w:val="00E40564"/>
    <w:rsid w:val="00E45B7C"/>
    <w:rsid w:val="00E46A0A"/>
    <w:rsid w:val="00E54E2D"/>
    <w:rsid w:val="00E670E8"/>
    <w:rsid w:val="00E863F1"/>
    <w:rsid w:val="00E90390"/>
    <w:rsid w:val="00ED6923"/>
    <w:rsid w:val="00F0781C"/>
    <w:rsid w:val="00F10101"/>
    <w:rsid w:val="00F22213"/>
    <w:rsid w:val="00F306A4"/>
    <w:rsid w:val="00F45374"/>
    <w:rsid w:val="00F550E9"/>
    <w:rsid w:val="00F91500"/>
    <w:rsid w:val="00FC7767"/>
    <w:rsid w:val="00FD14FB"/>
    <w:rsid w:val="00FD2836"/>
    <w:rsid w:val="04F73B15"/>
    <w:rsid w:val="07610150"/>
    <w:rsid w:val="08ED3546"/>
    <w:rsid w:val="0BAA1613"/>
    <w:rsid w:val="0EFE3F6B"/>
    <w:rsid w:val="10045670"/>
    <w:rsid w:val="101E0686"/>
    <w:rsid w:val="1A9C33E0"/>
    <w:rsid w:val="1C0E01AF"/>
    <w:rsid w:val="233C7AE7"/>
    <w:rsid w:val="2A9A00C1"/>
    <w:rsid w:val="2CFC063B"/>
    <w:rsid w:val="2D4F47B5"/>
    <w:rsid w:val="31D874D8"/>
    <w:rsid w:val="331F5B12"/>
    <w:rsid w:val="34CC3626"/>
    <w:rsid w:val="39D961DF"/>
    <w:rsid w:val="3E361BA6"/>
    <w:rsid w:val="3EDB7D99"/>
    <w:rsid w:val="3FCD46EF"/>
    <w:rsid w:val="411B1F4A"/>
    <w:rsid w:val="43260821"/>
    <w:rsid w:val="45FB04BF"/>
    <w:rsid w:val="4BC9209C"/>
    <w:rsid w:val="4BF25F32"/>
    <w:rsid w:val="4E99569F"/>
    <w:rsid w:val="5A9515D1"/>
    <w:rsid w:val="5B8C0E98"/>
    <w:rsid w:val="5DDD7AA4"/>
    <w:rsid w:val="639635F7"/>
    <w:rsid w:val="65F91B55"/>
    <w:rsid w:val="67B15328"/>
    <w:rsid w:val="71287CA7"/>
    <w:rsid w:val="7183443D"/>
    <w:rsid w:val="73472726"/>
    <w:rsid w:val="751E519F"/>
    <w:rsid w:val="76DB3120"/>
    <w:rsid w:val="7927265A"/>
    <w:rsid w:val="7B214D90"/>
    <w:rsid w:val="7DAB6BB7"/>
    <w:rsid w:val="FD2A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autoRedefine/>
    <w:qFormat/>
    <w:uiPriority w:val="0"/>
    <w:pPr>
      <w:keepNext/>
      <w:snapToGrid w:val="0"/>
      <w:spacing w:line="360" w:lineRule="atLeast"/>
      <w:outlineLvl w:val="0"/>
    </w:pPr>
    <w:rPr>
      <w:rFonts w:ascii="宋体"/>
    </w:rPr>
  </w:style>
  <w:style w:type="paragraph" w:styleId="7">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97"/>
    <w:autoRedefine/>
    <w:qFormat/>
    <w:uiPriority w:val="0"/>
    <w:pPr>
      <w:keepNext/>
      <w:keepLines/>
      <w:spacing w:before="260" w:after="260" w:line="413" w:lineRule="auto"/>
      <w:outlineLvl w:val="2"/>
    </w:pPr>
    <w:rPr>
      <w:b/>
      <w:sz w:val="32"/>
    </w:rPr>
  </w:style>
  <w:style w:type="paragraph" w:styleId="9">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10">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1">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2">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3">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4">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sz w:val="32"/>
    </w:rPr>
  </w:style>
  <w:style w:type="paragraph" w:styleId="3">
    <w:name w:val="Body Text First Indent 2"/>
    <w:basedOn w:val="4"/>
    <w:next w:val="1"/>
    <w:link w:val="81"/>
    <w:autoRedefine/>
    <w:qFormat/>
    <w:uiPriority w:val="0"/>
    <w:pPr>
      <w:spacing w:after="120" w:line="240" w:lineRule="auto"/>
      <w:ind w:left="420" w:leftChars="200" w:firstLine="420" w:firstLineChars="200"/>
    </w:pPr>
  </w:style>
  <w:style w:type="paragraph" w:styleId="4">
    <w:name w:val="Body Text Indent"/>
    <w:basedOn w:val="1"/>
    <w:next w:val="5"/>
    <w:link w:val="82"/>
    <w:qFormat/>
    <w:uiPriority w:val="0"/>
    <w:pPr>
      <w:spacing w:line="700" w:lineRule="exact"/>
      <w:ind w:left="960"/>
    </w:pPr>
    <w:rPr>
      <w:sz w:val="44"/>
    </w:rPr>
  </w:style>
  <w:style w:type="paragraph" w:styleId="5">
    <w:name w:val="envelope return"/>
    <w:basedOn w:val="1"/>
    <w:qFormat/>
    <w:uiPriority w:val="99"/>
    <w:pPr>
      <w:snapToGrid w:val="0"/>
    </w:pPr>
    <w:rPr>
      <w:rFonts w:ascii="Arial" w:hAnsi="Arial" w:eastAsia="宋体" w:cs="Arial"/>
    </w:rPr>
  </w:style>
  <w:style w:type="paragraph" w:styleId="15">
    <w:name w:val="List 3"/>
    <w:basedOn w:val="1"/>
    <w:autoRedefine/>
    <w:qFormat/>
    <w:uiPriority w:val="0"/>
    <w:pPr>
      <w:adjustRightInd w:val="0"/>
      <w:snapToGrid w:val="0"/>
      <w:spacing w:line="360" w:lineRule="auto"/>
      <w:ind w:left="100" w:leftChars="400" w:hanging="200" w:hangingChars="200"/>
    </w:pPr>
    <w:rPr>
      <w:sz w:val="24"/>
    </w:rPr>
  </w:style>
  <w:style w:type="paragraph" w:styleId="16">
    <w:name w:val="toc 7"/>
    <w:basedOn w:val="1"/>
    <w:next w:val="1"/>
    <w:autoRedefine/>
    <w:qFormat/>
    <w:uiPriority w:val="0"/>
    <w:pPr>
      <w:ind w:left="2520" w:leftChars="1200"/>
    </w:pPr>
  </w:style>
  <w:style w:type="paragraph" w:styleId="17">
    <w:name w:val="List Number 2"/>
    <w:basedOn w:val="1"/>
    <w:autoRedefine/>
    <w:qFormat/>
    <w:uiPriority w:val="0"/>
    <w:pPr>
      <w:numPr>
        <w:ilvl w:val="0"/>
        <w:numId w:val="1"/>
      </w:numPr>
      <w:tabs>
        <w:tab w:val="left" w:pos="780"/>
        <w:tab w:val="clear" w:pos="425"/>
      </w:tabs>
      <w:spacing w:line="360" w:lineRule="auto"/>
    </w:pPr>
    <w:rPr>
      <w:sz w:val="24"/>
    </w:rPr>
  </w:style>
  <w:style w:type="paragraph" w:styleId="18">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9">
    <w:name w:val="Normal Indent"/>
    <w:basedOn w:val="1"/>
    <w:autoRedefine/>
    <w:qFormat/>
    <w:uiPriority w:val="0"/>
    <w:pPr>
      <w:adjustRightInd w:val="0"/>
      <w:snapToGrid w:val="0"/>
      <w:spacing w:line="360" w:lineRule="auto"/>
      <w:ind w:firstLine="420"/>
    </w:pPr>
    <w:rPr>
      <w:sz w:val="24"/>
    </w:rPr>
  </w:style>
  <w:style w:type="paragraph" w:styleId="20">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autoRedefine/>
    <w:qFormat/>
    <w:uiPriority w:val="0"/>
    <w:pPr>
      <w:shd w:val="clear" w:color="auto" w:fill="000080"/>
    </w:pPr>
  </w:style>
  <w:style w:type="paragraph" w:styleId="22">
    <w:name w:val="toa heading"/>
    <w:basedOn w:val="1"/>
    <w:next w:val="1"/>
    <w:autoRedefine/>
    <w:qFormat/>
    <w:uiPriority w:val="0"/>
    <w:pPr>
      <w:spacing w:before="120"/>
    </w:pPr>
    <w:rPr>
      <w:rFonts w:ascii="Arial" w:hAnsi="Arial"/>
      <w:sz w:val="24"/>
    </w:rPr>
  </w:style>
  <w:style w:type="paragraph" w:styleId="23">
    <w:name w:val="annotation text"/>
    <w:basedOn w:val="1"/>
    <w:link w:val="75"/>
    <w:autoRedefine/>
    <w:qFormat/>
    <w:uiPriority w:val="0"/>
    <w:pPr>
      <w:adjustRightInd w:val="0"/>
      <w:spacing w:line="360" w:lineRule="atLeast"/>
      <w:jc w:val="left"/>
      <w:textAlignment w:val="baseline"/>
    </w:pPr>
    <w:rPr>
      <w:sz w:val="24"/>
    </w:rPr>
  </w:style>
  <w:style w:type="paragraph" w:styleId="24">
    <w:name w:val="Body Text 3"/>
    <w:basedOn w:val="1"/>
    <w:autoRedefine/>
    <w:qFormat/>
    <w:uiPriority w:val="0"/>
    <w:pPr>
      <w:adjustRightInd w:val="0"/>
      <w:snapToGrid w:val="0"/>
      <w:spacing w:after="120" w:line="360" w:lineRule="auto"/>
    </w:pPr>
    <w:rPr>
      <w:sz w:val="16"/>
    </w:rPr>
  </w:style>
  <w:style w:type="paragraph" w:styleId="25">
    <w:name w:val="List Bullet 3"/>
    <w:basedOn w:val="1"/>
    <w:autoRedefine/>
    <w:qFormat/>
    <w:uiPriority w:val="0"/>
    <w:pPr>
      <w:numPr>
        <w:ilvl w:val="0"/>
        <w:numId w:val="2"/>
      </w:numPr>
      <w:adjustRightInd w:val="0"/>
      <w:snapToGrid w:val="0"/>
      <w:spacing w:line="360" w:lineRule="auto"/>
    </w:pPr>
    <w:rPr>
      <w:sz w:val="24"/>
    </w:rPr>
  </w:style>
  <w:style w:type="paragraph" w:styleId="26">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7">
    <w:name w:val="List 2"/>
    <w:basedOn w:val="1"/>
    <w:autoRedefine/>
    <w:qFormat/>
    <w:uiPriority w:val="0"/>
    <w:pPr>
      <w:adjustRightInd w:val="0"/>
      <w:snapToGrid w:val="0"/>
      <w:spacing w:line="360" w:lineRule="auto"/>
      <w:ind w:left="100" w:leftChars="200" w:hanging="200" w:hangingChars="200"/>
    </w:pPr>
    <w:rPr>
      <w:sz w:val="24"/>
    </w:rPr>
  </w:style>
  <w:style w:type="paragraph" w:styleId="28">
    <w:name w:val="List Continue"/>
    <w:basedOn w:val="1"/>
    <w:autoRedefine/>
    <w:qFormat/>
    <w:uiPriority w:val="0"/>
    <w:pPr>
      <w:adjustRightInd w:val="0"/>
      <w:snapToGrid w:val="0"/>
      <w:spacing w:after="120" w:line="360" w:lineRule="auto"/>
      <w:ind w:left="420" w:leftChars="200"/>
    </w:pPr>
    <w:rPr>
      <w:sz w:val="24"/>
    </w:rPr>
  </w:style>
  <w:style w:type="paragraph" w:styleId="29">
    <w:name w:val="List Bullet 2"/>
    <w:basedOn w:val="1"/>
    <w:autoRedefine/>
    <w:qFormat/>
    <w:uiPriority w:val="0"/>
    <w:pPr>
      <w:numPr>
        <w:ilvl w:val="0"/>
        <w:numId w:val="3"/>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link w:val="89"/>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09"/>
    <w:autoRedefine/>
    <w:qFormat/>
    <w:uiPriority w:val="0"/>
  </w:style>
  <w:style w:type="paragraph" w:styleId="35">
    <w:name w:val="Body Text Indent 2"/>
    <w:basedOn w:val="1"/>
    <w:link w:val="71"/>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85"/>
    <w:autoRedefine/>
    <w:qFormat/>
    <w:uiPriority w:val="0"/>
    <w:pPr>
      <w:tabs>
        <w:tab w:val="center" w:pos="4153"/>
        <w:tab w:val="right" w:pos="8306"/>
      </w:tabs>
      <w:snapToGrid w:val="0"/>
      <w:jc w:val="left"/>
    </w:pPr>
    <w:rPr>
      <w:sz w:val="18"/>
    </w:rPr>
  </w:style>
  <w:style w:type="paragraph" w:styleId="38">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69"/>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autoRedefine/>
    <w:qFormat/>
    <w:uiPriority w:val="0"/>
    <w:pPr>
      <w:adjustRightInd w:val="0"/>
      <w:spacing w:line="240" w:lineRule="atLeast"/>
      <w:textAlignment w:val="baseline"/>
    </w:pPr>
    <w:rPr>
      <w:rFonts w:ascii="宋体"/>
      <w:kern w:val="0"/>
      <w:sz w:val="21"/>
    </w:rPr>
  </w:style>
  <w:style w:type="paragraph" w:styleId="55">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3"/>
    <w:next w:val="23"/>
    <w:link w:val="74"/>
    <w:autoRedefine/>
    <w:qFormat/>
    <w:uiPriority w:val="0"/>
    <w:pPr>
      <w:adjustRightInd/>
      <w:spacing w:line="240" w:lineRule="auto"/>
      <w:textAlignment w:val="auto"/>
    </w:pPr>
  </w:style>
  <w:style w:type="paragraph" w:styleId="57">
    <w:name w:val="Body Text First Indent"/>
    <w:basedOn w:val="1"/>
    <w:autoRedefine/>
    <w:qFormat/>
    <w:uiPriority w:val="0"/>
    <w:pPr>
      <w:spacing w:line="360" w:lineRule="auto"/>
      <w:ind w:firstLine="420"/>
    </w:pPr>
    <w:rPr>
      <w:rFonts w:ascii="宋体" w:hAnsi="宋体"/>
      <w:sz w:val="24"/>
    </w:rPr>
  </w:style>
  <w:style w:type="table" w:styleId="59">
    <w:name w:val="Table Grid"/>
    <w:basedOn w:val="5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字符"/>
    <w:link w:val="42"/>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5"/>
    <w:autoRedefine/>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字符"/>
    <w:basedOn w:val="75"/>
    <w:link w:val="56"/>
    <w:autoRedefine/>
    <w:qFormat/>
    <w:uiPriority w:val="0"/>
    <w:rPr>
      <w:sz w:val="24"/>
    </w:rPr>
  </w:style>
  <w:style w:type="character" w:customStyle="1" w:styleId="75">
    <w:name w:val="批注文字 字符1"/>
    <w:link w:val="23"/>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3"/>
    <w:autoRedefine/>
    <w:qFormat/>
    <w:uiPriority w:val="0"/>
    <w:rPr>
      <w:kern w:val="2"/>
      <w:sz w:val="44"/>
    </w:rPr>
  </w:style>
  <w:style w:type="character" w:customStyle="1" w:styleId="82">
    <w:name w:val="正文文本缩进 字符"/>
    <w:link w:val="4"/>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7"/>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qFormat/>
    <w:uiPriority w:val="0"/>
    <w:rPr>
      <w:color w:val="000000"/>
      <w:sz w:val="18"/>
    </w:rPr>
  </w:style>
  <w:style w:type="character" w:customStyle="1" w:styleId="89">
    <w:name w:val="纯文本 字符"/>
    <w:link w:val="32"/>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7"/>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8"/>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4"/>
    <w:autoRedefine/>
    <w:qFormat/>
    <w:uiPriority w:val="0"/>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8"/>
    <w:autoRedefine/>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21"/>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autoRedefine/>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5"/>
    <w:autoRedefine/>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5"/>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4"/>
    <w:autoRedefine/>
    <w:qFormat/>
    <w:uiPriority w:val="0"/>
    <w:pPr>
      <w:spacing w:before="60" w:after="60" w:line="360" w:lineRule="auto"/>
      <w:ind w:left="0" w:firstLine="482"/>
    </w:pPr>
    <w:rPr>
      <w:rFonts w:ascii="Arial" w:hAnsi="Arial"/>
      <w:sz w:val="24"/>
    </w:rPr>
  </w:style>
  <w:style w:type="paragraph" w:customStyle="1" w:styleId="14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autoRedefine/>
    <w:qFormat/>
    <w:uiPriority w:val="0"/>
    <w:pPr>
      <w:adjustRightInd w:val="0"/>
      <w:snapToGrid w:val="0"/>
      <w:spacing w:line="360" w:lineRule="auto"/>
      <w:ind w:firstLine="480"/>
    </w:pPr>
    <w:rPr>
      <w:rFonts w:ascii="Times New Roman" w:eastAsia="宋体"/>
      <w:sz w:val="24"/>
    </w:rPr>
  </w:style>
  <w:style w:type="paragraph" w:customStyle="1" w:styleId="143">
    <w:name w:val="表头文本"/>
    <w:autoRedefine/>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autoRedefine/>
    <w:qFormat/>
    <w:uiPriority w:val="0"/>
    <w:pPr>
      <w:tabs>
        <w:tab w:val="left" w:pos="360"/>
      </w:tabs>
    </w:pPr>
    <w:rPr>
      <w:sz w:val="24"/>
    </w:rPr>
  </w:style>
  <w:style w:type="paragraph" w:customStyle="1" w:styleId="148">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2"/>
    <w:autoRedefine/>
    <w:qFormat/>
    <w:uiPriority w:val="0"/>
    <w:pPr>
      <w:adjustRightInd w:val="0"/>
    </w:pPr>
    <w:rPr>
      <w:color w:val="000000"/>
      <w:lang w:val="en-GB"/>
    </w:rPr>
  </w:style>
  <w:style w:type="paragraph" w:customStyle="1" w:styleId="154">
    <w:name w:val="默认段落字体 Para Char Char Char Char Char Char Char"/>
    <w:basedOn w:val="1"/>
    <w:autoRedefine/>
    <w:qFormat/>
    <w:uiPriority w:val="0"/>
    <w:rPr>
      <w:rFonts w:ascii="Tahoma" w:hAnsi="Tahoma"/>
      <w:sz w:val="24"/>
    </w:rPr>
  </w:style>
  <w:style w:type="paragraph" w:customStyle="1" w:styleId="155">
    <w:name w:val="样式3"/>
    <w:basedOn w:val="6"/>
    <w:next w:val="6"/>
    <w:autoRedefine/>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autoRedefine/>
    <w:qFormat/>
    <w:uiPriority w:val="0"/>
    <w:pPr>
      <w:spacing w:before="156" w:beforeLines="50" w:line="360" w:lineRule="auto"/>
      <w:ind w:firstLine="200" w:firstLineChars="200"/>
    </w:pPr>
    <w:rPr>
      <w:spacing w:val="2"/>
      <w:sz w:val="24"/>
    </w:rPr>
  </w:style>
  <w:style w:type="paragraph" w:customStyle="1" w:styleId="160">
    <w:name w:val="文章正文"/>
    <w:basedOn w:val="1"/>
    <w:autoRedefine/>
    <w:qFormat/>
    <w:uiPriority w:val="0"/>
    <w:pPr>
      <w:ind w:firstLine="560" w:firstLineChars="200"/>
    </w:pPr>
    <w:rPr>
      <w:rFonts w:ascii="仿宋_GB2312" w:hAnsi="宋体" w:eastAsia="仿宋_GB2312"/>
      <w:color w:val="000000"/>
    </w:rPr>
  </w:style>
  <w:style w:type="paragraph" w:customStyle="1" w:styleId="161">
    <w:name w:val="Char"/>
    <w:basedOn w:val="1"/>
    <w:autoRedefine/>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20"/>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autoRedefine/>
    <w:qFormat/>
    <w:uiPriority w:val="0"/>
    <w:pPr>
      <w:spacing w:line="360" w:lineRule="auto"/>
    </w:pPr>
    <w:rPr>
      <w:rFonts w:eastAsia="黑体"/>
      <w:sz w:val="20"/>
    </w:rPr>
  </w:style>
  <w:style w:type="paragraph" w:customStyle="1" w:styleId="167">
    <w:name w:val="可研正文"/>
    <w:basedOn w:val="2"/>
    <w:autoRedefine/>
    <w:qFormat/>
    <w:uiPriority w:val="0"/>
    <w:pPr>
      <w:adjustRightInd w:val="0"/>
      <w:snapToGrid w:val="0"/>
      <w:spacing w:line="440" w:lineRule="exact"/>
      <w:ind w:firstLine="567"/>
    </w:pPr>
    <w:rPr>
      <w:sz w:val="28"/>
    </w:rPr>
  </w:style>
  <w:style w:type="paragraph" w:customStyle="1" w:styleId="168">
    <w:name w:val="标书正文:  0.74 厘米"/>
    <w:basedOn w:val="1"/>
    <w:autoRedefine/>
    <w:qFormat/>
    <w:uiPriority w:val="0"/>
    <w:pPr>
      <w:snapToGrid w:val="0"/>
      <w:spacing w:line="360" w:lineRule="auto"/>
      <w:ind w:firstLine="420"/>
    </w:pPr>
    <w:rPr>
      <w:sz w:val="24"/>
    </w:rPr>
  </w:style>
  <w:style w:type="paragraph" w:customStyle="1" w:styleId="169">
    <w:name w:val="样式 标题 6第五层条 + 三号 段前: 0.5 行"/>
    <w:basedOn w:val="11"/>
    <w:autoRedefine/>
    <w:qFormat/>
    <w:uiPriority w:val="0"/>
    <w:pPr>
      <w:widowControl/>
      <w:adjustRightInd/>
      <w:snapToGrid/>
      <w:spacing w:before="156" w:beforeLines="50"/>
      <w:jc w:val="left"/>
    </w:pPr>
    <w:rPr>
      <w:snapToGrid w:val="0"/>
      <w:kern w:val="24"/>
      <w:sz w:val="28"/>
    </w:rPr>
  </w:style>
  <w:style w:type="paragraph" w:customStyle="1" w:styleId="170">
    <w:name w:val="1"/>
    <w:basedOn w:val="1"/>
    <w:next w:val="32"/>
    <w:qFormat/>
    <w:uiPriority w:val="0"/>
    <w:rPr>
      <w:rFonts w:ascii="宋体" w:hAnsi="Courier New"/>
      <w:sz w:val="21"/>
    </w:rPr>
  </w:style>
  <w:style w:type="paragraph" w:customStyle="1" w:styleId="171">
    <w:name w:val="没有缩进（为图形使用）"/>
    <w:basedOn w:val="1"/>
    <w:autoRedefine/>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autoRedefine/>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autoRedefine/>
    <w:qFormat/>
    <w:uiPriority w:val="0"/>
    <w:rPr>
      <w:sz w:val="21"/>
      <w:szCs w:val="24"/>
    </w:rPr>
  </w:style>
  <w:style w:type="paragraph" w:customStyle="1" w:styleId="17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autoRedefine/>
    <w:qFormat/>
    <w:uiPriority w:val="0"/>
    <w:rPr>
      <w:sz w:val="21"/>
    </w:rPr>
  </w:style>
  <w:style w:type="paragraph" w:customStyle="1" w:styleId="179">
    <w:name w:val="正文1"/>
    <w:basedOn w:val="1"/>
    <w:autoRedefine/>
    <w:qFormat/>
    <w:uiPriority w:val="0"/>
    <w:pPr>
      <w:spacing w:line="300" w:lineRule="auto"/>
      <w:ind w:firstLine="200" w:firstLineChars="200"/>
    </w:pPr>
    <w:rPr>
      <w:sz w:val="24"/>
    </w:rPr>
  </w:style>
  <w:style w:type="paragraph" w:customStyle="1" w:styleId="180">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autoRedefine/>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autoRedefine/>
    <w:qFormat/>
    <w:uiPriority w:val="0"/>
    <w:rPr>
      <w:rFonts w:ascii="仿宋_GB2312"/>
      <w:b/>
      <w:sz w:val="30"/>
    </w:rPr>
  </w:style>
  <w:style w:type="paragraph" w:customStyle="1" w:styleId="185">
    <w:name w:val="Char Char Char Char Char"/>
    <w:basedOn w:val="1"/>
    <w:autoRedefine/>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autoRedefine/>
    <w:qFormat/>
    <w:uiPriority w:val="0"/>
    <w:pPr>
      <w:tabs>
        <w:tab w:val="left" w:pos="851"/>
      </w:tabs>
      <w:ind w:left="425" w:hanging="425"/>
      <w:outlineLvl w:val="2"/>
    </w:pPr>
    <w:rPr>
      <w:rFonts w:eastAsia="黑体"/>
      <w:b/>
      <w:sz w:val="32"/>
    </w:rPr>
  </w:style>
  <w:style w:type="paragraph" w:customStyle="1" w:styleId="188">
    <w:name w:val="二级条标题"/>
    <w:basedOn w:val="189"/>
    <w:next w:val="190"/>
    <w:autoRedefine/>
    <w:qFormat/>
    <w:uiPriority w:val="0"/>
    <w:pPr>
      <w:ind w:left="840"/>
      <w:outlineLvl w:val="3"/>
    </w:pPr>
  </w:style>
  <w:style w:type="paragraph" w:customStyle="1" w:styleId="189">
    <w:name w:val="一级条标题"/>
    <w:basedOn w:val="174"/>
    <w:next w:val="190"/>
    <w:autoRedefine/>
    <w:qFormat/>
    <w:uiPriority w:val="0"/>
    <w:pPr>
      <w:numPr>
        <w:numId w:val="0"/>
      </w:numPr>
      <w:spacing w:before="0" w:beforeLines="0" w:after="0" w:afterLines="0"/>
      <w:ind w:left="525"/>
      <w:outlineLvl w:val="2"/>
    </w:pPr>
    <w:rPr>
      <w:sz w:val="21"/>
    </w:rPr>
  </w:style>
  <w:style w:type="paragraph" w:customStyle="1" w:styleId="19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autoRedefine/>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9"/>
    <w:autoRedefine/>
    <w:qFormat/>
    <w:uiPriority w:val="0"/>
    <w:pPr>
      <w:ind w:firstLine="480" w:firstLineChars="200"/>
    </w:pPr>
  </w:style>
  <w:style w:type="paragraph" w:customStyle="1" w:styleId="198">
    <w:name w:val="表文字"/>
    <w:autoRedefine/>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9"/>
    <w:autoRedefine/>
    <w:qFormat/>
    <w:uiPriority w:val="0"/>
    <w:pPr>
      <w:tabs>
        <w:tab w:val="left" w:pos="720"/>
      </w:tabs>
      <w:spacing w:before="500" w:after="260" w:line="560" w:lineRule="atLeast"/>
      <w:ind w:left="420" w:hanging="420"/>
    </w:pPr>
  </w:style>
  <w:style w:type="paragraph" w:customStyle="1" w:styleId="201">
    <w:name w:val="样式 行距: 1.5 倍行距1"/>
    <w:basedOn w:val="1"/>
    <w:autoRedefine/>
    <w:qFormat/>
    <w:uiPriority w:val="0"/>
    <w:pPr>
      <w:snapToGrid w:val="0"/>
    </w:pPr>
    <w:rPr>
      <w:sz w:val="21"/>
    </w:rPr>
  </w:style>
  <w:style w:type="paragraph" w:customStyle="1" w:styleId="202">
    <w:name w:val="Style Heading 3h3Heading 3 - oldLevel 3 HeadH3level_3PIM 3se..."/>
    <w:basedOn w:val="8"/>
    <w:autoRedefine/>
    <w:qFormat/>
    <w:uiPriority w:val="0"/>
    <w:pPr>
      <w:numPr>
        <w:ilvl w:val="2"/>
        <w:numId w:val="9"/>
      </w:numPr>
      <w:tabs>
        <w:tab w:val="left" w:pos="709"/>
        <w:tab w:val="left" w:pos="1620"/>
      </w:tabs>
    </w:pPr>
  </w:style>
  <w:style w:type="paragraph" w:customStyle="1" w:styleId="2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9"/>
    <w:autoRedefine/>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autoRedefine/>
    <w:qFormat/>
    <w:uiPriority w:val="0"/>
    <w:pPr>
      <w:adjustRightInd w:val="0"/>
      <w:spacing w:line="360" w:lineRule="auto"/>
    </w:pPr>
    <w:rPr>
      <w:kern w:val="0"/>
      <w:sz w:val="24"/>
    </w:rPr>
  </w:style>
  <w:style w:type="paragraph" w:customStyle="1" w:styleId="207">
    <w:name w:val="编号正文"/>
    <w:basedOn w:val="208"/>
    <w:autoRedefine/>
    <w:qFormat/>
    <w:uiPriority w:val="0"/>
    <w:pPr>
      <w:snapToGrid/>
      <w:spacing w:line="360" w:lineRule="auto"/>
      <w:ind w:left="1407" w:hanging="1047"/>
      <w:jc w:val="left"/>
    </w:pPr>
    <w:rPr>
      <w:rFonts w:eastAsia="仿宋_GB2312"/>
    </w:rPr>
  </w:style>
  <w:style w:type="paragraph" w:customStyle="1" w:styleId="208">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6"/>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autoRedefine/>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autoRedefine/>
    <w:qFormat/>
    <w:uiPriority w:val="0"/>
    <w:pPr>
      <w:tabs>
        <w:tab w:val="left" w:pos="2120"/>
      </w:tabs>
      <w:ind w:firstLine="0" w:firstLineChars="0"/>
    </w:pPr>
    <w:rPr>
      <w:b/>
    </w:rPr>
  </w:style>
  <w:style w:type="paragraph" w:customStyle="1" w:styleId="213">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6"/>
    <w:autoRedefine/>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autoRedefine/>
    <w:qFormat/>
    <w:uiPriority w:val="0"/>
    <w:pPr>
      <w:spacing w:line="360" w:lineRule="auto"/>
      <w:ind w:firstLine="420"/>
    </w:pPr>
    <w:rPr>
      <w:sz w:val="24"/>
    </w:rPr>
  </w:style>
  <w:style w:type="paragraph" w:customStyle="1" w:styleId="220">
    <w:name w:val="标题2"/>
    <w:basedOn w:val="7"/>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4">
    <w:name w:val="简单回函地址"/>
    <w:basedOn w:val="1"/>
    <w:autoRedefine/>
    <w:qFormat/>
    <w:uiPriority w:val="0"/>
    <w:pPr>
      <w:adjustRightInd w:val="0"/>
      <w:snapToGrid w:val="0"/>
      <w:spacing w:line="360" w:lineRule="auto"/>
    </w:pPr>
    <w:rPr>
      <w:sz w:val="24"/>
    </w:rPr>
  </w:style>
  <w:style w:type="paragraph" w:customStyle="1" w:styleId="225">
    <w:name w:val="正文 + 三号"/>
    <w:basedOn w:val="1"/>
    <w:autoRedefine/>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autoRedefine/>
    <w:qFormat/>
    <w:uiPriority w:val="0"/>
    <w:pPr>
      <w:spacing w:line="240" w:lineRule="atLeast"/>
      <w:jc w:val="center"/>
    </w:pPr>
    <w:rPr>
      <w:sz w:val="21"/>
    </w:rPr>
  </w:style>
  <w:style w:type="paragraph" w:customStyle="1" w:styleId="229">
    <w:name w:val="摘要"/>
    <w:basedOn w:val="1"/>
    <w:next w:val="7"/>
    <w:autoRedefine/>
    <w:qFormat/>
    <w:uiPriority w:val="0"/>
    <w:pPr>
      <w:spacing w:line="360" w:lineRule="auto"/>
    </w:pPr>
    <w:rPr>
      <w:rFonts w:eastAsia="黑体"/>
      <w:sz w:val="20"/>
    </w:rPr>
  </w:style>
  <w:style w:type="paragraph" w:customStyle="1" w:styleId="230">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autoRedefine/>
    <w:qFormat/>
    <w:uiPriority w:val="0"/>
    <w:pPr>
      <w:suppressAutoHyphens/>
      <w:jc w:val="left"/>
    </w:pPr>
    <w:rPr>
      <w:rFonts w:ascii="Times New Roman" w:eastAsia="Times New Roman"/>
      <w:kern w:val="0"/>
      <w:sz w:val="24"/>
    </w:rPr>
  </w:style>
  <w:style w:type="paragraph" w:customStyle="1" w:styleId="23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21"/>
    <w:autoRedefine/>
    <w:qFormat/>
    <w:uiPriority w:val="0"/>
    <w:rPr>
      <w:rFonts w:ascii="宋体" w:hAnsi="Tahoma"/>
    </w:rPr>
  </w:style>
  <w:style w:type="paragraph" w:customStyle="1" w:styleId="238">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9"/>
    <w:autoRedefine/>
    <w:qFormat/>
    <w:uiPriority w:val="0"/>
    <w:pPr>
      <w:adjustRightInd w:val="0"/>
      <w:snapToGrid w:val="0"/>
    </w:pPr>
  </w:style>
  <w:style w:type="paragraph" w:customStyle="1" w:styleId="240">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1">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autoRedefine/>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7">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8"/>
    <w:next w:val="57"/>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标题 3 Char"/>
    <w:autoRedefine/>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10</Pages>
  <Words>4358</Words>
  <Characters>4557</Characters>
  <Lines>24</Lines>
  <Paragraphs>6</Paragraphs>
  <TotalTime>61</TotalTime>
  <ScaleCrop>false</ScaleCrop>
  <LinksUpToDate>false</LinksUpToDate>
  <CharactersWithSpaces>4978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2023-01-30T03:41:00Z</dcterms:created>
  <dc:creator>罗成</dc:creator>
  <cp:lastModifiedBy>MYHH~李不懂</cp:lastModifiedBy>
  <cp:lastPrinted>2025-06-24T06:44:00Z</cp:lastPrinted>
  <dcterms:modified xsi:type="dcterms:W3CDTF">2025-06-24T07:51:57Z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756FD834E4D042029B76B3E6883B062A_13</vt:lpwstr>
  </property>
  <property fmtid="{D5CDD505-2E9C-101B-9397-08002B2CF9AE}" pid="4" name="KSOTemplateDocerSaveRecord">
    <vt:lpwstr>eyJoZGlkIjoiNzc0NzJjMDZmOWNkMDcxZjI2ZWM1Y2U5Y2ZlNDYzYjgiLCJ1c2VySWQiOiIyOTA0NTg2MDgifQ==</vt:lpwstr>
  </property>
</Properties>
</file>