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ACE43">
      <w:pPr>
        <w:keepNext w:val="0"/>
        <w:keepLines w:val="0"/>
        <w:pageBreakBefore w:val="0"/>
        <w:widowControl w:val="0"/>
        <w:kinsoku w:val="0"/>
        <w:wordWrap/>
        <w:topLinePunct w:val="0"/>
        <w:autoSpaceDE w:val="0"/>
        <w:autoSpaceDN w:val="0"/>
        <w:bidi w:val="0"/>
        <w:spacing w:line="360" w:lineRule="auto"/>
        <w:jc w:val="both"/>
        <w:textAlignment w:val="auto"/>
        <w:outlineLvl w:val="0"/>
        <w:rPr>
          <w:rFonts w:hint="eastAsia" w:ascii="宋体" w:hAnsi="宋体" w:eastAsia="宋体" w:cs="宋体"/>
          <w:b/>
          <w:bCs/>
          <w:sz w:val="84"/>
          <w:szCs w:val="84"/>
          <w:highlight w:val="none"/>
        </w:rPr>
      </w:pPr>
      <w:bookmarkStart w:id="181" w:name="_GoBack"/>
      <w:bookmarkEnd w:id="181"/>
    </w:p>
    <w:p w14:paraId="3077DA13">
      <w:pPr>
        <w:keepNext w:val="0"/>
        <w:keepLines w:val="0"/>
        <w:pageBreakBefore w:val="0"/>
        <w:widowControl w:val="0"/>
        <w:kinsoku w:val="0"/>
        <w:wordWrap/>
        <w:topLinePunct w:val="0"/>
        <w:autoSpaceDE w:val="0"/>
        <w:autoSpaceDN w:val="0"/>
        <w:bidi w:val="0"/>
        <w:spacing w:line="360" w:lineRule="auto"/>
        <w:jc w:val="center"/>
        <w:textAlignment w:val="auto"/>
        <w:outlineLvl w:val="0"/>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政府采购</w:t>
      </w:r>
    </w:p>
    <w:p w14:paraId="2FFA06F7">
      <w:pPr>
        <w:keepNext w:val="0"/>
        <w:keepLines w:val="0"/>
        <w:pageBreakBefore w:val="0"/>
        <w:widowControl w:val="0"/>
        <w:kinsoku w:val="0"/>
        <w:wordWrap/>
        <w:topLinePunct w:val="0"/>
        <w:autoSpaceDE w:val="0"/>
        <w:autoSpaceDN w:val="0"/>
        <w:bidi w:val="0"/>
        <w:spacing w:line="360" w:lineRule="auto"/>
        <w:jc w:val="center"/>
        <w:textAlignment w:val="auto"/>
        <w:outlineLvl w:val="0"/>
        <w:rPr>
          <w:rFonts w:hint="eastAsia" w:ascii="宋体" w:hAnsi="宋体" w:eastAsia="宋体" w:cs="宋体"/>
          <w:sz w:val="84"/>
          <w:szCs w:val="84"/>
          <w:highlight w:val="none"/>
        </w:rPr>
      </w:pPr>
      <w:r>
        <w:rPr>
          <w:rFonts w:hint="eastAsia" w:ascii="宋体" w:hAnsi="宋体" w:eastAsia="宋体" w:cs="宋体"/>
          <w:b/>
          <w:bCs/>
          <w:sz w:val="84"/>
          <w:szCs w:val="84"/>
          <w:highlight w:val="none"/>
        </w:rPr>
        <w:t>竞争性磋商文件</w:t>
      </w:r>
    </w:p>
    <w:p w14:paraId="4EF6C5A4">
      <w:pPr>
        <w:keepNext w:val="0"/>
        <w:keepLines w:val="0"/>
        <w:pageBreakBefore w:val="0"/>
        <w:widowControl w:val="0"/>
        <w:kinsoku w:val="0"/>
        <w:wordWrap/>
        <w:topLinePunct w:val="0"/>
        <w:autoSpaceDE w:val="0"/>
        <w:autoSpaceDN w:val="0"/>
        <w:bidi w:val="0"/>
        <w:spacing w:line="360" w:lineRule="auto"/>
        <w:jc w:val="center"/>
        <w:textAlignment w:val="auto"/>
        <w:rPr>
          <w:rFonts w:hint="eastAsia" w:ascii="宋体" w:hAnsi="宋体" w:eastAsia="宋体" w:cs="宋体"/>
          <w:sz w:val="32"/>
          <w:highlight w:val="none"/>
        </w:rPr>
      </w:pPr>
    </w:p>
    <w:p w14:paraId="71C890CE">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0"/>
        <w:rPr>
          <w:rFonts w:hint="eastAsia" w:ascii="宋体" w:hAnsi="宋体" w:eastAsia="宋体" w:cs="宋体"/>
          <w:sz w:val="28"/>
          <w:szCs w:val="28"/>
          <w:highlight w:val="none"/>
        </w:rPr>
      </w:pPr>
    </w:p>
    <w:p w14:paraId="33ECB45F">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758" w:firstLineChars="628"/>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采购执行编号：YMCQ2025-055</w:t>
      </w:r>
    </w:p>
    <w:p w14:paraId="715D4F80">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3776" w:leftChars="628" w:hanging="2018" w:firstLineChars="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磋商项目名称：“社会.渝悦.救助通”结算审核及绩效评价服务</w:t>
      </w:r>
    </w:p>
    <w:p w14:paraId="2B2432D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3640" w:firstLineChars="1300"/>
        <w:jc w:val="left"/>
        <w:textAlignment w:val="auto"/>
        <w:rPr>
          <w:rFonts w:hint="eastAsia" w:ascii="宋体" w:hAnsi="宋体" w:eastAsia="宋体" w:cs="宋体"/>
          <w:sz w:val="28"/>
          <w:szCs w:val="28"/>
          <w:highlight w:val="none"/>
        </w:rPr>
      </w:pPr>
    </w:p>
    <w:p w14:paraId="1F696FE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758" w:firstLineChars="628"/>
        <w:jc w:val="left"/>
        <w:textAlignment w:val="auto"/>
        <w:rPr>
          <w:rFonts w:hint="eastAsia" w:ascii="宋体" w:hAnsi="宋体" w:eastAsia="宋体" w:cs="宋体"/>
          <w:sz w:val="28"/>
          <w:szCs w:val="28"/>
          <w:highlight w:val="none"/>
        </w:rPr>
      </w:pPr>
    </w:p>
    <w:p w14:paraId="3FAC610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758" w:firstLineChars="628"/>
        <w:jc w:val="left"/>
        <w:textAlignment w:val="auto"/>
        <w:rPr>
          <w:rFonts w:hint="eastAsia" w:ascii="宋体" w:hAnsi="宋体" w:eastAsia="宋体" w:cs="宋体"/>
          <w:sz w:val="28"/>
          <w:szCs w:val="28"/>
          <w:highlight w:val="none"/>
        </w:rPr>
      </w:pPr>
    </w:p>
    <w:p w14:paraId="13E815A4">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8"/>
          <w:szCs w:val="28"/>
          <w:highlight w:val="none"/>
        </w:rPr>
      </w:pPr>
    </w:p>
    <w:p w14:paraId="6065A2D1">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8"/>
          <w:szCs w:val="28"/>
          <w:highlight w:val="none"/>
        </w:rPr>
      </w:pPr>
    </w:p>
    <w:p w14:paraId="03275419">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b/>
          <w:sz w:val="28"/>
          <w:szCs w:val="28"/>
          <w:highlight w:val="none"/>
        </w:rPr>
      </w:pPr>
    </w:p>
    <w:p w14:paraId="6807BBA0">
      <w:pPr>
        <w:pStyle w:val="56"/>
        <w:keepNext w:val="0"/>
        <w:keepLines w:val="0"/>
        <w:pageBreakBefore w:val="0"/>
        <w:widowControl w:val="0"/>
        <w:kinsoku w:val="0"/>
        <w:wordWrap/>
        <w:overflowPunct w:val="0"/>
        <w:topLinePunct w:val="0"/>
        <w:autoSpaceDE w:val="0"/>
        <w:autoSpaceDN w:val="0"/>
        <w:bidi w:val="0"/>
        <w:adjustRightInd w:val="0"/>
        <w:snapToGrid w:val="0"/>
        <w:ind w:left="0" w:leftChars="0" w:firstLine="1765" w:firstLineChars="628"/>
        <w:jc w:val="left"/>
        <w:textAlignment w:val="auto"/>
        <w:rPr>
          <w:rFonts w:hint="eastAsia" w:ascii="宋体" w:hAnsi="宋体" w:eastAsia="宋体" w:cs="宋体"/>
          <w:b/>
          <w:sz w:val="28"/>
          <w:szCs w:val="28"/>
          <w:highlight w:val="none"/>
          <w:lang w:val="en-US" w:eastAsia="zh-CN"/>
        </w:rPr>
      </w:pPr>
    </w:p>
    <w:p w14:paraId="7BB738FD">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758" w:firstLineChars="628"/>
        <w:jc w:val="left"/>
        <w:textAlignment w:val="auto"/>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采</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购</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人：重庆市民政局</w:t>
      </w:r>
    </w:p>
    <w:p w14:paraId="30117152">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758" w:firstLineChars="628"/>
        <w:jc w:val="left"/>
        <w:textAlignment w:val="auto"/>
        <w:outlineLvl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采购代理机构：</w:t>
      </w:r>
      <w:r>
        <w:rPr>
          <w:rFonts w:hint="eastAsia" w:ascii="宋体" w:hAnsi="宋体" w:eastAsia="宋体" w:cs="宋体"/>
          <w:sz w:val="28"/>
          <w:szCs w:val="28"/>
          <w:highlight w:val="none"/>
          <w:lang w:val="en-US" w:eastAsia="zh-CN"/>
        </w:rPr>
        <w:t>永明项目管理有限公司</w:t>
      </w:r>
    </w:p>
    <w:p w14:paraId="45CACEB6">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二〇二</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九</w:t>
      </w:r>
      <w:r>
        <w:rPr>
          <w:rFonts w:hint="eastAsia" w:ascii="宋体" w:hAnsi="宋体" w:eastAsia="宋体" w:cs="宋体"/>
          <w:sz w:val="28"/>
          <w:szCs w:val="28"/>
          <w:highlight w:val="none"/>
        </w:rPr>
        <w:t>月</w:t>
      </w:r>
    </w:p>
    <w:p w14:paraId="19FEB865">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sz w:val="28"/>
          <w:szCs w:val="28"/>
          <w:highlight w:val="none"/>
        </w:rPr>
        <w:sectPr>
          <w:headerReference r:id="rId4" w:type="first"/>
          <w:footerReference r:id="rId7" w:type="first"/>
          <w:headerReference r:id="rId3" w:type="default"/>
          <w:footerReference r:id="rId5" w:type="default"/>
          <w:footerReference r:id="rId6" w:type="even"/>
          <w:pgSz w:w="11907" w:h="16840"/>
          <w:pgMar w:top="1417" w:right="1417" w:bottom="1417" w:left="1417" w:header="851" w:footer="992" w:gutter="0"/>
          <w:pgNumType w:fmt="numberInDash" w:start="1"/>
          <w:cols w:space="720" w:num="1"/>
          <w:titlePg/>
          <w:docGrid w:linePitch="381" w:charSpace="-5735"/>
        </w:sectPr>
      </w:pPr>
    </w:p>
    <w:p w14:paraId="657555F5">
      <w:pPr>
        <w:keepNext w:val="0"/>
        <w:keepLines w:val="0"/>
        <w:pageBreakBefore w:val="0"/>
        <w:widowControl w:val="0"/>
        <w:kinsoku w:val="0"/>
        <w:wordWrap/>
        <w:topLinePunct w:val="0"/>
        <w:autoSpaceDE w:val="0"/>
        <w:autoSpaceDN w:val="0"/>
        <w:bidi w:val="0"/>
        <w:spacing w:line="360" w:lineRule="auto"/>
        <w:jc w:val="center"/>
        <w:textAlignment w:val="auto"/>
        <w:outlineLvl w:val="0"/>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21CDE0EC">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TOC \o "1-3" \h \z </w:instrText>
      </w:r>
      <w:r>
        <w:rPr>
          <w:rFonts w:hint="eastAsia" w:ascii="宋体" w:hAnsi="宋体" w:eastAsia="宋体" w:cs="宋体"/>
          <w:sz w:val="21"/>
          <w:szCs w:val="21"/>
          <w:highlight w:val="none"/>
        </w:rPr>
        <w:fldChar w:fldCharType="separate"/>
      </w: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"_Toc106030870"</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color w:val="auto"/>
          <w:sz w:val="24"/>
          <w:szCs w:val="24"/>
          <w:highlight w:val="none"/>
          <w:lang/>
        </w:rPr>
        <w:t>第一篇  采购邀请书</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_Toc106030870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- 1 -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6710C303">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"_Toc106030878"</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color w:val="auto"/>
          <w:sz w:val="24"/>
          <w:szCs w:val="24"/>
          <w:highlight w:val="none"/>
          <w:lang/>
        </w:rPr>
        <w:t>第二篇  项目服务需求</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_Toc106030878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- 4 -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21DA087D">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"_Toc106030882"</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color w:val="auto"/>
          <w:sz w:val="24"/>
          <w:szCs w:val="24"/>
          <w:highlight w:val="none"/>
          <w:lang/>
        </w:rPr>
        <w:t>第三篇  项目商务需求</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_Toc106030882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- 4 -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1475448C">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"_Toc106030887"</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color w:val="auto"/>
          <w:sz w:val="24"/>
          <w:szCs w:val="24"/>
          <w:highlight w:val="none"/>
          <w:lang/>
        </w:rPr>
        <w:t>第四篇  磋商程序及方法、评审标准、无效响应和采购终止</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_Toc106030887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- 4 -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45D69942">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"_Toc106030892"</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bCs/>
          <w:color w:val="auto"/>
          <w:sz w:val="24"/>
          <w:szCs w:val="24"/>
          <w:highlight w:val="none"/>
          <w:lang/>
        </w:rPr>
        <w:t>第五篇  供应商须知</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_Toc106030892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- 16 -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300894F2">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"_Toc106030904"</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color w:val="auto"/>
          <w:sz w:val="24"/>
          <w:szCs w:val="24"/>
          <w:highlight w:val="none"/>
          <w:lang/>
        </w:rPr>
        <w:t>第六篇  政府采购合同</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_Toc106030904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- 22 -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395733B9">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4"/>
          <w:szCs w:val="24"/>
          <w:highlight w:val="none"/>
          <w:lang/>
        </w:rPr>
      </w:pPr>
      <w:r>
        <w:rPr>
          <w:rFonts w:hint="eastAsia" w:ascii="宋体" w:hAnsi="宋体" w:eastAsia="宋体" w:cs="宋体"/>
          <w:sz w:val="24"/>
          <w:szCs w:val="24"/>
          <w:highlight w:val="none"/>
          <w:lang/>
        </w:rPr>
        <w:fldChar w:fldCharType="begin"/>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instrText xml:space="preserve">HYPERLINK \l "_Toc106030905"</w:instrText>
      </w:r>
      <w:r>
        <w:rPr>
          <w:rStyle w:val="65"/>
          <w:rFonts w:hint="eastAsia" w:ascii="宋体" w:hAnsi="宋体" w:eastAsia="宋体" w:cs="宋体"/>
          <w:color w:val="auto"/>
          <w:sz w:val="24"/>
          <w:szCs w:val="24"/>
          <w:highlight w:val="none"/>
          <w:lang/>
        </w:rPr>
        <w:instrText xml:space="preserve"> </w:instrText>
      </w:r>
      <w:r>
        <w:rPr>
          <w:rFonts w:hint="eastAsia" w:ascii="宋体" w:hAnsi="宋体" w:eastAsia="宋体" w:cs="宋体"/>
          <w:sz w:val="24"/>
          <w:szCs w:val="24"/>
          <w:highlight w:val="none"/>
          <w:lang/>
        </w:rPr>
        <w:fldChar w:fldCharType="separate"/>
      </w:r>
      <w:r>
        <w:rPr>
          <w:rStyle w:val="65"/>
          <w:rFonts w:hint="eastAsia" w:ascii="宋体" w:hAnsi="宋体" w:eastAsia="宋体" w:cs="宋体"/>
          <w:color w:val="auto"/>
          <w:sz w:val="24"/>
          <w:szCs w:val="24"/>
          <w:highlight w:val="none"/>
          <w:lang/>
        </w:rPr>
        <w:t>第七篇  响应文件编制要求</w:t>
      </w:r>
      <w:r>
        <w:rPr>
          <w:rFonts w:hint="eastAsia" w:ascii="宋体" w:hAnsi="宋体" w:eastAsia="宋体" w:cs="宋体"/>
          <w:sz w:val="24"/>
          <w:szCs w:val="24"/>
          <w:highlight w:val="none"/>
          <w:lang/>
        </w:rPr>
        <w:tab/>
      </w:r>
      <w:r>
        <w:rPr>
          <w:rFonts w:hint="eastAsia" w:ascii="宋体" w:hAnsi="宋体" w:eastAsia="宋体" w:cs="宋体"/>
          <w:sz w:val="24"/>
          <w:szCs w:val="24"/>
          <w:highlight w:val="none"/>
          <w:lang/>
        </w:rPr>
        <w:fldChar w:fldCharType="begin"/>
      </w:r>
      <w:r>
        <w:rPr>
          <w:rFonts w:hint="eastAsia" w:ascii="宋体" w:hAnsi="宋体" w:eastAsia="宋体" w:cs="宋体"/>
          <w:sz w:val="24"/>
          <w:szCs w:val="24"/>
          <w:highlight w:val="none"/>
          <w:lang/>
        </w:rPr>
        <w:instrText xml:space="preserve"> PAGEREF _Toc106030905 \h </w:instrText>
      </w:r>
      <w:r>
        <w:rPr>
          <w:rFonts w:hint="eastAsia" w:ascii="宋体" w:hAnsi="宋体" w:eastAsia="宋体" w:cs="宋体"/>
          <w:sz w:val="24"/>
          <w:szCs w:val="24"/>
          <w:highlight w:val="none"/>
          <w:lang/>
        </w:rPr>
        <w:fldChar w:fldCharType="separate"/>
      </w:r>
      <w:r>
        <w:rPr>
          <w:rFonts w:hint="eastAsia" w:ascii="宋体" w:hAnsi="宋体" w:eastAsia="宋体" w:cs="宋体"/>
          <w:sz w:val="24"/>
          <w:szCs w:val="24"/>
          <w:highlight w:val="none"/>
          <w:lang/>
        </w:rPr>
        <w:t>- 23 -</w:t>
      </w:r>
      <w:r>
        <w:rPr>
          <w:rFonts w:hint="eastAsia" w:ascii="宋体" w:hAnsi="宋体" w:eastAsia="宋体" w:cs="宋体"/>
          <w:sz w:val="24"/>
          <w:szCs w:val="24"/>
          <w:highlight w:val="none"/>
          <w:lang/>
        </w:rPr>
        <w:fldChar w:fldCharType="end"/>
      </w:r>
      <w:r>
        <w:rPr>
          <w:rFonts w:hint="eastAsia" w:ascii="宋体" w:hAnsi="宋体" w:eastAsia="宋体" w:cs="宋体"/>
          <w:sz w:val="24"/>
          <w:szCs w:val="24"/>
          <w:highlight w:val="none"/>
          <w:lang/>
        </w:rPr>
        <w:fldChar w:fldCharType="end"/>
      </w:r>
    </w:p>
    <w:p w14:paraId="77D248BE">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textAlignment w:val="auto"/>
        <w:rPr>
          <w:rFonts w:hint="eastAsia" w:ascii="宋体" w:hAnsi="宋体" w:eastAsia="宋体" w:cs="宋体"/>
          <w:sz w:val="21"/>
          <w:szCs w:val="22"/>
          <w:highlight w:val="none"/>
          <w:lang/>
        </w:rPr>
      </w:pPr>
    </w:p>
    <w:p w14:paraId="31DFE87D">
      <w:pPr>
        <w:pStyle w:val="45"/>
        <w:keepNext w:val="0"/>
        <w:keepLines w:val="0"/>
        <w:pageBreakBefore w:val="0"/>
        <w:widowControl w:val="0"/>
        <w:tabs>
          <w:tab w:val="right" w:leader="dot" w:pos="9402"/>
        </w:tabs>
        <w:kinsoku w:val="0"/>
        <w:wordWrap/>
        <w:topLinePunct w:val="0"/>
        <w:autoSpaceDE w:val="0"/>
        <w:autoSpaceDN w:val="0"/>
        <w:bidi w:val="0"/>
        <w:spacing w:line="360" w:lineRule="auto"/>
        <w:ind w:left="560"/>
        <w:jc w:val="center"/>
        <w:textAlignment w:val="auto"/>
        <w:rPr>
          <w:rFonts w:hint="eastAsia" w:ascii="宋体" w:hAnsi="宋体" w:eastAsia="宋体" w:cs="宋体"/>
          <w:sz w:val="18"/>
          <w:szCs w:val="22"/>
          <w:highlight w:val="none"/>
          <w:lang/>
        </w:rPr>
        <w:sectPr>
          <w:footerReference r:id="rId8" w:type="default"/>
          <w:pgSz w:w="11907" w:h="16840"/>
          <w:pgMar w:top="1417" w:right="1417" w:bottom="1247" w:left="1417" w:header="1134" w:footer="850" w:gutter="0"/>
          <w:pgNumType w:fmt="numberInDash" w:start="1"/>
          <w:cols w:space="720" w:num="1"/>
          <w:docGrid w:linePitch="381" w:charSpace="-5735"/>
        </w:sectPr>
      </w:pPr>
      <w:r>
        <w:rPr>
          <w:rFonts w:hint="eastAsia" w:ascii="宋体" w:hAnsi="宋体" w:eastAsia="宋体" w:cs="宋体"/>
          <w:szCs w:val="21"/>
          <w:highlight w:val="none"/>
        </w:rPr>
        <w:fldChar w:fldCharType="end"/>
      </w:r>
    </w:p>
    <w:p w14:paraId="1602E398">
      <w:pPr>
        <w:pStyle w:val="45"/>
        <w:keepNext w:val="0"/>
        <w:keepLines w:val="0"/>
        <w:pageBreakBefore w:val="0"/>
        <w:widowControl w:val="0"/>
        <w:tabs>
          <w:tab w:val="right" w:leader="dot" w:pos="9402"/>
        </w:tabs>
        <w:kinsoku/>
        <w:wordWrap/>
        <w:overflowPunct/>
        <w:topLinePunct w:val="0"/>
        <w:autoSpaceDE w:val="0"/>
        <w:autoSpaceDN w:val="0"/>
        <w:bidi w:val="0"/>
        <w:adjustRightInd w:val="0"/>
        <w:snapToGrid w:val="0"/>
        <w:spacing w:line="500" w:lineRule="exact"/>
        <w:ind w:left="0" w:leftChars="0"/>
        <w:jc w:val="center"/>
        <w:textAlignment w:val="auto"/>
        <w:outlineLvl w:val="0"/>
        <w:rPr>
          <w:rFonts w:hint="eastAsia" w:ascii="宋体" w:hAnsi="宋体" w:eastAsia="宋体" w:cs="宋体"/>
          <w:b/>
          <w:sz w:val="32"/>
          <w:szCs w:val="32"/>
          <w:highlight w:val="none"/>
          <w:lang w:val="en-US" w:eastAsia="zh-CN"/>
        </w:rPr>
      </w:pPr>
      <w:bookmarkStart w:id="0" w:name="_Toc106030870"/>
      <w:bookmarkStart w:id="1" w:name="_Toc11641050"/>
      <w:bookmarkStart w:id="2" w:name="_Toc76462316"/>
      <w:bookmarkStart w:id="3" w:name="_Toc12789052"/>
      <w:r>
        <w:rPr>
          <w:rFonts w:hint="eastAsia" w:ascii="宋体" w:hAnsi="宋体" w:eastAsia="宋体" w:cs="宋体"/>
          <w:b/>
          <w:sz w:val="32"/>
          <w:szCs w:val="32"/>
          <w:highlight w:val="none"/>
          <w:lang w:val="en-US" w:eastAsia="zh-CN"/>
        </w:rPr>
        <w:t>第一篇  采购邀请书</w:t>
      </w:r>
      <w:bookmarkEnd w:id="0"/>
      <w:bookmarkEnd w:id="1"/>
      <w:bookmarkEnd w:id="2"/>
      <w:bookmarkEnd w:id="3"/>
    </w:p>
    <w:p w14:paraId="64486B2C">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永明</w:t>
      </w:r>
      <w:r>
        <w:rPr>
          <w:rFonts w:hint="eastAsia" w:ascii="宋体" w:hAnsi="宋体" w:eastAsia="宋体" w:cs="宋体"/>
          <w:sz w:val="21"/>
          <w:szCs w:val="21"/>
          <w:highlight w:val="none"/>
          <w:u w:val="single"/>
        </w:rPr>
        <w:t>项目管理有限公司</w:t>
      </w:r>
      <w:r>
        <w:rPr>
          <w:rFonts w:hint="eastAsia" w:ascii="宋体" w:hAnsi="宋体" w:eastAsia="宋体" w:cs="宋体"/>
          <w:sz w:val="21"/>
          <w:szCs w:val="21"/>
          <w:highlight w:val="none"/>
        </w:rPr>
        <w:t>（以下简称：采购代理机构）接受</w:t>
      </w:r>
      <w:r>
        <w:rPr>
          <w:rFonts w:hint="eastAsia" w:ascii="宋体" w:hAnsi="宋体" w:eastAsia="宋体" w:cs="宋体"/>
          <w:sz w:val="21"/>
          <w:szCs w:val="21"/>
          <w:highlight w:val="none"/>
          <w:u w:val="single"/>
        </w:rPr>
        <w:t>重庆市民政局</w:t>
      </w:r>
      <w:r>
        <w:rPr>
          <w:rFonts w:hint="eastAsia" w:ascii="宋体" w:hAnsi="宋体" w:eastAsia="宋体" w:cs="宋体"/>
          <w:sz w:val="21"/>
          <w:szCs w:val="21"/>
          <w:highlight w:val="none"/>
        </w:rPr>
        <w:t>（以下简称：采购人）的委托，对</w:t>
      </w:r>
      <w:r>
        <w:rPr>
          <w:rFonts w:hint="eastAsia" w:ascii="宋体" w:hAnsi="宋体" w:eastAsia="宋体" w:cs="宋体"/>
          <w:sz w:val="21"/>
          <w:szCs w:val="21"/>
          <w:highlight w:val="none"/>
          <w:u w:val="single"/>
          <w:lang w:val="en-US" w:eastAsia="zh-CN"/>
        </w:rPr>
        <w:t>“社会.渝悦.救助通”结算审核及绩效评价服务</w:t>
      </w:r>
      <w:r>
        <w:rPr>
          <w:rFonts w:hint="eastAsia" w:ascii="宋体" w:hAnsi="宋体" w:eastAsia="宋体" w:cs="宋体"/>
          <w:sz w:val="21"/>
          <w:szCs w:val="21"/>
          <w:highlight w:val="none"/>
        </w:rPr>
        <w:t>进行竞争性磋商采购。欢迎有资格的供应商前来参与磋商。</w:t>
      </w:r>
    </w:p>
    <w:p w14:paraId="0DA76387">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firstLine="422" w:firstLineChars="200"/>
        <w:textAlignment w:val="auto"/>
        <w:rPr>
          <w:rFonts w:hint="eastAsia" w:ascii="宋体" w:hAnsi="宋体" w:eastAsia="宋体" w:cs="宋体"/>
          <w:sz w:val="21"/>
          <w:szCs w:val="21"/>
          <w:highlight w:val="none"/>
        </w:rPr>
      </w:pPr>
      <w:bookmarkStart w:id="4" w:name="_Toc313893526"/>
      <w:bookmarkStart w:id="5" w:name="_Toc76462317"/>
      <w:bookmarkStart w:id="6" w:name="_Toc317775175"/>
      <w:bookmarkStart w:id="7" w:name="_Toc106030871"/>
      <w:r>
        <w:rPr>
          <w:rFonts w:hint="eastAsia" w:ascii="宋体" w:hAnsi="宋体" w:eastAsia="宋体" w:cs="宋体"/>
          <w:sz w:val="21"/>
          <w:szCs w:val="21"/>
          <w:highlight w:val="none"/>
        </w:rPr>
        <w:t>一、竞争性磋商内容</w:t>
      </w:r>
      <w:bookmarkEnd w:id="4"/>
      <w:bookmarkEnd w:id="5"/>
      <w:bookmarkEnd w:id="6"/>
      <w:bookmarkEnd w:id="7"/>
    </w:p>
    <w:tbl>
      <w:tblPr>
        <w:tblStyle w:val="58"/>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737"/>
        <w:gridCol w:w="1955"/>
        <w:gridCol w:w="1757"/>
      </w:tblGrid>
      <w:tr w14:paraId="7A39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90" w:hRule="atLeast"/>
          <w:jc w:val="center"/>
        </w:trPr>
        <w:tc>
          <w:tcPr>
            <w:tcW w:w="3129" w:type="dxa"/>
            <w:tcBorders>
              <w:top w:val="single" w:color="auto" w:sz="4" w:space="0"/>
              <w:left w:val="single" w:color="auto" w:sz="4" w:space="0"/>
              <w:right w:val="single" w:color="auto" w:sz="4" w:space="0"/>
            </w:tcBorders>
            <w:noWrap w:val="0"/>
            <w:vAlign w:val="center"/>
          </w:tcPr>
          <w:p w14:paraId="3CABAB6E">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包号及名称</w:t>
            </w:r>
          </w:p>
        </w:tc>
        <w:tc>
          <w:tcPr>
            <w:tcW w:w="1737" w:type="dxa"/>
            <w:tcBorders>
              <w:top w:val="single" w:color="auto" w:sz="4" w:space="0"/>
              <w:left w:val="single" w:color="auto" w:sz="4" w:space="0"/>
              <w:right w:val="single" w:color="auto" w:sz="4" w:space="0"/>
            </w:tcBorders>
            <w:noWrap w:val="0"/>
            <w:vAlign w:val="center"/>
          </w:tcPr>
          <w:p w14:paraId="2CA99902">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最高限价（万元）</w:t>
            </w:r>
          </w:p>
        </w:tc>
        <w:tc>
          <w:tcPr>
            <w:tcW w:w="1955" w:type="dxa"/>
            <w:tcBorders>
              <w:top w:val="single" w:color="auto" w:sz="4" w:space="0"/>
              <w:left w:val="single" w:color="auto" w:sz="4" w:space="0"/>
              <w:right w:val="single" w:color="auto" w:sz="4" w:space="0"/>
            </w:tcBorders>
            <w:noWrap w:val="0"/>
            <w:vAlign w:val="center"/>
          </w:tcPr>
          <w:p w14:paraId="4DBE2A12">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成交供应商数量（名）</w:t>
            </w:r>
          </w:p>
        </w:tc>
        <w:tc>
          <w:tcPr>
            <w:tcW w:w="1757" w:type="dxa"/>
            <w:tcBorders>
              <w:top w:val="single" w:color="auto" w:sz="4" w:space="0"/>
              <w:left w:val="single" w:color="auto" w:sz="4" w:space="0"/>
              <w:right w:val="single" w:color="auto" w:sz="4" w:space="0"/>
            </w:tcBorders>
            <w:noWrap w:val="0"/>
            <w:vAlign w:val="center"/>
          </w:tcPr>
          <w:p w14:paraId="5C50AE92">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val="en-US" w:eastAsia="zh-CN"/>
              </w:rPr>
              <w:t>备注</w:t>
            </w:r>
          </w:p>
        </w:tc>
      </w:tr>
      <w:tr w14:paraId="4468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158" w:hRule="atLeast"/>
          <w:jc w:val="center"/>
        </w:trPr>
        <w:tc>
          <w:tcPr>
            <w:tcW w:w="3129" w:type="dxa"/>
            <w:tcBorders>
              <w:top w:val="single" w:color="auto" w:sz="4" w:space="0"/>
              <w:left w:val="single" w:color="auto" w:sz="4" w:space="0"/>
              <w:right w:val="single" w:color="auto" w:sz="4" w:space="0"/>
            </w:tcBorders>
            <w:noWrap w:val="0"/>
            <w:vAlign w:val="center"/>
          </w:tcPr>
          <w:p w14:paraId="6AB72029">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kern w:val="0"/>
                <w:sz w:val="21"/>
                <w:szCs w:val="21"/>
                <w:highlight w:val="none"/>
              </w:rPr>
            </w:pPr>
            <w:bookmarkStart w:id="8" w:name="_Hlk344477914"/>
            <w:r>
              <w:rPr>
                <w:rFonts w:hint="eastAsia" w:ascii="宋体" w:hAnsi="宋体" w:eastAsia="宋体" w:cs="宋体"/>
                <w:sz w:val="21"/>
                <w:szCs w:val="21"/>
                <w:highlight w:val="none"/>
                <w:lang w:val="en-US" w:eastAsia="zh-CN"/>
              </w:rPr>
              <w:t>“社会.渝悦.救助通”结算审核及绩效评价服务</w:t>
            </w:r>
          </w:p>
        </w:tc>
        <w:tc>
          <w:tcPr>
            <w:tcW w:w="1737" w:type="dxa"/>
            <w:tcBorders>
              <w:top w:val="single" w:color="auto" w:sz="4" w:space="0"/>
              <w:left w:val="single" w:color="auto" w:sz="4" w:space="0"/>
              <w:right w:val="single" w:color="auto" w:sz="4" w:space="0"/>
            </w:tcBorders>
            <w:noWrap w:val="0"/>
            <w:vAlign w:val="center"/>
          </w:tcPr>
          <w:p w14:paraId="6E77F378">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w:t>
            </w:r>
          </w:p>
        </w:tc>
        <w:tc>
          <w:tcPr>
            <w:tcW w:w="1955" w:type="dxa"/>
            <w:tcBorders>
              <w:top w:val="single" w:color="auto" w:sz="4" w:space="0"/>
              <w:left w:val="single" w:color="auto" w:sz="4" w:space="0"/>
              <w:right w:val="single" w:color="auto" w:sz="4" w:space="0"/>
            </w:tcBorders>
            <w:noWrap w:val="0"/>
            <w:vAlign w:val="center"/>
          </w:tcPr>
          <w:p w14:paraId="348C9F36">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57" w:type="dxa"/>
            <w:tcBorders>
              <w:top w:val="single" w:color="auto" w:sz="4" w:space="0"/>
              <w:left w:val="single" w:color="auto" w:sz="4" w:space="0"/>
              <w:right w:val="single" w:color="auto" w:sz="4" w:space="0"/>
            </w:tcBorders>
            <w:noWrap w:val="0"/>
            <w:vAlign w:val="center"/>
          </w:tcPr>
          <w:p w14:paraId="383AFD1C">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auto"/>
              <w:rPr>
                <w:rFonts w:hint="default" w:ascii="宋体" w:hAnsi="宋体" w:eastAsia="宋体" w:cs="宋体"/>
                <w:kern w:val="0"/>
                <w:sz w:val="21"/>
                <w:szCs w:val="21"/>
                <w:highlight w:val="none"/>
                <w:lang w:val="en-US" w:eastAsia="zh-CN"/>
              </w:rPr>
            </w:pPr>
          </w:p>
        </w:tc>
      </w:tr>
      <w:bookmarkEnd w:id="8"/>
    </w:tbl>
    <w:p w14:paraId="3D0FCC5D">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firstLine="422" w:firstLineChars="200"/>
        <w:textAlignment w:val="auto"/>
        <w:rPr>
          <w:rFonts w:hint="eastAsia" w:ascii="宋体" w:hAnsi="宋体" w:eastAsia="宋体" w:cs="宋体"/>
          <w:sz w:val="21"/>
          <w:szCs w:val="21"/>
          <w:highlight w:val="none"/>
        </w:rPr>
      </w:pPr>
      <w:bookmarkStart w:id="9" w:name="_Toc106030872"/>
      <w:bookmarkStart w:id="10" w:name="_Toc76462318"/>
      <w:bookmarkStart w:id="11" w:name="_Toc373860293"/>
      <w:bookmarkStart w:id="12" w:name="_Toc317775178"/>
      <w:r>
        <w:rPr>
          <w:rFonts w:hint="eastAsia" w:ascii="宋体" w:hAnsi="宋体" w:eastAsia="宋体" w:cs="宋体"/>
          <w:sz w:val="21"/>
          <w:szCs w:val="21"/>
          <w:highlight w:val="none"/>
        </w:rPr>
        <w:t>二、资金来源</w:t>
      </w:r>
      <w:bookmarkEnd w:id="9"/>
      <w:bookmarkEnd w:id="10"/>
    </w:p>
    <w:p w14:paraId="739B3EEF">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firstLine="420" w:firstLineChars="200"/>
        <w:textAlignment w:val="auto"/>
        <w:rPr>
          <w:rFonts w:hint="eastAsia" w:ascii="宋体" w:hAnsi="宋体" w:eastAsia="宋体" w:cs="宋体"/>
          <w:b w:val="0"/>
          <w:kern w:val="2"/>
          <w:sz w:val="21"/>
          <w:szCs w:val="21"/>
          <w:highlight w:val="none"/>
          <w:lang w:val="en-US" w:eastAsia="zh-CN" w:bidi="ar-SA"/>
        </w:rPr>
      </w:pPr>
      <w:bookmarkStart w:id="13" w:name="_Toc76462319"/>
      <w:bookmarkStart w:id="14" w:name="_Toc106030873"/>
      <w:r>
        <w:rPr>
          <w:rFonts w:hint="eastAsia" w:ascii="宋体" w:hAnsi="宋体" w:eastAsia="宋体" w:cs="宋体"/>
          <w:b w:val="0"/>
          <w:kern w:val="2"/>
          <w:sz w:val="21"/>
          <w:szCs w:val="21"/>
          <w:highlight w:val="none"/>
          <w:lang w:val="en-US" w:eastAsia="zh-CN" w:bidi="ar-SA"/>
        </w:rPr>
        <w:t>财政预算资金，预算金额为5.1万元。</w:t>
      </w:r>
    </w:p>
    <w:p w14:paraId="007A3A2A">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三、供应商资格条件</w:t>
      </w:r>
      <w:bookmarkEnd w:id="13"/>
      <w:bookmarkEnd w:id="14"/>
    </w:p>
    <w:p w14:paraId="34211F76">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（一）满足《中华人民共和国政府采购法》第二十二条规定；</w:t>
      </w:r>
    </w:p>
    <w:p w14:paraId="32AC6AF7">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840" w:firstLineChars="4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p w14:paraId="6DAC444F">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840" w:firstLineChars="4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2.具有良好的商业信誉和健全的财务会计制度；</w:t>
      </w:r>
    </w:p>
    <w:p w14:paraId="009FCD14">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840" w:firstLineChars="4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3.具有履行合同所必需的设备和专业技术能力；</w:t>
      </w:r>
    </w:p>
    <w:p w14:paraId="069B94B5">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840" w:firstLineChars="4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4.有依法缴纳税收和社会保障资金的良好记录；</w:t>
      </w:r>
    </w:p>
    <w:p w14:paraId="471EAED4">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840" w:firstLineChars="4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5.参加政府采购活动前三年内，在经营活动中没有重大违法记录；</w:t>
      </w:r>
    </w:p>
    <w:p w14:paraId="0B0908CA">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840" w:firstLineChars="4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p w14:paraId="36149128">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）本项目的特定资格要求：无</w:t>
      </w:r>
    </w:p>
    <w:p w14:paraId="7E77E15F">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firstLine="422" w:firstLineChars="200"/>
        <w:textAlignment w:val="auto"/>
        <w:rPr>
          <w:rFonts w:hint="eastAsia" w:ascii="宋体" w:hAnsi="宋体" w:eastAsia="宋体" w:cs="宋体"/>
          <w:sz w:val="21"/>
          <w:szCs w:val="21"/>
          <w:highlight w:val="none"/>
        </w:rPr>
      </w:pPr>
      <w:bookmarkStart w:id="15" w:name="_Toc76462320"/>
      <w:bookmarkStart w:id="16" w:name="_Toc106030874"/>
      <w:r>
        <w:rPr>
          <w:rFonts w:hint="eastAsia" w:ascii="宋体" w:hAnsi="宋体" w:eastAsia="宋体" w:cs="宋体"/>
          <w:sz w:val="21"/>
          <w:szCs w:val="21"/>
          <w:highlight w:val="none"/>
        </w:rPr>
        <w:t>四、磋商有关说明</w:t>
      </w:r>
      <w:bookmarkEnd w:id="11"/>
      <w:bookmarkEnd w:id="15"/>
      <w:bookmarkEnd w:id="16"/>
    </w:p>
    <w:p w14:paraId="0AEE37C5">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bookmarkStart w:id="17" w:name="_Toc22098"/>
      <w:bookmarkStart w:id="18" w:name="_Toc5229"/>
      <w:bookmarkStart w:id="19" w:name="_Toc10821"/>
      <w:bookmarkStart w:id="20" w:name="_Toc8654"/>
      <w:bookmarkStart w:id="21" w:name="_Toc25369"/>
      <w:bookmarkStart w:id="22" w:name="_Toc26813"/>
      <w:bookmarkStart w:id="23" w:name="_Toc373860294"/>
      <w:bookmarkStart w:id="24" w:name="_Toc106030875"/>
      <w:bookmarkStart w:id="25" w:name="_Toc76462321"/>
      <w:r>
        <w:rPr>
          <w:rFonts w:hint="eastAsia" w:ascii="宋体" w:hAnsi="宋体" w:eastAsia="宋体" w:cs="宋体"/>
          <w:sz w:val="21"/>
          <w:szCs w:val="21"/>
          <w:highlight w:val="none"/>
        </w:rPr>
        <w:t>（一）凡有意参加磋商的供应商，请在“行采家”（https://www.gec123.com/）网上下载本项目竞争性磋商文件以及图纸、澄清等磋商前公布的所有项目资料，无论供应商下载或领取与否，均视为已知晓所有磋商实质性要求内容。</w:t>
      </w:r>
    </w:p>
    <w:p w14:paraId="2516E57F">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（二）竞争性磋商公告期限：自采购公告发布之日起</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个工作日。</w:t>
      </w:r>
    </w:p>
    <w:p w14:paraId="107CBF3E">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（三）竞争性磋商文件发售期限：</w:t>
      </w:r>
    </w:p>
    <w:p w14:paraId="6A8E8569">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1.竞争性磋商文件发售期限：2025年</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日至2025年</w:t>
      </w:r>
      <w:r>
        <w:rPr>
          <w:rFonts w:hint="eastAsia" w:ascii="宋体" w:hAnsi="宋体" w:eastAsia="宋体" w:cs="宋体"/>
          <w:sz w:val="21"/>
          <w:szCs w:val="21"/>
          <w:highlight w:val="none"/>
          <w:lang w:val="en-US" w:eastAsia="zh-CN"/>
        </w:rPr>
        <w:t>9月30</w:t>
      </w:r>
      <w:r>
        <w:rPr>
          <w:rFonts w:hint="eastAsia" w:ascii="宋体" w:hAnsi="宋体" w:eastAsia="宋体" w:cs="宋体"/>
          <w:sz w:val="21"/>
          <w:szCs w:val="21"/>
          <w:highlight w:val="none"/>
        </w:rPr>
        <w:t>日17时00分（工作时间）。</w:t>
      </w:r>
    </w:p>
    <w:p w14:paraId="0BFA3980">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.竞争性磋商文件售价：人民币300元。</w:t>
      </w:r>
    </w:p>
    <w:p w14:paraId="6D1E3993">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.磋商文件购买方式：汇款购买</w:t>
      </w:r>
    </w:p>
    <w:p w14:paraId="3CDDA7BC">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（1）潜在供应商将《采购文件发售登记表》（加盖供应商公章）及标书费转账凭证扫描后发送至2446518707@qq.com（邮件主题项目名称+供应商名称）。</w:t>
      </w:r>
    </w:p>
    <w:p w14:paraId="1E7258F1">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（3）在磋商文件发售期限内购买了磋商文件的供应商，其报名才被接收。</w:t>
      </w:r>
    </w:p>
    <w:p w14:paraId="622212FE">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（4）未按磋商文件要求完成报名的，其响应文件无效。</w:t>
      </w:r>
    </w:p>
    <w:p w14:paraId="18817858">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（四）递交响应文件地点：重庆市渝北区线外城市花园1栋16层。</w:t>
      </w:r>
    </w:p>
    <w:p w14:paraId="0231655C">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（五）响应文件递交起始时间：2025年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日北京时间</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开始，2025年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日北京时间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截止。</w:t>
      </w:r>
    </w:p>
    <w:p w14:paraId="768EC849">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420" w:firstLineChars="20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（六）磋商开始时间：2025年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日北京时间1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00。</w:t>
      </w:r>
      <w:bookmarkEnd w:id="17"/>
      <w:bookmarkEnd w:id="18"/>
      <w:bookmarkEnd w:id="19"/>
      <w:bookmarkEnd w:id="20"/>
      <w:bookmarkEnd w:id="21"/>
      <w:bookmarkEnd w:id="22"/>
    </w:p>
    <w:bookmarkEnd w:id="12"/>
    <w:bookmarkEnd w:id="23"/>
    <w:bookmarkEnd w:id="24"/>
    <w:bookmarkEnd w:id="25"/>
    <w:p w14:paraId="7884F73E">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40" w:lineRule="exact"/>
        <w:ind w:left="0" w:leftChars="0" w:firstLine="422" w:firstLineChars="200"/>
        <w:textAlignment w:val="auto"/>
        <w:rPr>
          <w:rFonts w:hint="eastAsia" w:ascii="宋体" w:hAnsi="宋体" w:eastAsia="宋体" w:cs="宋体"/>
          <w:sz w:val="21"/>
          <w:szCs w:val="21"/>
          <w:highlight w:val="none"/>
        </w:rPr>
      </w:pPr>
      <w:bookmarkStart w:id="26" w:name="_Toc76462322"/>
      <w:bookmarkStart w:id="27" w:name="_Toc480466699"/>
      <w:bookmarkStart w:id="28" w:name="_Toc106030876"/>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、其它有关规定</w:t>
      </w:r>
      <w:bookmarkEnd w:id="26"/>
      <w:bookmarkEnd w:id="27"/>
      <w:bookmarkEnd w:id="28"/>
    </w:p>
    <w:p w14:paraId="75E1812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（一）单位负责人为同一人或者存在直接控股、管理关系的不同供应商，不得参加同一合同项（包）下的政府采购活动，否则均为无效响应。</w:t>
      </w:r>
    </w:p>
    <w:p w14:paraId="7BF50154">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（二）为采购项目提供整体设计、规范编制或者项目管理、监理、检测等服务的供应商，不得再参加该采购项目的其他采购活动。</w:t>
      </w:r>
    </w:p>
    <w:p w14:paraId="322B0F1B">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（三）本项目的澄清文件（如果有）一律在“行采家”（https://www.gec123.com/）</w:t>
      </w:r>
      <w:r>
        <w:rPr>
          <w:rFonts w:hint="eastAsia" w:ascii="宋体" w:hAnsi="宋体" w:eastAsia="宋体" w:cs="宋体"/>
          <w:sz w:val="21"/>
          <w:szCs w:val="21"/>
          <w:highlight w:val="none"/>
          <w:lang w:val="en-US" w:eastAsia="zh-CN"/>
        </w:rPr>
        <w:t>网</w:t>
      </w:r>
      <w:r>
        <w:rPr>
          <w:rFonts w:hint="eastAsia" w:ascii="宋体" w:hAnsi="宋体" w:eastAsia="宋体" w:cs="宋体"/>
          <w:sz w:val="21"/>
          <w:szCs w:val="21"/>
          <w:highlight w:val="none"/>
        </w:rPr>
        <w:t>上发布，请各供应商注意下载或到采购代理机构处领取；无论供应商下载或领取与否，均视同供应商已知晓本项目澄清文件（如果有）的内容。</w:t>
      </w:r>
    </w:p>
    <w:p w14:paraId="2E924537">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（四）超过响应文件截止时间递交的响应文件，恕不接收。</w:t>
      </w:r>
    </w:p>
    <w:p w14:paraId="581BD9A9">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（五）磋商费用：无论磋商结果如何，供应商参与本项目磋商的所有费用均应由供应商自行承担。</w:t>
      </w:r>
    </w:p>
    <w:p w14:paraId="44EE48B1">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sz w:val="21"/>
          <w:szCs w:val="21"/>
          <w:highlight w:val="none"/>
        </w:rPr>
        <w:t>（六）</w:t>
      </w:r>
      <w:r>
        <w:rPr>
          <w:rFonts w:hint="eastAsia" w:ascii="宋体" w:hAnsi="宋体" w:eastAsia="宋体" w:cs="宋体"/>
          <w:b w:val="0"/>
          <w:bCs/>
          <w:sz w:val="21"/>
          <w:szCs w:val="21"/>
          <w:highlight w:val="none"/>
        </w:rPr>
        <w:t>本项目不接受联合体参与磋商，否则按无效处理。</w:t>
      </w:r>
    </w:p>
    <w:p w14:paraId="5367D27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（七）本项目不接受合同分包，否则按无效处理。</w:t>
      </w:r>
    </w:p>
    <w:p w14:paraId="44B4DFE9">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w:t>
      </w:r>
      <w:bookmarkStart w:id="29" w:name="_Toc480466700"/>
      <w:r>
        <w:rPr>
          <w:rFonts w:hint="eastAsia" w:ascii="宋体" w:hAnsi="宋体" w:eastAsia="宋体" w:cs="宋体"/>
          <w:sz w:val="21"/>
          <w:szCs w:val="21"/>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C047B57">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40" w:lineRule="exact"/>
        <w:ind w:left="0" w:leftChars="0" w:firstLine="422" w:firstLineChars="200"/>
        <w:textAlignment w:val="auto"/>
        <w:rPr>
          <w:rFonts w:hint="eastAsia" w:ascii="宋体" w:hAnsi="宋体" w:eastAsia="宋体" w:cs="宋体"/>
          <w:sz w:val="21"/>
          <w:szCs w:val="21"/>
          <w:highlight w:val="none"/>
        </w:rPr>
      </w:pPr>
      <w:bookmarkStart w:id="30" w:name="_Toc76462323"/>
      <w:bookmarkStart w:id="31" w:name="_Toc106030877"/>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、联系方式</w:t>
      </w:r>
      <w:bookmarkEnd w:id="29"/>
      <w:bookmarkEnd w:id="30"/>
      <w:bookmarkEnd w:id="31"/>
    </w:p>
    <w:p w14:paraId="1108B236">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（一）采购人：重庆市民政局</w:t>
      </w:r>
    </w:p>
    <w:p w14:paraId="3B93566F">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color w:val="auto"/>
          <w:sz w:val="21"/>
          <w:szCs w:val="21"/>
          <w:highlight w:val="none"/>
          <w:lang w:val="en-US" w:eastAsia="zh-CN"/>
        </w:rPr>
        <w:t>谭老师</w:t>
      </w:r>
    </w:p>
    <w:p w14:paraId="308C317C">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lang w:val="en-US" w:eastAsia="zh-CN"/>
        </w:rPr>
        <w:t>023-88953756</w:t>
      </w:r>
    </w:p>
    <w:p w14:paraId="0AD4A686">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color w:val="auto"/>
          <w:sz w:val="21"/>
          <w:szCs w:val="21"/>
          <w:highlight w:val="none"/>
        </w:rPr>
        <w:t>重庆市渝北区民安大道489号</w:t>
      </w:r>
    </w:p>
    <w:p w14:paraId="66CD844E">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（二）采购代理机构：</w:t>
      </w:r>
      <w:r>
        <w:rPr>
          <w:rFonts w:hint="eastAsia" w:ascii="宋体" w:hAnsi="宋体" w:eastAsia="宋体" w:cs="宋体"/>
          <w:sz w:val="21"/>
          <w:szCs w:val="21"/>
          <w:highlight w:val="none"/>
          <w:lang w:eastAsia="zh-CN"/>
        </w:rPr>
        <w:t>永明</w:t>
      </w:r>
      <w:r>
        <w:rPr>
          <w:rFonts w:hint="eastAsia" w:ascii="宋体" w:hAnsi="宋体" w:eastAsia="宋体" w:cs="宋体"/>
          <w:sz w:val="21"/>
          <w:szCs w:val="21"/>
          <w:highlight w:val="none"/>
        </w:rPr>
        <w:t>项目管理有限公司</w:t>
      </w:r>
    </w:p>
    <w:p w14:paraId="713A0C9E">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王</w:t>
      </w:r>
      <w:r>
        <w:rPr>
          <w:rFonts w:hint="eastAsia" w:ascii="宋体" w:hAnsi="宋体" w:eastAsia="宋体" w:cs="宋体"/>
          <w:sz w:val="21"/>
          <w:szCs w:val="21"/>
          <w:highlight w:val="none"/>
        </w:rPr>
        <w:t>老师</w:t>
      </w:r>
    </w:p>
    <w:p w14:paraId="7E63CFDB">
      <w:pPr>
        <w:keepNext w:val="0"/>
        <w:keepLines w:val="0"/>
        <w:pageBreakBefore w:val="0"/>
        <w:widowControl w:val="0"/>
        <w:shd w:val="clear" w:color="auto" w:fill="auto"/>
        <w:kinsoku/>
        <w:wordWrap/>
        <w:overflowPunct/>
        <w:topLinePunct w:val="0"/>
        <w:autoSpaceDE w:val="0"/>
        <w:autoSpaceDN w:val="0"/>
        <w:bidi w:val="0"/>
        <w:adjustRightInd w:val="0"/>
        <w:snapToGrid w:val="0"/>
        <w:spacing w:line="44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rPr>
        <w:t>023-63360233</w:t>
      </w:r>
    </w:p>
    <w:p w14:paraId="0DCEE24E">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址：重庆市渝北区线外城市花园1栋16层</w:t>
      </w:r>
    </w:p>
    <w:p w14:paraId="63896126">
      <w:pPr>
        <w:pStyle w:val="45"/>
        <w:keepNext w:val="0"/>
        <w:keepLines w:val="0"/>
        <w:pageBreakBefore w:val="0"/>
        <w:widowControl w:val="0"/>
        <w:tabs>
          <w:tab w:val="right" w:leader="dot" w:pos="9402"/>
        </w:tabs>
        <w:kinsoku w:val="0"/>
        <w:wordWrap/>
        <w:overflowPunct w:val="0"/>
        <w:topLinePunct w:val="0"/>
        <w:autoSpaceDE w:val="0"/>
        <w:autoSpaceDN w:val="0"/>
        <w:bidi w:val="0"/>
        <w:adjustRightInd/>
        <w:snapToGrid/>
        <w:spacing w:line="360" w:lineRule="auto"/>
        <w:ind w:left="0" w:leftChars="0" w:firstLine="480" w:firstLineChars="200"/>
        <w:jc w:val="center"/>
        <w:textAlignment w:val="auto"/>
        <w:outlineLvl w:val="0"/>
        <w:rPr>
          <w:rFonts w:hint="eastAsia" w:ascii="宋体" w:hAnsi="宋体" w:eastAsia="宋体" w:cs="宋体"/>
          <w:b/>
          <w:sz w:val="32"/>
          <w:szCs w:val="32"/>
          <w:highlight w:val="none"/>
          <w:lang w:val="en-US" w:eastAsia="zh-CN"/>
        </w:rPr>
      </w:pPr>
      <w:r>
        <w:rPr>
          <w:rFonts w:hint="eastAsia" w:ascii="宋体" w:hAnsi="宋体" w:eastAsia="宋体" w:cs="宋体"/>
          <w:sz w:val="24"/>
          <w:szCs w:val="24"/>
          <w:highlight w:val="none"/>
        </w:rPr>
        <w:br w:type="page"/>
      </w:r>
      <w:bookmarkStart w:id="32" w:name="_Toc76462324"/>
      <w:bookmarkStart w:id="33" w:name="_Toc106030878"/>
      <w:bookmarkStart w:id="34" w:name="_Toc76462332"/>
      <w:bookmarkStart w:id="35" w:name="_Toc106030887"/>
      <w:r>
        <w:rPr>
          <w:rFonts w:hint="eastAsia" w:ascii="宋体" w:hAnsi="宋体" w:eastAsia="宋体" w:cs="宋体"/>
          <w:b/>
          <w:sz w:val="32"/>
          <w:szCs w:val="32"/>
          <w:highlight w:val="none"/>
          <w:lang w:val="en-US" w:eastAsia="zh-CN"/>
        </w:rPr>
        <w:t>第二篇  项目服务需求</w:t>
      </w:r>
      <w:bookmarkEnd w:id="32"/>
      <w:bookmarkEnd w:id="33"/>
    </w:p>
    <w:p w14:paraId="4F3D0F79">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default" w:ascii="宋体" w:hAnsi="宋体" w:eastAsia="宋体" w:cs="宋体"/>
          <w:b/>
          <w:sz w:val="21"/>
          <w:szCs w:val="21"/>
          <w:highlight w:val="none"/>
          <w:lang w:val="en-US" w:eastAsia="zh-CN"/>
        </w:rPr>
      </w:pPr>
      <w:bookmarkStart w:id="36" w:name="_Toc76462325"/>
      <w:bookmarkStart w:id="37" w:name="_Toc106030879"/>
      <w:bookmarkStart w:id="38" w:name="_Toc106030880"/>
      <w:bookmarkStart w:id="39" w:name="_Toc12789058"/>
      <w:bookmarkStart w:id="40" w:name="_Toc106030882"/>
      <w:bookmarkStart w:id="41" w:name="_Toc76462327"/>
      <w:r>
        <w:rPr>
          <w:rFonts w:hint="eastAsia" w:ascii="宋体" w:hAnsi="宋体" w:eastAsia="宋体" w:cs="宋体"/>
          <w:b/>
          <w:sz w:val="21"/>
          <w:szCs w:val="21"/>
          <w:highlight w:val="none"/>
          <w:lang w:val="en-US" w:eastAsia="zh-CN"/>
        </w:rPr>
        <w:t>一、</w:t>
      </w:r>
      <w:bookmarkEnd w:id="36"/>
      <w:bookmarkEnd w:id="37"/>
      <w:r>
        <w:rPr>
          <w:rFonts w:hint="eastAsia" w:ascii="宋体" w:hAnsi="宋体" w:eastAsia="宋体" w:cs="宋体"/>
          <w:b/>
          <w:sz w:val="21"/>
          <w:szCs w:val="21"/>
          <w:highlight w:val="none"/>
          <w:lang w:val="en-US" w:eastAsia="zh-CN"/>
        </w:rPr>
        <w:t>项目一览表</w:t>
      </w:r>
    </w:p>
    <w:bookmarkEnd w:id="38"/>
    <w:tbl>
      <w:tblPr>
        <w:tblStyle w:val="58"/>
        <w:tblW w:w="8607" w:type="dxa"/>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7"/>
        <w:gridCol w:w="2270"/>
      </w:tblGrid>
      <w:tr w14:paraId="5C51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337" w:type="dxa"/>
            <w:noWrap w:val="0"/>
            <w:vAlign w:val="center"/>
          </w:tcPr>
          <w:p w14:paraId="6B2E932B">
            <w:pPr>
              <w:keepNext w:val="0"/>
              <w:keepLines w:val="0"/>
              <w:pageBreakBefore w:val="0"/>
              <w:widowControl w:val="0"/>
              <w:kinsoku w:val="0"/>
              <w:wordWrap/>
              <w:overflowPunct w:val="0"/>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tc>
        <w:tc>
          <w:tcPr>
            <w:tcW w:w="2270" w:type="dxa"/>
            <w:noWrap w:val="0"/>
            <w:vAlign w:val="center"/>
          </w:tcPr>
          <w:p w14:paraId="0734A557">
            <w:pPr>
              <w:keepNext w:val="0"/>
              <w:keepLines w:val="0"/>
              <w:pageBreakBefore w:val="0"/>
              <w:widowControl w:val="0"/>
              <w:kinsoku w:val="0"/>
              <w:wordWrap/>
              <w:overflowPunct w:val="0"/>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r>
      <w:tr w14:paraId="26A9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noWrap w:val="0"/>
            <w:vAlign w:val="center"/>
          </w:tcPr>
          <w:p w14:paraId="623FC147">
            <w:pPr>
              <w:keepNext w:val="0"/>
              <w:keepLines w:val="0"/>
              <w:pageBreakBefore w:val="0"/>
              <w:widowControl w:val="0"/>
              <w:kinsoku w:val="0"/>
              <w:wordWrap/>
              <w:overflowPunct w:val="0"/>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“社会.渝悦.救助通”结算审核及绩效评价服务</w:t>
            </w:r>
          </w:p>
        </w:tc>
        <w:tc>
          <w:tcPr>
            <w:tcW w:w="2270" w:type="dxa"/>
            <w:noWrap w:val="0"/>
            <w:vAlign w:val="center"/>
          </w:tcPr>
          <w:p w14:paraId="663FBD0F">
            <w:pPr>
              <w:keepNext w:val="0"/>
              <w:keepLines w:val="0"/>
              <w:pageBreakBefore w:val="0"/>
              <w:widowControl w:val="0"/>
              <w:kinsoku w:val="0"/>
              <w:wordWrap/>
              <w:overflowPunct w:val="0"/>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r>
    </w:tbl>
    <w:p w14:paraId="37B3FF91">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lang w:val="en-US" w:eastAsia="zh-CN"/>
        </w:rPr>
      </w:pPr>
      <w:bookmarkStart w:id="42" w:name="_Toc313536013"/>
      <w:bookmarkStart w:id="43" w:name="_Toc344475116"/>
      <w:bookmarkStart w:id="44" w:name="_Toc23571"/>
      <w:bookmarkStart w:id="45" w:name="_Toc155094500"/>
      <w:bookmarkStart w:id="46" w:name="_Toc26095"/>
      <w:bookmarkStart w:id="47" w:name="_Toc76462326"/>
      <w:bookmarkStart w:id="48" w:name="_Toc106030881"/>
      <w:r>
        <w:rPr>
          <w:rFonts w:hint="eastAsia" w:ascii="宋体" w:hAnsi="宋体" w:eastAsia="宋体" w:cs="宋体"/>
          <w:b/>
          <w:sz w:val="21"/>
          <w:szCs w:val="21"/>
          <w:highlight w:val="none"/>
          <w:lang w:val="en-US" w:eastAsia="zh-CN"/>
        </w:rPr>
        <w:t>二、服务及质量</w:t>
      </w:r>
      <w:bookmarkEnd w:id="42"/>
      <w:bookmarkEnd w:id="43"/>
      <w:r>
        <w:rPr>
          <w:rFonts w:hint="eastAsia" w:ascii="宋体" w:hAnsi="宋体" w:eastAsia="宋体" w:cs="宋体"/>
          <w:b/>
          <w:sz w:val="21"/>
          <w:szCs w:val="21"/>
          <w:highlight w:val="none"/>
          <w:lang w:val="en-US" w:eastAsia="zh-CN"/>
        </w:rPr>
        <w:t>需求</w:t>
      </w:r>
      <w:bookmarkEnd w:id="44"/>
      <w:bookmarkEnd w:id="45"/>
      <w:bookmarkEnd w:id="46"/>
      <w:bookmarkEnd w:id="47"/>
      <w:bookmarkEnd w:id="48"/>
    </w:p>
    <w:p w14:paraId="30B7E4EE">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2"/>
        <w:rPr>
          <w:rFonts w:hint="eastAsia" w:ascii="宋体" w:hAnsi="宋体" w:eastAsia="宋体" w:cs="宋体"/>
          <w:b/>
          <w:bCs w:val="0"/>
          <w:color w:val="auto"/>
          <w:sz w:val="21"/>
          <w:szCs w:val="21"/>
          <w:highlight w:val="none"/>
          <w:lang w:val="en-US" w:eastAsia="zh-CN"/>
        </w:rPr>
      </w:pPr>
      <w:bookmarkStart w:id="49" w:name="_Toc18021"/>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项目概况</w:t>
      </w:r>
      <w:bookmarkEnd w:id="49"/>
    </w:p>
    <w:tbl>
      <w:tblPr>
        <w:tblStyle w:val="5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58"/>
        <w:gridCol w:w="810"/>
        <w:gridCol w:w="4554"/>
        <w:gridCol w:w="803"/>
        <w:gridCol w:w="1416"/>
      </w:tblGrid>
      <w:tr w14:paraId="61EB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70DB18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分包号</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6EA1B500">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标的名称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854B62">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服务地点</w:t>
            </w:r>
          </w:p>
        </w:tc>
        <w:tc>
          <w:tcPr>
            <w:tcW w:w="4554" w:type="dxa"/>
            <w:tcBorders>
              <w:top w:val="single" w:color="auto" w:sz="4" w:space="0"/>
              <w:left w:val="single" w:color="auto" w:sz="4" w:space="0"/>
              <w:bottom w:val="single" w:color="auto" w:sz="4" w:space="0"/>
              <w:right w:val="single" w:color="auto" w:sz="4" w:space="0"/>
            </w:tcBorders>
            <w:noWrap w:val="0"/>
            <w:vAlign w:val="center"/>
          </w:tcPr>
          <w:p w14:paraId="24418EBF">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服务范围</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BE8E354">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所占份额</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7B95884">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服务期</w:t>
            </w:r>
          </w:p>
        </w:tc>
      </w:tr>
      <w:tr w14:paraId="2E7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CF25592">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一</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8A06F1B">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应用软件开发</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93AD8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采购人指定地点</w:t>
            </w:r>
          </w:p>
        </w:tc>
        <w:tc>
          <w:tcPr>
            <w:tcW w:w="4554" w:type="dxa"/>
            <w:tcBorders>
              <w:top w:val="single" w:color="auto" w:sz="4" w:space="0"/>
              <w:left w:val="single" w:color="auto" w:sz="4" w:space="0"/>
              <w:bottom w:val="single" w:color="auto" w:sz="4" w:space="0"/>
              <w:right w:val="single" w:color="auto" w:sz="4" w:space="0"/>
            </w:tcBorders>
            <w:noWrap w:val="0"/>
            <w:vAlign w:val="center"/>
          </w:tcPr>
          <w:p w14:paraId="07454EBF">
            <w:pPr>
              <w:keepNext w:val="0"/>
              <w:keepLines w:val="0"/>
              <w:widowControl w:val="0"/>
              <w:suppressLineNumbers w:val="0"/>
              <w:kinsoku w:val="0"/>
              <w:autoSpaceDE w:val="0"/>
              <w:autoSpaceDN w:val="0"/>
              <w:adjustRightInd w:val="0"/>
              <w:snapToGrid w:val="0"/>
              <w:spacing w:before="0" w:beforeAutospacing="0" w:after="0" w:afterAutospacing="0" w:line="600" w:lineRule="exact"/>
              <w:ind w:left="0" w:leftChars="0" w:right="0" w:rightChars="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社会·渝悦·救助通”应用“三张清单”，本应用开发内容为4个一级场景，12个二级场景，69个功能模块，各个功能模块中还包含若干不同功能项（具体以采购人提供的应用设计方案及相关具体业务需求为准）。应用跨21个部门，覆盖重庆全市41个区县，1031个乡镇（街道）,贯通市、区县、乡镇（街道）、村（社区）四级，惠及78万低保对象、18万特困对象、 6万临时救助对象、4万低保边缘家庭等200余万低收入人口。同时着力减负基层，提升全市2000余名社会救助工作人员服务管理效能。</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9E93D9E">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367.23万元</w:t>
            </w:r>
          </w:p>
          <w:p w14:paraId="3425BCE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8511BC4">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p>
          <w:p w14:paraId="0F993E7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合同签订之日起6个月内</w:t>
            </w:r>
          </w:p>
        </w:tc>
      </w:tr>
      <w:tr w14:paraId="38E6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7BC4E2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二</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6C3779CE">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资金监管评估子场景开发</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ABF24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采购人指定地点</w:t>
            </w:r>
          </w:p>
        </w:tc>
        <w:tc>
          <w:tcPr>
            <w:tcW w:w="4554" w:type="dxa"/>
            <w:tcBorders>
              <w:top w:val="single" w:color="auto" w:sz="4" w:space="0"/>
              <w:left w:val="single" w:color="auto" w:sz="4" w:space="0"/>
              <w:bottom w:val="single" w:color="auto" w:sz="4" w:space="0"/>
              <w:right w:val="single" w:color="auto" w:sz="4" w:space="0"/>
            </w:tcBorders>
            <w:noWrap w:val="0"/>
            <w:vAlign w:val="center"/>
          </w:tcPr>
          <w:p w14:paraId="0ADDAC91">
            <w:pPr>
              <w:keepNext w:val="0"/>
              <w:keepLines w:val="0"/>
              <w:widowControl w:val="0"/>
              <w:suppressLineNumbers w:val="0"/>
              <w:kinsoku w:val="0"/>
              <w:autoSpaceDE w:val="0"/>
              <w:autoSpaceDN w:val="0"/>
              <w:adjustRightInd w:val="0"/>
              <w:snapToGrid w:val="0"/>
              <w:spacing w:before="0" w:beforeAutospacing="0" w:after="0" w:afterAutospacing="0" w:line="600" w:lineRule="exact"/>
              <w:ind w:left="0" w:leftChars="0" w:right="0" w:rightChars="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统一民政对象、城低保资金档案管理、农低保资金档案管理、特困供养人员资金档案管理、临时救助家庭资金档案管理、定期救助人员资金档案管理、低保边缘家庭资金档案管理、其他救助人员资金档案管理、信息变更管理、业务档案同步管理、共享数据管理、预警监管、资金试算管理、档案月结、资金实发管理、资金发放名册、财务管理、财政一卡通无缝衔接、资金发放标准管理、业务设置等功能。</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378436B">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46.24万元</w:t>
            </w:r>
          </w:p>
          <w:p w14:paraId="7F936AA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FB35501">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合同签订之日起6个月内</w:t>
            </w:r>
          </w:p>
        </w:tc>
      </w:tr>
    </w:tbl>
    <w:p w14:paraId="0AFB6F98">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2"/>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（二）工作内容</w:t>
      </w:r>
    </w:p>
    <w:p w14:paraId="321AE59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Cs/>
          <w:color w:val="auto"/>
          <w:sz w:val="21"/>
          <w:szCs w:val="21"/>
          <w:highlight w:val="none"/>
          <w:lang w:val="en-US" w:eastAsia="zh-CN"/>
        </w:rPr>
      </w:pPr>
      <w:bookmarkStart w:id="50" w:name="_Toc4837"/>
      <w:r>
        <w:rPr>
          <w:rFonts w:hint="eastAsia" w:ascii="宋体" w:hAnsi="宋体" w:eastAsia="宋体" w:cs="宋体"/>
          <w:bCs/>
          <w:color w:val="auto"/>
          <w:sz w:val="21"/>
          <w:szCs w:val="21"/>
          <w:highlight w:val="none"/>
          <w:lang w:val="en-US" w:eastAsia="zh-CN"/>
        </w:rPr>
        <w:t>对“社会.渝悦.救助通”项目进行结算审核及后续绩效评价，包括但不限于以下内容：</w:t>
      </w:r>
    </w:p>
    <w:p w14:paraId="7A8C912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（1）结算审核主要工作内容：</w:t>
      </w:r>
    </w:p>
    <w:p w14:paraId="0AE6D90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1.按照国家审核的相关规定和采购人要求，遵循独立、客观、公正的原则，按照合同约定按时完成结算审核工作，出具项目结算审核报告，保证报告的真实性、完整性、合法性、有效性。</w:t>
      </w:r>
    </w:p>
    <w:p w14:paraId="01C1EAA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2.保证采购人提供资料的安全完整，保证领用资料数和归还资料数一致。</w:t>
      </w:r>
    </w:p>
    <w:p w14:paraId="09B3A3A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3.审核拟派人员具备相应能力或资质。</w:t>
      </w:r>
    </w:p>
    <w:p w14:paraId="51566EE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4.审核工程量：按采购人的相关批复以及竞争性磋商文件中的采购内容和合同对项目建设清单数量进行审核。</w:t>
      </w:r>
    </w:p>
    <w:p w14:paraId="5615E25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5.审核单价：按合同约定对金额进行审核。如发生调整，要求提供相应的采购凭证、工作量清单凭证等相关依据，最终以合同或双方确认的调整金额的原则进行审核。</w:t>
      </w:r>
    </w:p>
    <w:p w14:paraId="475BC86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6.审核其他项目费用：依据合同约定的项目和金额进行审核；如发生调整，要求提供相应的采购凭证、工作量清单凭证等相关依据，最终以合同或双方确认的调整原则进行审核。</w:t>
      </w:r>
    </w:p>
    <w:p w14:paraId="13A90B6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7.对结算原则的审核，主要审核是否严格控制结算方式的使用范围。</w:t>
      </w:r>
    </w:p>
    <w:p w14:paraId="7B8101CB">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8.检查合同履行情况。检查采购人与参建单位的合同执行情况管理台账，逐项检查参建各方是否认真履行合同条款。</w:t>
      </w:r>
    </w:p>
    <w:p w14:paraId="212B2F9B">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9.审核中发现被审核单位内部控制制度重大缺陷或者重大违法违纪问题应及时报告采购人，接受采购人的指导和监督。</w:t>
      </w:r>
    </w:p>
    <w:p w14:paraId="0D18B52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10.按照审核工作要求，对项目工作提出切实有效的建议和意见，确保项目结算相关流程符合审核要求。</w:t>
      </w:r>
    </w:p>
    <w:p w14:paraId="71ECC1CB">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11.项目变更的审核；审核发生设计变更的合理性；审核评估项目变更流程；审核项目设计变更或需求调研调整；对变更的工程量逐一核价，对其中不合理的地方提出意见。</w:t>
      </w:r>
    </w:p>
    <w:p w14:paraId="223DEAB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12.负责项目其他相关的审核工作。</w:t>
      </w:r>
    </w:p>
    <w:p w14:paraId="08751C4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（2）绩效评价主要工作内容：</w:t>
      </w:r>
    </w:p>
    <w:p w14:paraId="0BD5974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1.结合数字化项目目标，明确评价指标体系（含业务成效、技术性能、成本效益、用户体验等维度），确定评价方法与时间节点；</w:t>
      </w:r>
    </w:p>
    <w:p w14:paraId="4091E3AB">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2.基础数据采集：收集项目相关数据，包括业务数据、技术数据、成本数据及用户反馈；</w:t>
      </w:r>
    </w:p>
    <w:p w14:paraId="338339E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3.多维度绩效分析：对照评价指标，分析项目是否达成预期目标、技术方案合理性、成本投入性价比，识别存在的问题；</w:t>
      </w:r>
    </w:p>
    <w:p w14:paraId="73D552A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4.评价报告编制：汇总分析结果，形成绩效评价报告，明确项目绩效等级、亮点成效、短板问题，并提出改进建议；</w:t>
      </w:r>
    </w:p>
    <w:p w14:paraId="7EC8FE7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5成果应用辅助：协助采购方运用评价结果，为项目后续迭代、预算调整、同类项目规划提供决策参考。</w:t>
      </w:r>
    </w:p>
    <w:p w14:paraId="10D5FEC1">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（三）工作成果</w:t>
      </w:r>
      <w:bookmarkEnd w:id="50"/>
    </w:p>
    <w:p w14:paraId="7EA6FC6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1.按照采购人要求，出具结算审核报告；</w:t>
      </w:r>
    </w:p>
    <w:p w14:paraId="5822055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2.按照采购人要求，出具绩效评价报告。</w:t>
      </w:r>
    </w:p>
    <w:p w14:paraId="3A678E51">
      <w:pPr>
        <w:spacing w:line="440" w:lineRule="exact"/>
        <w:ind w:firstLine="422" w:firstLineChars="200"/>
        <w:outlineLvl w:val="2"/>
        <w:rPr>
          <w:rFonts w:hint="eastAsia" w:ascii="宋体" w:hAnsi="宋体" w:eastAsia="宋体" w:cs="宋体"/>
          <w:b/>
          <w:bCs w:val="0"/>
          <w:color w:val="auto"/>
          <w:sz w:val="21"/>
          <w:szCs w:val="21"/>
          <w:highlight w:val="none"/>
        </w:rPr>
      </w:pPr>
      <w:bookmarkStart w:id="51" w:name="_Toc32062"/>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服务团队要求</w:t>
      </w:r>
      <w:bookmarkEnd w:id="51"/>
    </w:p>
    <w:p w14:paraId="7B5DD7E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1.供应商</w:t>
      </w:r>
      <w:r>
        <w:rPr>
          <w:rFonts w:hint="eastAsia" w:ascii="宋体" w:hAnsi="宋体" w:eastAsia="宋体" w:cs="宋体"/>
          <w:color w:val="auto"/>
          <w:sz w:val="21"/>
          <w:szCs w:val="21"/>
          <w:highlight w:val="none"/>
        </w:rPr>
        <w:t>应成立专门的</w:t>
      </w:r>
      <w:r>
        <w:rPr>
          <w:rFonts w:hint="eastAsia" w:ascii="宋体" w:hAnsi="宋体" w:eastAsia="宋体" w:cs="宋体"/>
          <w:bCs/>
          <w:color w:val="auto"/>
          <w:sz w:val="21"/>
          <w:szCs w:val="21"/>
          <w:highlight w:val="none"/>
          <w:lang w:val="en-US" w:eastAsia="zh-CN"/>
        </w:rPr>
        <w:t>结算审核</w:t>
      </w:r>
      <w:r>
        <w:rPr>
          <w:rFonts w:hint="eastAsia" w:ascii="宋体" w:hAnsi="宋体" w:eastAsia="宋体" w:cs="宋体"/>
          <w:color w:val="auto"/>
          <w:sz w:val="21"/>
          <w:szCs w:val="21"/>
          <w:highlight w:val="none"/>
        </w:rPr>
        <w:t>工作组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本着依法、客观、公正的原则，选派具备相关专业知识与资质的人员开展</w:t>
      </w:r>
      <w:r>
        <w:rPr>
          <w:rFonts w:hint="eastAsia" w:ascii="宋体" w:hAnsi="宋体" w:eastAsia="宋体" w:cs="宋体"/>
          <w:color w:val="auto"/>
          <w:sz w:val="21"/>
          <w:szCs w:val="21"/>
          <w:highlight w:val="none"/>
          <w:lang w:val="en-US" w:eastAsia="zh-CN"/>
        </w:rPr>
        <w:t>审核</w:t>
      </w:r>
      <w:r>
        <w:rPr>
          <w:rFonts w:hint="eastAsia" w:ascii="宋体" w:hAnsi="宋体" w:eastAsia="宋体" w:cs="宋体"/>
          <w:color w:val="auto"/>
          <w:sz w:val="21"/>
          <w:szCs w:val="21"/>
          <w:highlight w:val="none"/>
        </w:rPr>
        <w:t>业务，明确一名牵头负责人（项目负责人），并对</w:t>
      </w:r>
      <w:r>
        <w:rPr>
          <w:rFonts w:hint="eastAsia" w:ascii="宋体" w:hAnsi="宋体" w:eastAsia="宋体" w:cs="宋体"/>
          <w:color w:val="auto"/>
          <w:sz w:val="21"/>
          <w:szCs w:val="21"/>
          <w:highlight w:val="none"/>
          <w:lang w:val="en-US" w:eastAsia="zh-CN"/>
        </w:rPr>
        <w:t>审核</w:t>
      </w:r>
      <w:r>
        <w:rPr>
          <w:rFonts w:hint="eastAsia" w:ascii="宋体" w:hAnsi="宋体" w:eastAsia="宋体" w:cs="宋体"/>
          <w:color w:val="auto"/>
          <w:sz w:val="21"/>
          <w:szCs w:val="21"/>
          <w:highlight w:val="none"/>
        </w:rPr>
        <w:t>工作组的人员结构、能力和经验等进行合理配置；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审核</w:t>
      </w:r>
      <w:r>
        <w:rPr>
          <w:rFonts w:hint="eastAsia" w:ascii="宋体" w:hAnsi="宋体" w:eastAsia="宋体" w:cs="宋体"/>
          <w:color w:val="auto"/>
          <w:sz w:val="21"/>
          <w:szCs w:val="21"/>
          <w:highlight w:val="none"/>
        </w:rPr>
        <w:t>过程中应保持工作组成员的稳定，如确有人员变更，应在5个工作日内向采购人备案；因</w:t>
      </w:r>
      <w:r>
        <w:rPr>
          <w:rFonts w:hint="eastAsia" w:ascii="宋体" w:hAnsi="宋体" w:eastAsia="宋体" w:cs="宋体"/>
          <w:color w:val="auto"/>
          <w:sz w:val="21"/>
          <w:szCs w:val="21"/>
          <w:highlight w:val="none"/>
          <w:lang w:val="en-US" w:eastAsia="zh-CN"/>
        </w:rPr>
        <w:t>审核工作</w:t>
      </w:r>
      <w:r>
        <w:rPr>
          <w:rFonts w:hint="eastAsia" w:ascii="宋体" w:hAnsi="宋体" w:eastAsia="宋体" w:cs="宋体"/>
          <w:color w:val="auto"/>
          <w:sz w:val="21"/>
          <w:szCs w:val="21"/>
          <w:highlight w:val="none"/>
        </w:rPr>
        <w:t>需要，</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可聘请相关专家提供技术支持。工作组人员应具备以下条件：</w:t>
      </w:r>
    </w:p>
    <w:p w14:paraId="607FD83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为中国国籍，具有良好的科学精神和职业道德，能够独立、客观、实事求是地提出评审意见；</w:t>
      </w:r>
    </w:p>
    <w:p w14:paraId="12B4EB2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在以往的</w:t>
      </w:r>
      <w:r>
        <w:rPr>
          <w:rFonts w:hint="eastAsia" w:ascii="宋体" w:hAnsi="宋体" w:eastAsia="宋体" w:cs="宋体"/>
          <w:color w:val="auto"/>
          <w:sz w:val="21"/>
          <w:szCs w:val="21"/>
          <w:highlight w:val="none"/>
          <w:lang w:val="en-US" w:eastAsia="zh-CN"/>
        </w:rPr>
        <w:t>结算审核</w:t>
      </w:r>
      <w:r>
        <w:rPr>
          <w:rFonts w:hint="eastAsia" w:ascii="宋体" w:hAnsi="宋体" w:eastAsia="宋体" w:cs="宋体"/>
          <w:color w:val="auto"/>
          <w:sz w:val="21"/>
          <w:szCs w:val="21"/>
          <w:highlight w:val="none"/>
        </w:rPr>
        <w:t>活动中无徇私舞弊、滥用职权及玩忽职守等行为；</w:t>
      </w:r>
    </w:p>
    <w:p w14:paraId="1A122DB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管理人员应熟悉政务数字化应用或政务信息化项目</w:t>
      </w:r>
      <w:r>
        <w:rPr>
          <w:rFonts w:hint="eastAsia" w:ascii="宋体" w:hAnsi="宋体" w:eastAsia="宋体" w:cs="宋体"/>
          <w:color w:val="auto"/>
          <w:sz w:val="21"/>
          <w:szCs w:val="21"/>
          <w:highlight w:val="none"/>
          <w:lang w:val="en-US" w:eastAsia="zh-CN"/>
        </w:rPr>
        <w:t>结算审核</w:t>
      </w:r>
      <w:r>
        <w:rPr>
          <w:rFonts w:hint="eastAsia" w:ascii="宋体" w:hAnsi="宋体" w:eastAsia="宋体" w:cs="宋体"/>
          <w:color w:val="auto"/>
          <w:sz w:val="21"/>
          <w:szCs w:val="21"/>
          <w:highlight w:val="none"/>
        </w:rPr>
        <w:t>、政务数字化应用管理，熟悉国家和市级政务数字化应用</w:t>
      </w:r>
      <w:r>
        <w:rPr>
          <w:rFonts w:hint="eastAsia" w:ascii="宋体" w:hAnsi="宋体" w:eastAsia="宋体" w:cs="宋体"/>
          <w:color w:val="auto"/>
          <w:sz w:val="21"/>
          <w:szCs w:val="21"/>
          <w:highlight w:val="none"/>
          <w:lang w:val="en-US" w:eastAsia="zh-CN"/>
        </w:rPr>
        <w:t>或政务信息化项目</w:t>
      </w:r>
      <w:r>
        <w:rPr>
          <w:rFonts w:hint="eastAsia" w:ascii="宋体" w:hAnsi="宋体" w:eastAsia="宋体" w:cs="宋体"/>
          <w:color w:val="auto"/>
          <w:sz w:val="21"/>
          <w:szCs w:val="21"/>
          <w:highlight w:val="none"/>
        </w:rPr>
        <w:t>方面的法律、法规和政策以及有关规定；</w:t>
      </w:r>
    </w:p>
    <w:p w14:paraId="4495319E">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2"/>
        <w:rPr>
          <w:rFonts w:hint="eastAsia" w:ascii="宋体" w:hAnsi="宋体" w:eastAsia="宋体" w:cs="宋体"/>
          <w:b/>
          <w:bCs w:val="0"/>
          <w:color w:val="auto"/>
          <w:sz w:val="21"/>
          <w:szCs w:val="21"/>
          <w:highlight w:val="none"/>
          <w:lang w:val="en-US" w:eastAsia="zh-CN"/>
        </w:rPr>
      </w:pPr>
      <w:bookmarkStart w:id="52" w:name="_Toc28315"/>
      <w:r>
        <w:rPr>
          <w:rFonts w:hint="eastAsia" w:ascii="宋体" w:hAnsi="宋体" w:eastAsia="宋体" w:cs="宋体"/>
          <w:b/>
          <w:bCs w:val="0"/>
          <w:color w:val="auto"/>
          <w:sz w:val="21"/>
          <w:szCs w:val="21"/>
          <w:highlight w:val="none"/>
          <w:lang w:val="en-US" w:eastAsia="zh-CN"/>
        </w:rPr>
        <w:t>（五）服务及质量要求</w:t>
      </w:r>
      <w:bookmarkEnd w:id="52"/>
    </w:p>
    <w:p w14:paraId="694A5F40">
      <w:pPr>
        <w:snapToGrid w:val="0"/>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须根据项目特点，制定完整可行且针对性强的结算审核工作方案。工作方案应包括审核目标、审核依据、审核范围、审核内容、审核方法、审核重点、审核人员安排、进度安排、质量控制措施、服务质量承诺等内容。</w:t>
      </w:r>
    </w:p>
    <w:p w14:paraId="4781522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应认真编制</w:t>
      </w:r>
      <w:r>
        <w:rPr>
          <w:rFonts w:hint="eastAsia" w:ascii="宋体" w:hAnsi="宋体" w:eastAsia="宋体" w:cs="宋体"/>
          <w:color w:val="auto"/>
          <w:sz w:val="21"/>
          <w:szCs w:val="21"/>
          <w:highlight w:val="none"/>
          <w:lang w:eastAsia="zh-CN"/>
        </w:rPr>
        <w:t>审核报告</w:t>
      </w:r>
      <w:r>
        <w:rPr>
          <w:rFonts w:hint="eastAsia" w:ascii="宋体" w:hAnsi="宋体" w:eastAsia="宋体" w:cs="宋体"/>
          <w:color w:val="auto"/>
          <w:sz w:val="21"/>
          <w:szCs w:val="21"/>
          <w:highlight w:val="none"/>
        </w:rPr>
        <w:t>，做到文字、数据准确，格式规范，内容完整，对报告真实性、有效性、合法性负责。报告应至少包括</w:t>
      </w:r>
      <w:r>
        <w:rPr>
          <w:rFonts w:hint="eastAsia" w:ascii="宋体" w:hAnsi="宋体" w:eastAsia="宋体" w:cs="宋体"/>
          <w:color w:val="auto"/>
          <w:sz w:val="21"/>
          <w:szCs w:val="21"/>
          <w:highlight w:val="none"/>
          <w:lang w:eastAsia="zh-CN"/>
        </w:rPr>
        <w:t>审核</w:t>
      </w:r>
      <w:r>
        <w:rPr>
          <w:rFonts w:hint="eastAsia" w:ascii="宋体" w:hAnsi="宋体" w:eastAsia="宋体" w:cs="宋体"/>
          <w:color w:val="auto"/>
          <w:sz w:val="21"/>
          <w:szCs w:val="21"/>
          <w:highlight w:val="none"/>
        </w:rPr>
        <w:t>过程、目标、依据、方法、工具、团队、说明、结论、专家意见、建议等关键要素，以及支撑报告结论的关键证据。</w:t>
      </w:r>
      <w:r>
        <w:rPr>
          <w:rFonts w:hint="eastAsia" w:ascii="宋体" w:hAnsi="宋体" w:eastAsia="宋体" w:cs="宋体"/>
          <w:color w:val="auto"/>
          <w:sz w:val="21"/>
          <w:szCs w:val="21"/>
          <w:highlight w:val="none"/>
          <w:lang w:eastAsia="zh-CN"/>
        </w:rPr>
        <w:t>审核报告</w:t>
      </w:r>
      <w:r>
        <w:rPr>
          <w:rFonts w:hint="eastAsia" w:ascii="宋体" w:hAnsi="宋体" w:eastAsia="宋体" w:cs="宋体"/>
          <w:color w:val="auto"/>
          <w:sz w:val="21"/>
          <w:szCs w:val="21"/>
          <w:highlight w:val="none"/>
        </w:rPr>
        <w:t>应有项目负责人、</w:t>
      </w:r>
      <w:r>
        <w:rPr>
          <w:rFonts w:hint="eastAsia" w:ascii="宋体" w:hAnsi="宋体" w:eastAsia="宋体" w:cs="宋体"/>
          <w:color w:val="auto"/>
          <w:sz w:val="21"/>
          <w:szCs w:val="21"/>
          <w:highlight w:val="none"/>
          <w:lang w:eastAsia="zh-CN"/>
        </w:rPr>
        <w:t>审核</w:t>
      </w:r>
      <w:r>
        <w:rPr>
          <w:rFonts w:hint="eastAsia" w:ascii="宋体" w:hAnsi="宋体" w:eastAsia="宋体" w:cs="宋体"/>
          <w:color w:val="auto"/>
          <w:sz w:val="21"/>
          <w:szCs w:val="21"/>
          <w:highlight w:val="none"/>
        </w:rPr>
        <w:t>单位部门负责人、</w:t>
      </w:r>
      <w:r>
        <w:rPr>
          <w:rFonts w:hint="eastAsia" w:ascii="宋体" w:hAnsi="宋体" w:eastAsia="宋体" w:cs="宋体"/>
          <w:color w:val="auto"/>
          <w:sz w:val="21"/>
          <w:szCs w:val="21"/>
          <w:highlight w:val="none"/>
          <w:lang w:eastAsia="zh-CN"/>
        </w:rPr>
        <w:t>审核</w:t>
      </w:r>
      <w:r>
        <w:rPr>
          <w:rFonts w:hint="eastAsia" w:ascii="宋体" w:hAnsi="宋体" w:eastAsia="宋体" w:cs="宋体"/>
          <w:color w:val="auto"/>
          <w:sz w:val="21"/>
          <w:szCs w:val="21"/>
          <w:highlight w:val="none"/>
        </w:rPr>
        <w:t>单位负责人三级复核签字（盖章）确认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bCs/>
          <w:color w:val="auto"/>
          <w:sz w:val="21"/>
          <w:szCs w:val="21"/>
          <w:highlight w:val="none"/>
          <w:lang w:val="en-US" w:eastAsia="zh-CN"/>
        </w:rPr>
        <w:t>按照约定时间完成服务并出具报告。</w:t>
      </w:r>
    </w:p>
    <w:p w14:paraId="125E9471">
      <w:pPr>
        <w:snapToGrid w:val="0"/>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3.供应商应承诺对审核过程中的各类底稿和有关资料单独建档管理，跟审工作结束后，及时将工作底稿、工作报告等资料整理归档，移交给采购人保管。</w:t>
      </w:r>
    </w:p>
    <w:p w14:paraId="4BABD06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4.供应商应当严格按照保密要求开展工作，严格涉密资料使用、保存、复制和销毁管理，不得泄露任何跟审工作有关信息，不得将相关资料用于与工作无关的事项。</w:t>
      </w:r>
    </w:p>
    <w:p w14:paraId="2FAAA83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5.供应商及其成立的审核工作组人员应无条件接受及参与采购人组织的关于数字重庆建设相关政策和业务等培训。</w:t>
      </w:r>
    </w:p>
    <w:p w14:paraId="2C9FA8C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供应商应恪守行业服务机构“独立、客观、公正”的执业原则，切实履行“诚信、廉洁、高效”的服务方针，严格执行国家颁布的执业规范、规程和技术标准，为采购人及时提供服务，能优质、高效、独立完成规定的工作任务。</w:t>
      </w:r>
    </w:p>
    <w:p w14:paraId="4CB975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审核服务期内，成交供应商应严格按照国家和重庆市有关财政财务相关政策法规规定，以及采购人有关项目审核的要求，客观、公正地开展审核工作，对工作成果的真实性、准确性、完整性、合法性、合理性负责</w:t>
      </w:r>
    </w:p>
    <w:p w14:paraId="5180E9D0">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7.结算审核</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color w:val="auto"/>
          <w:sz w:val="21"/>
          <w:szCs w:val="21"/>
          <w:highlight w:val="none"/>
        </w:rPr>
        <w:t>实行回避制度，回避要求具体如下：</w:t>
      </w:r>
    </w:p>
    <w:p w14:paraId="738C511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结算审核</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color w:val="auto"/>
          <w:sz w:val="21"/>
          <w:szCs w:val="21"/>
          <w:highlight w:val="none"/>
        </w:rPr>
        <w:t>以及与该单位负责人为同一人，或者单位（或负责人）存在控股及其他关联关系的不同单位，不得为其跟审的项目提供设计、开发、监理、</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等可能影响公平、公正情况的相关服务；</w:t>
      </w:r>
    </w:p>
    <w:p w14:paraId="0479A1F6">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结算审核</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color w:val="auto"/>
          <w:sz w:val="21"/>
          <w:szCs w:val="21"/>
          <w:highlight w:val="none"/>
        </w:rPr>
        <w:t>工作组人员与被</w:t>
      </w:r>
      <w:r>
        <w:rPr>
          <w:rFonts w:hint="eastAsia" w:ascii="宋体" w:hAnsi="宋体" w:eastAsia="宋体" w:cs="宋体"/>
          <w:color w:val="auto"/>
          <w:sz w:val="21"/>
          <w:szCs w:val="21"/>
          <w:highlight w:val="none"/>
          <w:lang w:eastAsia="zh-CN"/>
        </w:rPr>
        <w:t>审核</w:t>
      </w:r>
      <w:r>
        <w:rPr>
          <w:rFonts w:hint="eastAsia" w:ascii="宋体" w:hAnsi="宋体" w:eastAsia="宋体" w:cs="宋体"/>
          <w:color w:val="auto"/>
          <w:sz w:val="21"/>
          <w:szCs w:val="21"/>
          <w:highlight w:val="none"/>
        </w:rPr>
        <w:t>单位相关当事人存在亲缘关系的，或与被跟审单位有直接、间接的利益关系及其他可能影响公平、公正情况的，应当回避。</w:t>
      </w:r>
    </w:p>
    <w:p w14:paraId="570CFFD5">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后，若在</w:t>
      </w:r>
      <w:r>
        <w:rPr>
          <w:rFonts w:hint="eastAsia" w:ascii="宋体" w:hAnsi="宋体" w:eastAsia="宋体" w:cs="宋体"/>
          <w:color w:val="auto"/>
          <w:sz w:val="21"/>
          <w:szCs w:val="21"/>
          <w:highlight w:val="none"/>
          <w:lang w:val="en-US" w:eastAsia="zh-CN"/>
        </w:rPr>
        <w:t>结算审核</w:t>
      </w:r>
      <w:r>
        <w:rPr>
          <w:rFonts w:hint="eastAsia" w:ascii="宋体" w:hAnsi="宋体" w:eastAsia="宋体" w:cs="宋体"/>
          <w:color w:val="auto"/>
          <w:sz w:val="21"/>
          <w:szCs w:val="21"/>
          <w:highlight w:val="none"/>
        </w:rPr>
        <w:t>过程中应当回避而未主动提出回避的，一经发现，采购人将终止服务委托，不支付</w:t>
      </w:r>
      <w:r>
        <w:rPr>
          <w:rFonts w:hint="eastAsia" w:ascii="宋体" w:hAnsi="宋体" w:eastAsia="宋体" w:cs="宋体"/>
          <w:color w:val="auto"/>
          <w:sz w:val="21"/>
          <w:szCs w:val="21"/>
          <w:highlight w:val="none"/>
          <w:lang w:eastAsia="zh-CN"/>
        </w:rPr>
        <w:t>审核</w:t>
      </w:r>
      <w:r>
        <w:rPr>
          <w:rFonts w:hint="eastAsia" w:ascii="宋体" w:hAnsi="宋体" w:eastAsia="宋体" w:cs="宋体"/>
          <w:color w:val="auto"/>
          <w:sz w:val="21"/>
          <w:szCs w:val="21"/>
          <w:highlight w:val="none"/>
        </w:rPr>
        <w:t>费用。</w:t>
      </w:r>
    </w:p>
    <w:p w14:paraId="07202998">
      <w:pPr>
        <w:snapToGrid w:val="0"/>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成交供应商在审核期间应按照采购人要求开展工作，自觉接受采购人业务指导和监督，并遵守廉政、保密等审核纪律。成交供应商有以下行为之一的，一经发现，采购人将终止服务委托，解除服务合同，不支付相关费用，保留追究成交供应商法律责任的权利，并建议相关部门将成交供应商纳入严重失信市场主体“黑名单”；触犯刑法的，将移交司法机关处理：</w:t>
      </w:r>
    </w:p>
    <w:p w14:paraId="258A248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8.1擅自转包或分包给其他单位或个人实施；</w:t>
      </w:r>
    </w:p>
    <w:p w14:paraId="0CBC083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8.2隐瞒审核发现的问题，提供虚假审核报告，提供审核报告不准确，且拒绝进行重新审核或纠正的，有串通舞弊、弄虚作假等不诚实行为的；</w:t>
      </w:r>
    </w:p>
    <w:p w14:paraId="1D050CC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8.3推、拖、卡、压、故意刁难被审核单位的；</w:t>
      </w:r>
    </w:p>
    <w:p w14:paraId="1F7C952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8.4索要和收受礼金、各种有价证券及物品，参加可能影响公正审核的任何宴请和娱乐活动等违反廉政规定的；</w:t>
      </w:r>
    </w:p>
    <w:p w14:paraId="55B54BA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8.5利用审核职权或知晓的被审核单位的秘密和内部信息等，为自己及本机构或他人谋利的；</w:t>
      </w:r>
    </w:p>
    <w:p w14:paraId="1606F55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8.6未经采购人同意，擅自将审核工作报告的部分或全部内容以任何方式提供给他人或公开发布；</w:t>
      </w:r>
    </w:p>
    <w:p w14:paraId="6D5E83C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8.7未经采购人同意，擅自将所审核工作有关文件和资料以任何方式提供给他人，或利用非公开技术秘密为自己及本机构或他人谋取私利；</w:t>
      </w:r>
    </w:p>
    <w:p w14:paraId="2B77F87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8.8向被审核单位推销商品、服务或介绍业务；</w:t>
      </w:r>
    </w:p>
    <w:p w14:paraId="5F3A5A04">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8.9</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结算审核</w:t>
      </w:r>
      <w:r>
        <w:rPr>
          <w:rFonts w:hint="eastAsia" w:ascii="宋体" w:hAnsi="宋体" w:eastAsia="宋体" w:cs="宋体"/>
          <w:color w:val="auto"/>
          <w:sz w:val="21"/>
          <w:szCs w:val="21"/>
          <w:highlight w:val="none"/>
        </w:rPr>
        <w:t>的项目出现重大技术偏差、核定资金严重不符等，造成严重经济损失或重大决策失误；</w:t>
      </w:r>
    </w:p>
    <w:p w14:paraId="56BC2C85">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8.10未按规定时间完成</w:t>
      </w:r>
      <w:r>
        <w:rPr>
          <w:rFonts w:hint="eastAsia" w:ascii="宋体" w:hAnsi="宋体" w:eastAsia="宋体" w:cs="宋体"/>
          <w:bCs/>
          <w:color w:val="auto"/>
          <w:sz w:val="21"/>
          <w:szCs w:val="21"/>
          <w:highlight w:val="none"/>
          <w:lang w:eastAsia="zh-CN"/>
        </w:rPr>
        <w:t>审核</w:t>
      </w:r>
      <w:r>
        <w:rPr>
          <w:rFonts w:hint="eastAsia" w:ascii="宋体" w:hAnsi="宋体" w:eastAsia="宋体" w:cs="宋体"/>
          <w:bCs/>
          <w:color w:val="auto"/>
          <w:sz w:val="21"/>
          <w:szCs w:val="21"/>
          <w:highlight w:val="none"/>
        </w:rPr>
        <w:t>业务且无正当理由的；</w:t>
      </w:r>
    </w:p>
    <w:p w14:paraId="7D69A49E">
      <w:pPr>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8.11未按国家有关规定执行保密纪律；</w:t>
      </w:r>
    </w:p>
    <w:p w14:paraId="24296BCA">
      <w:pPr>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8.12因工作失误给被</w:t>
      </w:r>
      <w:r>
        <w:rPr>
          <w:rFonts w:hint="eastAsia" w:ascii="宋体" w:hAnsi="宋体" w:eastAsia="宋体" w:cs="宋体"/>
          <w:bCs/>
          <w:color w:val="auto"/>
          <w:sz w:val="21"/>
          <w:szCs w:val="21"/>
          <w:highlight w:val="none"/>
          <w:lang w:eastAsia="zh-CN"/>
        </w:rPr>
        <w:t>审核</w:t>
      </w:r>
      <w:r>
        <w:rPr>
          <w:rFonts w:hint="eastAsia" w:ascii="宋体" w:hAnsi="宋体" w:eastAsia="宋体" w:cs="宋体"/>
          <w:bCs/>
          <w:color w:val="auto"/>
          <w:sz w:val="21"/>
          <w:szCs w:val="21"/>
          <w:highlight w:val="none"/>
        </w:rPr>
        <w:t>单位或者采购人造成一定不良影响的</w:t>
      </w:r>
      <w:r>
        <w:rPr>
          <w:rFonts w:hint="eastAsia" w:ascii="宋体" w:hAnsi="宋体" w:eastAsia="宋体" w:cs="宋体"/>
          <w:bCs/>
          <w:color w:val="auto"/>
          <w:sz w:val="21"/>
          <w:szCs w:val="21"/>
          <w:highlight w:val="none"/>
          <w:lang w:eastAsia="zh-CN"/>
        </w:rPr>
        <w:t>。</w:t>
      </w:r>
    </w:p>
    <w:p w14:paraId="4DBA002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提供以上内容的相关承诺，格式自拟。</w:t>
      </w:r>
    </w:p>
    <w:p w14:paraId="013ED8D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color w:val="000000"/>
          <w:sz w:val="24"/>
          <w:szCs w:val="24"/>
          <w:lang w:val="en-US" w:eastAsia="zh-CN"/>
        </w:rPr>
        <w:br w:type="page"/>
      </w:r>
      <w:r>
        <w:rPr>
          <w:rFonts w:hint="eastAsia" w:ascii="宋体" w:hAnsi="宋体" w:eastAsia="宋体" w:cs="宋体"/>
          <w:b/>
          <w:sz w:val="32"/>
          <w:szCs w:val="32"/>
          <w:highlight w:val="none"/>
          <w:lang w:val="en-US" w:eastAsia="zh-CN"/>
        </w:rPr>
        <w:t xml:space="preserve">第三篇  </w:t>
      </w:r>
      <w:bookmarkEnd w:id="39"/>
      <w:r>
        <w:rPr>
          <w:rFonts w:hint="eastAsia" w:ascii="宋体" w:hAnsi="宋体" w:eastAsia="宋体" w:cs="宋体"/>
          <w:b/>
          <w:sz w:val="32"/>
          <w:szCs w:val="32"/>
          <w:highlight w:val="none"/>
          <w:lang w:val="en-US" w:eastAsia="zh-CN"/>
        </w:rPr>
        <w:t>项目商务需求</w:t>
      </w:r>
      <w:bookmarkEnd w:id="40"/>
      <w:bookmarkEnd w:id="41"/>
    </w:p>
    <w:p w14:paraId="1B2D40E4">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sz w:val="21"/>
          <w:szCs w:val="21"/>
          <w:highlight w:val="none"/>
        </w:rPr>
      </w:pPr>
      <w:bookmarkStart w:id="53" w:name="_Toc344475120"/>
      <w:bookmarkStart w:id="54" w:name="_Toc76462328"/>
      <w:bookmarkStart w:id="55" w:name="_Toc106030883"/>
      <w:r>
        <w:rPr>
          <w:rFonts w:hint="eastAsia" w:ascii="宋体" w:hAnsi="宋体" w:eastAsia="宋体" w:cs="宋体"/>
          <w:sz w:val="21"/>
          <w:szCs w:val="21"/>
          <w:highlight w:val="none"/>
        </w:rPr>
        <w:t>一、服务期、地点</w:t>
      </w:r>
      <w:bookmarkEnd w:id="53"/>
      <w:bookmarkEnd w:id="54"/>
      <w:bookmarkEnd w:id="55"/>
    </w:p>
    <w:p w14:paraId="7CDE0161">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0" w:firstLineChars="200"/>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一）服务时间：成交供应商与采购人签订合同后，成交供应商在收到承建单位出具经采购人审定确认的过程性资料后，60个工作日内完成过程审核工作，并出具符合国家相关法律法规规定的阶段性报告；审核报告须经采购人盖章审定确认，并能够通过相关行业主管部门的检查。</w:t>
      </w:r>
    </w:p>
    <w:p w14:paraId="76D71082">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0" w:firstLineChars="200"/>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（二）服务地点：重庆市民政局（采购人指定地点）。</w:t>
      </w:r>
    </w:p>
    <w:p w14:paraId="0641435F">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0" w:firstLineChars="200"/>
        <w:textAlignment w:val="auto"/>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（三）验收方式：成交供应商严格按照采购人需求提供完整的方案、文本资料、技术资料等文件。</w:t>
      </w:r>
    </w:p>
    <w:p w14:paraId="0EF7D220">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rPr>
      </w:pPr>
      <w:bookmarkStart w:id="56" w:name="_Toc344475121"/>
      <w:bookmarkStart w:id="57" w:name="_Toc106030884"/>
      <w:bookmarkStart w:id="58" w:name="_Toc76462329"/>
      <w:r>
        <w:rPr>
          <w:rFonts w:hint="eastAsia" w:ascii="宋体" w:hAnsi="宋体" w:eastAsia="宋体" w:cs="宋体"/>
          <w:b/>
          <w:sz w:val="21"/>
          <w:szCs w:val="21"/>
          <w:highlight w:val="none"/>
        </w:rPr>
        <w:t>二、</w:t>
      </w:r>
      <w:bookmarkEnd w:id="56"/>
      <w:r>
        <w:rPr>
          <w:rFonts w:hint="eastAsia" w:ascii="宋体" w:hAnsi="宋体" w:eastAsia="宋体" w:cs="宋体"/>
          <w:b/>
          <w:sz w:val="21"/>
          <w:szCs w:val="21"/>
          <w:highlight w:val="none"/>
        </w:rPr>
        <w:t>报价要求</w:t>
      </w:r>
      <w:bookmarkEnd w:id="57"/>
      <w:bookmarkEnd w:id="58"/>
    </w:p>
    <w:p w14:paraId="12BAF4B0">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0" w:firstLineChars="200"/>
        <w:textAlignment w:val="auto"/>
        <w:rPr>
          <w:rFonts w:hint="eastAsia" w:ascii="宋体" w:hAnsi="宋体" w:eastAsia="宋体" w:cs="宋体"/>
          <w:sz w:val="21"/>
          <w:szCs w:val="21"/>
          <w:highlight w:val="none"/>
        </w:rPr>
      </w:pPr>
      <w:bookmarkStart w:id="59" w:name="_Toc344475122"/>
      <w:bookmarkStart w:id="60" w:name="_Toc76462330"/>
      <w:bookmarkStart w:id="61" w:name="_Toc106030885"/>
      <w:r>
        <w:rPr>
          <w:rFonts w:hint="eastAsia" w:ascii="宋体" w:hAnsi="宋体" w:eastAsia="宋体" w:cs="宋体"/>
          <w:b w:val="0"/>
          <w:bCs/>
          <w:sz w:val="21"/>
          <w:szCs w:val="21"/>
          <w:highlight w:val="none"/>
        </w:rPr>
        <w:t>本次采购为人民币报价，比选报价包含完成本项目所有费用，包含但不限于完成本项目所需的技术服务费、人工费、差旅费、交通费、代理服务费及提供服务所需的相关设备费用及各种应纳的税费等全部费用。因成交供应商自身原因造成漏报、少报皆由其自行承担责任，采购人不再补偿。</w:t>
      </w:r>
    </w:p>
    <w:bookmarkEnd w:id="59"/>
    <w:bookmarkEnd w:id="60"/>
    <w:bookmarkEnd w:id="61"/>
    <w:p w14:paraId="4E92F5A7">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rPr>
      </w:pPr>
      <w:bookmarkStart w:id="62" w:name="_Toc15443"/>
      <w:bookmarkStart w:id="63" w:name="_Toc22530"/>
      <w:bookmarkStart w:id="64" w:name="_Toc151579998"/>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考核方式</w:t>
      </w:r>
      <w:bookmarkEnd w:id="62"/>
      <w:bookmarkEnd w:id="63"/>
      <w:bookmarkEnd w:id="64"/>
    </w:p>
    <w:p w14:paraId="5FD1718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合同签订后，结算审核单位应立即安排相关人员进入工作状态，人员专业和技术职称等应符合比选文件要求的。若3个工作日内相关人员不到岗的，或人员资质达不到比选文件要求的，采购人有权立即终止本项目的服务合同，拒绝支付相关费用，并保留追究相应法律责任的权利。对采购人造成损失的，采购人有权要求结算审核单位赔偿损失。</w:t>
      </w:r>
    </w:p>
    <w:p w14:paraId="1B42EA3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未经采购人同意，结算审核单位不得随意更换技术人员，如若发现每更换一人，一次扣除2％合同款的服务费；项目负责人每更换一次扣除4％合同款的服务费。当采购人有工作需要时，结算审核单位应在收到采购人的通知后，安排项目负责人2小时内到达指定地点，不能按时到达每次扣除1%合同款的服务费。</w:t>
      </w:r>
    </w:p>
    <w:p w14:paraId="464F0D4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对于采购人认为不服从管理、不称职的技术人员有权要求结算审核单位更换，结算审核单位应在3日内将不符合采购人要求的人员更换完毕，替换人员应当同时到岗，且必须保证替换人员的专业技术能力水平不低于退场人员，如结算审核单位违反本条约定，则每逾期一天应承担合同款的5%作为违约金。</w:t>
      </w:r>
    </w:p>
    <w:p w14:paraId="756CF26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（四）如履行职责的团队人数不满足现场实际需求且拒不增加的，每延期1天扣除1%合同款的服务费。</w:t>
      </w:r>
    </w:p>
    <w:p w14:paraId="44D6AB5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五）结算审核单位对派出的所有技术人员的行为负责，如因任何技术人员的失职、失误及其他行为给采购人造成的损失均由结算审核单位承担责任。结算审核单位还应当确保本项目所有技术人员的公正、独立、廉洁，严禁对参建单位进行吃、拿、卡、要，如有违反，采购人除勒令结算审核单位立即更换违规人员外，将视情节轻重扣除5%-10%的合同款服务费，触犯法律者将移送司法机关处理。</w:t>
      </w:r>
    </w:p>
    <w:p w14:paraId="60B4B3E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六）结算审核单位应按采购人要求组织相关会议，每延期1天扣除1%合同款的服务费。对存在的问题，经采购人指出后结算审核单位未按时整改的，每次扣除1%合同款的服务费。由采购人交办结算审核单位确认无异议的事项，结算审核单位未按期完成的，每次扣除1%合同款的服务费。结算审核单位在服务过程中工作不主动，经采购人反复催促三次仍不能完成工作任务的，一次扣除2％合同款的服务费。</w:t>
      </w:r>
    </w:p>
    <w:p w14:paraId="415FA0C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（七）结算审核单位违反保密约定，除应当向采购人赔偿损失并承担其他相应法律责任外，还应向采购人支付本合同款的10%的违约金。</w:t>
      </w:r>
    </w:p>
    <w:p w14:paraId="7FF7D8D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（八）累计扣款达到15%合同款的服务费，采购人有权立即终止本项目的服务合同，并有权拒绝支付剩余的服务费用。对采购人造成损失的，采购人有权要求结算审核单位赔偿损失。</w:t>
      </w:r>
    </w:p>
    <w:p w14:paraId="70B3A01A">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lang w:val="en-US" w:eastAsia="zh-CN"/>
        </w:rPr>
      </w:pPr>
      <w:bookmarkStart w:id="65" w:name="_Toc6149"/>
      <w:bookmarkStart w:id="66" w:name="_Toc10623"/>
      <w:bookmarkStart w:id="67" w:name="_Toc3970"/>
      <w:bookmarkStart w:id="68" w:name="_Toc109899031"/>
      <w:bookmarkStart w:id="69" w:name="_Toc155094504"/>
      <w:r>
        <w:rPr>
          <w:rFonts w:hint="eastAsia" w:ascii="宋体" w:hAnsi="宋体" w:eastAsia="宋体" w:cs="宋体"/>
          <w:b/>
          <w:sz w:val="21"/>
          <w:szCs w:val="21"/>
          <w:highlight w:val="none"/>
          <w:lang w:val="en-US" w:eastAsia="zh-CN"/>
        </w:rPr>
        <w:t>四、售后服务</w:t>
      </w:r>
      <w:bookmarkEnd w:id="65"/>
      <w:bookmarkEnd w:id="66"/>
      <w:bookmarkEnd w:id="67"/>
    </w:p>
    <w:p w14:paraId="5994549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（一）售后服务：服务期结束后，还需提供半年的售后服务。</w:t>
      </w:r>
    </w:p>
    <w:p w14:paraId="0E104F8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（二）售后服务内容</w:t>
      </w:r>
    </w:p>
    <w:p w14:paraId="15C6BCC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1.电话咨询</w:t>
      </w:r>
    </w:p>
    <w:p w14:paraId="7D888D9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成交供应商应当为用户提供技术援助电话，解答采购人在使用中遇到的问题，及时为采购人提出解决问题的建议。</w:t>
      </w:r>
    </w:p>
    <w:p w14:paraId="0274DF5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2.现场响应</w:t>
      </w:r>
    </w:p>
    <w:p w14:paraId="2D1F00D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采购人遇到使用及技术问题，电话咨询不能解决的，成交供应商应在12小时内采取相应响应措施；无法在12小时内解决的，应在24小时内派出专业人员到达现场进行技术支持。</w:t>
      </w:r>
    </w:p>
    <w:p w14:paraId="6B97D23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3.售后服务期过后，成交供应商应同样提供免费电话咨询服务，并应承诺提供专业人员到达现场的技术支持服务。</w:t>
      </w:r>
    </w:p>
    <w:p w14:paraId="13631D7F">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lang w:val="en-US" w:eastAsia="zh-CN"/>
        </w:rPr>
      </w:pPr>
      <w:bookmarkStart w:id="70" w:name="_Toc32360"/>
      <w:bookmarkStart w:id="71" w:name="_Toc14101"/>
      <w:r>
        <w:rPr>
          <w:rFonts w:hint="eastAsia" w:ascii="宋体" w:hAnsi="宋体" w:eastAsia="宋体" w:cs="宋体"/>
          <w:b/>
          <w:sz w:val="21"/>
          <w:szCs w:val="21"/>
          <w:highlight w:val="none"/>
          <w:lang w:val="en-US" w:eastAsia="zh-CN"/>
        </w:rPr>
        <w:t>五、付款方式</w:t>
      </w:r>
      <w:bookmarkEnd w:id="68"/>
      <w:bookmarkEnd w:id="69"/>
      <w:bookmarkEnd w:id="70"/>
      <w:bookmarkEnd w:id="71"/>
    </w:p>
    <w:p w14:paraId="3F40DFEF">
      <w:pPr>
        <w:pStyle w:val="56"/>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bookmarkStart w:id="72" w:name="_Toc42805188"/>
      <w:bookmarkStart w:id="73" w:name="_Toc29746251"/>
      <w:r>
        <w:rPr>
          <w:rFonts w:hint="eastAsia" w:ascii="宋体" w:hAnsi="宋体" w:eastAsia="宋体" w:cs="宋体"/>
          <w:color w:val="auto"/>
          <w:sz w:val="21"/>
          <w:szCs w:val="21"/>
          <w:highlight w:val="none"/>
        </w:rPr>
        <w:t>由采购人支付该项目合同款项，付款方式如下：</w:t>
      </w:r>
    </w:p>
    <w:p w14:paraId="60973CB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合同签订后，中标人向采购人提交合同金额</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0%的发票；采购人收到发票后的5个工作日内，按程序办理支付手续。项目通过采购人组织的成果验收后</w:t>
      </w:r>
      <w:r>
        <w:rPr>
          <w:rFonts w:hint="eastAsia" w:ascii="宋体" w:hAnsi="宋体" w:eastAsia="宋体" w:cs="宋体"/>
          <w:color w:val="auto"/>
          <w:sz w:val="21"/>
          <w:szCs w:val="21"/>
          <w:highlight w:val="none"/>
          <w:lang w:val="en-US" w:eastAsia="zh-CN"/>
        </w:rPr>
        <w:t>出具结算审核报告后，</w:t>
      </w:r>
      <w:r>
        <w:rPr>
          <w:rFonts w:hint="eastAsia" w:ascii="宋体" w:hAnsi="宋体" w:eastAsia="宋体" w:cs="宋体"/>
          <w:color w:val="auto"/>
          <w:sz w:val="21"/>
          <w:szCs w:val="21"/>
          <w:highlight w:val="none"/>
        </w:rPr>
        <w:t>成交供应商向采购人开具正式发票，采购人向成交供应商</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合同总金额的</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p>
    <w:p w14:paraId="75304805">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lang w:val="en-US" w:eastAsia="zh-CN"/>
        </w:rPr>
      </w:pPr>
      <w:bookmarkStart w:id="74" w:name="_Toc29469"/>
      <w:bookmarkStart w:id="75" w:name="_Toc146539500"/>
      <w:bookmarkStart w:id="76" w:name="_Toc153526922"/>
      <w:bookmarkStart w:id="77" w:name="_Toc154740539"/>
      <w:bookmarkStart w:id="78" w:name="_Toc155094506"/>
      <w:bookmarkStart w:id="79" w:name="_Toc3071"/>
      <w:bookmarkStart w:id="80" w:name="_Toc30506"/>
      <w:bookmarkStart w:id="81" w:name="_Toc109899032"/>
      <w:r>
        <w:rPr>
          <w:rFonts w:hint="eastAsia" w:ascii="宋体" w:hAnsi="宋体" w:eastAsia="宋体" w:cs="宋体"/>
          <w:b/>
          <w:sz w:val="21"/>
          <w:szCs w:val="21"/>
          <w:highlight w:val="none"/>
          <w:lang w:val="en-US" w:eastAsia="zh-CN"/>
        </w:rPr>
        <w:t>六、保密要求</w:t>
      </w:r>
      <w:bookmarkEnd w:id="74"/>
      <w:bookmarkEnd w:id="75"/>
      <w:bookmarkEnd w:id="76"/>
      <w:bookmarkEnd w:id="77"/>
      <w:bookmarkEnd w:id="78"/>
      <w:bookmarkEnd w:id="79"/>
      <w:bookmarkEnd w:id="80"/>
    </w:p>
    <w:p w14:paraId="3748DC0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bookmarkStart w:id="82" w:name="_Hlk101689624"/>
      <w:r>
        <w:rPr>
          <w:rFonts w:hint="eastAsia" w:ascii="宋体" w:hAnsi="宋体" w:eastAsia="宋体" w:cs="宋体"/>
          <w:color w:val="auto"/>
          <w:sz w:val="21"/>
          <w:szCs w:val="21"/>
          <w:highlight w:val="none"/>
        </w:rPr>
        <w:t>（一）成交供应商应按照国家相关</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、规范等文件要求，严格落实保密工作，建立保密制度，落实保密责任，确保相关工作保密的要求。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必须遵守与采购人签订的保密协议，未经采购人书面许可，成交供应商不得以任何形式向第三方透露本项目信息以及本项目的任何内容，否则采购人将有权追究供应商的法律责任。</w:t>
      </w:r>
    </w:p>
    <w:p w14:paraId="6DDE5B4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相关服务人员须增强对数据的保密意识，定期接受保密责任教育，与采购人签订保密责任书，对所知悉的事项及信息须严格保密。所有资料、技术文档妥善保管，不得遗失、转借、复印，不得以任何形式向第三方透露，违反保密责任应承担相关后果及经济赔偿责任。</w:t>
      </w:r>
      <w:bookmarkEnd w:id="82"/>
    </w:p>
    <w:p w14:paraId="1E6FE657">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lang w:val="en-US" w:eastAsia="zh-CN"/>
        </w:rPr>
      </w:pPr>
      <w:bookmarkStart w:id="83" w:name="_Toc17654"/>
      <w:bookmarkStart w:id="84" w:name="_Toc1009"/>
      <w:bookmarkStart w:id="85" w:name="_Toc155094507"/>
      <w:r>
        <w:rPr>
          <w:rFonts w:hint="eastAsia" w:ascii="宋体" w:hAnsi="宋体" w:eastAsia="宋体" w:cs="宋体"/>
          <w:b/>
          <w:sz w:val="21"/>
          <w:szCs w:val="21"/>
          <w:highlight w:val="none"/>
          <w:lang w:val="en-US" w:eastAsia="zh-CN"/>
        </w:rPr>
        <w:t>七、知识产权</w:t>
      </w:r>
      <w:bookmarkEnd w:id="72"/>
      <w:bookmarkEnd w:id="73"/>
      <w:bookmarkEnd w:id="81"/>
      <w:bookmarkEnd w:id="83"/>
      <w:bookmarkEnd w:id="84"/>
      <w:bookmarkEnd w:id="85"/>
    </w:p>
    <w:p w14:paraId="15DB201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bookmarkStart w:id="86" w:name="_Toc441065671"/>
      <w:bookmarkStart w:id="87" w:name="_Toc267320053"/>
      <w:bookmarkStart w:id="88" w:name="_Toc42805190"/>
      <w:bookmarkStart w:id="89" w:name="_Toc29746252"/>
      <w:r>
        <w:rPr>
          <w:rFonts w:hint="eastAsia" w:ascii="宋体" w:hAnsi="宋体" w:eastAsia="宋体" w:cs="宋体"/>
          <w:color w:val="auto"/>
          <w:sz w:val="21"/>
          <w:szCs w:val="21"/>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造成采购人损失的，采购人有权追偿。</w:t>
      </w:r>
    </w:p>
    <w:bookmarkEnd w:id="86"/>
    <w:bookmarkEnd w:id="87"/>
    <w:p w14:paraId="512D0906">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b/>
          <w:sz w:val="21"/>
          <w:szCs w:val="21"/>
          <w:highlight w:val="none"/>
          <w:lang w:val="en-US" w:eastAsia="zh-CN"/>
        </w:rPr>
      </w:pPr>
      <w:bookmarkStart w:id="90" w:name="_Toc155094508"/>
      <w:bookmarkStart w:id="91" w:name="_Toc25142"/>
      <w:bookmarkStart w:id="92" w:name="_Toc8401"/>
      <w:bookmarkStart w:id="93" w:name="_Toc109899033"/>
      <w:r>
        <w:rPr>
          <w:rFonts w:hint="eastAsia" w:ascii="宋体" w:hAnsi="宋体" w:eastAsia="宋体" w:cs="宋体"/>
          <w:b/>
          <w:sz w:val="21"/>
          <w:szCs w:val="21"/>
          <w:highlight w:val="none"/>
          <w:lang w:val="en-US" w:eastAsia="zh-CN"/>
        </w:rPr>
        <w:t>八、其他</w:t>
      </w:r>
      <w:bookmarkEnd w:id="88"/>
      <w:bookmarkEnd w:id="89"/>
      <w:bookmarkEnd w:id="90"/>
      <w:bookmarkEnd w:id="91"/>
      <w:bookmarkEnd w:id="92"/>
      <w:bookmarkEnd w:id="93"/>
    </w:p>
    <w:p w14:paraId="3437DA7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（一）供应商必须在响应文件中对以上条款作出响应。</w:t>
      </w:r>
    </w:p>
    <w:p w14:paraId="242ABAE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color w:val="auto"/>
          <w:sz w:val="21"/>
          <w:szCs w:val="21"/>
          <w:highlight w:val="none"/>
        </w:rPr>
        <w:t>（二）其他未尽事宜由供需双方在采购合同中详细约定。</w:t>
      </w:r>
      <w:r>
        <w:rPr>
          <w:rFonts w:hint="eastAsia" w:ascii="宋体" w:hAnsi="宋体" w:eastAsia="宋体" w:cs="宋体"/>
          <w:sz w:val="24"/>
          <w:szCs w:val="24"/>
          <w:highlight w:val="none"/>
        </w:rPr>
        <w:br w:type="page"/>
      </w:r>
      <w:r>
        <w:rPr>
          <w:rFonts w:hint="eastAsia" w:ascii="宋体" w:hAnsi="宋体" w:eastAsia="宋体" w:cs="宋体"/>
          <w:b/>
          <w:sz w:val="32"/>
          <w:szCs w:val="32"/>
          <w:highlight w:val="none"/>
          <w:lang w:val="en-US" w:eastAsia="zh-CN"/>
        </w:rPr>
        <w:t>第四篇  磋商程序及方法、评审标准、无效响应和采购终止</w:t>
      </w:r>
      <w:bookmarkEnd w:id="34"/>
      <w:bookmarkEnd w:id="35"/>
    </w:p>
    <w:p w14:paraId="1BFE7713">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firstLine="422" w:firstLineChars="200"/>
        <w:textAlignment w:val="auto"/>
        <w:rPr>
          <w:rFonts w:hint="eastAsia" w:ascii="宋体" w:hAnsi="宋体" w:eastAsia="宋体" w:cs="宋体"/>
          <w:sz w:val="21"/>
          <w:szCs w:val="21"/>
          <w:highlight w:val="none"/>
        </w:rPr>
      </w:pPr>
      <w:bookmarkStart w:id="94" w:name="_Toc106030888"/>
      <w:bookmarkStart w:id="95" w:name="_Toc76462333"/>
      <w:r>
        <w:rPr>
          <w:rFonts w:hint="eastAsia" w:ascii="宋体" w:hAnsi="宋体" w:eastAsia="宋体" w:cs="宋体"/>
          <w:sz w:val="21"/>
          <w:szCs w:val="21"/>
          <w:highlight w:val="none"/>
        </w:rPr>
        <w:t>一、磋商程序及方法</w:t>
      </w:r>
      <w:bookmarkEnd w:id="94"/>
      <w:bookmarkEnd w:id="95"/>
    </w:p>
    <w:p w14:paraId="5E005303">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BB0E60C">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（二）磋商小组对各供应商的资格条件、响应文件的有效性、完整性和响应程度进行审查。各供应商只有在完全符合要求的前提下，才能参与正式磋商。</w:t>
      </w:r>
    </w:p>
    <w:p w14:paraId="64833479">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资格性审查。依据法律法规和竞争性磋商文件的规定，对响应文件中的资格证明、等进行审查，以确定供应商是否具备磋商资格。资格性审查资料表如下：</w:t>
      </w:r>
    </w:p>
    <w:tbl>
      <w:tblPr>
        <w:tblStyle w:val="58"/>
        <w:tblW w:w="907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60"/>
        <w:gridCol w:w="2565"/>
        <w:gridCol w:w="5085"/>
      </w:tblGrid>
      <w:tr w14:paraId="722B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7CB3B61D">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14:paraId="39F2448D">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检查因素</w:t>
            </w:r>
          </w:p>
        </w:tc>
        <w:tc>
          <w:tcPr>
            <w:tcW w:w="5085" w:type="dxa"/>
            <w:tcBorders>
              <w:top w:val="single" w:color="auto" w:sz="4" w:space="0"/>
              <w:left w:val="single" w:color="auto" w:sz="4" w:space="0"/>
              <w:bottom w:val="single" w:color="auto" w:sz="4" w:space="0"/>
              <w:right w:val="single" w:color="auto" w:sz="4" w:space="0"/>
            </w:tcBorders>
            <w:noWrap w:val="0"/>
            <w:vAlign w:val="center"/>
          </w:tcPr>
          <w:p w14:paraId="7F9ED3D0">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检查内容</w:t>
            </w:r>
          </w:p>
        </w:tc>
      </w:tr>
      <w:tr w14:paraId="0C88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noWrap w:val="0"/>
            <w:vAlign w:val="center"/>
          </w:tcPr>
          <w:p w14:paraId="52E49BFA">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w:t>
            </w:r>
          </w:p>
        </w:tc>
        <w:tc>
          <w:tcPr>
            <w:tcW w:w="660" w:type="dxa"/>
            <w:vMerge w:val="restart"/>
            <w:noWrap w:val="0"/>
            <w:vAlign w:val="center"/>
          </w:tcPr>
          <w:p w14:paraId="6FDD8ECE">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《中华人民共和国政府采购法》第二十二条规定</w:t>
            </w:r>
          </w:p>
        </w:tc>
        <w:tc>
          <w:tcPr>
            <w:tcW w:w="2565" w:type="dxa"/>
            <w:noWrap w:val="0"/>
            <w:vAlign w:val="center"/>
          </w:tcPr>
          <w:p w14:paraId="5885E6A1">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5085" w:type="dxa"/>
            <w:noWrap w:val="0"/>
            <w:vAlign w:val="center"/>
          </w:tcPr>
          <w:p w14:paraId="4E3BD070">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1.供应商法人营业执照（副本）或事业单位法人证书（副本）或个体工商户营业执照或有效的自然人身份证明或社会团体法人登记证书（提供复印件）。 </w:t>
            </w:r>
          </w:p>
          <w:p w14:paraId="68D34082">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2.供应商法定代表人身份证明和法定代表人授权代表委托书。</w:t>
            </w:r>
          </w:p>
        </w:tc>
      </w:tr>
      <w:tr w14:paraId="100D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12E2DE03">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p>
        </w:tc>
        <w:tc>
          <w:tcPr>
            <w:tcW w:w="660" w:type="dxa"/>
            <w:vMerge w:val="continue"/>
            <w:noWrap w:val="0"/>
            <w:vAlign w:val="center"/>
          </w:tcPr>
          <w:p w14:paraId="2EB6DFD4">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p>
        </w:tc>
        <w:tc>
          <w:tcPr>
            <w:tcW w:w="2565" w:type="dxa"/>
            <w:noWrap w:val="0"/>
            <w:vAlign w:val="center"/>
          </w:tcPr>
          <w:p w14:paraId="6A53620F">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5085" w:type="dxa"/>
            <w:vMerge w:val="restart"/>
            <w:noWrap w:val="0"/>
            <w:vAlign w:val="center"/>
          </w:tcPr>
          <w:p w14:paraId="7E382844">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供应商提供“基本资格条件承诺函”（格式详见第七篇）</w:t>
            </w:r>
          </w:p>
        </w:tc>
      </w:tr>
      <w:tr w14:paraId="2FD4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07A639D3">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p>
        </w:tc>
        <w:tc>
          <w:tcPr>
            <w:tcW w:w="660" w:type="dxa"/>
            <w:vMerge w:val="continue"/>
            <w:noWrap w:val="0"/>
            <w:vAlign w:val="center"/>
          </w:tcPr>
          <w:p w14:paraId="704A6F70">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p>
        </w:tc>
        <w:tc>
          <w:tcPr>
            <w:tcW w:w="2565" w:type="dxa"/>
            <w:noWrap w:val="0"/>
            <w:vAlign w:val="center"/>
          </w:tcPr>
          <w:p w14:paraId="288904CC">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5085" w:type="dxa"/>
            <w:vMerge w:val="continue"/>
            <w:noWrap w:val="0"/>
            <w:vAlign w:val="center"/>
          </w:tcPr>
          <w:p w14:paraId="3ED6410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p>
        </w:tc>
      </w:tr>
      <w:tr w14:paraId="4738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7B502065">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p>
        </w:tc>
        <w:tc>
          <w:tcPr>
            <w:tcW w:w="660" w:type="dxa"/>
            <w:vMerge w:val="continue"/>
            <w:noWrap w:val="0"/>
            <w:vAlign w:val="center"/>
          </w:tcPr>
          <w:p w14:paraId="7092E6E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p>
        </w:tc>
        <w:tc>
          <w:tcPr>
            <w:tcW w:w="2565" w:type="dxa"/>
            <w:noWrap w:val="0"/>
            <w:vAlign w:val="center"/>
          </w:tcPr>
          <w:p w14:paraId="40908334">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5085" w:type="dxa"/>
            <w:vMerge w:val="continue"/>
            <w:noWrap w:val="0"/>
            <w:vAlign w:val="center"/>
          </w:tcPr>
          <w:p w14:paraId="5EFF5B4A">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p>
        </w:tc>
      </w:tr>
      <w:tr w14:paraId="59A2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70486BE8">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p>
        </w:tc>
        <w:tc>
          <w:tcPr>
            <w:tcW w:w="660" w:type="dxa"/>
            <w:vMerge w:val="continue"/>
            <w:noWrap w:val="0"/>
            <w:vAlign w:val="center"/>
          </w:tcPr>
          <w:p w14:paraId="036D77BD">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p>
        </w:tc>
        <w:tc>
          <w:tcPr>
            <w:tcW w:w="2565" w:type="dxa"/>
            <w:noWrap w:val="0"/>
            <w:vAlign w:val="center"/>
          </w:tcPr>
          <w:p w14:paraId="4E235351">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w:t>
            </w:r>
          </w:p>
        </w:tc>
        <w:tc>
          <w:tcPr>
            <w:tcW w:w="5085" w:type="dxa"/>
            <w:vMerge w:val="continue"/>
            <w:noWrap w:val="0"/>
            <w:vAlign w:val="center"/>
          </w:tcPr>
          <w:p w14:paraId="2E82407C">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b/>
                <w:sz w:val="21"/>
                <w:szCs w:val="21"/>
                <w:highlight w:val="none"/>
              </w:rPr>
            </w:pPr>
          </w:p>
        </w:tc>
      </w:tr>
      <w:tr w14:paraId="1146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5" w:type="dxa"/>
            <w:vMerge w:val="continue"/>
            <w:noWrap w:val="0"/>
            <w:vAlign w:val="center"/>
          </w:tcPr>
          <w:p w14:paraId="0714B02C">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p>
        </w:tc>
        <w:tc>
          <w:tcPr>
            <w:tcW w:w="660" w:type="dxa"/>
            <w:vMerge w:val="continue"/>
            <w:noWrap w:val="0"/>
            <w:vAlign w:val="center"/>
          </w:tcPr>
          <w:p w14:paraId="3B7E7932">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p>
        </w:tc>
        <w:tc>
          <w:tcPr>
            <w:tcW w:w="2565" w:type="dxa"/>
            <w:noWrap w:val="0"/>
            <w:vAlign w:val="center"/>
          </w:tcPr>
          <w:p w14:paraId="34E2FB91">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5085" w:type="dxa"/>
            <w:vMerge w:val="continue"/>
            <w:noWrap w:val="0"/>
            <w:vAlign w:val="center"/>
          </w:tcPr>
          <w:p w14:paraId="1863753F">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p>
        </w:tc>
      </w:tr>
      <w:tr w14:paraId="7BEB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5" w:type="dxa"/>
            <w:vMerge w:val="continue"/>
            <w:noWrap w:val="0"/>
            <w:vAlign w:val="center"/>
          </w:tcPr>
          <w:p w14:paraId="5722A540">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sz w:val="21"/>
                <w:szCs w:val="21"/>
                <w:highlight w:val="none"/>
              </w:rPr>
            </w:pPr>
          </w:p>
        </w:tc>
        <w:tc>
          <w:tcPr>
            <w:tcW w:w="660" w:type="dxa"/>
            <w:vMerge w:val="continue"/>
            <w:noWrap w:val="0"/>
            <w:vAlign w:val="center"/>
          </w:tcPr>
          <w:p w14:paraId="606CB67A">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p>
        </w:tc>
        <w:tc>
          <w:tcPr>
            <w:tcW w:w="2565" w:type="dxa"/>
            <w:noWrap w:val="0"/>
            <w:vAlign w:val="center"/>
          </w:tcPr>
          <w:p w14:paraId="6C28F529">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7.本项目的特定资格要求</w:t>
            </w:r>
          </w:p>
        </w:tc>
        <w:tc>
          <w:tcPr>
            <w:tcW w:w="5085" w:type="dxa"/>
            <w:noWrap w:val="0"/>
            <w:vAlign w:val="center"/>
          </w:tcPr>
          <w:p w14:paraId="4E920AD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按“第一篇三、供应商资格要求（</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）本项目的特定资格要求”的要求提交（如果有）。</w:t>
            </w:r>
          </w:p>
        </w:tc>
      </w:tr>
    </w:tbl>
    <w:p w14:paraId="04EB8405">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608B0657">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906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2220"/>
        <w:gridCol w:w="4680"/>
      </w:tblGrid>
      <w:tr w14:paraId="77D1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21" w:hRule="atLeast"/>
        </w:trPr>
        <w:tc>
          <w:tcPr>
            <w:tcW w:w="675" w:type="dxa"/>
            <w:noWrap w:val="0"/>
            <w:vAlign w:val="center"/>
          </w:tcPr>
          <w:p w14:paraId="41F60A9E">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705" w:type="dxa"/>
            <w:gridSpan w:val="2"/>
            <w:noWrap w:val="0"/>
            <w:vAlign w:val="center"/>
          </w:tcPr>
          <w:p w14:paraId="35FEB209">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w:t>
            </w:r>
          </w:p>
        </w:tc>
        <w:tc>
          <w:tcPr>
            <w:tcW w:w="4680" w:type="dxa"/>
            <w:noWrap w:val="0"/>
            <w:vAlign w:val="center"/>
          </w:tcPr>
          <w:p w14:paraId="020E7F26">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评审标准</w:t>
            </w:r>
          </w:p>
        </w:tc>
      </w:tr>
      <w:tr w14:paraId="60A2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4" w:hRule="atLeast"/>
        </w:trPr>
        <w:tc>
          <w:tcPr>
            <w:tcW w:w="675" w:type="dxa"/>
            <w:vMerge w:val="restart"/>
            <w:noWrap w:val="0"/>
            <w:vAlign w:val="center"/>
          </w:tcPr>
          <w:p w14:paraId="19886491">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485" w:type="dxa"/>
            <w:vMerge w:val="restart"/>
            <w:noWrap w:val="0"/>
            <w:vAlign w:val="center"/>
          </w:tcPr>
          <w:p w14:paraId="146B8018">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有效性审查</w:t>
            </w:r>
          </w:p>
        </w:tc>
        <w:tc>
          <w:tcPr>
            <w:tcW w:w="2220" w:type="dxa"/>
            <w:noWrap w:val="0"/>
            <w:vAlign w:val="center"/>
          </w:tcPr>
          <w:p w14:paraId="0884749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响应文件签署或盖章</w:t>
            </w:r>
          </w:p>
        </w:tc>
        <w:tc>
          <w:tcPr>
            <w:tcW w:w="4680" w:type="dxa"/>
            <w:noWrap w:val="0"/>
            <w:vAlign w:val="center"/>
          </w:tcPr>
          <w:p w14:paraId="21C7AA7C">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按竞争性磋商文件“第七篇响应文件编制要求”要求签署或盖章。</w:t>
            </w:r>
          </w:p>
        </w:tc>
      </w:tr>
      <w:tr w14:paraId="5F48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9" w:hRule="atLeast"/>
        </w:trPr>
        <w:tc>
          <w:tcPr>
            <w:tcW w:w="675" w:type="dxa"/>
            <w:vMerge w:val="continue"/>
            <w:noWrap w:val="0"/>
            <w:vAlign w:val="center"/>
          </w:tcPr>
          <w:p w14:paraId="7B5F60CB">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p>
        </w:tc>
        <w:tc>
          <w:tcPr>
            <w:tcW w:w="1485" w:type="dxa"/>
            <w:vMerge w:val="continue"/>
            <w:noWrap w:val="0"/>
            <w:vAlign w:val="center"/>
          </w:tcPr>
          <w:p w14:paraId="66B82149">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p>
        </w:tc>
        <w:tc>
          <w:tcPr>
            <w:tcW w:w="2220" w:type="dxa"/>
            <w:noWrap w:val="0"/>
            <w:vAlign w:val="center"/>
          </w:tcPr>
          <w:p w14:paraId="49682E6C">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4680" w:type="dxa"/>
            <w:noWrap w:val="0"/>
            <w:vAlign w:val="center"/>
          </w:tcPr>
          <w:p w14:paraId="7DB2D251">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法定代表人身份证明及授权委托书有效，符合竞争性磋商文件规定的格式，签署或盖章齐全。</w:t>
            </w:r>
          </w:p>
        </w:tc>
      </w:tr>
      <w:tr w14:paraId="4498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15" w:hRule="atLeast"/>
        </w:trPr>
        <w:tc>
          <w:tcPr>
            <w:tcW w:w="675" w:type="dxa"/>
            <w:vMerge w:val="continue"/>
            <w:noWrap w:val="0"/>
            <w:vAlign w:val="center"/>
          </w:tcPr>
          <w:p w14:paraId="721AF2E7">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p>
        </w:tc>
        <w:tc>
          <w:tcPr>
            <w:tcW w:w="1485" w:type="dxa"/>
            <w:vMerge w:val="continue"/>
            <w:noWrap w:val="0"/>
            <w:vAlign w:val="center"/>
          </w:tcPr>
          <w:p w14:paraId="0C7F3E05">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p>
        </w:tc>
        <w:tc>
          <w:tcPr>
            <w:tcW w:w="2220" w:type="dxa"/>
            <w:noWrap w:val="0"/>
            <w:vAlign w:val="center"/>
          </w:tcPr>
          <w:p w14:paraId="5300F6C8">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4680" w:type="dxa"/>
            <w:noWrap w:val="0"/>
            <w:vAlign w:val="center"/>
          </w:tcPr>
          <w:p w14:paraId="4A695904">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zh-CN"/>
              </w:rPr>
              <w:t>每个包只能有一个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7005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98" w:hRule="atLeast"/>
        </w:trPr>
        <w:tc>
          <w:tcPr>
            <w:tcW w:w="675" w:type="dxa"/>
            <w:vMerge w:val="continue"/>
            <w:noWrap w:val="0"/>
            <w:vAlign w:val="center"/>
          </w:tcPr>
          <w:p w14:paraId="1A4F6858">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p>
        </w:tc>
        <w:tc>
          <w:tcPr>
            <w:tcW w:w="1485" w:type="dxa"/>
            <w:vMerge w:val="continue"/>
            <w:noWrap w:val="0"/>
            <w:vAlign w:val="center"/>
          </w:tcPr>
          <w:p w14:paraId="53A37E35">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p>
        </w:tc>
        <w:tc>
          <w:tcPr>
            <w:tcW w:w="2220" w:type="dxa"/>
            <w:noWrap w:val="0"/>
            <w:vAlign w:val="center"/>
          </w:tcPr>
          <w:p w14:paraId="6ECA03E4">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4680" w:type="dxa"/>
            <w:noWrap w:val="0"/>
            <w:vAlign w:val="center"/>
          </w:tcPr>
          <w:p w14:paraId="4BE5C5FC">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只能有一个有效报价，不得提交选择性报价。</w:t>
            </w:r>
          </w:p>
        </w:tc>
      </w:tr>
      <w:tr w14:paraId="41B5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41" w:hRule="atLeast"/>
        </w:trPr>
        <w:tc>
          <w:tcPr>
            <w:tcW w:w="675" w:type="dxa"/>
            <w:noWrap w:val="0"/>
            <w:vAlign w:val="center"/>
          </w:tcPr>
          <w:p w14:paraId="734FC08A">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485" w:type="dxa"/>
            <w:noWrap w:val="0"/>
            <w:vAlign w:val="center"/>
          </w:tcPr>
          <w:p w14:paraId="4EC60D9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完整性审查</w:t>
            </w:r>
          </w:p>
        </w:tc>
        <w:tc>
          <w:tcPr>
            <w:tcW w:w="2220" w:type="dxa"/>
            <w:noWrap w:val="0"/>
            <w:vAlign w:val="center"/>
          </w:tcPr>
          <w:p w14:paraId="4E95284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文件份数</w:t>
            </w:r>
          </w:p>
        </w:tc>
        <w:tc>
          <w:tcPr>
            <w:tcW w:w="4680" w:type="dxa"/>
            <w:noWrap w:val="0"/>
            <w:vAlign w:val="center"/>
          </w:tcPr>
          <w:p w14:paraId="510E706A">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文件正、副本数量（含电子文档）符合</w:t>
            </w:r>
            <w:r>
              <w:rPr>
                <w:rFonts w:hint="eastAsia" w:ascii="宋体" w:hAnsi="宋体" w:eastAsia="宋体" w:cs="宋体"/>
                <w:sz w:val="21"/>
                <w:szCs w:val="21"/>
                <w:highlight w:val="none"/>
              </w:rPr>
              <w:t>竞争性磋商</w:t>
            </w:r>
            <w:r>
              <w:rPr>
                <w:rFonts w:hint="eastAsia" w:ascii="宋体" w:hAnsi="宋体" w:eastAsia="宋体" w:cs="宋体"/>
                <w:sz w:val="21"/>
                <w:szCs w:val="21"/>
                <w:highlight w:val="none"/>
                <w:lang w:val="zh-CN"/>
              </w:rPr>
              <w:t>文件要求。</w:t>
            </w:r>
          </w:p>
        </w:tc>
      </w:tr>
      <w:tr w14:paraId="4945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15" w:hRule="atLeast"/>
        </w:trPr>
        <w:tc>
          <w:tcPr>
            <w:tcW w:w="675" w:type="dxa"/>
            <w:vMerge w:val="restart"/>
            <w:noWrap w:val="0"/>
            <w:vAlign w:val="center"/>
          </w:tcPr>
          <w:p w14:paraId="2FDA8C63">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85" w:type="dxa"/>
            <w:vMerge w:val="restart"/>
            <w:noWrap w:val="0"/>
            <w:vAlign w:val="center"/>
          </w:tcPr>
          <w:p w14:paraId="78D27D4B">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r>
              <w:rPr>
                <w:rFonts w:hint="eastAsia" w:ascii="宋体" w:hAnsi="宋体" w:eastAsia="宋体" w:cs="宋体"/>
                <w:kern w:val="0"/>
                <w:sz w:val="21"/>
                <w:szCs w:val="21"/>
                <w:highlight w:val="none"/>
              </w:rPr>
              <w:t>响应程度审查</w:t>
            </w:r>
          </w:p>
        </w:tc>
        <w:tc>
          <w:tcPr>
            <w:tcW w:w="2220" w:type="dxa"/>
            <w:noWrap w:val="0"/>
            <w:vAlign w:val="center"/>
          </w:tcPr>
          <w:p w14:paraId="6F893D1A">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实质性响应</w:t>
            </w:r>
          </w:p>
        </w:tc>
        <w:tc>
          <w:tcPr>
            <w:tcW w:w="4680" w:type="dxa"/>
            <w:noWrap w:val="0"/>
            <w:vAlign w:val="center"/>
          </w:tcPr>
          <w:p w14:paraId="5A4478FC">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竞争性磋商文件第二篇、第三篇所有内容。</w:t>
            </w:r>
          </w:p>
        </w:tc>
      </w:tr>
      <w:tr w14:paraId="4F9C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84" w:hRule="atLeast"/>
        </w:trPr>
        <w:tc>
          <w:tcPr>
            <w:tcW w:w="675" w:type="dxa"/>
            <w:vMerge w:val="continue"/>
            <w:noWrap w:val="0"/>
            <w:vAlign w:val="center"/>
          </w:tcPr>
          <w:p w14:paraId="512C94C3">
            <w:pPr>
              <w:keepNext w:val="0"/>
              <w:keepLines w:val="0"/>
              <w:pageBreakBefore w:val="0"/>
              <w:widowControl w:val="0"/>
              <w:kinsoku/>
              <w:wordWrap/>
              <w:overflowPunct/>
              <w:topLinePunct w:val="0"/>
              <w:autoSpaceDE w:val="0"/>
              <w:autoSpaceDN w:val="0"/>
              <w:bidi w:val="0"/>
              <w:adjustRightInd w:val="0"/>
              <w:snapToGrid w:val="0"/>
              <w:spacing w:line="500" w:lineRule="exact"/>
              <w:ind w:left="0"/>
              <w:jc w:val="center"/>
              <w:textAlignment w:val="auto"/>
              <w:rPr>
                <w:rFonts w:hint="eastAsia" w:ascii="宋体" w:hAnsi="宋体" w:eastAsia="宋体" w:cs="宋体"/>
                <w:kern w:val="0"/>
                <w:sz w:val="21"/>
                <w:szCs w:val="21"/>
                <w:highlight w:val="none"/>
              </w:rPr>
            </w:pPr>
          </w:p>
        </w:tc>
        <w:tc>
          <w:tcPr>
            <w:tcW w:w="1485" w:type="dxa"/>
            <w:vMerge w:val="continue"/>
            <w:noWrap w:val="0"/>
            <w:vAlign w:val="center"/>
          </w:tcPr>
          <w:p w14:paraId="59BBEBEF">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sz w:val="21"/>
                <w:szCs w:val="21"/>
                <w:highlight w:val="none"/>
                <w:lang w:val="zh-CN"/>
              </w:rPr>
            </w:pPr>
          </w:p>
        </w:tc>
        <w:tc>
          <w:tcPr>
            <w:tcW w:w="2220" w:type="dxa"/>
            <w:noWrap w:val="0"/>
            <w:vAlign w:val="center"/>
          </w:tcPr>
          <w:p w14:paraId="1297EB70">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磋商有效期</w:t>
            </w:r>
          </w:p>
        </w:tc>
        <w:tc>
          <w:tcPr>
            <w:tcW w:w="4680" w:type="dxa"/>
            <w:noWrap w:val="0"/>
            <w:vAlign w:val="center"/>
          </w:tcPr>
          <w:p w14:paraId="6F296279">
            <w:pPr>
              <w:keepNext w:val="0"/>
              <w:keepLines w:val="0"/>
              <w:pageBreakBefore w:val="0"/>
              <w:widowControl w:val="0"/>
              <w:kinsoku/>
              <w:wordWrap/>
              <w:overflowPunct/>
              <w:topLinePunct w:val="0"/>
              <w:autoSpaceDE w:val="0"/>
              <w:autoSpaceDN w:val="0"/>
              <w:bidi w:val="0"/>
              <w:adjustRightInd w:val="0"/>
              <w:snapToGrid w:val="0"/>
              <w:spacing w:line="500" w:lineRule="exact"/>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响应文件有效期为提交响应文件截止时间起90天。</w:t>
            </w:r>
          </w:p>
        </w:tc>
      </w:tr>
    </w:tbl>
    <w:p w14:paraId="4E9ED54C">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04F72B1">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832963">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A67D220">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（五）在磋商过程中磋商的任何一方不得向他人透露与磋商有关的服务资料、价格或其他信息。</w:t>
      </w:r>
    </w:p>
    <w:p w14:paraId="5DB88444">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3AA69F6">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（七）供应商在磋商时作出的所有书面承诺须由法定代表人（或其授权代表）或自然人（供应商为自然人）签署。</w:t>
      </w:r>
    </w:p>
    <w:p w14:paraId="7B3779C8">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25C7F66">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（九）磋商小组采用综合评分法对提交最后报价的供应商的响应文件和最后报价（含有效书面承诺）进行综合评分。</w:t>
      </w:r>
      <w:r>
        <w:rPr>
          <w:rFonts w:hint="eastAsia" w:ascii="宋体" w:hAnsi="宋体" w:eastAsia="宋体" w:cs="宋体"/>
          <w:kern w:val="0"/>
          <w:sz w:val="21"/>
          <w:szCs w:val="21"/>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sz w:val="21"/>
          <w:szCs w:val="21"/>
          <w:highlight w:val="none"/>
        </w:rPr>
        <w:t>。</w:t>
      </w:r>
    </w:p>
    <w:p w14:paraId="7E7A3AEC">
      <w:pPr>
        <w:keepNext w:val="0"/>
        <w:keepLines w:val="0"/>
        <w:pageBreakBefore w:val="0"/>
        <w:widowControl w:val="0"/>
        <w:kinsoku/>
        <w:wordWrap/>
        <w:overflowPunct/>
        <w:topLinePunct w:val="0"/>
        <w:autoSpaceDE w:val="0"/>
        <w:autoSpaceDN w:val="0"/>
        <w:bidi w:val="0"/>
        <w:adjustRightInd w:val="0"/>
        <w:snapToGrid w:val="0"/>
        <w:spacing w:line="5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（十）磋商小组各成员独立对每个有效响应（通过资格性审查、</w:t>
      </w:r>
      <w:r>
        <w:rPr>
          <w:rFonts w:hint="eastAsia" w:ascii="宋体" w:hAnsi="宋体" w:eastAsia="宋体" w:cs="宋体"/>
          <w:kern w:val="0"/>
          <w:sz w:val="21"/>
          <w:szCs w:val="21"/>
          <w:highlight w:val="none"/>
        </w:rPr>
        <w:t>符合性审查的供应商</w:t>
      </w:r>
      <w:r>
        <w:rPr>
          <w:rFonts w:hint="eastAsia" w:ascii="宋体" w:hAnsi="宋体" w:eastAsia="宋体" w:cs="宋体"/>
          <w:sz w:val="21"/>
          <w:szCs w:val="21"/>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w:t>
      </w:r>
      <w:r>
        <w:rPr>
          <w:rFonts w:hint="eastAsia" w:ascii="宋体" w:hAnsi="宋体" w:eastAsia="宋体" w:cs="宋体"/>
          <w:sz w:val="21"/>
          <w:szCs w:val="21"/>
          <w:highlight w:val="none"/>
          <w:lang w:val="en-US" w:eastAsia="zh-CN"/>
        </w:rPr>
        <w:t>部分</w:t>
      </w:r>
      <w:r>
        <w:rPr>
          <w:rFonts w:hint="eastAsia" w:ascii="宋体" w:hAnsi="宋体" w:eastAsia="宋体" w:cs="宋体"/>
          <w:sz w:val="21"/>
          <w:szCs w:val="21"/>
          <w:highlight w:val="none"/>
        </w:rPr>
        <w:t>优劣顺序排列推荐。以上都相同的，按商务条款的优劣顺序排列推荐。</w:t>
      </w:r>
      <w:bookmarkStart w:id="96" w:name="_Toc76462334"/>
      <w:bookmarkStart w:id="97" w:name="_Toc106030889"/>
    </w:p>
    <w:p w14:paraId="1C282A3F">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firstLine="42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bookmarkStart w:id="98" w:name="_Toc342913394"/>
      <w:bookmarkStart w:id="99" w:name="_Toc102227320"/>
      <w:r>
        <w:rPr>
          <w:rFonts w:hint="eastAsia" w:ascii="宋体" w:hAnsi="宋体" w:eastAsia="宋体" w:cs="宋体"/>
          <w:sz w:val="21"/>
          <w:szCs w:val="21"/>
          <w:highlight w:val="none"/>
        </w:rPr>
        <w:t>评审标准</w:t>
      </w:r>
      <w:bookmarkEnd w:id="96"/>
      <w:bookmarkEnd w:id="97"/>
    </w:p>
    <w:tbl>
      <w:tblPr>
        <w:tblStyle w:val="58"/>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732"/>
        <w:gridCol w:w="1787"/>
        <w:gridCol w:w="1061"/>
        <w:gridCol w:w="4192"/>
        <w:gridCol w:w="1809"/>
      </w:tblGrid>
      <w:tr w14:paraId="0A7E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32" w:type="dxa"/>
            <w:noWrap w:val="0"/>
            <w:vAlign w:val="center"/>
          </w:tcPr>
          <w:p w14:paraId="67EF678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b/>
                <w:bCs/>
                <w:color w:val="auto"/>
                <w:sz w:val="21"/>
                <w:szCs w:val="21"/>
                <w:highlight w:val="none"/>
                <w:lang w:eastAsia="zh-CN"/>
              </w:rPr>
            </w:pPr>
            <w:bookmarkStart w:id="100" w:name="_Toc106030890"/>
            <w:bookmarkStart w:id="101" w:name="_Toc76462335"/>
            <w:r>
              <w:rPr>
                <w:rFonts w:hint="eastAsia" w:ascii="宋体" w:hAnsi="宋体" w:eastAsia="宋体" w:cs="宋体"/>
                <w:b/>
                <w:bCs/>
                <w:color w:val="auto"/>
                <w:sz w:val="21"/>
                <w:szCs w:val="21"/>
                <w:highlight w:val="none"/>
                <w:lang w:eastAsia="zh-CN"/>
              </w:rPr>
              <w:t>序号</w:t>
            </w:r>
          </w:p>
        </w:tc>
        <w:tc>
          <w:tcPr>
            <w:tcW w:w="1787" w:type="dxa"/>
            <w:noWrap w:val="0"/>
            <w:vAlign w:val="center"/>
          </w:tcPr>
          <w:p w14:paraId="77458E1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评分因素及权值</w:t>
            </w:r>
          </w:p>
        </w:tc>
        <w:tc>
          <w:tcPr>
            <w:tcW w:w="1061" w:type="dxa"/>
            <w:noWrap w:val="0"/>
            <w:vAlign w:val="center"/>
          </w:tcPr>
          <w:p w14:paraId="6B2D519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分值</w:t>
            </w:r>
          </w:p>
        </w:tc>
        <w:tc>
          <w:tcPr>
            <w:tcW w:w="4192" w:type="dxa"/>
            <w:noWrap w:val="0"/>
            <w:vAlign w:val="center"/>
          </w:tcPr>
          <w:p w14:paraId="17E0B7E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评分标准</w:t>
            </w:r>
          </w:p>
        </w:tc>
        <w:tc>
          <w:tcPr>
            <w:tcW w:w="1809" w:type="dxa"/>
            <w:noWrap w:val="0"/>
            <w:vAlign w:val="center"/>
          </w:tcPr>
          <w:p w14:paraId="458D67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说明</w:t>
            </w:r>
          </w:p>
        </w:tc>
      </w:tr>
      <w:tr w14:paraId="298B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noWrap w:val="0"/>
            <w:vAlign w:val="center"/>
          </w:tcPr>
          <w:p w14:paraId="03C308C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87" w:type="dxa"/>
            <w:noWrap w:val="0"/>
            <w:vAlign w:val="center"/>
          </w:tcPr>
          <w:p w14:paraId="6A56A9D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w:t>
            </w:r>
          </w:p>
          <w:p w14:paraId="33648E9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1061" w:type="dxa"/>
            <w:noWrap w:val="0"/>
            <w:vAlign w:val="center"/>
          </w:tcPr>
          <w:p w14:paraId="47365EC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192" w:type="dxa"/>
            <w:noWrap w:val="0"/>
            <w:vAlign w:val="center"/>
          </w:tcPr>
          <w:p w14:paraId="45033B8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满足资格性、符合性要求且报价最低的供应商的价格为</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基准价，其价格分为满分。其他供应商的价格分统一按照下列公式计算：</w:t>
            </w:r>
          </w:p>
          <w:p w14:paraId="4491E00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报价）×价格权值×100</w:t>
            </w:r>
          </w:p>
        </w:tc>
        <w:tc>
          <w:tcPr>
            <w:tcW w:w="1809" w:type="dxa"/>
            <w:noWrap w:val="0"/>
            <w:vAlign w:val="center"/>
          </w:tcPr>
          <w:p w14:paraId="4386CD3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tc>
      </w:tr>
      <w:tr w14:paraId="60E6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Merge w:val="restart"/>
            <w:noWrap w:val="0"/>
            <w:vAlign w:val="center"/>
          </w:tcPr>
          <w:p w14:paraId="3F0D623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87" w:type="dxa"/>
            <w:vMerge w:val="restart"/>
            <w:noWrap w:val="0"/>
            <w:vAlign w:val="center"/>
          </w:tcPr>
          <w:p w14:paraId="621F9AE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1061" w:type="dxa"/>
            <w:noWrap w:val="0"/>
            <w:vAlign w:val="center"/>
          </w:tcPr>
          <w:p w14:paraId="36D69B1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p w14:paraId="4E705BF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管理制度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4192" w:type="dxa"/>
            <w:noWrap w:val="0"/>
            <w:vAlign w:val="center"/>
          </w:tcPr>
          <w:p w14:paraId="328DB77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投标人对项目建设的理解，提供相关的管理</w:t>
            </w:r>
            <w:r>
              <w:rPr>
                <w:rFonts w:hint="eastAsia" w:ascii="宋体" w:hAnsi="宋体" w:eastAsia="宋体" w:cs="宋体"/>
                <w:color w:val="auto"/>
                <w:sz w:val="21"/>
                <w:szCs w:val="21"/>
                <w:highlight w:val="none"/>
                <w:lang w:eastAsia="zh-CN"/>
              </w:rPr>
              <w:t>制度、</w:t>
            </w:r>
            <w:r>
              <w:rPr>
                <w:rFonts w:hint="eastAsia" w:ascii="宋体" w:hAnsi="宋体" w:eastAsia="宋体" w:cs="宋体"/>
                <w:color w:val="auto"/>
                <w:sz w:val="21"/>
                <w:szCs w:val="21"/>
                <w:highlight w:val="none"/>
                <w:lang w:val="en-US" w:eastAsia="zh-CN"/>
              </w:rPr>
              <w:t>根据制度的</w:t>
            </w:r>
            <w:r>
              <w:rPr>
                <w:rFonts w:hint="eastAsia" w:ascii="宋体" w:hAnsi="宋体" w:eastAsia="宋体" w:cs="宋体"/>
                <w:color w:val="auto"/>
                <w:sz w:val="21"/>
                <w:szCs w:val="21"/>
                <w:highlight w:val="none"/>
                <w:lang w:eastAsia="zh-CN"/>
              </w:rPr>
              <w:t>全面</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lang w:eastAsia="zh-CN"/>
              </w:rPr>
              <w:t>、实际操作</w:t>
            </w:r>
            <w:r>
              <w:rPr>
                <w:rFonts w:hint="eastAsia" w:ascii="宋体" w:hAnsi="宋体" w:eastAsia="宋体" w:cs="宋体"/>
                <w:color w:val="auto"/>
                <w:sz w:val="21"/>
                <w:szCs w:val="21"/>
                <w:highlight w:val="none"/>
                <w:lang w:val="en-US" w:eastAsia="zh-CN"/>
              </w:rPr>
              <w:t>性和</w:t>
            </w:r>
            <w:r>
              <w:rPr>
                <w:rFonts w:hint="eastAsia" w:ascii="宋体" w:hAnsi="宋体" w:eastAsia="宋体" w:cs="宋体"/>
                <w:color w:val="auto"/>
                <w:sz w:val="21"/>
                <w:szCs w:val="21"/>
                <w:highlight w:val="none"/>
                <w:lang w:eastAsia="zh-CN"/>
              </w:rPr>
              <w:t>针对性</w:t>
            </w:r>
            <w:r>
              <w:rPr>
                <w:rFonts w:hint="eastAsia" w:ascii="宋体" w:hAnsi="宋体" w:eastAsia="宋体" w:cs="宋体"/>
                <w:color w:val="auto"/>
                <w:sz w:val="21"/>
                <w:szCs w:val="21"/>
                <w:highlight w:val="none"/>
                <w:lang w:val="en-US" w:eastAsia="zh-CN"/>
              </w:rPr>
              <w:t>等方面进行评分，内容</w:t>
            </w:r>
            <w:r>
              <w:rPr>
                <w:rFonts w:hint="eastAsia" w:ascii="宋体" w:hAnsi="宋体" w:eastAsia="宋体" w:cs="宋体"/>
                <w:color w:val="auto"/>
                <w:sz w:val="21"/>
                <w:szCs w:val="21"/>
                <w:highlight w:val="none"/>
                <w:lang w:eastAsia="zh-CN"/>
              </w:rPr>
              <w:t>包括但不限于：</w:t>
            </w:r>
            <w:r>
              <w:rPr>
                <w:rFonts w:hint="eastAsia" w:ascii="宋体" w:hAnsi="宋体" w:eastAsia="宋体" w:cs="宋体"/>
                <w:color w:val="auto"/>
                <w:sz w:val="21"/>
                <w:szCs w:val="21"/>
                <w:highlight w:val="none"/>
                <w:lang w:val="en-US" w:eastAsia="zh-CN"/>
              </w:rPr>
              <w:t>①对数字重庆建设的理解。②对本项目建设背景目及标各方面的理解，需求对接与分析。③</w:t>
            </w:r>
            <w:r>
              <w:rPr>
                <w:rFonts w:hint="eastAsia" w:ascii="宋体" w:hAnsi="宋体" w:eastAsia="宋体" w:cs="宋体"/>
                <w:color w:val="auto"/>
                <w:sz w:val="21"/>
                <w:szCs w:val="21"/>
                <w:highlight w:val="none"/>
                <w:lang w:eastAsia="zh-CN"/>
              </w:rPr>
              <w:t>提供全面详细的内部控制制度；</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lang w:eastAsia="zh-CN"/>
              </w:rPr>
              <w:t>时效管理制度。</w:t>
            </w:r>
          </w:p>
          <w:p w14:paraId="085D3B2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项内容完整，</w:t>
            </w:r>
            <w:r>
              <w:rPr>
                <w:rFonts w:hint="eastAsia" w:ascii="宋体" w:hAnsi="宋体" w:eastAsia="宋体" w:cs="宋体"/>
                <w:color w:val="auto"/>
                <w:sz w:val="21"/>
                <w:szCs w:val="21"/>
                <w:highlight w:val="none"/>
                <w:lang w:val="en-US" w:eastAsia="zh-CN"/>
              </w:rPr>
              <w:t>相关制度</w:t>
            </w:r>
            <w:r>
              <w:rPr>
                <w:rFonts w:hint="eastAsia" w:ascii="宋体" w:hAnsi="宋体" w:eastAsia="宋体" w:cs="宋体"/>
                <w:color w:val="auto"/>
                <w:sz w:val="21"/>
                <w:szCs w:val="21"/>
                <w:highlight w:val="none"/>
                <w:lang w:eastAsia="zh-CN"/>
              </w:rPr>
              <w:t>具有完整性、合理性，针对性强，表述清晰得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分；其中有1项仅有标题而无实质意义叙述内容，或内容表述不完整，或缺少关键分析点，或方案内容表述前后矛盾、无连贯性，或内容存在逻辑漏洞、常识错误得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分；其中有2项仅有标题而无实质意义叙述内容，或内容表述不完整，或缺少关键分析点，或方案内容表述前后矛盾、无连贯性，或内容存在逻辑漏洞、常识错误得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分；3项仅有标题而无实质意义叙述或内容表述不完整，或缺少关键分析点，或方案内容表述前后矛盾、无连贯性，或内容存在逻辑漏洞、常识错误或未提供</w:t>
            </w:r>
            <w:r>
              <w:rPr>
                <w:rFonts w:hint="eastAsia" w:ascii="宋体" w:hAnsi="宋体" w:eastAsia="宋体" w:cs="宋体"/>
                <w:color w:val="auto"/>
                <w:sz w:val="21"/>
                <w:szCs w:val="21"/>
                <w:highlight w:val="none"/>
                <w:lang w:val="en-US" w:eastAsia="zh-CN"/>
              </w:rPr>
              <w:t>相关的管理</w:t>
            </w:r>
            <w:r>
              <w:rPr>
                <w:rFonts w:hint="eastAsia" w:ascii="宋体" w:hAnsi="宋体" w:eastAsia="宋体" w:cs="宋体"/>
                <w:color w:val="auto"/>
                <w:sz w:val="21"/>
                <w:szCs w:val="21"/>
                <w:highlight w:val="none"/>
                <w:lang w:eastAsia="zh-CN"/>
              </w:rPr>
              <w:t>制度</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c>
          <w:tcPr>
            <w:tcW w:w="1809" w:type="dxa"/>
            <w:noWrap w:val="0"/>
            <w:vAlign w:val="center"/>
          </w:tcPr>
          <w:p w14:paraId="1711186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方案，格式自拟。</w:t>
            </w:r>
          </w:p>
          <w:p w14:paraId="532181C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p w14:paraId="4DAFCD3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p w14:paraId="0DB950C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tc>
      </w:tr>
      <w:tr w14:paraId="6564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Merge w:val="continue"/>
            <w:noWrap w:val="0"/>
            <w:vAlign w:val="center"/>
          </w:tcPr>
          <w:p w14:paraId="6AB39BB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787" w:type="dxa"/>
            <w:vMerge w:val="continue"/>
            <w:noWrap w:val="0"/>
            <w:vAlign w:val="center"/>
          </w:tcPr>
          <w:p w14:paraId="7E10CF3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061" w:type="dxa"/>
            <w:noWrap w:val="0"/>
            <w:vAlign w:val="center"/>
          </w:tcPr>
          <w:p w14:paraId="37BCFDA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进度方案</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0406AF0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b w:val="0"/>
                <w:bCs w:val="0"/>
                <w:color w:val="auto"/>
                <w:sz w:val="21"/>
                <w:szCs w:val="21"/>
                <w:highlight w:val="none"/>
              </w:rPr>
            </w:pPr>
          </w:p>
        </w:tc>
        <w:tc>
          <w:tcPr>
            <w:tcW w:w="4192" w:type="dxa"/>
            <w:noWrap w:val="0"/>
            <w:vAlign w:val="center"/>
          </w:tcPr>
          <w:p w14:paraId="0146440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投标人针对所投分包提供相关进度方案，根据方案的全面性、详细性、实际操作性、针对性等方面进行评分，内容包括但不限于：①工作进度计划；②详细工作内容的阐述；③预期成果保障方案。</w:t>
            </w:r>
          </w:p>
          <w:p w14:paraId="70A7935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项内容完整，</w:t>
            </w:r>
            <w:r>
              <w:rPr>
                <w:rFonts w:hint="eastAsia" w:ascii="宋体" w:hAnsi="宋体" w:eastAsia="宋体" w:cs="宋体"/>
                <w:color w:val="auto"/>
                <w:sz w:val="21"/>
                <w:szCs w:val="21"/>
                <w:highlight w:val="none"/>
                <w:lang w:val="en-US" w:eastAsia="zh-CN"/>
              </w:rPr>
              <w:t>相关进度方案具有完整性、合理性，针对性强，表述清晰得10分；其中有1项仅有标题而无实质意义叙述内容，或内容表述不完整，或缺少关键分析点，或方案内容表述前后矛盾、无连贯性，或内容存在逻辑漏洞、常识错误得6分；其中有2项仅有标题而无实质意义叙述内容，或内容表述不完整，或缺少关键分析点，或方案内容表述前后矛盾、无连贯性，或内容存在逻辑漏洞、常识错误得2分；3项仅有标题而无实质意义叙述或内容表述不完整，或缺少关键分析点，或方案内容表述前后矛盾、无连贯性，或内容存在逻辑漏洞、常识错误或未提供相关进度方案的得0分。</w:t>
            </w:r>
          </w:p>
        </w:tc>
        <w:tc>
          <w:tcPr>
            <w:tcW w:w="1809" w:type="dxa"/>
            <w:noWrap w:val="0"/>
            <w:vAlign w:val="center"/>
          </w:tcPr>
          <w:p w14:paraId="1D07F4B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方案，格式自拟。</w:t>
            </w:r>
          </w:p>
          <w:p w14:paraId="3B4B97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p w14:paraId="63A90B3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tc>
      </w:tr>
      <w:tr w14:paraId="1481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Merge w:val="continue"/>
            <w:noWrap w:val="0"/>
            <w:vAlign w:val="center"/>
          </w:tcPr>
          <w:p w14:paraId="65B3B46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787" w:type="dxa"/>
            <w:vMerge w:val="continue"/>
            <w:noWrap w:val="0"/>
            <w:vAlign w:val="center"/>
          </w:tcPr>
          <w:p w14:paraId="26FA255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061" w:type="dxa"/>
            <w:noWrap w:val="0"/>
            <w:vAlign w:val="center"/>
          </w:tcPr>
          <w:p w14:paraId="6900807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质量保障</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4192" w:type="dxa"/>
            <w:noWrap w:val="0"/>
            <w:vAlign w:val="center"/>
          </w:tcPr>
          <w:p w14:paraId="03E22F9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所投分包提供质量保障方案，根据方案的全面性、详细性、实际操作性、针对性等方面进行评分，内容包括但不限于：①质量保障措施；②项目复核保障措施；③建档管理措施；④回避制度的具体实施计划。</w:t>
            </w:r>
          </w:p>
          <w:p w14:paraId="646A912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以上</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项内容完整，</w:t>
            </w:r>
            <w:r>
              <w:rPr>
                <w:rFonts w:hint="eastAsia" w:ascii="宋体" w:hAnsi="宋体" w:eastAsia="宋体" w:cs="宋体"/>
                <w:color w:val="auto"/>
                <w:sz w:val="21"/>
                <w:szCs w:val="21"/>
                <w:highlight w:val="none"/>
                <w:lang w:val="en-US" w:eastAsia="zh-CN"/>
              </w:rPr>
              <w:t>质量保障方案具有完整性、合理性，针对性强，表述清晰得10分；其中有1项仅有标题而无实质意义叙述内容，或内容表述不完整，或方案内容表述前后矛盾、无连贯性，或内容存在逻辑漏洞、常识错误得8分；其中有2项仅有标题而无实质意义叙述内容，或内容表述不完整，或方案内容表述前后矛盾、无连贯性，或内容存在逻辑漏洞、常识错误得6分；其中有3项仅有标题而无实质意义叙述内容，或内容表述不完整，或方案内容表述前后矛盾、无连贯性，或内容存在逻辑漏洞、常识错误得3分；4项仅有标题而无实质意义叙述内容或内容表述不完整或缺少关键分析点或内容表述前后矛盾、无连贯性或内容存在逻辑漏洞、常识错误或未提供相关质量保障方案的，得0分。</w:t>
            </w:r>
          </w:p>
        </w:tc>
        <w:tc>
          <w:tcPr>
            <w:tcW w:w="1809" w:type="dxa"/>
            <w:noWrap w:val="0"/>
            <w:vAlign w:val="center"/>
          </w:tcPr>
          <w:p w14:paraId="578EBA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方案，格式自拟。</w:t>
            </w:r>
          </w:p>
          <w:p w14:paraId="4E77DDD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p>
        </w:tc>
      </w:tr>
      <w:tr w14:paraId="4791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Merge w:val="continue"/>
            <w:noWrap w:val="0"/>
            <w:vAlign w:val="center"/>
          </w:tcPr>
          <w:p w14:paraId="25A7A59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787" w:type="dxa"/>
            <w:vMerge w:val="continue"/>
            <w:noWrap w:val="0"/>
            <w:vAlign w:val="center"/>
          </w:tcPr>
          <w:p w14:paraId="7D2B07A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061" w:type="dxa"/>
            <w:noWrap w:val="0"/>
            <w:vAlign w:val="center"/>
          </w:tcPr>
          <w:p w14:paraId="1319CF2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人力保障（10分）</w:t>
            </w:r>
          </w:p>
        </w:tc>
        <w:tc>
          <w:tcPr>
            <w:tcW w:w="4192" w:type="dxa"/>
            <w:noWrap w:val="0"/>
            <w:vAlign w:val="center"/>
          </w:tcPr>
          <w:p w14:paraId="3270B44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投标人需提供人力保障方案，根据专业技术评审团队配备情况的健全完备程度、专业能力和工作经验度等方面进行评分，内容包括但不限于：</w:t>
            </w:r>
          </w:p>
          <w:p w14:paraId="3F24176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①组建的专业技术评审团队和可聘请相关专家更具有合理性和专业性；②拟派的专业技术评审团队人员具有丰富工作和实施经验；③对专家和团队人员制度了详细的管理制度。</w:t>
            </w:r>
          </w:p>
          <w:p w14:paraId="610115A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项内容完整，</w:t>
            </w:r>
            <w:r>
              <w:rPr>
                <w:rFonts w:hint="eastAsia" w:ascii="宋体" w:hAnsi="宋体" w:eastAsia="宋体" w:cs="宋体"/>
                <w:color w:val="auto"/>
                <w:sz w:val="21"/>
                <w:szCs w:val="21"/>
                <w:highlight w:val="none"/>
                <w:lang w:val="en-US" w:eastAsia="zh-CN"/>
              </w:rPr>
              <w:t>人力保障方案具有合理性，专业性、且针对性强得10分；其中有1项仅有标题而无实质意义叙述内容，或内容表述不完整，或方案内容表述前后矛盾、无连贯性，或内容存在逻辑漏洞、常识错误得8分；其中有2项仅有标题而无实质意义叙述内容，或内容表述不完整，或方案内容表述前后矛盾、无连贯性，或内容存在逻辑漏洞、常识错误得4分；其中有3项仅有标题而无实质意义叙述内容，或内容表述不完整，或方案内容表述前后矛盾、无连贯性，或内容存在逻辑漏洞、常识错误得或未提供人力保障方案的，得0分。</w:t>
            </w:r>
          </w:p>
        </w:tc>
        <w:tc>
          <w:tcPr>
            <w:tcW w:w="1809" w:type="dxa"/>
            <w:noWrap w:val="0"/>
            <w:vAlign w:val="center"/>
          </w:tcPr>
          <w:p w14:paraId="24FA848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方案，格式自拟。</w:t>
            </w:r>
          </w:p>
          <w:p w14:paraId="6EF2BA3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left"/>
              <w:textAlignment w:val="auto"/>
              <w:rPr>
                <w:rFonts w:hint="eastAsia" w:ascii="宋体" w:hAnsi="宋体" w:eastAsia="宋体" w:cs="宋体"/>
                <w:color w:val="auto"/>
                <w:sz w:val="21"/>
                <w:szCs w:val="21"/>
                <w:highlight w:val="none"/>
              </w:rPr>
            </w:pPr>
          </w:p>
          <w:p w14:paraId="0AE20E9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left"/>
              <w:textAlignment w:val="auto"/>
              <w:rPr>
                <w:rFonts w:hint="eastAsia" w:ascii="宋体" w:hAnsi="宋体" w:eastAsia="宋体" w:cs="宋体"/>
                <w:color w:val="auto"/>
                <w:sz w:val="21"/>
                <w:szCs w:val="21"/>
                <w:highlight w:val="none"/>
              </w:rPr>
            </w:pPr>
          </w:p>
        </w:tc>
      </w:tr>
      <w:tr w14:paraId="2A7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Merge w:val="restart"/>
            <w:noWrap w:val="0"/>
            <w:vAlign w:val="center"/>
          </w:tcPr>
          <w:p w14:paraId="0E67939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87" w:type="dxa"/>
            <w:vMerge w:val="restart"/>
            <w:noWrap w:val="0"/>
            <w:vAlign w:val="center"/>
          </w:tcPr>
          <w:p w14:paraId="5E1D555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tc>
        <w:tc>
          <w:tcPr>
            <w:tcW w:w="1061" w:type="dxa"/>
            <w:noWrap w:val="0"/>
            <w:vAlign w:val="center"/>
          </w:tcPr>
          <w:p w14:paraId="676BFA4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人员配置（</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分）</w:t>
            </w:r>
          </w:p>
        </w:tc>
        <w:tc>
          <w:tcPr>
            <w:tcW w:w="4192" w:type="dxa"/>
            <w:noWrap w:val="0"/>
            <w:vAlign w:val="center"/>
          </w:tcPr>
          <w:p w14:paraId="6DEC826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1.项目负责人：具有中华人民共和国人力资源和社会保障部、工业和信息化部颁发的信息系统项目管理师证书，得3分，同时具备软件工程造价师证书及大数据分析师的，每具有一个得3分；总分9分。</w:t>
            </w:r>
          </w:p>
          <w:p w14:paraId="3090E25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2.技术负责人：具有注册咨询工程师（投资）证书（注册专业为：电子、信息工程（含通信、广电、信息化）得3分，同时具有信息系统项目管理师证书得3分；总分6分。</w:t>
            </w:r>
          </w:p>
          <w:p w14:paraId="46596F4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3.团队其他人员：具有中华人民共和国人力资源和社会保障部、工业和信息化部颁发的软件设计师，有一个得3分，总分3分。</w:t>
            </w:r>
          </w:p>
          <w:p w14:paraId="32D07CC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4.团队其他人员：具有有效期内的注册信息系统审核师（CISA）有一个得3分，总分3分。</w:t>
            </w:r>
          </w:p>
          <w:p w14:paraId="4D32DB1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5.团队其他人员：具有中华人民共和国人力资源和社会保障部、工业和信息化部颁发的系统集成项目管理工程师，有一个得3分，总分3分。</w:t>
            </w:r>
          </w:p>
          <w:p w14:paraId="2DDBF38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6.团队其他人员：具有工业和信息化部教育与考试中心颁发的软件工程造价师证书，有一个得2分，总分2分。</w:t>
            </w:r>
          </w:p>
        </w:tc>
        <w:tc>
          <w:tcPr>
            <w:tcW w:w="1809" w:type="dxa"/>
            <w:noWrap w:val="0"/>
            <w:vAlign w:val="center"/>
          </w:tcPr>
          <w:p w14:paraId="19E06E4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1.提供相关证书复印件。</w:t>
            </w:r>
          </w:p>
          <w:p w14:paraId="06B6A9D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为其缴纳的</w:t>
            </w:r>
            <w:r>
              <w:rPr>
                <w:rFonts w:hint="eastAsia" w:ascii="宋体" w:hAnsi="宋体" w:eastAsia="宋体" w:cs="宋体"/>
                <w:color w:val="auto"/>
                <w:sz w:val="21"/>
                <w:szCs w:val="21"/>
                <w:highlight w:val="none"/>
                <w:lang w:val="en-US" w:eastAsia="zh-CN"/>
              </w:rPr>
              <w:t>2025年至今任意一个</w:t>
            </w:r>
            <w:r>
              <w:rPr>
                <w:rFonts w:hint="eastAsia" w:ascii="宋体" w:hAnsi="宋体" w:eastAsia="宋体" w:cs="宋体"/>
                <w:color w:val="auto"/>
                <w:sz w:val="21"/>
                <w:szCs w:val="21"/>
                <w:highlight w:val="none"/>
              </w:rPr>
              <w:t>月的社保缴纳证明材料复印件</w:t>
            </w:r>
          </w:p>
        </w:tc>
      </w:tr>
      <w:tr w14:paraId="7DEF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Merge w:val="continue"/>
            <w:noWrap w:val="0"/>
            <w:vAlign w:val="center"/>
          </w:tcPr>
          <w:p w14:paraId="40EEB3E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787" w:type="dxa"/>
            <w:vMerge w:val="continue"/>
            <w:noWrap w:val="0"/>
            <w:vAlign w:val="center"/>
          </w:tcPr>
          <w:p w14:paraId="11D3804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rPr>
            </w:pPr>
          </w:p>
        </w:tc>
        <w:tc>
          <w:tcPr>
            <w:tcW w:w="1061" w:type="dxa"/>
            <w:noWrap w:val="0"/>
            <w:vAlign w:val="center"/>
          </w:tcPr>
          <w:p w14:paraId="74613DC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5D1C34F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tc>
        <w:tc>
          <w:tcPr>
            <w:tcW w:w="4192" w:type="dxa"/>
            <w:noWrap w:val="0"/>
            <w:vAlign w:val="center"/>
          </w:tcPr>
          <w:p w14:paraId="6963F6B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年1月1日至今，供应商承担过与本项目类似的</w:t>
            </w:r>
            <w:r>
              <w:rPr>
                <w:rFonts w:hint="eastAsia" w:ascii="宋体" w:hAnsi="宋体" w:eastAsia="宋体" w:cs="宋体"/>
                <w:color w:val="auto"/>
                <w:sz w:val="21"/>
                <w:szCs w:val="21"/>
                <w:highlight w:val="none"/>
                <w:lang w:val="en-US" w:eastAsia="zh-CN"/>
              </w:rPr>
              <w:t>数字化</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结算审核或结算审核</w:t>
            </w:r>
            <w:r>
              <w:rPr>
                <w:rFonts w:hint="eastAsia" w:ascii="宋体" w:hAnsi="宋体" w:eastAsia="宋体" w:cs="宋体"/>
                <w:color w:val="auto"/>
                <w:sz w:val="21"/>
                <w:szCs w:val="21"/>
                <w:highlight w:val="none"/>
              </w:rPr>
              <w:t>相关服务业绩，每提供一个得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tc>
        <w:tc>
          <w:tcPr>
            <w:tcW w:w="1809" w:type="dxa"/>
            <w:noWrap w:val="0"/>
            <w:vAlign w:val="center"/>
          </w:tcPr>
          <w:p w14:paraId="33F42B0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w:t>
            </w:r>
            <w:r>
              <w:rPr>
                <w:rFonts w:hint="eastAsia" w:ascii="宋体" w:hAnsi="宋体" w:eastAsia="宋体" w:cs="宋体"/>
                <w:color w:val="auto"/>
                <w:sz w:val="21"/>
                <w:szCs w:val="21"/>
                <w:highlight w:val="none"/>
                <w:lang w:val="en-US" w:eastAsia="zh-CN"/>
              </w:rPr>
              <w:t>合同或委托函</w:t>
            </w:r>
            <w:r>
              <w:rPr>
                <w:rFonts w:hint="eastAsia" w:ascii="宋体" w:hAnsi="宋体" w:eastAsia="宋体" w:cs="宋体"/>
                <w:color w:val="auto"/>
                <w:sz w:val="21"/>
                <w:szCs w:val="21"/>
                <w:highlight w:val="none"/>
              </w:rPr>
              <w:t>复印件。</w:t>
            </w:r>
          </w:p>
        </w:tc>
      </w:tr>
    </w:tbl>
    <w:p w14:paraId="4A7FC829">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80" w:lineRule="exact"/>
        <w:ind w:left="0" w:firstLine="42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三、无效响应</w:t>
      </w:r>
      <w:bookmarkEnd w:id="100"/>
      <w:bookmarkEnd w:id="101"/>
    </w:p>
    <w:p w14:paraId="62BC1EDB">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供应商发生以下条款情况之一者，视为无效响应，其响应文件将被拒绝：</w:t>
      </w:r>
    </w:p>
    <w:p w14:paraId="7765C3E7">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（一）供应商不符合规定的资格条件的；</w:t>
      </w:r>
    </w:p>
    <w:p w14:paraId="1997DFAC">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（二）供应商的法定代表人（或其授权代表）或自然人未参加磋商；</w:t>
      </w:r>
    </w:p>
    <w:p w14:paraId="6CF31351">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（三）供应商所提交的响应文件不按“第七篇响应文件编制要求”要求签署或盖章；</w:t>
      </w:r>
    </w:p>
    <w:p w14:paraId="02715C15">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（四）供应商的最后报价超过采购预算或最高限价的；</w:t>
      </w:r>
    </w:p>
    <w:p w14:paraId="7788A8F2">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（五）法定代表人为同一个人的两个及两个以上法人，母公司、全资子公司及其控股公司，在同一包采购中同时参与磋商；</w:t>
      </w:r>
    </w:p>
    <w:p w14:paraId="16DFCAB6">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（六）单位负责人为同一人或者存在直接控股、管理关系的不同供应商，参加同一合同项下的政府采购活动的；</w:t>
      </w:r>
    </w:p>
    <w:p w14:paraId="653CB58A">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（七）为采购项目提供整体设计、规范编制或者项目管理、监理、检测等服务的供应商，再参加该采购项目的其他采购活动；</w:t>
      </w:r>
    </w:p>
    <w:p w14:paraId="3481D466">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（八）供应商磋商有效期不满足竞争性磋商文件要求的；</w:t>
      </w:r>
    </w:p>
    <w:p w14:paraId="1EF6B5FD">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（九）供应商响应文件内容有与国家现行法律法规相违背的内容，或附有采购人无法接受的条件；</w:t>
      </w:r>
    </w:p>
    <w:p w14:paraId="64F06A59">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（十）法律、法规和竞争性磋商文件规定的其他无效情形。</w:t>
      </w:r>
    </w:p>
    <w:p w14:paraId="691988CC">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80" w:lineRule="exact"/>
        <w:ind w:left="0" w:firstLine="422" w:firstLineChars="200"/>
        <w:textAlignment w:val="auto"/>
        <w:rPr>
          <w:rFonts w:hint="eastAsia" w:ascii="宋体" w:hAnsi="宋体" w:eastAsia="宋体" w:cs="宋体"/>
          <w:sz w:val="21"/>
          <w:szCs w:val="21"/>
          <w:highlight w:val="none"/>
        </w:rPr>
      </w:pPr>
      <w:bookmarkStart w:id="102" w:name="_Toc106030891"/>
      <w:bookmarkStart w:id="103" w:name="_Toc76462336"/>
      <w:r>
        <w:rPr>
          <w:rFonts w:hint="eastAsia" w:ascii="宋体" w:hAnsi="宋体" w:eastAsia="宋体" w:cs="宋体"/>
          <w:sz w:val="21"/>
          <w:szCs w:val="21"/>
          <w:highlight w:val="none"/>
        </w:rPr>
        <w:t>四、</w:t>
      </w:r>
      <w:bookmarkEnd w:id="98"/>
      <w:bookmarkEnd w:id="99"/>
      <w:r>
        <w:rPr>
          <w:rFonts w:hint="eastAsia" w:ascii="宋体" w:hAnsi="宋体" w:eastAsia="宋体" w:cs="宋体"/>
          <w:sz w:val="21"/>
          <w:szCs w:val="21"/>
          <w:highlight w:val="none"/>
        </w:rPr>
        <w:t>采购终止</w:t>
      </w:r>
      <w:bookmarkEnd w:id="102"/>
      <w:bookmarkEnd w:id="103"/>
    </w:p>
    <w:p w14:paraId="38301C33">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出现下列情形之一的，采购人或者采购代理机构应当终止竞争性磋商采购活动，发布项目终止公告并说明原因，重新开展采购活动：</w:t>
      </w:r>
    </w:p>
    <w:p w14:paraId="52437232">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（一）因情况变化，不再符合规定的竞争性磋商采购方式适用情形的；</w:t>
      </w:r>
    </w:p>
    <w:p w14:paraId="0C168036">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（二）出现影响采购公正的违法、违规行为的；</w:t>
      </w:r>
    </w:p>
    <w:p w14:paraId="13DF4096">
      <w:pPr>
        <w:keepNext w:val="0"/>
        <w:keepLines w:val="0"/>
        <w:pageBreakBefore w:val="0"/>
        <w:widowControl w:val="0"/>
        <w:kinsoku/>
        <w:wordWrap/>
        <w:overflowPunct/>
        <w:topLinePunct w:val="0"/>
        <w:autoSpaceDE w:val="0"/>
        <w:autoSpaceDN w:val="0"/>
        <w:bidi w:val="0"/>
        <w:adjustRightInd w:val="0"/>
        <w:snapToGrid w:val="0"/>
        <w:spacing w:line="480" w:lineRule="exact"/>
        <w:ind w:left="0" w:firstLine="465"/>
        <w:textAlignment w:val="auto"/>
        <w:rPr>
          <w:rFonts w:hint="eastAsia" w:ascii="宋体" w:hAnsi="宋体" w:eastAsia="宋体" w:cs="宋体"/>
          <w:sz w:val="24"/>
          <w:szCs w:val="24"/>
          <w:highlight w:val="none"/>
        </w:rPr>
      </w:pPr>
      <w:r>
        <w:rPr>
          <w:rFonts w:hint="eastAsia" w:ascii="宋体" w:hAnsi="宋体" w:eastAsia="宋体" w:cs="宋体"/>
          <w:sz w:val="21"/>
          <w:szCs w:val="21"/>
          <w:highlight w:val="none"/>
        </w:rPr>
        <w:t>（三）在采购过程中符合要求的供应商或者报价未超过采购预算的供应商不足3家的，但《政府采购竞争性磋商采购方式管理暂行办法》第二十一条第三款规定的情形除外。</w:t>
      </w:r>
    </w:p>
    <w:p w14:paraId="32139A93">
      <w:pPr>
        <w:keepNext w:val="0"/>
        <w:keepLines w:val="0"/>
        <w:pageBreakBefore w:val="0"/>
        <w:widowControl w:val="0"/>
        <w:kinsoku w:val="0"/>
        <w:wordWrap/>
        <w:topLinePunct w:val="0"/>
        <w:autoSpaceDE w:val="0"/>
        <w:autoSpaceDN w:val="0"/>
        <w:bidi w:val="0"/>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7" w:h="16840"/>
          <w:pgMar w:top="1417" w:right="1417" w:bottom="1417" w:left="1417" w:header="1134" w:footer="850" w:gutter="0"/>
          <w:pgNumType w:fmt="numberInDash" w:start="1"/>
          <w:cols w:space="720" w:num="1"/>
          <w:docGrid w:linePitch="312" w:charSpace="0"/>
        </w:sectPr>
      </w:pPr>
    </w:p>
    <w:p w14:paraId="55F29E66">
      <w:pPr>
        <w:pStyle w:val="45"/>
        <w:keepNext w:val="0"/>
        <w:keepLines w:val="0"/>
        <w:pageBreakBefore w:val="0"/>
        <w:widowControl w:val="0"/>
        <w:tabs>
          <w:tab w:val="right" w:leader="dot" w:pos="9402"/>
        </w:tabs>
        <w:kinsoku w:val="0"/>
        <w:wordWrap/>
        <w:overflowPunct w:val="0"/>
        <w:topLinePunct w:val="0"/>
        <w:autoSpaceDE w:val="0"/>
        <w:autoSpaceDN w:val="0"/>
        <w:bidi w:val="0"/>
        <w:adjustRightInd w:val="0"/>
        <w:snapToGrid w:val="0"/>
        <w:spacing w:line="500" w:lineRule="exact"/>
        <w:ind w:left="0" w:leftChars="0"/>
        <w:jc w:val="center"/>
        <w:textAlignment w:val="auto"/>
        <w:outlineLvl w:val="0"/>
        <w:rPr>
          <w:rFonts w:hint="eastAsia" w:ascii="宋体" w:hAnsi="宋体" w:eastAsia="宋体" w:cs="宋体"/>
          <w:b/>
          <w:sz w:val="32"/>
          <w:szCs w:val="32"/>
          <w:highlight w:val="none"/>
          <w:lang w:val="en-US" w:eastAsia="zh-CN"/>
        </w:rPr>
      </w:pPr>
      <w:bookmarkStart w:id="104" w:name="_Toc76462337"/>
      <w:bookmarkStart w:id="105" w:name="_Toc102227313"/>
      <w:bookmarkStart w:id="106" w:name="_Toc106030892"/>
      <w:r>
        <w:rPr>
          <w:rFonts w:hint="eastAsia" w:ascii="宋体" w:hAnsi="宋体" w:eastAsia="宋体" w:cs="宋体"/>
          <w:b/>
          <w:sz w:val="32"/>
          <w:szCs w:val="32"/>
          <w:highlight w:val="none"/>
          <w:lang w:val="en-US" w:eastAsia="zh-CN"/>
        </w:rPr>
        <w:t>第五篇  供应商须知</w:t>
      </w:r>
      <w:bookmarkEnd w:id="104"/>
      <w:bookmarkEnd w:id="105"/>
      <w:bookmarkEnd w:id="106"/>
    </w:p>
    <w:p w14:paraId="1FE7A117">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firstLine="422" w:firstLineChars="200"/>
        <w:textAlignment w:val="auto"/>
        <w:rPr>
          <w:rFonts w:hint="eastAsia" w:ascii="宋体" w:hAnsi="宋体" w:eastAsia="宋体" w:cs="宋体"/>
          <w:sz w:val="21"/>
          <w:szCs w:val="21"/>
          <w:highlight w:val="none"/>
        </w:rPr>
      </w:pPr>
      <w:bookmarkStart w:id="107" w:name="_Toc76462338"/>
      <w:bookmarkStart w:id="108" w:name="_Toc342913389"/>
      <w:bookmarkStart w:id="109" w:name="_Toc106030893"/>
      <w:r>
        <w:rPr>
          <w:rFonts w:hint="eastAsia" w:ascii="宋体" w:hAnsi="宋体" w:eastAsia="宋体" w:cs="宋体"/>
          <w:sz w:val="21"/>
          <w:szCs w:val="21"/>
          <w:highlight w:val="none"/>
        </w:rPr>
        <w:t>一、磋商费用</w:t>
      </w:r>
      <w:bookmarkEnd w:id="107"/>
      <w:bookmarkEnd w:id="108"/>
      <w:bookmarkEnd w:id="109"/>
    </w:p>
    <w:p w14:paraId="6BB9DE77">
      <w:pPr>
        <w:pStyle w:val="155"/>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参与磋商的供应商应承担其编制响应文件与递交响应文件所涉及的一切费用，不论磋商结果如何，采购人和采购代理机构在任何情况下无义务也无责任承担这些费用。</w:t>
      </w:r>
    </w:p>
    <w:p w14:paraId="095DAE77">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right="0" w:firstLine="422" w:firstLineChars="200"/>
        <w:textAlignment w:val="auto"/>
        <w:rPr>
          <w:rFonts w:hint="eastAsia" w:ascii="宋体" w:hAnsi="宋体" w:eastAsia="宋体" w:cs="宋体"/>
          <w:sz w:val="21"/>
          <w:szCs w:val="21"/>
          <w:highlight w:val="none"/>
        </w:rPr>
      </w:pPr>
      <w:bookmarkStart w:id="110" w:name="_Toc106030894"/>
      <w:bookmarkStart w:id="111" w:name="_Toc76462339"/>
      <w:bookmarkStart w:id="112" w:name="_Toc342913391"/>
      <w:r>
        <w:rPr>
          <w:rFonts w:hint="eastAsia" w:ascii="宋体" w:hAnsi="宋体" w:eastAsia="宋体" w:cs="宋体"/>
          <w:sz w:val="21"/>
          <w:szCs w:val="21"/>
          <w:highlight w:val="none"/>
        </w:rPr>
        <w:t>二、竞争性磋商文件</w:t>
      </w:r>
      <w:bookmarkEnd w:id="110"/>
      <w:bookmarkEnd w:id="111"/>
      <w:bookmarkEnd w:id="112"/>
    </w:p>
    <w:p w14:paraId="1A0B526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（一）竞争性磋商文件由采购邀请书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项目服务需求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项目商务需求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磋商程序及方法、评审标准、无效响应和采购终止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供应商须知</w:t>
      </w:r>
      <w:r>
        <w:rPr>
          <w:rFonts w:hint="eastAsia" w:ascii="宋体" w:hAnsi="宋体" w:eastAsia="宋体" w:cs="宋体"/>
          <w:b w:val="0"/>
          <w:bCs/>
          <w:sz w:val="21"/>
          <w:szCs w:val="21"/>
          <w:highlight w:val="none"/>
          <w:lang w:eastAsia="zh-CN"/>
        </w:rPr>
        <w:t>；</w:t>
      </w:r>
      <w:r>
        <w:rPr>
          <w:rFonts w:hint="eastAsia" w:ascii="宋体" w:hAnsi="宋体" w:eastAsia="宋体" w:cs="宋体"/>
          <w:sz w:val="21"/>
          <w:szCs w:val="21"/>
          <w:highlight w:val="none"/>
        </w:rPr>
        <w:t>政府采购合同</w:t>
      </w:r>
      <w:r>
        <w:rPr>
          <w:rFonts w:hint="eastAsia" w:ascii="宋体" w:hAnsi="宋体" w:eastAsia="宋体" w:cs="宋体"/>
          <w:b w:val="0"/>
          <w:bCs/>
          <w:sz w:val="21"/>
          <w:szCs w:val="21"/>
          <w:highlight w:val="none"/>
          <w:lang w:eastAsia="zh-CN"/>
        </w:rPr>
        <w:t>；</w:t>
      </w:r>
      <w:r>
        <w:rPr>
          <w:rFonts w:hint="eastAsia" w:ascii="宋体" w:hAnsi="宋体" w:eastAsia="宋体" w:cs="宋体"/>
          <w:sz w:val="21"/>
          <w:szCs w:val="21"/>
          <w:highlight w:val="none"/>
        </w:rPr>
        <w:t>响应文件编制要求七部分组成。</w:t>
      </w:r>
    </w:p>
    <w:p w14:paraId="046244BD">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（二）采购人（或采购代理机构）所作的一切有效的书面通知、修改及补充，都是竞争性磋商文件不可分割的部分。</w:t>
      </w:r>
    </w:p>
    <w:p w14:paraId="5554D176">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（三）竞争性磋商文件的解释</w:t>
      </w:r>
    </w:p>
    <w:p w14:paraId="484875A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13" w:name="_Toc318159349"/>
      <w:bookmarkStart w:id="114" w:name="_Toc318159780"/>
      <w:bookmarkStart w:id="115" w:name="_Toc318166429"/>
      <w:bookmarkStart w:id="116" w:name="_Toc318159160"/>
    </w:p>
    <w:p w14:paraId="0DE6222E">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（四）本竞争性磋商文件中，磋商小组根据与供应商进行磋商可能实质性变动的内容为竞争性磋商文件第二、三、六篇全部内容。</w:t>
      </w:r>
    </w:p>
    <w:p w14:paraId="0961851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（五）评审的依据为竞争性磋商文件和响应文件（含有效的书面承诺）。磋商小组判断响应文件对竞争性磋商文件的响应，仅基于响应文件本身而不靠外部证据。</w:t>
      </w:r>
    </w:p>
    <w:bookmarkEnd w:id="113"/>
    <w:bookmarkEnd w:id="114"/>
    <w:bookmarkEnd w:id="115"/>
    <w:bookmarkEnd w:id="116"/>
    <w:p w14:paraId="4E1A54A5">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right="0" w:firstLine="422" w:firstLineChars="200"/>
        <w:textAlignment w:val="auto"/>
        <w:rPr>
          <w:rFonts w:hint="eastAsia" w:ascii="宋体" w:hAnsi="宋体" w:eastAsia="宋体" w:cs="宋体"/>
          <w:sz w:val="21"/>
          <w:szCs w:val="21"/>
          <w:highlight w:val="none"/>
        </w:rPr>
      </w:pPr>
      <w:bookmarkStart w:id="117" w:name="_Toc76462340"/>
      <w:bookmarkStart w:id="118" w:name="_Toc102227318"/>
      <w:bookmarkStart w:id="119" w:name="_Toc106030895"/>
      <w:bookmarkStart w:id="120" w:name="_Toc179714297"/>
      <w:bookmarkStart w:id="121" w:name="_Toc342913392"/>
      <w:r>
        <w:rPr>
          <w:rFonts w:hint="eastAsia" w:ascii="宋体" w:hAnsi="宋体" w:eastAsia="宋体" w:cs="宋体"/>
          <w:sz w:val="21"/>
          <w:szCs w:val="21"/>
          <w:highlight w:val="none"/>
        </w:rPr>
        <w:t>三、磋商要求</w:t>
      </w:r>
      <w:bookmarkEnd w:id="117"/>
      <w:bookmarkEnd w:id="118"/>
      <w:bookmarkEnd w:id="119"/>
      <w:bookmarkEnd w:id="120"/>
      <w:bookmarkEnd w:id="121"/>
    </w:p>
    <w:p w14:paraId="63920E2E">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（一）响应文件</w:t>
      </w:r>
    </w:p>
    <w:p w14:paraId="66E2307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1.供应商应当按照竞争性磋商文件的要求编制响应文件，并对竞争性磋商文件提出的要求和条件作出实质性响应，响应文件原则上采用软面订本。</w:t>
      </w:r>
    </w:p>
    <w:p w14:paraId="15327484">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2.响应文件组成</w:t>
      </w:r>
    </w:p>
    <w:p w14:paraId="6B4689B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9974AB4">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（二）联合体</w:t>
      </w:r>
    </w:p>
    <w:p w14:paraId="537FE004">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本项目不接受联合体参与磋商。</w:t>
      </w:r>
    </w:p>
    <w:p w14:paraId="2400C0D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（三）磋商有效期：响应文件有效期为提交响应文件截止时间起90天。</w:t>
      </w:r>
    </w:p>
    <w:p w14:paraId="27FF455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（四）修正错误</w:t>
      </w:r>
    </w:p>
    <w:p w14:paraId="6141E6A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1.若供应商所递交的响应文件或最后报价中的价格出现大写金额和小写金额不一致的错误，以大写金额修正为准。</w:t>
      </w:r>
    </w:p>
    <w:p w14:paraId="35674342">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2C16FA0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（五）提交响应文件的份数和签署</w:t>
      </w:r>
    </w:p>
    <w:p w14:paraId="01D3D8D2">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1.响应文件一式</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份，其中正本一份，副本</w:t>
      </w:r>
      <w:r>
        <w:rPr>
          <w:rFonts w:hint="eastAsia" w:ascii="宋体" w:hAnsi="宋体" w:eastAsia="宋体" w:cs="宋体"/>
          <w:sz w:val="21"/>
          <w:szCs w:val="21"/>
          <w:highlight w:val="none"/>
          <w:lang w:val="en-US" w:eastAsia="zh-CN"/>
        </w:rPr>
        <w:t>两</w:t>
      </w:r>
      <w:r>
        <w:rPr>
          <w:rFonts w:hint="eastAsia" w:ascii="宋体" w:hAnsi="宋体" w:eastAsia="宋体" w:cs="宋体"/>
          <w:sz w:val="21"/>
          <w:szCs w:val="21"/>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59CC2248">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2.响应文件按竞争性磋商文件“第七篇响应文件编制要求”要求签署或盖章。</w:t>
      </w:r>
    </w:p>
    <w:p w14:paraId="4535FAD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（六）响应文件的递交</w:t>
      </w:r>
    </w:p>
    <w:p w14:paraId="0A1F2F45">
      <w:pPr>
        <w:pStyle w:val="30"/>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AC585E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（七）供应商参与人员</w:t>
      </w:r>
    </w:p>
    <w:p w14:paraId="5245713B">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各个供应商应当派1-2名代表参与磋商，至少1人应为法定代表人（或其授权代表）或自然人（供应商为自然人）。</w:t>
      </w:r>
    </w:p>
    <w:p w14:paraId="6D874F1F">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right="0" w:firstLine="422" w:firstLineChars="200"/>
        <w:textAlignment w:val="auto"/>
        <w:rPr>
          <w:rFonts w:hint="eastAsia" w:ascii="宋体" w:hAnsi="宋体" w:eastAsia="宋体" w:cs="宋体"/>
          <w:sz w:val="21"/>
          <w:szCs w:val="21"/>
          <w:highlight w:val="none"/>
        </w:rPr>
      </w:pPr>
      <w:bookmarkStart w:id="122" w:name="_Toc106030896"/>
      <w:bookmarkStart w:id="123" w:name="_Toc76462341"/>
      <w:r>
        <w:rPr>
          <w:rFonts w:hint="eastAsia" w:ascii="宋体" w:hAnsi="宋体" w:eastAsia="宋体" w:cs="宋体"/>
          <w:sz w:val="21"/>
          <w:szCs w:val="21"/>
          <w:highlight w:val="none"/>
        </w:rPr>
        <w:t>四、成交供应商的确认和变更</w:t>
      </w:r>
      <w:bookmarkEnd w:id="122"/>
      <w:bookmarkEnd w:id="123"/>
    </w:p>
    <w:p w14:paraId="26D79D4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（一）成交供应商的确认</w:t>
      </w:r>
    </w:p>
    <w:p w14:paraId="4BAD6AD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8747D8D">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（二）成交供应商的变更</w:t>
      </w:r>
    </w:p>
    <w:p w14:paraId="7C4CE18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成交供应商拒绝与采购人签订合同的，采购人可以按照评标报告推荐的成交候选供应商顺序，确定排名下一位的候选人为成交供应商，也可以重新开展政府采购活动。</w:t>
      </w:r>
    </w:p>
    <w:p w14:paraId="0394336A">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right="0" w:firstLine="422" w:firstLineChars="200"/>
        <w:textAlignment w:val="auto"/>
        <w:rPr>
          <w:rFonts w:hint="eastAsia" w:ascii="宋体" w:hAnsi="宋体" w:eastAsia="宋体" w:cs="宋体"/>
          <w:sz w:val="21"/>
          <w:szCs w:val="21"/>
          <w:highlight w:val="none"/>
        </w:rPr>
      </w:pPr>
      <w:bookmarkStart w:id="124" w:name="_Toc106030897"/>
      <w:bookmarkStart w:id="125" w:name="_Toc76462342"/>
      <w:bookmarkStart w:id="126" w:name="_Toc102227321"/>
      <w:bookmarkStart w:id="127" w:name="_Toc342913395"/>
      <w:r>
        <w:rPr>
          <w:rFonts w:hint="eastAsia" w:ascii="宋体" w:hAnsi="宋体" w:eastAsia="宋体" w:cs="宋体"/>
          <w:sz w:val="21"/>
          <w:szCs w:val="21"/>
          <w:highlight w:val="none"/>
        </w:rPr>
        <w:t>五、成交通知</w:t>
      </w:r>
      <w:bookmarkEnd w:id="124"/>
      <w:bookmarkEnd w:id="125"/>
      <w:bookmarkEnd w:id="126"/>
      <w:bookmarkEnd w:id="127"/>
    </w:p>
    <w:p w14:paraId="04DF795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（一）成交供应商确定后，采购代理机构将在“行采家”平台（http://www.gec123.com）上发布成交结果公告。</w:t>
      </w:r>
    </w:p>
    <w:p w14:paraId="613C30E8">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（二）结果公告发出同时，采购代理机构将以书面形式发出《成交通知书》。《成交通知书》一经发出即发生法律效力。</w:t>
      </w:r>
    </w:p>
    <w:p w14:paraId="2AD6D256">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（三）《成交通知书》将作为签订合同的依据。</w:t>
      </w:r>
    </w:p>
    <w:p w14:paraId="7DEBE2FE">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right="0" w:firstLine="422" w:firstLineChars="200"/>
        <w:textAlignment w:val="auto"/>
        <w:rPr>
          <w:rFonts w:hint="eastAsia" w:ascii="宋体" w:hAnsi="宋体" w:eastAsia="宋体" w:cs="宋体"/>
          <w:sz w:val="21"/>
          <w:szCs w:val="21"/>
          <w:highlight w:val="none"/>
        </w:rPr>
      </w:pPr>
      <w:bookmarkStart w:id="128" w:name="_Toc106030898"/>
      <w:bookmarkStart w:id="129" w:name="_Toc76462343"/>
      <w:r>
        <w:rPr>
          <w:rFonts w:hint="eastAsia" w:ascii="宋体" w:hAnsi="宋体" w:eastAsia="宋体" w:cs="宋体"/>
          <w:sz w:val="21"/>
          <w:szCs w:val="21"/>
          <w:highlight w:val="none"/>
        </w:rPr>
        <w:t>六、关于质疑和投诉</w:t>
      </w:r>
      <w:bookmarkEnd w:id="128"/>
      <w:bookmarkEnd w:id="129"/>
    </w:p>
    <w:p w14:paraId="5D92779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（一）质疑</w:t>
      </w:r>
    </w:p>
    <w:p w14:paraId="6F111016">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供应商认为采购文件、采购过程和成交结果使自己的权益收到伤害的，可向采购人或采购代理机构以书面形式提出质疑。</w:t>
      </w:r>
    </w:p>
    <w:p w14:paraId="50D59080">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提出质疑的应当是参与所质疑项目采购活动的供应商。 </w:t>
      </w:r>
    </w:p>
    <w:p w14:paraId="4FD4802E">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1.质疑时限、内容</w:t>
      </w:r>
    </w:p>
    <w:p w14:paraId="19CBE67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供应商认为采购文件、采购过程、成交结果使自己的权益受到损害的，可以在知道或者应知其权益受到损害之日起7个工作日内，以书面形式向采购人、采购代理机构提出质疑。</w:t>
      </w:r>
    </w:p>
    <w:p w14:paraId="115DD7B2">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1.2供应商提出质疑应当提交质疑函和必要的证明材料，质疑函应当包括下列内容：</w:t>
      </w:r>
    </w:p>
    <w:p w14:paraId="110E13B0">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1.2.1供应商的姓名或者名称、地址、邮编、联系人及联系电话；</w:t>
      </w:r>
    </w:p>
    <w:p w14:paraId="782C5D6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1.2.2质疑项目的名称、项目号以及采购执行编号；</w:t>
      </w:r>
    </w:p>
    <w:p w14:paraId="18A83D4A">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1.2.3具体、明确的质疑事项和与质疑事项相关的请求；</w:t>
      </w:r>
    </w:p>
    <w:p w14:paraId="242F14AD">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1.2.4事实依据；</w:t>
      </w:r>
    </w:p>
    <w:p w14:paraId="74D47C3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1.2.5必要的法律依据；</w:t>
      </w:r>
    </w:p>
    <w:p w14:paraId="273CAD5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1.2.6提出质疑的日期；</w:t>
      </w:r>
    </w:p>
    <w:p w14:paraId="4882F13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1.2.7营业执照（或事业单位、社会团体法人证书，或个体工商户营业执照或有效的自然人身份证明）复印件；</w:t>
      </w:r>
    </w:p>
    <w:p w14:paraId="09E7855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1.2.8法定代表人授权委托书原件、法定代表人身份证复印件和其授权代表的身份证复印件（供应商为自然人的提供自然人身份证复印件）；</w:t>
      </w:r>
    </w:p>
    <w:p w14:paraId="2057C580">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供应商为自然人的，质疑函应当由本人签字；供应商为法人或者其他组织的，质疑函应当由法定代表人、主要负责人，或者其授权代表签字或者盖章，并加盖公章。</w:t>
      </w:r>
    </w:p>
    <w:p w14:paraId="66AF266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2.质疑答复</w:t>
      </w:r>
    </w:p>
    <w:p w14:paraId="4E2A6B67">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采购人、采购代理机构应当在收到供应商的书面质疑后七个工作日内作出答复，并以书面形式通知质疑供应商和其他有关供应商。</w:t>
      </w:r>
    </w:p>
    <w:p w14:paraId="4BD41A9D">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3.其他</w:t>
      </w:r>
    </w:p>
    <w:p w14:paraId="500BE42A">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3.1供应商应按照《政府采购质疑和投诉办法》（财政部令第94号）及相关法律法规要求，在法定质疑期内一次性提出针对同一采购程序环节的质疑。</w:t>
      </w:r>
    </w:p>
    <w:p w14:paraId="4D04BBE6">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3.2质疑函范本可在财政部门户网站和中国政府采购网下载。</w:t>
      </w:r>
    </w:p>
    <w:p w14:paraId="7BF4D6CB">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（二）投诉</w:t>
      </w:r>
    </w:p>
    <w:p w14:paraId="508CE28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1.供应商对采购人、采购代理机构的答复不满意，或者采购人、采购代理机构未在规定时间内作出答复的，可以在答复期满后15个工作日内按照相关法律法规向财政部门提起投诉。</w:t>
      </w:r>
    </w:p>
    <w:p w14:paraId="7ADD7A27">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2.供应商应按照《政府采购质疑和投诉办法》（财政部令第94号）及相关法律法规要求递交投诉书和必要的证明材料。投诉书范本可在财政部门户网站和中国政府采购网下载。</w:t>
      </w:r>
    </w:p>
    <w:p w14:paraId="7706C83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78456B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4.在确定受理投诉后，财政部门自受理投诉之日起30个工作日内（需要检验、检测、鉴定、专家评审以及需要投诉人补正材料的，所需时间不计算在投诉处理期限内）对投诉事项做出处理决定。</w:t>
      </w:r>
    </w:p>
    <w:p w14:paraId="743AE274">
      <w:pPr>
        <w:pStyle w:val="4"/>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right="0" w:firstLine="422" w:firstLineChars="200"/>
        <w:textAlignment w:val="auto"/>
        <w:rPr>
          <w:rFonts w:hint="eastAsia" w:ascii="宋体" w:hAnsi="宋体" w:eastAsia="宋体" w:cs="宋体"/>
          <w:sz w:val="21"/>
          <w:szCs w:val="21"/>
          <w:highlight w:val="none"/>
        </w:rPr>
      </w:pPr>
      <w:bookmarkStart w:id="130" w:name="_Toc76462344"/>
      <w:bookmarkStart w:id="131" w:name="_Toc106030899"/>
      <w:r>
        <w:rPr>
          <w:rFonts w:hint="eastAsia" w:ascii="宋体" w:hAnsi="宋体" w:eastAsia="宋体" w:cs="宋体"/>
          <w:sz w:val="21"/>
          <w:szCs w:val="21"/>
          <w:highlight w:val="none"/>
        </w:rPr>
        <w:t>七、采购代理服务费</w:t>
      </w:r>
      <w:bookmarkEnd w:id="130"/>
      <w:bookmarkEnd w:id="131"/>
    </w:p>
    <w:p w14:paraId="1A2CE30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bookmarkStart w:id="132" w:name="OLE_LINK8"/>
      <w:bookmarkStart w:id="133" w:name="OLE_LINK7"/>
      <w:bookmarkStart w:id="134" w:name="_Toc106030900"/>
      <w:bookmarkStart w:id="135" w:name="_Toc76462345"/>
      <w:r>
        <w:rPr>
          <w:rFonts w:hint="eastAsia" w:ascii="宋体" w:hAnsi="宋体" w:eastAsia="宋体" w:cs="宋体"/>
          <w:sz w:val="21"/>
          <w:szCs w:val="21"/>
          <w:highlight w:val="none"/>
        </w:rPr>
        <w:t>（一）</w:t>
      </w:r>
      <w:r>
        <w:rPr>
          <w:rFonts w:hint="eastAsia" w:ascii="宋体" w:hAnsi="宋体" w:eastAsia="宋体" w:cs="宋体"/>
          <w:sz w:val="21"/>
          <w:szCs w:val="21"/>
          <w:highlight w:val="none"/>
          <w:lang w:val="en-US" w:eastAsia="zh-CN"/>
        </w:rPr>
        <w:t>成交供应商在领取成交通知书之前向代理机构缴纳代理服务费</w:t>
      </w:r>
      <w:r>
        <w:rPr>
          <w:rFonts w:hint="eastAsia" w:ascii="宋体" w:hAnsi="宋体" w:eastAsia="宋体" w:cs="宋体"/>
          <w:sz w:val="21"/>
          <w:szCs w:val="21"/>
          <w:highlight w:val="none"/>
        </w:rPr>
        <w:t>，采购代理服务费</w:t>
      </w:r>
      <w:bookmarkEnd w:id="132"/>
      <w:bookmarkEnd w:id="133"/>
      <w:r>
        <w:rPr>
          <w:rFonts w:hint="eastAsia" w:ascii="宋体" w:hAnsi="宋体" w:eastAsia="宋体" w:cs="宋体"/>
          <w:sz w:val="21"/>
          <w:szCs w:val="21"/>
          <w:highlight w:val="none"/>
        </w:rPr>
        <w:t>金额以实际中标金额为计费基数，</w:t>
      </w:r>
      <w:r>
        <w:rPr>
          <w:rFonts w:hint="eastAsia" w:ascii="宋体" w:hAnsi="宋体" w:eastAsia="宋体" w:cs="宋体"/>
          <w:sz w:val="21"/>
          <w:szCs w:val="21"/>
          <w:highlight w:val="none"/>
          <w:lang w:val="en-US" w:eastAsia="zh-CN"/>
        </w:rPr>
        <w:t>参照计价格【2002】1980号文件以及发改价格【2011】534号“服务类”收费计取（计算不足4000元的按4000元收取）。</w:t>
      </w:r>
    </w:p>
    <w:bookmarkEnd w:id="134"/>
    <w:bookmarkEnd w:id="135"/>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1833"/>
        <w:gridCol w:w="1767"/>
        <w:gridCol w:w="2066"/>
      </w:tblGrid>
      <w:tr w14:paraId="08B8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381" w:type="dxa"/>
            <w:tcBorders>
              <w:tl2br w:val="single" w:color="auto" w:sz="4" w:space="0"/>
            </w:tcBorders>
            <w:noWrap w:val="0"/>
            <w:vAlign w:val="top"/>
          </w:tcPr>
          <w:p w14:paraId="0F137994">
            <w:pPr>
              <w:jc w:val="right"/>
              <w:rPr>
                <w:rFonts w:hint="eastAsia" w:ascii="宋体" w:hAnsi="宋体" w:eastAsia="宋体" w:cs="宋体"/>
                <w:kern w:val="2"/>
                <w:sz w:val="21"/>
                <w:szCs w:val="21"/>
                <w:lang w:val="en-US" w:eastAsia="zh-CN" w:bidi="ar-SA"/>
              </w:rPr>
            </w:pPr>
            <w:bookmarkStart w:id="136" w:name="_Toc12313"/>
            <w:bookmarkStart w:id="137" w:name="_Toc6153"/>
            <w:bookmarkStart w:id="138" w:name="_Toc25652"/>
            <w:bookmarkStart w:id="139" w:name="_Toc11641055"/>
            <w:bookmarkStart w:id="140" w:name="_Toc12789059"/>
            <w:r>
              <w:rPr>
                <w:rFonts w:hint="eastAsia" w:ascii="宋体" w:hAnsi="宋体" w:eastAsia="宋体" w:cs="宋体"/>
                <w:kern w:val="2"/>
                <w:sz w:val="21"/>
                <w:szCs w:val="21"/>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QLZB30AQAA8AMAAA4AAABkcnMvZTJvRG9jLnhtbK1TS44T&#10;MRDdI3EHy3vSSdCMoJXOLCYMGwQjAQeo2O5uS/7J5aSTS3ABJHawYsme2zAcg7K7CcOwyYJeuMv1&#10;ea73XF5dHaxhexVRe9fwxWzOmXLCS+26hr9/d/PkGWeYwEkw3qmGHxXyq/XjR6sh1Grpe2+kioxA&#10;HNZDaHifUqirCkWvLODMB+Uo2PpoIdE2dpWMMBC6NdVyPr+sBh9liF4oRPJuxiCfEOM5gL5ttVAb&#10;L3ZWuTSiRmUgESXsdUC+Lt22rRLpTduiSsw0nJimstIhZG/zWq1XUHcRQq/F1AKc08IDTha0o0NP&#10;UBtIwHZR/wNltYgefZtmwttqJFIUIRaL+QNt3vYQVOFCUmM4iY7/D1a83t9GpmXDl5w5sHThdx+/&#10;/fjw+ef3T7Teff3CllmkIWBNudfuNk47DLcxMz600eY/cWGHIuzxJKw6JCbIefn0gjNB/mxQffWn&#10;LERML5W3LBsNN9plxlDD/hWmMfV3SnYbx4aGP79YZkCg8Wvp2sm0gSig60oteqPljTYmV2Dsttcm&#10;sj3kESjf1MJfafmQDWA/5pVQToO6VyBfOMnSMZA4jt4Ezy1YJTkzip5QtkpmAm3OyST2xmVoVQZ0&#10;4pkVHjXN1tbLI13MLkTd9aTLovScIzQIRcBpaPOk3d+Tff+h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BQLZB30AQAA8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kern w:val="2"/>
                <w:sz w:val="21"/>
                <w:szCs w:val="21"/>
                <w:lang w:val="en-US" w:eastAsia="zh-CN" w:bidi="ar-SA"/>
              </w:rPr>
              <w:t>招标类型</w:t>
            </w:r>
          </w:p>
          <w:p w14:paraId="2DEB5803">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中标金额（万元）</w:t>
            </w:r>
          </w:p>
        </w:tc>
        <w:tc>
          <w:tcPr>
            <w:tcW w:w="1833" w:type="dxa"/>
            <w:noWrap w:val="0"/>
            <w:vAlign w:val="center"/>
          </w:tcPr>
          <w:p w14:paraId="1E3F4DD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货物招标</w:t>
            </w:r>
          </w:p>
        </w:tc>
        <w:tc>
          <w:tcPr>
            <w:tcW w:w="1767" w:type="dxa"/>
            <w:noWrap w:val="0"/>
            <w:vAlign w:val="center"/>
          </w:tcPr>
          <w:p w14:paraId="1A8542E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服务招标</w:t>
            </w:r>
          </w:p>
        </w:tc>
        <w:tc>
          <w:tcPr>
            <w:tcW w:w="2066" w:type="dxa"/>
            <w:noWrap w:val="0"/>
            <w:vAlign w:val="center"/>
          </w:tcPr>
          <w:p w14:paraId="4FFA93F8">
            <w:pPr>
              <w:pStyle w:val="128"/>
              <w:widowControl w:val="0"/>
              <w:pBdr>
                <w:left w:val="none" w:color="auto" w:sz="0" w:space="0"/>
                <w:right w:val="none" w:color="auto" w:sz="0" w:space="0"/>
              </w:pBdr>
              <w:spacing w:before="0" w:beforeAutospacing="0" w:after="0" w:afterAutospacing="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工程招标</w:t>
            </w:r>
          </w:p>
        </w:tc>
      </w:tr>
      <w:tr w14:paraId="4022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021900CF">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100以下</w:t>
            </w:r>
          </w:p>
        </w:tc>
        <w:tc>
          <w:tcPr>
            <w:tcW w:w="1833" w:type="dxa"/>
            <w:noWrap w:val="0"/>
            <w:vAlign w:val="center"/>
          </w:tcPr>
          <w:p w14:paraId="2C8E4759">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767" w:type="dxa"/>
            <w:noWrap w:val="0"/>
            <w:vAlign w:val="center"/>
          </w:tcPr>
          <w:p w14:paraId="6975C8B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2066" w:type="dxa"/>
            <w:noWrap w:val="0"/>
            <w:vAlign w:val="center"/>
          </w:tcPr>
          <w:p w14:paraId="533D3B70">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291A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20EF6AC1">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100-500（含500）</w:t>
            </w:r>
          </w:p>
        </w:tc>
        <w:tc>
          <w:tcPr>
            <w:tcW w:w="1833" w:type="dxa"/>
            <w:noWrap w:val="0"/>
            <w:vAlign w:val="center"/>
          </w:tcPr>
          <w:p w14:paraId="7D2BBD2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767" w:type="dxa"/>
            <w:noWrap w:val="0"/>
            <w:vAlign w:val="center"/>
          </w:tcPr>
          <w:p w14:paraId="31EBE4E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0.8%</w:t>
            </w:r>
          </w:p>
        </w:tc>
        <w:tc>
          <w:tcPr>
            <w:tcW w:w="2066" w:type="dxa"/>
            <w:noWrap w:val="0"/>
            <w:vAlign w:val="center"/>
          </w:tcPr>
          <w:p w14:paraId="3379828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0.7%</w:t>
            </w:r>
          </w:p>
        </w:tc>
      </w:tr>
      <w:tr w14:paraId="0A1E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754A76F7">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500-1000（含1000）</w:t>
            </w:r>
          </w:p>
        </w:tc>
        <w:tc>
          <w:tcPr>
            <w:tcW w:w="1833" w:type="dxa"/>
            <w:noWrap w:val="0"/>
            <w:vAlign w:val="center"/>
          </w:tcPr>
          <w:p w14:paraId="5D7B50C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0.8%</w:t>
            </w:r>
          </w:p>
        </w:tc>
        <w:tc>
          <w:tcPr>
            <w:tcW w:w="1767" w:type="dxa"/>
            <w:noWrap w:val="0"/>
            <w:vAlign w:val="center"/>
          </w:tcPr>
          <w:p w14:paraId="114FA230">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0.45%</w:t>
            </w:r>
          </w:p>
        </w:tc>
        <w:tc>
          <w:tcPr>
            <w:tcW w:w="2066" w:type="dxa"/>
            <w:noWrap w:val="0"/>
            <w:vAlign w:val="center"/>
          </w:tcPr>
          <w:p w14:paraId="0CE8A60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0.55%</w:t>
            </w:r>
          </w:p>
        </w:tc>
      </w:tr>
      <w:tr w14:paraId="6EE4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067F080F">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1000-5000（含5000）</w:t>
            </w:r>
          </w:p>
        </w:tc>
        <w:tc>
          <w:tcPr>
            <w:tcW w:w="1833" w:type="dxa"/>
            <w:noWrap w:val="0"/>
            <w:vAlign w:val="center"/>
          </w:tcPr>
          <w:p w14:paraId="4A1ADE87">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w:t>
            </w:r>
          </w:p>
        </w:tc>
        <w:tc>
          <w:tcPr>
            <w:tcW w:w="1767" w:type="dxa"/>
            <w:noWrap w:val="0"/>
            <w:vAlign w:val="center"/>
          </w:tcPr>
          <w:p w14:paraId="5FAD0AA9">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0.25%</w:t>
            </w:r>
          </w:p>
        </w:tc>
        <w:tc>
          <w:tcPr>
            <w:tcW w:w="2066" w:type="dxa"/>
            <w:noWrap w:val="0"/>
            <w:vAlign w:val="center"/>
          </w:tcPr>
          <w:p w14:paraId="50996FA2">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0.35%</w:t>
            </w:r>
          </w:p>
        </w:tc>
      </w:tr>
      <w:tr w14:paraId="6EA9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029DE448">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5000-10000（含10000）</w:t>
            </w:r>
          </w:p>
        </w:tc>
        <w:tc>
          <w:tcPr>
            <w:tcW w:w="1833" w:type="dxa"/>
            <w:noWrap w:val="0"/>
            <w:vAlign w:val="center"/>
          </w:tcPr>
          <w:p w14:paraId="4A86F9C5">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0.25%</w:t>
            </w:r>
          </w:p>
        </w:tc>
        <w:tc>
          <w:tcPr>
            <w:tcW w:w="1767" w:type="dxa"/>
            <w:noWrap w:val="0"/>
            <w:vAlign w:val="center"/>
          </w:tcPr>
          <w:p w14:paraId="16DD6E09">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0.1%</w:t>
            </w:r>
          </w:p>
        </w:tc>
        <w:tc>
          <w:tcPr>
            <w:tcW w:w="2066" w:type="dxa"/>
            <w:noWrap w:val="0"/>
            <w:vAlign w:val="center"/>
          </w:tcPr>
          <w:p w14:paraId="7CF30A6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w:t>
            </w:r>
          </w:p>
        </w:tc>
      </w:tr>
      <w:tr w14:paraId="7F21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4017DB25">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10000-100000（含100000）</w:t>
            </w:r>
          </w:p>
        </w:tc>
        <w:tc>
          <w:tcPr>
            <w:tcW w:w="1833" w:type="dxa"/>
            <w:noWrap w:val="0"/>
            <w:vAlign w:val="center"/>
          </w:tcPr>
          <w:p w14:paraId="460B4455">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0.05%</w:t>
            </w:r>
          </w:p>
        </w:tc>
        <w:tc>
          <w:tcPr>
            <w:tcW w:w="1767" w:type="dxa"/>
            <w:noWrap w:val="0"/>
            <w:vAlign w:val="center"/>
          </w:tcPr>
          <w:p w14:paraId="7EC6ECCE">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0.05%</w:t>
            </w:r>
          </w:p>
        </w:tc>
        <w:tc>
          <w:tcPr>
            <w:tcW w:w="2066" w:type="dxa"/>
            <w:noWrap w:val="0"/>
            <w:vAlign w:val="center"/>
          </w:tcPr>
          <w:p w14:paraId="33A781B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0.05%</w:t>
            </w:r>
          </w:p>
        </w:tc>
      </w:tr>
      <w:tr w14:paraId="2749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2027828F">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1000000以上</w:t>
            </w:r>
          </w:p>
        </w:tc>
        <w:tc>
          <w:tcPr>
            <w:tcW w:w="1833" w:type="dxa"/>
            <w:noWrap w:val="0"/>
            <w:vAlign w:val="center"/>
          </w:tcPr>
          <w:p w14:paraId="17A13C94">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0.01%</w:t>
            </w:r>
          </w:p>
        </w:tc>
        <w:tc>
          <w:tcPr>
            <w:tcW w:w="1767" w:type="dxa"/>
            <w:noWrap w:val="0"/>
            <w:vAlign w:val="center"/>
          </w:tcPr>
          <w:p w14:paraId="00E5A66E">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0.01%</w:t>
            </w:r>
          </w:p>
        </w:tc>
        <w:tc>
          <w:tcPr>
            <w:tcW w:w="2066" w:type="dxa"/>
            <w:noWrap w:val="0"/>
            <w:vAlign w:val="center"/>
          </w:tcPr>
          <w:p w14:paraId="62447DD9">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0.01%</w:t>
            </w:r>
          </w:p>
        </w:tc>
      </w:tr>
    </w:tbl>
    <w:p w14:paraId="1490DB0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注：采购代理服务收费按差额定率累进法计算。例如：某货物采购代理业务成交金额为6000万元，计算采购代理服务收费额如下：</w:t>
      </w:r>
    </w:p>
    <w:p w14:paraId="3B34F44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100万元×1.5%=1.5万元</w:t>
      </w:r>
    </w:p>
    <w:p w14:paraId="00C602F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（500-100）万元×1.1%=4.4万元</w:t>
      </w:r>
    </w:p>
    <w:p w14:paraId="551DEAE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（1000-500）×0.8%=4万元</w:t>
      </w:r>
    </w:p>
    <w:p w14:paraId="35F7400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（5000-1000）×0.5%=20万元</w:t>
      </w:r>
    </w:p>
    <w:p w14:paraId="2A921DB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（6000-5000）×0.25%=2.5万元</w:t>
      </w:r>
    </w:p>
    <w:p w14:paraId="5D6EC03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合计收费=1.5+4.4+4+20+2.5=32.4（万元）</w:t>
      </w:r>
    </w:p>
    <w:p w14:paraId="416A869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（二）采购代理服务费缴纳信息：</w:t>
      </w:r>
    </w:p>
    <w:p w14:paraId="3A14719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1.代理公司收款账户信息：</w:t>
      </w:r>
    </w:p>
    <w:p w14:paraId="0722021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账户名：</w:t>
      </w:r>
      <w:r>
        <w:rPr>
          <w:rFonts w:hint="eastAsia" w:ascii="宋体" w:hAnsi="宋体" w:eastAsia="宋体" w:cs="宋体"/>
          <w:color w:val="000000"/>
          <w:sz w:val="21"/>
          <w:szCs w:val="21"/>
          <w:lang w:eastAsia="zh-CN"/>
        </w:rPr>
        <w:t>永明项目管理有限公司重庆渝西分公司</w:t>
      </w:r>
    </w:p>
    <w:p w14:paraId="576AB75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开户行：中国建设银行股份有限公司重庆大渡口建设支行</w:t>
      </w:r>
    </w:p>
    <w:p w14:paraId="43BFFFB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  号：50050110380000000485</w:t>
      </w:r>
    </w:p>
    <w:p w14:paraId="5FFF104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2.代理服务费以现金、转账等形式支付。</w:t>
      </w:r>
    </w:p>
    <w:p w14:paraId="20524C01">
      <w:pPr>
        <w:pStyle w:val="4"/>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sz w:val="21"/>
          <w:szCs w:val="21"/>
          <w:lang w:val="en-US" w:eastAsia="zh-CN"/>
        </w:rPr>
      </w:pPr>
      <w:bookmarkStart w:id="141" w:name="_Toc23663"/>
      <w:bookmarkStart w:id="142" w:name="_Toc16877"/>
      <w:r>
        <w:rPr>
          <w:rFonts w:hint="eastAsia" w:ascii="宋体" w:hAnsi="宋体" w:eastAsia="宋体" w:cs="宋体"/>
          <w:sz w:val="21"/>
          <w:szCs w:val="21"/>
          <w:lang w:val="en-US" w:eastAsia="zh-CN"/>
        </w:rPr>
        <w:t>八</w:t>
      </w:r>
      <w:r>
        <w:rPr>
          <w:rFonts w:hint="eastAsia" w:ascii="宋体" w:hAnsi="宋体" w:eastAsia="宋体" w:cs="宋体"/>
          <w:sz w:val="21"/>
          <w:szCs w:val="21"/>
        </w:rPr>
        <w:t>、</w:t>
      </w:r>
      <w:r>
        <w:rPr>
          <w:rFonts w:hint="eastAsia" w:ascii="宋体" w:hAnsi="宋体" w:eastAsia="宋体" w:cs="宋体"/>
          <w:sz w:val="21"/>
          <w:szCs w:val="21"/>
          <w:lang w:val="en-US" w:eastAsia="zh-CN"/>
        </w:rPr>
        <w:t>合同签订</w:t>
      </w:r>
      <w:bookmarkEnd w:id="141"/>
      <w:bookmarkEnd w:id="142"/>
    </w:p>
    <w:bookmarkEnd w:id="136"/>
    <w:bookmarkEnd w:id="137"/>
    <w:bookmarkEnd w:id="138"/>
    <w:p w14:paraId="040F411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（一）采购人原则上应在成交通知书发出之日起</w:t>
      </w:r>
      <w:r>
        <w:rPr>
          <w:rFonts w:hint="eastAsia" w:ascii="宋体" w:hAnsi="宋体" w:eastAsia="宋体" w:cs="宋体"/>
          <w:sz w:val="21"/>
          <w:szCs w:val="21"/>
          <w:lang w:val="en-US" w:eastAsia="zh-CN"/>
        </w:rPr>
        <w:t>三</w:t>
      </w:r>
      <w:r>
        <w:rPr>
          <w:rFonts w:hint="eastAsia" w:ascii="宋体" w:hAnsi="宋体" w:eastAsia="宋体" w:cs="宋体"/>
          <w:sz w:val="21"/>
          <w:szCs w:val="21"/>
        </w:rPr>
        <w:t>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3A10F3C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）竞争性磋商文件、供应商的响应文件及澄清文件等，均为签订采购合同的依据。</w:t>
      </w:r>
    </w:p>
    <w:p w14:paraId="2630116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三</w:t>
      </w:r>
      <w:r>
        <w:rPr>
          <w:rFonts w:hint="eastAsia" w:ascii="宋体" w:hAnsi="宋体" w:eastAsia="宋体" w:cs="宋体"/>
          <w:sz w:val="21"/>
          <w:szCs w:val="21"/>
        </w:rPr>
        <w:t>）合同生效条款由供需双方约定，法律、行政法规规定应当办理批准、登记等手续后生效的合同，依照其规定。</w:t>
      </w:r>
    </w:p>
    <w:p w14:paraId="3EE5D47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四</w:t>
      </w:r>
      <w:r>
        <w:rPr>
          <w:rFonts w:hint="eastAsia" w:ascii="宋体" w:hAnsi="宋体" w:eastAsia="宋体" w:cs="宋体"/>
          <w:sz w:val="21"/>
          <w:szCs w:val="21"/>
        </w:rPr>
        <w:t>）采购人要求成交供应商提供履约保证金的，应当在竞争性磋商文件中予以约定。成交供应商履约完毕后，采购人根据采购文件规定无息退还其履约保证金。</w:t>
      </w:r>
    </w:p>
    <w:p w14:paraId="61D5A508">
      <w:pPr>
        <w:pStyle w:val="4"/>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sz w:val="21"/>
          <w:szCs w:val="21"/>
        </w:rPr>
      </w:pPr>
      <w:bookmarkStart w:id="143" w:name="_Toc22849"/>
      <w:bookmarkStart w:id="144" w:name="_Toc106030902"/>
      <w:bookmarkStart w:id="145" w:name="_Toc16198"/>
      <w:bookmarkStart w:id="146" w:name="_Toc18354"/>
      <w:bookmarkStart w:id="147" w:name="_Toc27415"/>
      <w:bookmarkStart w:id="148" w:name="_Toc7477"/>
      <w:bookmarkStart w:id="149" w:name="_Toc5525"/>
      <w:r>
        <w:rPr>
          <w:rFonts w:hint="eastAsia" w:ascii="宋体" w:hAnsi="宋体" w:eastAsia="宋体" w:cs="宋体"/>
          <w:sz w:val="21"/>
          <w:szCs w:val="21"/>
          <w:lang w:val="en-US" w:eastAsia="zh-CN"/>
        </w:rPr>
        <w:t>九</w:t>
      </w:r>
      <w:r>
        <w:rPr>
          <w:rFonts w:hint="eastAsia" w:ascii="宋体" w:hAnsi="宋体" w:eastAsia="宋体" w:cs="宋体"/>
          <w:sz w:val="21"/>
          <w:szCs w:val="21"/>
        </w:rPr>
        <w:t>、项目验收</w:t>
      </w:r>
      <w:bookmarkEnd w:id="143"/>
      <w:bookmarkEnd w:id="144"/>
      <w:bookmarkEnd w:id="145"/>
      <w:bookmarkEnd w:id="146"/>
      <w:bookmarkEnd w:id="147"/>
      <w:bookmarkEnd w:id="148"/>
      <w:bookmarkEnd w:id="149"/>
    </w:p>
    <w:p w14:paraId="6522E11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合同执行完毕，采购人或采购代理机构原则上应在</w:t>
      </w:r>
      <w:r>
        <w:rPr>
          <w:rFonts w:hint="eastAsia" w:ascii="宋体" w:hAnsi="宋体" w:eastAsia="宋体" w:cs="宋体"/>
          <w:sz w:val="21"/>
          <w:szCs w:val="21"/>
          <w:lang w:val="en-US" w:eastAsia="zh-CN"/>
        </w:rPr>
        <w:t>10</w:t>
      </w:r>
      <w:r>
        <w:rPr>
          <w:rFonts w:hint="eastAsia" w:ascii="宋体" w:hAnsi="宋体" w:eastAsia="宋体" w:cs="宋体"/>
          <w:sz w:val="21"/>
          <w:szCs w:val="21"/>
        </w:rPr>
        <w:t>个工作日内组织履约情况验收。</w:t>
      </w:r>
    </w:p>
    <w:p w14:paraId="1E2BE3F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sz w:val="24"/>
          <w:szCs w:val="24"/>
          <w:highlight w:val="none"/>
        </w:rPr>
      </w:pPr>
    </w:p>
    <w:p w14:paraId="5093ED14">
      <w:pPr>
        <w:pStyle w:val="45"/>
        <w:keepNext w:val="0"/>
        <w:keepLines w:val="0"/>
        <w:pageBreakBefore w:val="0"/>
        <w:widowControl w:val="0"/>
        <w:tabs>
          <w:tab w:val="right" w:leader="dot" w:pos="9402"/>
        </w:tabs>
        <w:kinsoku w:val="0"/>
        <w:wordWrap/>
        <w:overflowPunct w:val="0"/>
        <w:topLinePunct w:val="0"/>
        <w:autoSpaceDE w:val="0"/>
        <w:autoSpaceDN w:val="0"/>
        <w:bidi w:val="0"/>
        <w:adjustRightInd/>
        <w:snapToGrid/>
        <w:spacing w:line="360" w:lineRule="auto"/>
        <w:ind w:left="560"/>
        <w:jc w:val="center"/>
        <w:textAlignment w:val="auto"/>
        <w:outlineLvl w:val="0"/>
        <w:rPr>
          <w:rFonts w:hint="eastAsia" w:ascii="宋体" w:hAnsi="宋体" w:eastAsia="宋体" w:cs="宋体"/>
          <w:b/>
          <w:sz w:val="32"/>
          <w:szCs w:val="32"/>
          <w:highlight w:val="none"/>
          <w:lang w:val="en-US" w:eastAsia="zh-CN"/>
        </w:rPr>
      </w:pPr>
      <w:r>
        <w:rPr>
          <w:rFonts w:hint="eastAsia" w:ascii="宋体" w:hAnsi="宋体" w:eastAsia="宋体" w:cs="宋体"/>
          <w:sz w:val="36"/>
          <w:szCs w:val="30"/>
          <w:highlight w:val="none"/>
        </w:rPr>
        <w:br w:type="page"/>
      </w:r>
      <w:bookmarkStart w:id="150" w:name="_Toc76462348"/>
      <w:bookmarkStart w:id="151" w:name="_Toc106030904"/>
      <w:r>
        <w:rPr>
          <w:rFonts w:hint="eastAsia" w:ascii="宋体" w:hAnsi="宋体" w:eastAsia="宋体" w:cs="宋体"/>
          <w:b/>
          <w:sz w:val="32"/>
          <w:szCs w:val="32"/>
          <w:highlight w:val="none"/>
          <w:lang w:val="en-US" w:eastAsia="zh-CN"/>
        </w:rPr>
        <w:t xml:space="preserve">第六篇  </w:t>
      </w:r>
      <w:bookmarkEnd w:id="139"/>
      <w:bookmarkEnd w:id="140"/>
      <w:r>
        <w:rPr>
          <w:rFonts w:hint="eastAsia" w:ascii="宋体" w:hAnsi="宋体" w:eastAsia="宋体" w:cs="宋体"/>
          <w:b/>
          <w:sz w:val="32"/>
          <w:szCs w:val="32"/>
          <w:highlight w:val="none"/>
          <w:lang w:val="en-US" w:eastAsia="zh-CN"/>
        </w:rPr>
        <w:t>政府采购合同</w:t>
      </w:r>
      <w:bookmarkEnd w:id="150"/>
      <w:bookmarkEnd w:id="151"/>
    </w:p>
    <w:p w14:paraId="101D4A36">
      <w:pPr>
        <w:keepNext w:val="0"/>
        <w:keepLines w:val="0"/>
        <w:pageBreakBefore w:val="0"/>
        <w:widowControl w:val="0"/>
        <w:kinsoku w:val="0"/>
        <w:wordWrap/>
        <w:topLinePunct w:val="0"/>
        <w:autoSpaceDE w:val="0"/>
        <w:autoSpaceDN w:val="0"/>
        <w:bidi w:val="0"/>
        <w:spacing w:line="360" w:lineRule="auto"/>
        <w:ind w:left="0" w:leftChars="0" w:firstLine="498" w:firstLineChars="155"/>
        <w:jc w:val="center"/>
        <w:textAlignment w:val="auto"/>
        <w:rPr>
          <w:rFonts w:hint="eastAsia" w:ascii="宋体" w:hAnsi="宋体" w:eastAsia="宋体" w:cs="宋体"/>
          <w:b/>
          <w:sz w:val="44"/>
          <w:highlight w:val="none"/>
        </w:rPr>
      </w:pPr>
      <w:r>
        <w:rPr>
          <w:rFonts w:hint="eastAsia" w:ascii="宋体" w:hAnsi="宋体" w:eastAsia="宋体" w:cs="宋体"/>
          <w:b/>
          <w:sz w:val="32"/>
          <w:szCs w:val="32"/>
          <w:highlight w:val="none"/>
        </w:rPr>
        <w:t>重庆市政府采购合同</w:t>
      </w:r>
    </w:p>
    <w:p w14:paraId="40327F57">
      <w:pPr>
        <w:keepNext w:val="0"/>
        <w:keepLines w:val="0"/>
        <w:pageBreakBefore w:val="0"/>
        <w:widowControl w:val="0"/>
        <w:kinsoku w:val="0"/>
        <w:wordWrap/>
        <w:topLinePunct w:val="0"/>
        <w:autoSpaceDE w:val="0"/>
        <w:autoSpaceDN w:val="0"/>
        <w:bidi w:val="0"/>
        <w:spacing w:line="360" w:lineRule="auto"/>
        <w:jc w:val="center"/>
        <w:textAlignment w:val="auto"/>
        <w:rPr>
          <w:rFonts w:hint="eastAsia" w:ascii="宋体" w:hAnsi="宋体" w:eastAsia="宋体" w:cs="宋体"/>
          <w:highlight w:val="none"/>
        </w:rPr>
      </w:pPr>
      <w:r>
        <w:rPr>
          <w:rFonts w:hint="eastAsia" w:ascii="宋体" w:hAnsi="宋体" w:eastAsia="宋体" w:cs="宋体"/>
          <w:highlight w:val="none"/>
        </w:rPr>
        <w:t>（项目号：     ）</w:t>
      </w:r>
    </w:p>
    <w:p w14:paraId="14F8FE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甲方（需方）：___________________________      计价单位：____________</w:t>
      </w:r>
    </w:p>
    <w:p w14:paraId="21ADC46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乙方（供方）：___________________________      计量单位：_____________</w:t>
      </w:r>
    </w:p>
    <w:p w14:paraId="7912C8A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经双方协商一致，达成以下购销合同：</w:t>
      </w:r>
    </w:p>
    <w:tbl>
      <w:tblPr>
        <w:tblStyle w:val="58"/>
        <w:tblW w:w="907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984"/>
        <w:gridCol w:w="589"/>
        <w:gridCol w:w="709"/>
        <w:gridCol w:w="1134"/>
        <w:gridCol w:w="1559"/>
        <w:gridCol w:w="1131"/>
      </w:tblGrid>
      <w:tr w14:paraId="0F33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2969" w:type="dxa"/>
            <w:noWrap w:val="0"/>
            <w:vAlign w:val="center"/>
          </w:tcPr>
          <w:p w14:paraId="18D31D6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磋商项目名称</w:t>
            </w:r>
          </w:p>
        </w:tc>
        <w:tc>
          <w:tcPr>
            <w:tcW w:w="984" w:type="dxa"/>
            <w:noWrap w:val="0"/>
            <w:vAlign w:val="center"/>
          </w:tcPr>
          <w:p w14:paraId="59C589F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298" w:type="dxa"/>
            <w:gridSpan w:val="2"/>
            <w:noWrap w:val="0"/>
            <w:vAlign w:val="center"/>
          </w:tcPr>
          <w:p w14:paraId="7E4F2C4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w:t>
            </w:r>
          </w:p>
        </w:tc>
        <w:tc>
          <w:tcPr>
            <w:tcW w:w="1134" w:type="dxa"/>
            <w:noWrap w:val="0"/>
            <w:vAlign w:val="center"/>
          </w:tcPr>
          <w:p w14:paraId="48CF75C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tc>
        <w:tc>
          <w:tcPr>
            <w:tcW w:w="1559" w:type="dxa"/>
            <w:noWrap w:val="0"/>
            <w:vAlign w:val="center"/>
          </w:tcPr>
          <w:p w14:paraId="2F52F52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服务时间</w:t>
            </w:r>
          </w:p>
        </w:tc>
        <w:tc>
          <w:tcPr>
            <w:tcW w:w="1131" w:type="dxa"/>
            <w:noWrap w:val="0"/>
            <w:vAlign w:val="center"/>
          </w:tcPr>
          <w:p w14:paraId="1A1C861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服务地点</w:t>
            </w:r>
          </w:p>
        </w:tc>
      </w:tr>
      <w:tr w14:paraId="7FC5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2969" w:type="dxa"/>
            <w:noWrap w:val="0"/>
            <w:vAlign w:val="center"/>
          </w:tcPr>
          <w:p w14:paraId="489E023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984" w:type="dxa"/>
            <w:noWrap w:val="0"/>
            <w:vAlign w:val="center"/>
          </w:tcPr>
          <w:p w14:paraId="69A4984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298" w:type="dxa"/>
            <w:gridSpan w:val="2"/>
            <w:noWrap w:val="0"/>
            <w:vAlign w:val="center"/>
          </w:tcPr>
          <w:p w14:paraId="0BEEE16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134" w:type="dxa"/>
            <w:noWrap w:val="0"/>
            <w:vAlign w:val="center"/>
          </w:tcPr>
          <w:p w14:paraId="5725B60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559" w:type="dxa"/>
            <w:noWrap w:val="0"/>
            <w:vAlign w:val="center"/>
          </w:tcPr>
          <w:p w14:paraId="124DE9E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131" w:type="dxa"/>
            <w:noWrap w:val="0"/>
            <w:vAlign w:val="center"/>
          </w:tcPr>
          <w:p w14:paraId="1A96565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r>
      <w:tr w14:paraId="60B4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1" w:hRule="atLeast"/>
        </w:trPr>
        <w:tc>
          <w:tcPr>
            <w:tcW w:w="2969" w:type="dxa"/>
            <w:noWrap w:val="0"/>
            <w:vAlign w:val="center"/>
          </w:tcPr>
          <w:p w14:paraId="1C536A7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984" w:type="dxa"/>
            <w:noWrap w:val="0"/>
            <w:vAlign w:val="center"/>
          </w:tcPr>
          <w:p w14:paraId="46BC9CC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298" w:type="dxa"/>
            <w:gridSpan w:val="2"/>
            <w:noWrap w:val="0"/>
            <w:vAlign w:val="center"/>
          </w:tcPr>
          <w:p w14:paraId="001EDE8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134" w:type="dxa"/>
            <w:noWrap w:val="0"/>
            <w:vAlign w:val="center"/>
          </w:tcPr>
          <w:p w14:paraId="6F5053C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559" w:type="dxa"/>
            <w:noWrap w:val="0"/>
            <w:vAlign w:val="center"/>
          </w:tcPr>
          <w:p w14:paraId="10378F8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c>
          <w:tcPr>
            <w:tcW w:w="1131" w:type="dxa"/>
            <w:noWrap w:val="0"/>
            <w:vAlign w:val="center"/>
          </w:tcPr>
          <w:p w14:paraId="1435E1D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pPr>
          </w:p>
        </w:tc>
      </w:tr>
      <w:tr w14:paraId="0003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075" w:type="dxa"/>
            <w:gridSpan w:val="7"/>
            <w:noWrap w:val="0"/>
            <w:vAlign w:val="center"/>
          </w:tcPr>
          <w:p w14:paraId="6E50F2E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合计人民币（小写）：</w:t>
            </w:r>
          </w:p>
        </w:tc>
      </w:tr>
      <w:tr w14:paraId="7061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075" w:type="dxa"/>
            <w:gridSpan w:val="7"/>
            <w:noWrap w:val="0"/>
            <w:vAlign w:val="center"/>
          </w:tcPr>
          <w:p w14:paraId="2136C12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合计人民币（大写）：</w:t>
            </w:r>
          </w:p>
        </w:tc>
      </w:tr>
      <w:tr w14:paraId="34EF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84" w:hRule="atLeast"/>
        </w:trPr>
        <w:tc>
          <w:tcPr>
            <w:tcW w:w="9075" w:type="dxa"/>
            <w:gridSpan w:val="7"/>
            <w:noWrap w:val="0"/>
            <w:vAlign w:val="top"/>
          </w:tcPr>
          <w:p w14:paraId="6E89E38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一、服务要求</w:t>
            </w:r>
          </w:p>
        </w:tc>
      </w:tr>
      <w:tr w14:paraId="40A3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48" w:hRule="atLeast"/>
        </w:trPr>
        <w:tc>
          <w:tcPr>
            <w:tcW w:w="9075" w:type="dxa"/>
            <w:gridSpan w:val="7"/>
            <w:noWrap w:val="0"/>
            <w:vAlign w:val="top"/>
          </w:tcPr>
          <w:p w14:paraId="5324E04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二、考核方式</w:t>
            </w:r>
          </w:p>
        </w:tc>
      </w:tr>
      <w:tr w14:paraId="2863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5" w:hRule="atLeast"/>
        </w:trPr>
        <w:tc>
          <w:tcPr>
            <w:tcW w:w="9075" w:type="dxa"/>
            <w:gridSpan w:val="7"/>
            <w:noWrap w:val="0"/>
            <w:vAlign w:val="top"/>
          </w:tcPr>
          <w:p w14:paraId="03D42E0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三、付款方式：</w:t>
            </w:r>
          </w:p>
        </w:tc>
      </w:tr>
      <w:tr w14:paraId="78D3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62" w:hRule="atLeast"/>
        </w:trPr>
        <w:tc>
          <w:tcPr>
            <w:tcW w:w="9075" w:type="dxa"/>
            <w:gridSpan w:val="7"/>
            <w:noWrap w:val="0"/>
            <w:vAlign w:val="top"/>
          </w:tcPr>
          <w:p w14:paraId="7682098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X、履约保证金：</w:t>
            </w:r>
          </w:p>
        </w:tc>
      </w:tr>
      <w:tr w14:paraId="6CA1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9" w:hRule="atLeast"/>
        </w:trPr>
        <w:tc>
          <w:tcPr>
            <w:tcW w:w="9075" w:type="dxa"/>
            <w:gridSpan w:val="7"/>
            <w:noWrap w:val="0"/>
            <w:vAlign w:val="top"/>
          </w:tcPr>
          <w:p w14:paraId="4C2880B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四、违约责任：</w:t>
            </w:r>
          </w:p>
          <w:p w14:paraId="0CF9CDC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按《中华人民共和国民法典》、《中华人民共和国政府采购法》执行，或按双方约定。</w:t>
            </w:r>
          </w:p>
        </w:tc>
      </w:tr>
      <w:tr w14:paraId="62A3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944" w:hRule="atLeast"/>
        </w:trPr>
        <w:tc>
          <w:tcPr>
            <w:tcW w:w="9075" w:type="dxa"/>
            <w:gridSpan w:val="7"/>
            <w:noWrap w:val="0"/>
            <w:vAlign w:val="top"/>
          </w:tcPr>
          <w:p w14:paraId="76F79AE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五、其他约定事项：</w:t>
            </w:r>
          </w:p>
          <w:p w14:paraId="5EA97B9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1.采购文件及其澄清文件、响应文件和承诺是本合同不可分割的部分。</w:t>
            </w:r>
          </w:p>
          <w:p w14:paraId="2E48BD3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2.本合同如发生争议由双方协商解决，协商不成向需方所在人民法院提请诉讼。</w:t>
            </w:r>
          </w:p>
          <w:p w14:paraId="08349BC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3.本合同一式__份， 需方__份，供方__份，具同等法律效力。</w:t>
            </w:r>
          </w:p>
          <w:p w14:paraId="55C78FC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4.其他：</w:t>
            </w:r>
          </w:p>
        </w:tc>
      </w:tr>
      <w:tr w14:paraId="72AE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4542" w:type="dxa"/>
            <w:gridSpan w:val="3"/>
            <w:noWrap w:val="0"/>
            <w:vAlign w:val="top"/>
          </w:tcPr>
          <w:p w14:paraId="345E228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需方：</w:t>
            </w:r>
          </w:p>
          <w:p w14:paraId="1E3F367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65207F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p w14:paraId="43CAC72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4533" w:type="dxa"/>
            <w:gridSpan w:val="4"/>
            <w:noWrap w:val="0"/>
            <w:vAlign w:val="top"/>
          </w:tcPr>
          <w:p w14:paraId="48B37B8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供方：</w:t>
            </w:r>
          </w:p>
          <w:p w14:paraId="0FDE2FC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70F7433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40D1E7F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72BF352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309E3FE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p w14:paraId="03E7AC7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14:paraId="4F4D40C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（本栏请用计算机打印以便于准确付款）</w:t>
            </w:r>
          </w:p>
        </w:tc>
      </w:tr>
      <w:tr w14:paraId="3E5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04" w:hRule="atLeast"/>
        </w:trPr>
        <w:tc>
          <w:tcPr>
            <w:tcW w:w="9075" w:type="dxa"/>
            <w:gridSpan w:val="7"/>
            <w:noWrap w:val="0"/>
            <w:vAlign w:val="top"/>
          </w:tcPr>
          <w:p w14:paraId="6D940C4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bl>
    <w:p w14:paraId="6A9E1FA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签约时间：    年   月   日                       签约地点：</w:t>
      </w:r>
    </w:p>
    <w:p w14:paraId="281E3F6C">
      <w:pPr>
        <w:keepNext w:val="0"/>
        <w:keepLines w:val="0"/>
        <w:pageBreakBefore w:val="0"/>
        <w:widowControl w:val="0"/>
        <w:tabs>
          <w:tab w:val="left" w:pos="9000"/>
        </w:tabs>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1"/>
          <w:szCs w:val="21"/>
          <w:highlight w:val="none"/>
        </w:rPr>
        <w:sectPr>
          <w:footerReference r:id="rId10" w:type="default"/>
          <w:footerReference r:id="rId11" w:type="even"/>
          <w:pgSz w:w="11907" w:h="16840"/>
          <w:pgMar w:top="1417" w:right="1417" w:bottom="1417" w:left="1417" w:header="1134" w:footer="850" w:gutter="0"/>
          <w:pgNumType w:fmt="numberInDash"/>
          <w:cols w:space="720" w:num="1"/>
          <w:docGrid w:linePitch="312" w:charSpace="0"/>
        </w:sectPr>
      </w:pPr>
    </w:p>
    <w:p w14:paraId="23478121">
      <w:pPr>
        <w:pStyle w:val="45"/>
        <w:keepNext w:val="0"/>
        <w:keepLines w:val="0"/>
        <w:pageBreakBefore w:val="0"/>
        <w:widowControl w:val="0"/>
        <w:tabs>
          <w:tab w:val="right" w:leader="dot" w:pos="9402"/>
        </w:tabs>
        <w:kinsoku w:val="0"/>
        <w:wordWrap/>
        <w:overflowPunct w:val="0"/>
        <w:topLinePunct w:val="0"/>
        <w:autoSpaceDE w:val="0"/>
        <w:autoSpaceDN w:val="0"/>
        <w:bidi w:val="0"/>
        <w:adjustRightInd w:val="0"/>
        <w:snapToGrid w:val="0"/>
        <w:spacing w:line="500" w:lineRule="exact"/>
        <w:ind w:left="560"/>
        <w:jc w:val="center"/>
        <w:textAlignment w:val="auto"/>
        <w:outlineLvl w:val="0"/>
        <w:rPr>
          <w:rFonts w:hint="eastAsia" w:ascii="宋体" w:hAnsi="宋体" w:eastAsia="宋体" w:cs="宋体"/>
          <w:b/>
          <w:sz w:val="32"/>
          <w:szCs w:val="32"/>
          <w:highlight w:val="none"/>
          <w:lang w:val="en-US" w:eastAsia="zh-CN"/>
        </w:rPr>
      </w:pPr>
      <w:bookmarkStart w:id="152" w:name="_Toc76462349"/>
      <w:bookmarkStart w:id="153" w:name="_Toc106030905"/>
      <w:r>
        <w:rPr>
          <w:rFonts w:hint="eastAsia" w:ascii="宋体" w:hAnsi="宋体" w:eastAsia="宋体" w:cs="宋体"/>
          <w:b/>
          <w:sz w:val="32"/>
          <w:szCs w:val="32"/>
          <w:highlight w:val="none"/>
          <w:lang w:val="en-US" w:eastAsia="zh-CN"/>
        </w:rPr>
        <w:t>第七篇  响应文件编制要求</w:t>
      </w:r>
      <w:bookmarkEnd w:id="152"/>
      <w:bookmarkEnd w:id="153"/>
    </w:p>
    <w:p w14:paraId="58C6D71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一、经济部分</w:t>
      </w:r>
    </w:p>
    <w:p w14:paraId="47242A0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（一）竞争性磋商报价函</w:t>
      </w:r>
    </w:p>
    <w:p w14:paraId="6F881FD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（二）明细报价表</w:t>
      </w:r>
    </w:p>
    <w:p w14:paraId="775F1E9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二、服务部分</w:t>
      </w:r>
    </w:p>
    <w:p w14:paraId="72D3E43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（一）服务响应偏离表</w:t>
      </w:r>
    </w:p>
    <w:p w14:paraId="5AF1C46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val="en-US" w:eastAsia="zh-CN"/>
        </w:rPr>
        <w:t>其他</w:t>
      </w:r>
      <w:r>
        <w:rPr>
          <w:rFonts w:hint="eastAsia" w:ascii="宋体" w:hAnsi="宋体" w:eastAsia="宋体" w:cs="宋体"/>
          <w:sz w:val="21"/>
          <w:szCs w:val="21"/>
          <w:highlight w:val="none"/>
        </w:rPr>
        <w:t>资料</w:t>
      </w:r>
    </w:p>
    <w:p w14:paraId="77A341C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三、商务部分</w:t>
      </w:r>
    </w:p>
    <w:p w14:paraId="143CBBA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（一）商务响应偏离表</w:t>
      </w:r>
    </w:p>
    <w:p w14:paraId="2852B11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val="en-US" w:eastAsia="zh-CN"/>
        </w:rPr>
        <w:t>其他</w:t>
      </w:r>
      <w:r>
        <w:rPr>
          <w:rFonts w:hint="eastAsia" w:ascii="宋体" w:hAnsi="宋体" w:eastAsia="宋体" w:cs="宋体"/>
          <w:sz w:val="21"/>
          <w:szCs w:val="21"/>
          <w:highlight w:val="none"/>
        </w:rPr>
        <w:t>材料</w:t>
      </w:r>
    </w:p>
    <w:p w14:paraId="355C864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四、资格条件及其他</w:t>
      </w:r>
    </w:p>
    <w:p w14:paraId="287A2E3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（一）法人营业执照（副本）或事业单位法人证书（副本）或个体工商户营业执照或有效的自然人身份证明或社会团体法人登记证书复印件</w:t>
      </w:r>
    </w:p>
    <w:p w14:paraId="2D139C5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（二）法定代表人身份证明书（格式）</w:t>
      </w:r>
    </w:p>
    <w:p w14:paraId="1781AA3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（三）法定代表人授权委托书（格式）</w:t>
      </w:r>
    </w:p>
    <w:p w14:paraId="5777EB4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（四）基本资格条件承诺函（格式）</w:t>
      </w:r>
    </w:p>
    <w:p w14:paraId="633216E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五、其他资料</w:t>
      </w:r>
    </w:p>
    <w:p w14:paraId="2818264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）其他与项目有关的资料</w:t>
      </w:r>
    </w:p>
    <w:p w14:paraId="186F4F53">
      <w:pPr>
        <w:keepNext w:val="0"/>
        <w:keepLines w:val="0"/>
        <w:pageBreakBefore w:val="0"/>
        <w:widowControl w:val="0"/>
        <w:kinsoku w:val="0"/>
        <w:wordWrap/>
        <w:topLinePunct w:val="0"/>
        <w:autoSpaceDE w:val="0"/>
        <w:autoSpaceDN w:val="0"/>
        <w:bidi w:val="0"/>
        <w:spacing w:line="360" w:lineRule="auto"/>
        <w:ind w:firstLine="480" w:firstLineChars="200"/>
        <w:textAlignment w:val="auto"/>
        <w:rPr>
          <w:rFonts w:hint="eastAsia" w:ascii="宋体" w:hAnsi="宋体" w:eastAsia="宋体" w:cs="宋体"/>
          <w:sz w:val="24"/>
          <w:szCs w:val="24"/>
          <w:highlight w:val="none"/>
        </w:rPr>
      </w:pPr>
    </w:p>
    <w:p w14:paraId="0EACFCD6">
      <w:pPr>
        <w:keepNext w:val="0"/>
        <w:keepLines w:val="0"/>
        <w:pageBreakBefore w:val="0"/>
        <w:widowControl w:val="0"/>
        <w:kinsoku w:val="0"/>
        <w:wordWrap/>
        <w:topLinePunct w:val="0"/>
        <w:autoSpaceDE w:val="0"/>
        <w:autoSpaceDN w:val="0"/>
        <w:bidi w:val="0"/>
        <w:snapToGrid w:val="0"/>
        <w:spacing w:line="360" w:lineRule="auto"/>
        <w:textAlignment w:val="auto"/>
        <w:rPr>
          <w:rFonts w:hint="eastAsia" w:ascii="宋体" w:hAnsi="宋体" w:eastAsia="宋体" w:cs="宋体"/>
          <w:sz w:val="24"/>
          <w:szCs w:val="24"/>
          <w:highlight w:val="none"/>
          <w:bdr w:val="single" w:color="auto" w:sz="4" w:space="0"/>
        </w:rPr>
        <w:sectPr>
          <w:pgSz w:w="11907" w:h="16840"/>
          <w:pgMar w:top="1417" w:right="1417" w:bottom="1417" w:left="1417" w:header="1134" w:footer="850" w:gutter="0"/>
          <w:pgNumType w:fmt="numberInDash"/>
          <w:cols w:space="720" w:num="1"/>
          <w:docGrid w:linePitch="380" w:charSpace="-5735"/>
        </w:sectPr>
      </w:pPr>
    </w:p>
    <w:p w14:paraId="4BAF8365">
      <w:pPr>
        <w:pStyle w:val="4"/>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00" w:lineRule="exact"/>
        <w:ind w:firstLine="422" w:firstLineChars="200"/>
        <w:textAlignment w:val="auto"/>
        <w:rPr>
          <w:rFonts w:hint="eastAsia" w:ascii="宋体" w:hAnsi="宋体" w:eastAsia="宋体" w:cs="宋体"/>
          <w:sz w:val="21"/>
          <w:szCs w:val="21"/>
          <w:highlight w:val="none"/>
        </w:rPr>
      </w:pPr>
      <w:bookmarkStart w:id="154" w:name="_Toc313008356"/>
      <w:bookmarkStart w:id="155" w:name="_Toc76462350"/>
      <w:bookmarkStart w:id="156" w:name="_Toc106030906"/>
      <w:bookmarkStart w:id="157" w:name="_Toc313888360"/>
      <w:bookmarkStart w:id="158" w:name="_Toc342913419"/>
      <w:bookmarkStart w:id="159" w:name="_Toc283382454"/>
      <w:bookmarkStart w:id="160" w:name="_Toc12789073"/>
      <w:r>
        <w:rPr>
          <w:rFonts w:hint="eastAsia" w:ascii="宋体" w:hAnsi="宋体" w:eastAsia="宋体" w:cs="宋体"/>
          <w:sz w:val="21"/>
          <w:szCs w:val="21"/>
          <w:highlight w:val="none"/>
        </w:rPr>
        <w:t>一、经济部分</w:t>
      </w:r>
      <w:bookmarkEnd w:id="154"/>
      <w:bookmarkEnd w:id="155"/>
      <w:bookmarkEnd w:id="156"/>
      <w:bookmarkEnd w:id="157"/>
      <w:bookmarkEnd w:id="158"/>
    </w:p>
    <w:bookmarkEnd w:id="159"/>
    <w:bookmarkEnd w:id="160"/>
    <w:p w14:paraId="3B6BC93C">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（一）竞争性磋商报价函</w:t>
      </w:r>
    </w:p>
    <w:p w14:paraId="185905A9">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竞争性磋商报价函</w:t>
      </w:r>
    </w:p>
    <w:p w14:paraId="444B6F89">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（采购代理机构名称）</w:t>
      </w:r>
      <w:r>
        <w:rPr>
          <w:rFonts w:hint="eastAsia" w:ascii="宋体" w:hAnsi="宋体" w:eastAsia="宋体" w:cs="宋体"/>
          <w:sz w:val="21"/>
          <w:szCs w:val="21"/>
          <w:highlight w:val="none"/>
        </w:rPr>
        <w:t>：</w:t>
      </w:r>
    </w:p>
    <w:p w14:paraId="64EE54D5">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我方收到____________________________（磋商项目名称）的竞争性磋商文件，经详细研究，决定参加该项目的磋商。</w:t>
      </w:r>
    </w:p>
    <w:p w14:paraId="2856D0D1">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1.愿意按照竞争性磋商文件中的一切要求，提供本项目的服务，初始报价为人民币大写：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元整；人民币小写：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元。以我公司最后报价为准。</w:t>
      </w:r>
    </w:p>
    <w:p w14:paraId="2DCFC116">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2.我方现提交的响应文件为：响应文件正本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份，副本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份，电子文档</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w:t>
      </w:r>
    </w:p>
    <w:p w14:paraId="1B9A36A2">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3.我方承诺：本次磋商的有效期为提交响应文件截止时间起90天。</w:t>
      </w:r>
    </w:p>
    <w:p w14:paraId="65DD30C9">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4.我方完全理解和接受贵方竞争性磋商文件的一切规定和要求及评审办法。</w:t>
      </w:r>
    </w:p>
    <w:p w14:paraId="62BD8189">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5.在整个竞争性磋商过程中，我方若有违规行为，接受按照《中华人民共和国政府采购法》和《竞争性磋商文件》之规定给予惩罚。</w:t>
      </w:r>
    </w:p>
    <w:p w14:paraId="2E46BCD2">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6.我方若成为成交供应商，将按照最终磋商结果签订合同，并且严格履行合同义务。本承诺函将成为合同不可分割的一部分，与合同具有同等的法律效力。</w:t>
      </w:r>
    </w:p>
    <w:p w14:paraId="4CC7AE7F">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7.如果我方成为成交供应商，保证在接到成交通知书后，向采购代理机构缴纳竞争性磋商文件规定的采购代理服务费。</w:t>
      </w:r>
    </w:p>
    <w:p w14:paraId="59803520">
      <w:pPr>
        <w:keepNext w:val="0"/>
        <w:keepLines w:val="0"/>
        <w:pageBreakBefore w:val="0"/>
        <w:widowControl w:val="0"/>
        <w:tabs>
          <w:tab w:val="left" w:pos="6300"/>
        </w:tabs>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8.我方未为采购项目提供整体设计、规范编制或者项目管理、监理、检测等服务。</w:t>
      </w:r>
    </w:p>
    <w:p w14:paraId="7641C5B7">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p>
    <w:p w14:paraId="6C359235">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p>
    <w:p w14:paraId="7DDB2147">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供应商（公章）或自然人签署：</w:t>
      </w:r>
    </w:p>
    <w:p w14:paraId="60E9D029">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p>
    <w:p w14:paraId="61550137">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                                             传真：</w:t>
      </w:r>
    </w:p>
    <w:p w14:paraId="10D5800E">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网址：                                             邮编：</w:t>
      </w:r>
    </w:p>
    <w:p w14:paraId="52865AFB">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p w14:paraId="6A2E392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4"/>
          <w:szCs w:val="24"/>
          <w:highlight w:val="none"/>
        </w:rPr>
        <w:sectPr>
          <w:pgSz w:w="11907" w:h="16840"/>
          <w:pgMar w:top="1417" w:right="1417" w:bottom="1417" w:left="1417" w:header="1134" w:footer="850" w:gutter="0"/>
          <w:pgNumType w:fmt="numberInDash"/>
          <w:cols w:space="720" w:num="1"/>
          <w:docGrid w:linePitch="380" w:charSpace="-5735"/>
        </w:sectPr>
      </w:pPr>
      <w:r>
        <w:rPr>
          <w:rFonts w:hint="eastAsia" w:ascii="宋体" w:hAnsi="宋体" w:eastAsia="宋体" w:cs="宋体"/>
          <w:sz w:val="21"/>
          <w:szCs w:val="21"/>
          <w:highlight w:val="none"/>
        </w:rPr>
        <w:t xml:space="preserve">                                                  年   月   日</w:t>
      </w:r>
    </w:p>
    <w:p w14:paraId="68A0BFE8">
      <w:pPr>
        <w:keepNext w:val="0"/>
        <w:keepLines w:val="0"/>
        <w:pageBreakBefore w:val="0"/>
        <w:widowControl w:val="0"/>
        <w:tabs>
          <w:tab w:val="left" w:pos="2895"/>
        </w:tabs>
        <w:kinsoku w:val="0"/>
        <w:wordWrap/>
        <w:overflowPunct/>
        <w:topLinePunct w:val="0"/>
        <w:autoSpaceDE w:val="0"/>
        <w:autoSpaceDN w:val="0"/>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（二）明细报价表</w:t>
      </w:r>
    </w:p>
    <w:p w14:paraId="6A6DDD39">
      <w:pPr>
        <w:keepNext w:val="0"/>
        <w:keepLines w:val="0"/>
        <w:pageBreakBefore w:val="0"/>
        <w:widowControl w:val="0"/>
        <w:kinsoku w:val="0"/>
        <w:wordWrap/>
        <w:overflowPunct/>
        <w:topLinePunct w:val="0"/>
        <w:autoSpaceDE w:val="0"/>
        <w:autoSpaceDN w:val="0"/>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1A0DDD2E">
      <w:pPr>
        <w:keepNext w:val="0"/>
        <w:keepLines w:val="0"/>
        <w:pageBreakBefore w:val="0"/>
        <w:widowControl w:val="0"/>
        <w:kinsoku w:val="0"/>
        <w:wordWrap/>
        <w:overflowPunct/>
        <w:topLinePunct w:val="0"/>
        <w:autoSpaceDE w:val="0"/>
        <w:autoSpaceDN w:val="0"/>
        <w:bidi w:val="0"/>
        <w:spacing w:line="5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磋商项目名称：                                                单位：元</w:t>
      </w:r>
    </w:p>
    <w:tbl>
      <w:tblPr>
        <w:tblStyle w:val="5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4122"/>
        <w:gridCol w:w="1432"/>
        <w:gridCol w:w="1430"/>
        <w:gridCol w:w="1434"/>
      </w:tblGrid>
      <w:tr w14:paraId="335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572" w:type="pct"/>
            <w:noWrap w:val="0"/>
            <w:vAlign w:val="center"/>
          </w:tcPr>
          <w:p w14:paraId="58105EA1">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snapToGrid w:val="0"/>
                <w:kern w:val="0"/>
                <w:sz w:val="21"/>
                <w:szCs w:val="21"/>
                <w:highlight w:val="none"/>
                <w:lang w:eastAsia="zh-CN"/>
              </w:rPr>
            </w:pPr>
            <w:r>
              <w:rPr>
                <w:rFonts w:hint="eastAsia" w:ascii="宋体" w:hAnsi="宋体" w:eastAsia="宋体" w:cs="宋体"/>
                <w:b/>
                <w:snapToGrid w:val="0"/>
                <w:kern w:val="0"/>
                <w:sz w:val="21"/>
                <w:szCs w:val="21"/>
                <w:highlight w:val="none"/>
                <w:lang w:eastAsia="zh-CN"/>
              </w:rPr>
              <w:t>序号</w:t>
            </w:r>
          </w:p>
        </w:tc>
        <w:tc>
          <w:tcPr>
            <w:tcW w:w="2168" w:type="pct"/>
            <w:noWrap w:val="0"/>
            <w:vAlign w:val="center"/>
          </w:tcPr>
          <w:p w14:paraId="5F7F0BA5">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snapToGrid w:val="0"/>
                <w:kern w:val="0"/>
                <w:sz w:val="21"/>
                <w:szCs w:val="21"/>
                <w:highlight w:val="none"/>
                <w:lang w:eastAsia="zh-CN"/>
              </w:rPr>
            </w:pPr>
            <w:r>
              <w:rPr>
                <w:rFonts w:hint="eastAsia" w:ascii="宋体" w:hAnsi="宋体" w:eastAsia="宋体" w:cs="宋体"/>
                <w:b/>
                <w:snapToGrid w:val="0"/>
                <w:kern w:val="0"/>
                <w:sz w:val="21"/>
                <w:szCs w:val="21"/>
                <w:highlight w:val="none"/>
                <w:lang w:eastAsia="zh-CN"/>
              </w:rPr>
              <w:t>名称</w:t>
            </w:r>
          </w:p>
        </w:tc>
        <w:tc>
          <w:tcPr>
            <w:tcW w:w="753" w:type="pct"/>
            <w:noWrap w:val="0"/>
            <w:vAlign w:val="center"/>
          </w:tcPr>
          <w:p w14:paraId="4E118120">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数量</w:t>
            </w:r>
          </w:p>
        </w:tc>
        <w:tc>
          <w:tcPr>
            <w:tcW w:w="752" w:type="pct"/>
            <w:noWrap w:val="0"/>
            <w:vAlign w:val="center"/>
          </w:tcPr>
          <w:p w14:paraId="62CFA7E3">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单价</w:t>
            </w:r>
          </w:p>
        </w:tc>
        <w:tc>
          <w:tcPr>
            <w:tcW w:w="753" w:type="pct"/>
            <w:noWrap w:val="0"/>
            <w:vAlign w:val="center"/>
          </w:tcPr>
          <w:p w14:paraId="7C049F09">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合计</w:t>
            </w:r>
          </w:p>
        </w:tc>
      </w:tr>
      <w:tr w14:paraId="5006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572" w:type="pct"/>
            <w:noWrap w:val="0"/>
            <w:vAlign w:val="center"/>
          </w:tcPr>
          <w:p w14:paraId="1CC886A3">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68" w:type="pct"/>
            <w:noWrap w:val="0"/>
            <w:vAlign w:val="center"/>
          </w:tcPr>
          <w:p w14:paraId="0E2AEA1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auto"/>
              <w:rPr>
                <w:rFonts w:hint="eastAsia" w:ascii="宋体" w:hAnsi="宋体" w:eastAsia="宋体" w:cs="宋体"/>
                <w:b w:val="0"/>
                <w:bCs w:val="0"/>
                <w:color w:val="000000"/>
                <w:kern w:val="0"/>
                <w:sz w:val="21"/>
                <w:szCs w:val="21"/>
                <w:highlight w:val="none"/>
              </w:rPr>
            </w:pPr>
          </w:p>
        </w:tc>
        <w:tc>
          <w:tcPr>
            <w:tcW w:w="753" w:type="pct"/>
            <w:noWrap w:val="0"/>
            <w:vAlign w:val="center"/>
          </w:tcPr>
          <w:p w14:paraId="4D7663D9">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2432FE5F">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356DC926">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2720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572" w:type="pct"/>
            <w:noWrap w:val="0"/>
            <w:vAlign w:val="center"/>
          </w:tcPr>
          <w:p w14:paraId="665971C0">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68" w:type="pct"/>
            <w:noWrap w:val="0"/>
            <w:vAlign w:val="center"/>
          </w:tcPr>
          <w:p w14:paraId="473C52A2">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auto"/>
              <w:rPr>
                <w:rFonts w:hint="eastAsia" w:ascii="宋体" w:hAnsi="宋体" w:eastAsia="宋体" w:cs="宋体"/>
                <w:b w:val="0"/>
                <w:bCs w:val="0"/>
                <w:color w:val="000000"/>
                <w:kern w:val="0"/>
                <w:sz w:val="21"/>
                <w:szCs w:val="21"/>
                <w:highlight w:val="none"/>
              </w:rPr>
            </w:pPr>
          </w:p>
        </w:tc>
        <w:tc>
          <w:tcPr>
            <w:tcW w:w="753" w:type="pct"/>
            <w:noWrap w:val="0"/>
            <w:vAlign w:val="center"/>
          </w:tcPr>
          <w:p w14:paraId="4A0305B6">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0A201F3B">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16FFA0FE">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379B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572" w:type="pct"/>
            <w:noWrap w:val="0"/>
            <w:vAlign w:val="center"/>
          </w:tcPr>
          <w:p w14:paraId="5DD04C8B">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68" w:type="pct"/>
            <w:noWrap w:val="0"/>
            <w:vAlign w:val="center"/>
          </w:tcPr>
          <w:p w14:paraId="3D8B781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auto"/>
              <w:rPr>
                <w:rFonts w:hint="eastAsia" w:ascii="宋体" w:hAnsi="宋体" w:eastAsia="宋体" w:cs="宋体"/>
                <w:b w:val="0"/>
                <w:bCs w:val="0"/>
                <w:color w:val="000000"/>
                <w:kern w:val="0"/>
                <w:sz w:val="21"/>
                <w:szCs w:val="21"/>
                <w:highlight w:val="none"/>
              </w:rPr>
            </w:pPr>
          </w:p>
        </w:tc>
        <w:tc>
          <w:tcPr>
            <w:tcW w:w="753" w:type="pct"/>
            <w:noWrap w:val="0"/>
            <w:vAlign w:val="center"/>
          </w:tcPr>
          <w:p w14:paraId="55FFE076">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7F1AF559">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20B1A700">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6E31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72" w:type="pct"/>
            <w:noWrap w:val="0"/>
            <w:vAlign w:val="center"/>
          </w:tcPr>
          <w:p w14:paraId="5B64042B">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168" w:type="pct"/>
            <w:noWrap w:val="0"/>
            <w:vAlign w:val="center"/>
          </w:tcPr>
          <w:p w14:paraId="2564BC96">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auto"/>
              <w:rPr>
                <w:rFonts w:hint="eastAsia" w:ascii="宋体" w:hAnsi="宋体" w:eastAsia="宋体" w:cs="宋体"/>
                <w:b w:val="0"/>
                <w:bCs w:val="0"/>
                <w:color w:val="000000"/>
                <w:kern w:val="0"/>
                <w:sz w:val="21"/>
                <w:szCs w:val="21"/>
                <w:highlight w:val="none"/>
              </w:rPr>
            </w:pPr>
          </w:p>
        </w:tc>
        <w:tc>
          <w:tcPr>
            <w:tcW w:w="753" w:type="pct"/>
            <w:noWrap w:val="0"/>
            <w:vAlign w:val="center"/>
          </w:tcPr>
          <w:p w14:paraId="3700DC70">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2C826F0F">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6929E662">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7908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noWrap w:val="0"/>
            <w:vAlign w:val="center"/>
          </w:tcPr>
          <w:p w14:paraId="46CBD1DE">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168" w:type="pct"/>
            <w:noWrap w:val="0"/>
            <w:vAlign w:val="center"/>
          </w:tcPr>
          <w:p w14:paraId="192F74E6">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0932A5EB">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2A177E6E">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480EE08E">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2A5F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572" w:type="pct"/>
            <w:noWrap w:val="0"/>
            <w:vAlign w:val="center"/>
          </w:tcPr>
          <w:p w14:paraId="6A2F974A">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168" w:type="pct"/>
            <w:noWrap w:val="0"/>
            <w:vAlign w:val="center"/>
          </w:tcPr>
          <w:p w14:paraId="06E35C4C">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1BBB0859">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70F5685E">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1431DF17">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2CBE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noWrap w:val="0"/>
            <w:vAlign w:val="center"/>
          </w:tcPr>
          <w:p w14:paraId="26C4B160">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168" w:type="pct"/>
            <w:noWrap w:val="0"/>
            <w:vAlign w:val="center"/>
          </w:tcPr>
          <w:p w14:paraId="40E81F25">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27C4F0B5">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2" w:type="pct"/>
            <w:noWrap w:val="0"/>
            <w:vAlign w:val="center"/>
          </w:tcPr>
          <w:p w14:paraId="52DBD4FE">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26466D8B">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28C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noWrap w:val="0"/>
            <w:vAlign w:val="center"/>
          </w:tcPr>
          <w:p w14:paraId="59F31BBA">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168" w:type="pct"/>
            <w:noWrap w:val="0"/>
            <w:vAlign w:val="center"/>
          </w:tcPr>
          <w:p w14:paraId="42CFDEC9">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507EE7D4">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52" w:type="pct"/>
            <w:noWrap w:val="0"/>
            <w:vAlign w:val="center"/>
          </w:tcPr>
          <w:p w14:paraId="70DE13D1">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30D6916A">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5C6A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noWrap w:val="0"/>
            <w:vAlign w:val="center"/>
          </w:tcPr>
          <w:p w14:paraId="709E0F70">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168" w:type="pct"/>
            <w:noWrap w:val="0"/>
            <w:vAlign w:val="center"/>
          </w:tcPr>
          <w:p w14:paraId="3200449C">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6E5C2727">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52" w:type="pct"/>
            <w:noWrap w:val="0"/>
            <w:vAlign w:val="center"/>
          </w:tcPr>
          <w:p w14:paraId="0EE8CC6A">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70484629">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140D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noWrap w:val="0"/>
            <w:vAlign w:val="center"/>
          </w:tcPr>
          <w:p w14:paraId="3734117D">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168" w:type="pct"/>
            <w:noWrap w:val="0"/>
            <w:vAlign w:val="center"/>
          </w:tcPr>
          <w:p w14:paraId="3F1402A2">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29CE5EFF">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52" w:type="pct"/>
            <w:noWrap w:val="0"/>
            <w:vAlign w:val="center"/>
          </w:tcPr>
          <w:p w14:paraId="4675A4A0">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64840E9C">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1757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noWrap w:val="0"/>
            <w:vAlign w:val="center"/>
          </w:tcPr>
          <w:p w14:paraId="7A173F13">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168" w:type="pct"/>
            <w:noWrap w:val="0"/>
            <w:vAlign w:val="center"/>
          </w:tcPr>
          <w:p w14:paraId="39760185">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53" w:type="pct"/>
            <w:noWrap w:val="0"/>
            <w:vAlign w:val="center"/>
          </w:tcPr>
          <w:p w14:paraId="3391EB10">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52" w:type="pct"/>
            <w:noWrap w:val="0"/>
            <w:vAlign w:val="center"/>
          </w:tcPr>
          <w:p w14:paraId="721AB6E0">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c>
          <w:tcPr>
            <w:tcW w:w="753" w:type="pct"/>
            <w:noWrap w:val="0"/>
            <w:vAlign w:val="center"/>
          </w:tcPr>
          <w:p w14:paraId="3F26F956">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p>
        </w:tc>
      </w:tr>
      <w:tr w14:paraId="6847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7" w:hRule="exact"/>
          <w:jc w:val="center"/>
        </w:trPr>
        <w:tc>
          <w:tcPr>
            <w:tcW w:w="572" w:type="pct"/>
            <w:noWrap w:val="0"/>
            <w:vAlign w:val="center"/>
          </w:tcPr>
          <w:p w14:paraId="08773A21">
            <w:pPr>
              <w:pStyle w:val="23"/>
              <w:keepNext w:val="0"/>
              <w:keepLines w:val="0"/>
              <w:pageBreakBefore w:val="0"/>
              <w:widowControl w:val="0"/>
              <w:kinsoku/>
              <w:wordWrap/>
              <w:overflowPunct/>
              <w:topLinePunct w:val="0"/>
              <w:autoSpaceDE w:val="0"/>
              <w:autoSpaceDN w:val="0"/>
              <w:bidi w:val="0"/>
              <w:adjustRightInd w:val="0"/>
              <w:snapToGrid w:val="0"/>
              <w:spacing w:line="500" w:lineRule="exact"/>
              <w:ind w:left="0" w:right="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168" w:type="pct"/>
            <w:noWrap w:val="0"/>
            <w:vAlign w:val="center"/>
          </w:tcPr>
          <w:p w14:paraId="7BC0F186">
            <w:pPr>
              <w:keepNext w:val="0"/>
              <w:keepLines w:val="0"/>
              <w:pageBreakBefore w:val="0"/>
              <w:widowControl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总计</w:t>
            </w:r>
          </w:p>
        </w:tc>
        <w:tc>
          <w:tcPr>
            <w:tcW w:w="2259" w:type="pct"/>
            <w:gridSpan w:val="3"/>
            <w:noWrap w:val="0"/>
            <w:vAlign w:val="center"/>
          </w:tcPr>
          <w:p w14:paraId="3EDE9B6F">
            <w:pPr>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sz w:val="21"/>
                <w:szCs w:val="21"/>
                <w:highlight w:val="none"/>
              </w:rPr>
            </w:pPr>
          </w:p>
        </w:tc>
      </w:tr>
    </w:tbl>
    <w:p w14:paraId="565344A7">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p>
    <w:p w14:paraId="0AB16A94">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注：1.供应商应完整填写表格。</w:t>
      </w:r>
    </w:p>
    <w:p w14:paraId="28AE68C3">
      <w:pPr>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2.该表可</w:t>
      </w:r>
      <w:bookmarkStart w:id="161" w:name="OLE_LINK1"/>
      <w:bookmarkStart w:id="162" w:name="OLE_LINK2"/>
      <w:r>
        <w:rPr>
          <w:rFonts w:hint="eastAsia" w:ascii="宋体" w:hAnsi="宋体" w:eastAsia="宋体" w:cs="宋体"/>
          <w:sz w:val="21"/>
          <w:szCs w:val="21"/>
          <w:highlight w:val="none"/>
        </w:rPr>
        <w:t>作调整。</w:t>
      </w:r>
      <w:bookmarkEnd w:id="161"/>
      <w:bookmarkEnd w:id="162"/>
    </w:p>
    <w:p w14:paraId="33E18FF6">
      <w:pPr>
        <w:pStyle w:val="37"/>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sz w:val="21"/>
          <w:szCs w:val="21"/>
          <w:highlight w:val="none"/>
        </w:rPr>
      </w:pPr>
    </w:p>
    <w:p w14:paraId="0614CD5F">
      <w:pPr>
        <w:pStyle w:val="37"/>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49F14D6">
      <w:pPr>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highlight w:val="none"/>
        </w:rPr>
      </w:pPr>
    </w:p>
    <w:p w14:paraId="57E0176F">
      <w:pPr>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highlight w:val="none"/>
        </w:rPr>
      </w:pPr>
    </w:p>
    <w:p w14:paraId="29DFDF7F">
      <w:pPr>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                               </w:t>
      </w:r>
      <w:r>
        <w:rPr>
          <w:rFonts w:hint="eastAsia" w:ascii="宋体" w:hAnsi="宋体" w:eastAsia="宋体" w:cs="宋体"/>
          <w:sz w:val="21"/>
          <w:szCs w:val="21"/>
          <w:highlight w:val="none"/>
        </w:rPr>
        <w:t xml:space="preserve">              供应商名称（公章）或自然人签署：</w:t>
      </w:r>
    </w:p>
    <w:p w14:paraId="5E6EA7D8">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5670" w:firstLineChars="27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0ACEE6E3">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sz w:val="24"/>
          <w:szCs w:val="24"/>
          <w:highlight w:val="none"/>
          <w:bdr w:val="single" w:color="auto" w:sz="4" w:space="0"/>
        </w:rPr>
        <w:sectPr>
          <w:headerReference r:id="rId12" w:type="default"/>
          <w:pgSz w:w="11907" w:h="16840"/>
          <w:pgMar w:top="1417" w:right="1191" w:bottom="1417" w:left="1417" w:header="1134" w:footer="850" w:gutter="0"/>
          <w:pgNumType w:fmt="numberInDash"/>
          <w:cols w:space="720" w:num="1"/>
          <w:docGrid w:linePitch="380" w:charSpace="-5735"/>
        </w:sectPr>
      </w:pPr>
    </w:p>
    <w:p w14:paraId="5568C279">
      <w:pPr>
        <w:pStyle w:val="4"/>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firstLine="422" w:firstLineChars="200"/>
        <w:textAlignment w:val="auto"/>
        <w:rPr>
          <w:rFonts w:hint="eastAsia" w:ascii="宋体" w:hAnsi="宋体" w:eastAsia="宋体" w:cs="宋体"/>
          <w:sz w:val="21"/>
          <w:szCs w:val="21"/>
          <w:highlight w:val="none"/>
        </w:rPr>
      </w:pPr>
      <w:bookmarkStart w:id="163" w:name="_Toc313008357"/>
      <w:bookmarkStart w:id="164" w:name="_Toc342913420"/>
      <w:bookmarkStart w:id="165" w:name="_Toc313888361"/>
      <w:bookmarkStart w:id="166" w:name="_Toc106030907"/>
      <w:bookmarkStart w:id="167" w:name="_Toc76462351"/>
      <w:r>
        <w:rPr>
          <w:rFonts w:hint="eastAsia" w:ascii="宋体" w:hAnsi="宋体" w:eastAsia="宋体" w:cs="宋体"/>
          <w:sz w:val="21"/>
          <w:szCs w:val="21"/>
          <w:highlight w:val="none"/>
        </w:rPr>
        <w:t>二、服务部分</w:t>
      </w:r>
      <w:bookmarkEnd w:id="163"/>
      <w:bookmarkEnd w:id="164"/>
      <w:bookmarkEnd w:id="165"/>
      <w:bookmarkEnd w:id="166"/>
      <w:bookmarkEnd w:id="167"/>
    </w:p>
    <w:p w14:paraId="40037672">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（一）服务响应偏离表</w:t>
      </w:r>
    </w:p>
    <w:p w14:paraId="17FE4B5D">
      <w:pPr>
        <w:keepNext w:val="0"/>
        <w:keepLines w:val="0"/>
        <w:pageBreakBefore w:val="0"/>
        <w:widowControl w:val="0"/>
        <w:kinsoku w:val="0"/>
        <w:wordWrap/>
        <w:overflowPunct/>
        <w:topLinePunct w:val="0"/>
        <w:autoSpaceDE w:val="0"/>
        <w:autoSpaceDN w:val="0"/>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65E771E3">
      <w:pPr>
        <w:keepNext w:val="0"/>
        <w:keepLines w:val="0"/>
        <w:pageBreakBefore w:val="0"/>
        <w:widowControl w:val="0"/>
        <w:kinsoku w:val="0"/>
        <w:wordWrap/>
        <w:overflowPunct/>
        <w:topLinePunct w:val="0"/>
        <w:autoSpaceDE w:val="0"/>
        <w:autoSpaceDN w:val="0"/>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711A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31372244">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967" w:type="dxa"/>
            <w:noWrap w:val="0"/>
            <w:vAlign w:val="center"/>
          </w:tcPr>
          <w:p w14:paraId="36F348E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tc>
        <w:tc>
          <w:tcPr>
            <w:tcW w:w="3081" w:type="dxa"/>
            <w:noWrap w:val="0"/>
            <w:vAlign w:val="center"/>
          </w:tcPr>
          <w:p w14:paraId="272707D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2309" w:type="dxa"/>
            <w:noWrap w:val="0"/>
            <w:vAlign w:val="center"/>
          </w:tcPr>
          <w:p w14:paraId="25A989F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差异说明</w:t>
            </w:r>
          </w:p>
        </w:tc>
      </w:tr>
      <w:tr w14:paraId="073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DAD5822">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4C0C6E62">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4890E660">
            <w:pPr>
              <w:keepNext w:val="0"/>
              <w:keepLines w:val="0"/>
              <w:pageBreakBefore w:val="0"/>
              <w:widowControl w:val="0"/>
              <w:tabs>
                <w:tab w:val="left" w:pos="6300"/>
              </w:tabs>
              <w:kinsoku w:val="0"/>
              <w:wordWrap/>
              <w:overflowPunct/>
              <w:topLinePunct w:val="0"/>
              <w:autoSpaceDE w:val="0"/>
              <w:autoSpaceDN w:val="0"/>
              <w:bidi w:val="0"/>
              <w:snapToGrid w:val="0"/>
              <w:spacing w:line="500" w:lineRule="exact"/>
              <w:textAlignment w:val="auto"/>
              <w:outlineLvl w:val="0"/>
              <w:rPr>
                <w:rFonts w:hint="eastAsia" w:ascii="宋体" w:hAnsi="宋体" w:eastAsia="宋体" w:cs="宋体"/>
                <w:sz w:val="21"/>
                <w:szCs w:val="21"/>
                <w:highlight w:val="none"/>
              </w:rPr>
            </w:pPr>
          </w:p>
        </w:tc>
        <w:tc>
          <w:tcPr>
            <w:tcW w:w="2309" w:type="dxa"/>
            <w:noWrap w:val="0"/>
            <w:vAlign w:val="center"/>
          </w:tcPr>
          <w:p w14:paraId="1BA7020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2132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4C7043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25402BA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6AC907AF">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68C0D70E">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6FD9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6EE7EA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2A4FC9AC">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06ADEC6F">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48CC4C8B">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30D0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13A06BD">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39826DA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743F5574">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462F03B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5374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420282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179D294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43CB2EA8">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3427CB6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3968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A95AD42">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0259756C">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7917293C">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432C89FC">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615F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79E6B4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5C0654EB">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1032476A">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3B5C20F5">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48BE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746A4D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783DD332">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2FF1C0E4">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38CD77C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0B83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65EFB60">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2E6E5CF0">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6AE5B93F">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0AEA485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6970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4D18F21">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967" w:type="dxa"/>
            <w:noWrap w:val="0"/>
            <w:vAlign w:val="center"/>
          </w:tcPr>
          <w:p w14:paraId="29A451D5">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081" w:type="dxa"/>
            <w:noWrap w:val="0"/>
            <w:vAlign w:val="center"/>
          </w:tcPr>
          <w:p w14:paraId="2CDA2B4E">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09" w:type="dxa"/>
            <w:noWrap w:val="0"/>
            <w:vAlign w:val="center"/>
          </w:tcPr>
          <w:p w14:paraId="6EE369CD">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bl>
    <w:p w14:paraId="652B197C">
      <w:pPr>
        <w:keepNext w:val="0"/>
        <w:keepLines w:val="0"/>
        <w:pageBreakBefore w:val="0"/>
        <w:widowControl w:val="0"/>
        <w:kinsoku w:val="0"/>
        <w:wordWrap/>
        <w:overflowPunct/>
        <w:topLinePunct w:val="0"/>
        <w:autoSpaceDE w:val="0"/>
        <w:autoSpaceDN w:val="0"/>
        <w:bidi w:val="0"/>
        <w:spacing w:line="500" w:lineRule="exact"/>
        <w:ind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                           法定代表人（或其授权代表）或自然人：</w:t>
      </w:r>
    </w:p>
    <w:p w14:paraId="220AD646">
      <w:pPr>
        <w:keepNext w:val="0"/>
        <w:keepLines w:val="0"/>
        <w:pageBreakBefore w:val="0"/>
        <w:widowControl w:val="0"/>
        <w:kinsoku w:val="0"/>
        <w:wordWrap/>
        <w:overflowPunct/>
        <w:topLinePunct w:val="0"/>
        <w:autoSpaceDE w:val="0"/>
        <w:autoSpaceDN w:val="0"/>
        <w:bidi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33F07F50">
      <w:pPr>
        <w:keepNext w:val="0"/>
        <w:keepLines w:val="0"/>
        <w:pageBreakBefore w:val="0"/>
        <w:widowControl w:val="0"/>
        <w:kinsoku w:val="0"/>
        <w:wordWrap/>
        <w:overflowPunct/>
        <w:topLinePunct w:val="0"/>
        <w:autoSpaceDE w:val="0"/>
        <w:autoSpaceDN w:val="0"/>
        <w:bidi w:val="0"/>
        <w:spacing w:line="500" w:lineRule="exact"/>
        <w:ind w:firstLine="630"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                               （签署或盖章）</w:t>
      </w:r>
    </w:p>
    <w:p w14:paraId="6D05C8A5">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p w14:paraId="0F6BDCD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484D1A3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1.本表即为对本项目“第二篇  项目服务需求”中所列条款进行比较和响应；</w:t>
      </w:r>
    </w:p>
    <w:p w14:paraId="5BBCCA5F">
      <w:pPr>
        <w:keepNext w:val="0"/>
        <w:keepLines w:val="0"/>
        <w:pageBreakBefore w:val="0"/>
        <w:widowControl w:val="0"/>
        <w:kinsoku w:val="0"/>
        <w:wordWrap/>
        <w:overflowPunct/>
        <w:topLinePunct w:val="0"/>
        <w:autoSpaceDE w:val="0"/>
        <w:autoSpaceDN w:val="0"/>
        <w:bidi w:val="0"/>
        <w:snapToGrid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2.本表可扩展。</w:t>
      </w:r>
    </w:p>
    <w:p w14:paraId="2CFD3C82">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6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br w:type="page"/>
      </w:r>
      <w:r>
        <w:rPr>
          <w:rFonts w:hint="eastAsia" w:ascii="宋体" w:hAnsi="宋体" w:eastAsia="宋体" w:cs="宋体"/>
          <w:sz w:val="21"/>
          <w:szCs w:val="21"/>
          <w:highlight w:val="none"/>
        </w:rPr>
        <w:t>（二）</w:t>
      </w:r>
      <w:r>
        <w:rPr>
          <w:rFonts w:hint="eastAsia" w:ascii="宋体" w:hAnsi="宋体" w:eastAsia="宋体" w:cs="宋体"/>
          <w:sz w:val="21"/>
          <w:szCs w:val="21"/>
          <w:highlight w:val="none"/>
          <w:lang w:val="en-US" w:eastAsia="zh-CN"/>
        </w:rPr>
        <w:t>其他资料</w:t>
      </w:r>
      <w:r>
        <w:rPr>
          <w:rFonts w:hint="eastAsia" w:ascii="宋体" w:hAnsi="宋体" w:eastAsia="宋体" w:cs="宋体"/>
          <w:sz w:val="21"/>
          <w:szCs w:val="21"/>
          <w:highlight w:val="none"/>
        </w:rPr>
        <w:t>（格式自拟）</w:t>
      </w:r>
    </w:p>
    <w:p w14:paraId="6C33F217">
      <w:pPr>
        <w:pStyle w:val="4"/>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firstLine="640" w:firstLineChars="200"/>
        <w:textAlignment w:val="auto"/>
        <w:rPr>
          <w:rFonts w:hint="eastAsia" w:ascii="宋体" w:hAnsi="宋体" w:eastAsia="宋体" w:cs="宋体"/>
          <w:sz w:val="21"/>
          <w:szCs w:val="21"/>
          <w:highlight w:val="none"/>
        </w:rPr>
      </w:pPr>
      <w:r>
        <w:rPr>
          <w:rFonts w:hint="eastAsia" w:ascii="宋体" w:hAnsi="宋体" w:eastAsia="宋体" w:cs="宋体"/>
          <w:b w:val="0"/>
          <w:highlight w:val="none"/>
        </w:rPr>
        <w:br w:type="page"/>
      </w:r>
      <w:bookmarkStart w:id="168" w:name="_Toc76462352"/>
      <w:bookmarkStart w:id="169" w:name="_Toc313888362"/>
      <w:bookmarkStart w:id="170" w:name="_Toc342913421"/>
      <w:bookmarkStart w:id="171" w:name="_Toc313008358"/>
      <w:bookmarkStart w:id="172" w:name="_Toc106030908"/>
      <w:r>
        <w:rPr>
          <w:rFonts w:hint="eastAsia" w:ascii="宋体" w:hAnsi="宋体" w:eastAsia="宋体" w:cs="宋体"/>
          <w:sz w:val="21"/>
          <w:szCs w:val="21"/>
          <w:highlight w:val="none"/>
        </w:rPr>
        <w:t>三、商务部分</w:t>
      </w:r>
      <w:bookmarkEnd w:id="168"/>
      <w:bookmarkEnd w:id="169"/>
      <w:bookmarkEnd w:id="170"/>
      <w:bookmarkEnd w:id="171"/>
      <w:bookmarkEnd w:id="172"/>
    </w:p>
    <w:p w14:paraId="1AD85EEC">
      <w:pPr>
        <w:keepNext w:val="0"/>
        <w:keepLines w:val="0"/>
        <w:pageBreakBefore w:val="0"/>
        <w:widowControl w:val="0"/>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（一）商务响应偏离表</w:t>
      </w:r>
    </w:p>
    <w:p w14:paraId="2B68C374">
      <w:pPr>
        <w:keepNext w:val="0"/>
        <w:keepLines w:val="0"/>
        <w:pageBreakBefore w:val="0"/>
        <w:widowControl w:val="0"/>
        <w:kinsoku w:val="0"/>
        <w:wordWrap/>
        <w:overflowPunct/>
        <w:topLinePunct w:val="0"/>
        <w:autoSpaceDE w:val="0"/>
        <w:autoSpaceDN w:val="0"/>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5CE8B5CA">
      <w:pPr>
        <w:keepNext w:val="0"/>
        <w:keepLines w:val="0"/>
        <w:pageBreakBefore w:val="0"/>
        <w:widowControl w:val="0"/>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F6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1F90CE8">
            <w:pPr>
              <w:keepNext w:val="0"/>
              <w:keepLines w:val="0"/>
              <w:pageBreakBefore w:val="0"/>
              <w:widowControl w:val="0"/>
              <w:kinsoku w:val="0"/>
              <w:wordWrap/>
              <w:overflowPunct/>
              <w:topLinePunct w:val="0"/>
              <w:autoSpaceDE w:val="0"/>
              <w:autoSpaceDN w:val="0"/>
              <w:bidi w:val="0"/>
              <w:snapToGrid w:val="0"/>
              <w:spacing w:line="500" w:lineRule="exact"/>
              <w:ind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179" w:type="dxa"/>
            <w:noWrap w:val="0"/>
            <w:vAlign w:val="center"/>
          </w:tcPr>
          <w:p w14:paraId="3308CA1A">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磋商项目商务需求</w:t>
            </w:r>
          </w:p>
        </w:tc>
        <w:tc>
          <w:tcPr>
            <w:tcW w:w="2434" w:type="dxa"/>
            <w:noWrap w:val="0"/>
            <w:vAlign w:val="center"/>
          </w:tcPr>
          <w:p w14:paraId="36C028E4">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2355" w:type="dxa"/>
            <w:noWrap w:val="0"/>
            <w:vAlign w:val="center"/>
          </w:tcPr>
          <w:p w14:paraId="5CB8340B">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偏离说明</w:t>
            </w:r>
          </w:p>
        </w:tc>
      </w:tr>
      <w:tr w14:paraId="6A3E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A9B864F">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179" w:type="dxa"/>
            <w:noWrap w:val="0"/>
            <w:vAlign w:val="center"/>
          </w:tcPr>
          <w:p w14:paraId="6D8BEB0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434" w:type="dxa"/>
            <w:noWrap w:val="0"/>
            <w:vAlign w:val="center"/>
          </w:tcPr>
          <w:p w14:paraId="02F84C55">
            <w:pPr>
              <w:keepNext w:val="0"/>
              <w:keepLines w:val="0"/>
              <w:pageBreakBefore w:val="0"/>
              <w:widowControl w:val="0"/>
              <w:tabs>
                <w:tab w:val="left" w:pos="6300"/>
              </w:tabs>
              <w:kinsoku w:val="0"/>
              <w:wordWrap/>
              <w:overflowPunct/>
              <w:topLinePunct w:val="0"/>
              <w:autoSpaceDE w:val="0"/>
              <w:autoSpaceDN w:val="0"/>
              <w:bidi w:val="0"/>
              <w:snapToGrid w:val="0"/>
              <w:spacing w:line="500" w:lineRule="exact"/>
              <w:textAlignment w:val="auto"/>
              <w:outlineLvl w:val="0"/>
              <w:rPr>
                <w:rFonts w:hint="eastAsia" w:ascii="宋体" w:hAnsi="宋体" w:eastAsia="宋体" w:cs="宋体"/>
                <w:sz w:val="21"/>
                <w:szCs w:val="21"/>
                <w:highlight w:val="none"/>
              </w:rPr>
            </w:pPr>
          </w:p>
        </w:tc>
        <w:tc>
          <w:tcPr>
            <w:tcW w:w="2355" w:type="dxa"/>
            <w:noWrap w:val="0"/>
            <w:vAlign w:val="center"/>
          </w:tcPr>
          <w:p w14:paraId="743F71E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323E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403922E">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179" w:type="dxa"/>
            <w:noWrap w:val="0"/>
            <w:vAlign w:val="center"/>
          </w:tcPr>
          <w:p w14:paraId="1A09BD0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434" w:type="dxa"/>
            <w:noWrap w:val="0"/>
            <w:vAlign w:val="center"/>
          </w:tcPr>
          <w:p w14:paraId="6B4FDC9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55" w:type="dxa"/>
            <w:noWrap w:val="0"/>
            <w:vAlign w:val="center"/>
          </w:tcPr>
          <w:p w14:paraId="26F5505B">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67CC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30CBA64">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179" w:type="dxa"/>
            <w:noWrap w:val="0"/>
            <w:vAlign w:val="center"/>
          </w:tcPr>
          <w:p w14:paraId="2FCFD09C">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434" w:type="dxa"/>
            <w:noWrap w:val="0"/>
            <w:vAlign w:val="center"/>
          </w:tcPr>
          <w:p w14:paraId="7A04E5DB">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55" w:type="dxa"/>
            <w:noWrap w:val="0"/>
            <w:vAlign w:val="center"/>
          </w:tcPr>
          <w:p w14:paraId="4373CD18">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7F44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02AE57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179" w:type="dxa"/>
            <w:noWrap w:val="0"/>
            <w:vAlign w:val="center"/>
          </w:tcPr>
          <w:p w14:paraId="6EC83A05">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434" w:type="dxa"/>
            <w:noWrap w:val="0"/>
            <w:vAlign w:val="center"/>
          </w:tcPr>
          <w:p w14:paraId="65547F3C">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55" w:type="dxa"/>
            <w:noWrap w:val="0"/>
            <w:vAlign w:val="center"/>
          </w:tcPr>
          <w:p w14:paraId="22FEDC5F">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5F4F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286D0D9">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179" w:type="dxa"/>
            <w:noWrap w:val="0"/>
            <w:vAlign w:val="center"/>
          </w:tcPr>
          <w:p w14:paraId="0555CE37">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434" w:type="dxa"/>
            <w:noWrap w:val="0"/>
            <w:vAlign w:val="center"/>
          </w:tcPr>
          <w:p w14:paraId="2D2EFBB1">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55" w:type="dxa"/>
            <w:noWrap w:val="0"/>
            <w:vAlign w:val="center"/>
          </w:tcPr>
          <w:p w14:paraId="06CAF47A">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r w14:paraId="3EB1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42916D">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3179" w:type="dxa"/>
            <w:noWrap w:val="0"/>
            <w:vAlign w:val="center"/>
          </w:tcPr>
          <w:p w14:paraId="391ADA85">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434" w:type="dxa"/>
            <w:noWrap w:val="0"/>
            <w:vAlign w:val="center"/>
          </w:tcPr>
          <w:p w14:paraId="5ECB1DA1">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c>
          <w:tcPr>
            <w:tcW w:w="2355" w:type="dxa"/>
            <w:noWrap w:val="0"/>
            <w:vAlign w:val="center"/>
          </w:tcPr>
          <w:p w14:paraId="6C99C6B3">
            <w:pPr>
              <w:keepNext w:val="0"/>
              <w:keepLines w:val="0"/>
              <w:pageBreakBefore w:val="0"/>
              <w:widowControl w:val="0"/>
              <w:tabs>
                <w:tab w:val="left" w:pos="6300"/>
              </w:tabs>
              <w:kinsoku w:val="0"/>
              <w:wordWrap/>
              <w:overflowPunct/>
              <w:topLinePunct w:val="0"/>
              <w:autoSpaceDE w:val="0"/>
              <w:autoSpaceDN w:val="0"/>
              <w:bidi w:val="0"/>
              <w:snapToGrid w:val="0"/>
              <w:spacing w:line="500" w:lineRule="exact"/>
              <w:jc w:val="center"/>
              <w:textAlignment w:val="auto"/>
              <w:outlineLvl w:val="0"/>
              <w:rPr>
                <w:rFonts w:hint="eastAsia" w:ascii="宋体" w:hAnsi="宋体" w:eastAsia="宋体" w:cs="宋体"/>
                <w:sz w:val="21"/>
                <w:szCs w:val="21"/>
                <w:highlight w:val="none"/>
              </w:rPr>
            </w:pPr>
          </w:p>
        </w:tc>
      </w:tr>
    </w:tbl>
    <w:p w14:paraId="37F9D54F">
      <w:pPr>
        <w:keepNext w:val="0"/>
        <w:keepLines w:val="0"/>
        <w:pageBreakBefore w:val="0"/>
        <w:widowControl w:val="0"/>
        <w:kinsoku w:val="0"/>
        <w:wordWrap/>
        <w:overflowPunct/>
        <w:topLinePunct w:val="0"/>
        <w:autoSpaceDE w:val="0"/>
        <w:autoSpaceDN w:val="0"/>
        <w:bidi w:val="0"/>
        <w:snapToGrid w:val="0"/>
        <w:spacing w:line="500" w:lineRule="exact"/>
        <w:ind w:firstLine="465"/>
        <w:textAlignment w:val="auto"/>
        <w:rPr>
          <w:rFonts w:hint="eastAsia" w:ascii="宋体" w:hAnsi="宋体" w:eastAsia="宋体" w:cs="宋体"/>
          <w:sz w:val="21"/>
          <w:szCs w:val="21"/>
          <w:highlight w:val="none"/>
        </w:rPr>
      </w:pPr>
    </w:p>
    <w:p w14:paraId="33AFFC2F">
      <w:pPr>
        <w:keepNext w:val="0"/>
        <w:keepLines w:val="0"/>
        <w:pageBreakBefore w:val="0"/>
        <w:widowControl w:val="0"/>
        <w:kinsoku w:val="0"/>
        <w:wordWrap/>
        <w:overflowPunct/>
        <w:topLinePunct w:val="0"/>
        <w:autoSpaceDE w:val="0"/>
        <w:autoSpaceDN w:val="0"/>
        <w:bidi w:val="0"/>
        <w:spacing w:line="500" w:lineRule="exact"/>
        <w:ind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                          法定代表人（或其授权代表）或自然人：</w:t>
      </w:r>
    </w:p>
    <w:p w14:paraId="4626F102">
      <w:pPr>
        <w:keepNext w:val="0"/>
        <w:keepLines w:val="0"/>
        <w:pageBreakBefore w:val="0"/>
        <w:widowControl w:val="0"/>
        <w:kinsoku w:val="0"/>
        <w:wordWrap/>
        <w:overflowPunct/>
        <w:topLinePunct w:val="0"/>
        <w:autoSpaceDE w:val="0"/>
        <w:autoSpaceDN w:val="0"/>
        <w:bidi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7BBE3559">
      <w:pPr>
        <w:keepNext w:val="0"/>
        <w:keepLines w:val="0"/>
        <w:pageBreakBefore w:val="0"/>
        <w:widowControl w:val="0"/>
        <w:kinsoku w:val="0"/>
        <w:wordWrap/>
        <w:overflowPunct/>
        <w:topLinePunct w:val="0"/>
        <w:autoSpaceDE w:val="0"/>
        <w:autoSpaceDN w:val="0"/>
        <w:bidi w:val="0"/>
        <w:spacing w:line="500" w:lineRule="exact"/>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                                 （签署或盖章）</w:t>
      </w:r>
    </w:p>
    <w:p w14:paraId="27F5CAB0">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p w14:paraId="36E374FB">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575CA26">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1.本表即为对本项目“第三篇  项目商务需求”中所列条款进行比较和响应；</w:t>
      </w:r>
    </w:p>
    <w:p w14:paraId="2EE795F6">
      <w:pPr>
        <w:keepNext w:val="0"/>
        <w:keepLines w:val="0"/>
        <w:pageBreakBefore w:val="0"/>
        <w:widowControl w:val="0"/>
        <w:kinsoku w:val="0"/>
        <w:wordWrap/>
        <w:overflowPunct/>
        <w:topLinePunct w:val="0"/>
        <w:autoSpaceDE w:val="0"/>
        <w:autoSpaceDN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2.本表可扩展。</w:t>
      </w:r>
    </w:p>
    <w:p w14:paraId="71D7ADFC">
      <w:pPr>
        <w:pStyle w:val="5"/>
        <w:rPr>
          <w:rFonts w:hint="eastAsia"/>
        </w:rPr>
        <w:sectPr>
          <w:pgSz w:w="11907" w:h="16840"/>
          <w:pgMar w:top="1417" w:right="1417" w:bottom="1417" w:left="1417" w:header="1134" w:footer="850" w:gutter="0"/>
          <w:pgNumType w:fmt="numberInDash"/>
          <w:cols w:space="720" w:num="1"/>
          <w:docGrid w:linePitch="380" w:charSpace="-5735"/>
        </w:sectPr>
      </w:pPr>
    </w:p>
    <w:p w14:paraId="3CB865C7">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Cs w:val="24"/>
          <w:highlight w:val="none"/>
        </w:rPr>
      </w:pPr>
      <w:bookmarkStart w:id="173" w:name="_Toc76462353"/>
      <w:bookmarkStart w:id="174" w:name="_Toc342913422"/>
      <w:bookmarkStart w:id="175" w:name="_Toc106030909"/>
      <w:bookmarkStart w:id="176" w:name="_Toc313888363"/>
      <w:bookmarkStart w:id="177" w:name="_Toc313008359"/>
      <w:r>
        <w:rPr>
          <w:rFonts w:hint="eastAsia" w:ascii="宋体" w:hAnsi="宋体" w:eastAsia="宋体" w:cs="宋体"/>
          <w:sz w:val="21"/>
          <w:szCs w:val="21"/>
          <w:highlight w:val="none"/>
        </w:rPr>
        <w:t>（二）</w:t>
      </w:r>
      <w:r>
        <w:rPr>
          <w:rFonts w:hint="eastAsia" w:ascii="宋体" w:hAnsi="宋体" w:eastAsia="宋体" w:cs="宋体"/>
          <w:sz w:val="21"/>
          <w:szCs w:val="21"/>
          <w:highlight w:val="none"/>
          <w:lang w:val="en-US" w:eastAsia="zh-CN"/>
        </w:rPr>
        <w:t>其他资料</w:t>
      </w:r>
      <w:r>
        <w:rPr>
          <w:rFonts w:hint="eastAsia" w:ascii="宋体" w:hAnsi="宋体" w:eastAsia="宋体" w:cs="宋体"/>
          <w:sz w:val="21"/>
          <w:szCs w:val="21"/>
          <w:highlight w:val="none"/>
        </w:rPr>
        <w:t>（格式自拟）</w:t>
      </w:r>
    </w:p>
    <w:p w14:paraId="7FA68E31">
      <w:pPr>
        <w:pStyle w:val="4"/>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firstLine="640" w:firstLineChars="200"/>
        <w:textAlignment w:val="auto"/>
        <w:rPr>
          <w:rFonts w:hint="eastAsia" w:ascii="宋体" w:hAnsi="宋体" w:eastAsia="宋体" w:cs="宋体"/>
          <w:sz w:val="21"/>
          <w:szCs w:val="21"/>
          <w:highlight w:val="none"/>
        </w:rPr>
      </w:pPr>
      <w:r>
        <w:rPr>
          <w:rFonts w:hint="eastAsia" w:ascii="宋体" w:hAnsi="宋体" w:eastAsia="宋体" w:cs="宋体"/>
          <w:b w:val="0"/>
          <w:highlight w:val="none"/>
        </w:rPr>
        <w:br w:type="page"/>
      </w:r>
      <w:r>
        <w:rPr>
          <w:rFonts w:hint="eastAsia" w:ascii="宋体" w:hAnsi="宋体" w:eastAsia="宋体" w:cs="宋体"/>
          <w:sz w:val="21"/>
          <w:szCs w:val="21"/>
          <w:highlight w:val="none"/>
        </w:rPr>
        <w:t>四、资格条件</w:t>
      </w:r>
      <w:bookmarkEnd w:id="173"/>
      <w:bookmarkEnd w:id="174"/>
      <w:bookmarkEnd w:id="175"/>
      <w:bookmarkEnd w:id="176"/>
      <w:bookmarkEnd w:id="177"/>
    </w:p>
    <w:p w14:paraId="3193E4D8">
      <w:pPr>
        <w:keepNext w:val="0"/>
        <w:keepLines w:val="0"/>
        <w:pageBreakBefore w:val="0"/>
        <w:widowControl w:val="0"/>
        <w:tabs>
          <w:tab w:val="left" w:pos="6300"/>
        </w:tabs>
        <w:kinsoku w:val="0"/>
        <w:wordWrap/>
        <w:overflowPunct/>
        <w:topLinePunct w:val="0"/>
        <w:autoSpaceDE w:val="0"/>
        <w:autoSpaceDN w:val="0"/>
        <w:bidi w:val="0"/>
        <w:snapToGrid w:val="0"/>
        <w:spacing w:line="500" w:lineRule="exact"/>
        <w:ind w:firstLine="57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（一）法人营业执照（副本）或事业单位法人证书（副本）或个体工商户营业执照或有效的自然人身份证明或社会团体法人登记证书复印件</w:t>
      </w:r>
      <w:r>
        <w:rPr>
          <w:rFonts w:hint="eastAsia" w:ascii="宋体" w:hAnsi="宋体" w:eastAsia="宋体" w:cs="宋体"/>
          <w:sz w:val="21"/>
          <w:szCs w:val="21"/>
          <w:highlight w:val="none"/>
          <w:lang w:eastAsia="zh-CN"/>
        </w:rPr>
        <w:t>。</w:t>
      </w:r>
    </w:p>
    <w:p w14:paraId="56088A0A">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highlight w:val="none"/>
        </w:rPr>
      </w:pPr>
    </w:p>
    <w:p w14:paraId="57E89C18">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highlight w:val="none"/>
        </w:rPr>
      </w:pPr>
    </w:p>
    <w:p w14:paraId="19CEAD3E">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highlight w:val="none"/>
        </w:rPr>
      </w:pPr>
    </w:p>
    <w:p w14:paraId="4FDDC33D">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highlight w:val="none"/>
        </w:rPr>
      </w:pPr>
    </w:p>
    <w:p w14:paraId="49D42537">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highlight w:val="none"/>
        </w:rPr>
      </w:pPr>
    </w:p>
    <w:p w14:paraId="0994DC40">
      <w:pPr>
        <w:keepNext w:val="0"/>
        <w:keepLines w:val="0"/>
        <w:pageBreakBefore w:val="0"/>
        <w:widowControl w:val="0"/>
        <w:kinsoku w:val="0"/>
        <w:wordWrap/>
        <w:overflowPunct/>
        <w:topLinePunct w:val="0"/>
        <w:autoSpaceDE w:val="0"/>
        <w:autoSpaceDN w:val="0"/>
        <w:bidi w:val="0"/>
        <w:adjustRightInd/>
        <w:snapToGrid w:val="0"/>
        <w:spacing w:line="500" w:lineRule="exact"/>
        <w:ind w:firstLine="560" w:firstLineChars="200"/>
        <w:textAlignment w:val="auto"/>
        <w:rPr>
          <w:rFonts w:hint="eastAsia" w:ascii="宋体" w:hAnsi="宋体" w:eastAsia="宋体" w:cs="宋体"/>
          <w:sz w:val="21"/>
          <w:szCs w:val="21"/>
          <w:highlight w:val="none"/>
        </w:rPr>
      </w:pPr>
      <w:r>
        <w:rPr>
          <w:rFonts w:hint="eastAsia" w:ascii="宋体" w:hAnsi="宋体" w:eastAsia="宋体" w:cs="宋体"/>
          <w:highlight w:val="none"/>
        </w:rPr>
        <w:br w:type="page"/>
      </w:r>
      <w:r>
        <w:rPr>
          <w:rFonts w:hint="eastAsia" w:ascii="宋体" w:hAnsi="宋体" w:eastAsia="宋体" w:cs="宋体"/>
          <w:sz w:val="21"/>
          <w:szCs w:val="21"/>
          <w:highlight w:val="none"/>
        </w:rPr>
        <w:t>（二）法定代表人身份证明书（格式）</w:t>
      </w:r>
    </w:p>
    <w:p w14:paraId="3F4CD48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02BDBF4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磋商项目名称：</w:t>
      </w:r>
      <w:r>
        <w:rPr>
          <w:rFonts w:hint="eastAsia" w:ascii="宋体" w:hAnsi="宋体" w:eastAsia="宋体" w:cs="宋体"/>
          <w:sz w:val="21"/>
          <w:szCs w:val="21"/>
          <w:highlight w:val="none"/>
          <w:u w:val="single"/>
        </w:rPr>
        <w:t xml:space="preserve">                                                </w:t>
      </w:r>
    </w:p>
    <w:p w14:paraId="6733E6CD">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05B9C88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（采购代理机构名称）：</w:t>
      </w:r>
    </w:p>
    <w:p w14:paraId="70C9C393">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（法定代表人姓名）在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（职务名称）职务，是</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（供应商名称）的法定代表人。</w:t>
      </w:r>
    </w:p>
    <w:p w14:paraId="326BEB03">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49624D85">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70B52E6B">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5B9CA441">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1EAE7B30">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6B6030D9">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（供应商公章）</w:t>
      </w:r>
    </w:p>
    <w:p w14:paraId="63F991A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53E6A5EC">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p w14:paraId="407F968D">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法定代表人电话：XXXXXXX      电子邮箱：XXXXXX@XXXXX（若授权他人办理并签署响应文件的可不填写）</w:t>
      </w:r>
    </w:p>
    <w:p w14:paraId="0E6F4EF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（附：法定代表人身份证正反面复印件）</w:t>
      </w:r>
    </w:p>
    <w:p w14:paraId="6AAB697E">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sz w:val="21"/>
          <w:szCs w:val="21"/>
          <w:highlight w:val="none"/>
        </w:rPr>
      </w:pPr>
    </w:p>
    <w:p w14:paraId="11B9B855">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sz w:val="21"/>
          <w:szCs w:val="21"/>
          <w:highlight w:val="none"/>
        </w:rPr>
      </w:pPr>
    </w:p>
    <w:p w14:paraId="1AE8885D">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sz w:val="21"/>
          <w:szCs w:val="21"/>
          <w:highlight w:val="none"/>
        </w:rPr>
      </w:pPr>
    </w:p>
    <w:p w14:paraId="0520F2FE">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sz w:val="24"/>
          <w:highlight w:val="none"/>
        </w:rPr>
      </w:pPr>
    </w:p>
    <w:p w14:paraId="6B97B18B">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sz w:val="24"/>
          <w:highlight w:val="none"/>
        </w:rPr>
      </w:pPr>
    </w:p>
    <w:p w14:paraId="48213113">
      <w:pPr>
        <w:keepNext w:val="0"/>
        <w:keepLines w:val="0"/>
        <w:pageBreakBefore w:val="0"/>
        <w:widowControl w:val="0"/>
        <w:tabs>
          <w:tab w:val="left" w:pos="6300"/>
        </w:tabs>
        <w:kinsoku w:val="0"/>
        <w:wordWrap/>
        <w:topLinePunct w:val="0"/>
        <w:autoSpaceDE w:val="0"/>
        <w:autoSpaceDN w:val="0"/>
        <w:bidi w:val="0"/>
        <w:snapToGrid w:val="0"/>
        <w:spacing w:line="360" w:lineRule="auto"/>
        <w:ind w:firstLine="570"/>
        <w:textAlignment w:val="auto"/>
        <w:rPr>
          <w:rFonts w:hint="eastAsia" w:ascii="宋体" w:hAnsi="宋体" w:eastAsia="宋体" w:cs="宋体"/>
          <w:sz w:val="24"/>
          <w:highlight w:val="none"/>
        </w:rPr>
      </w:pPr>
    </w:p>
    <w:p w14:paraId="0858D07A">
      <w:pPr>
        <w:keepNext w:val="0"/>
        <w:keepLines w:val="0"/>
        <w:pageBreakBefore w:val="0"/>
        <w:widowControl w:val="0"/>
        <w:kinsoku w:val="0"/>
        <w:wordWrap/>
        <w:overflowPunct/>
        <w:topLinePunct w:val="0"/>
        <w:autoSpaceDE w:val="0"/>
        <w:autoSpaceDN w:val="0"/>
        <w:bidi w:val="0"/>
        <w:adjustRightInd/>
        <w:snapToGrid w:val="0"/>
        <w:spacing w:line="500" w:lineRule="exact"/>
        <w:ind w:firstLine="560" w:firstLineChars="200"/>
        <w:textAlignment w:val="auto"/>
        <w:rPr>
          <w:rFonts w:hint="eastAsia" w:ascii="宋体" w:hAnsi="宋体" w:eastAsia="宋体" w:cs="宋体"/>
          <w:sz w:val="21"/>
          <w:szCs w:val="21"/>
          <w:highlight w:val="none"/>
        </w:rPr>
      </w:pPr>
      <w:r>
        <w:rPr>
          <w:rFonts w:hint="eastAsia" w:ascii="宋体" w:hAnsi="宋体" w:eastAsia="宋体" w:cs="宋体"/>
          <w:highlight w:val="none"/>
        </w:rPr>
        <w:br w:type="column"/>
      </w:r>
      <w:r>
        <w:rPr>
          <w:rFonts w:hint="eastAsia" w:ascii="宋体" w:hAnsi="宋体" w:eastAsia="宋体" w:cs="宋体"/>
          <w:sz w:val="21"/>
          <w:szCs w:val="21"/>
          <w:highlight w:val="none"/>
        </w:rPr>
        <w:t>（三）法定代表人授权委托书（格式）</w:t>
      </w:r>
    </w:p>
    <w:p w14:paraId="796302FC">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71597E9B">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磋商项目名称：</w:t>
      </w:r>
      <w:r>
        <w:rPr>
          <w:rFonts w:hint="eastAsia" w:ascii="宋体" w:hAnsi="宋体" w:eastAsia="宋体" w:cs="宋体"/>
          <w:sz w:val="21"/>
          <w:szCs w:val="21"/>
          <w:highlight w:val="none"/>
          <w:u w:val="single"/>
        </w:rPr>
        <w:t xml:space="preserve">                                                </w:t>
      </w:r>
    </w:p>
    <w:p w14:paraId="1860BB7D">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4A35605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p>
    <w:p w14:paraId="3299B546">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（供应商法定代表人名称）是</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（供应商名称）的法定代表人，特授权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（被授权人姓名及身份证代码）代表我单位全权办理上述项目的磋商、签约等具体工作，并签署全部有关文件、协议及合同。</w:t>
      </w:r>
    </w:p>
    <w:p w14:paraId="04E8147F">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我单位对被授权人的签署负全部责任。</w:t>
      </w:r>
    </w:p>
    <w:p w14:paraId="29EF9C02">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在撤销授权的书面通知以前，本授权书一直有效。被授权人在授权书有效期内签署的所有文件不因授权的撤销而失效。</w:t>
      </w:r>
    </w:p>
    <w:p w14:paraId="62C0FE4A">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p>
    <w:p w14:paraId="035BF5F3">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被授权人：                                 供应商法定代表人：</w:t>
      </w:r>
    </w:p>
    <w:p w14:paraId="7DC605C8">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（签署或盖章）                                （签署或盖章）</w:t>
      </w:r>
    </w:p>
    <w:p w14:paraId="0A569358">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p>
    <w:p w14:paraId="3601C325">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（附：被授权人身份证正反面复印件）</w:t>
      </w:r>
    </w:p>
    <w:p w14:paraId="3F966CFA">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372B453E">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0DC41DC1">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p>
    <w:p w14:paraId="132C79BD">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right="480" w:firstLine="570"/>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w:t>
      </w:r>
    </w:p>
    <w:p w14:paraId="7BCC7AE5">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right="480" w:firstLine="570"/>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561AC3B9">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right="480" w:firstLine="57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被授权人电话：XXXXXXX     电子邮箱：XXXXXX@XXXXX（若法定代表人办理并签署响应文件的可不填写）</w:t>
      </w:r>
    </w:p>
    <w:p w14:paraId="2FD4856A">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right="480" w:firstLine="57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0AD73D92">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right="480" w:firstLine="57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1.若为法定代表人办理并签署响应文件的，不提供此文件。</w:t>
      </w:r>
    </w:p>
    <w:p w14:paraId="4078BCD5">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2.若为联合体参与的，法定代表人授权委托书由联合体主办方</w:t>
      </w:r>
      <w:r>
        <w:rPr>
          <w:rFonts w:hint="eastAsia" w:ascii="宋体" w:hAnsi="宋体" w:eastAsia="宋体" w:cs="宋体"/>
          <w:kern w:val="0"/>
          <w:sz w:val="21"/>
          <w:szCs w:val="21"/>
          <w:highlight w:val="none"/>
        </w:rPr>
        <w:t>（主体）</w:t>
      </w:r>
      <w:r>
        <w:rPr>
          <w:rFonts w:hint="eastAsia" w:ascii="宋体" w:hAnsi="宋体" w:eastAsia="宋体" w:cs="宋体"/>
          <w:sz w:val="21"/>
          <w:szCs w:val="21"/>
          <w:highlight w:val="none"/>
        </w:rPr>
        <w:t>出具。</w:t>
      </w:r>
    </w:p>
    <w:p w14:paraId="1E0B3A46">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570"/>
        <w:textAlignment w:val="auto"/>
        <w:rPr>
          <w:rFonts w:hint="eastAsia" w:ascii="宋体" w:hAnsi="宋体" w:eastAsia="宋体" w:cs="宋体"/>
          <w:sz w:val="21"/>
          <w:szCs w:val="21"/>
          <w:highlight w:val="none"/>
        </w:rPr>
      </w:pPr>
      <w:r>
        <w:rPr>
          <w:rFonts w:hint="eastAsia" w:ascii="宋体" w:hAnsi="宋体" w:eastAsia="宋体" w:cs="宋体"/>
          <w:highlight w:val="none"/>
        </w:rPr>
        <w:br w:type="column"/>
      </w:r>
      <w:r>
        <w:rPr>
          <w:rFonts w:hint="eastAsia" w:ascii="宋体" w:hAnsi="宋体" w:eastAsia="宋体" w:cs="宋体"/>
          <w:sz w:val="21"/>
          <w:szCs w:val="21"/>
          <w:highlight w:val="none"/>
        </w:rPr>
        <w:t>（四）基本资格条件承诺函</w:t>
      </w:r>
    </w:p>
    <w:p w14:paraId="016E5DAF">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基本资格条件承诺函</w:t>
      </w:r>
    </w:p>
    <w:p w14:paraId="24918293">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p>
    <w:p w14:paraId="1EFF3A65">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（采购代理机构名称）：</w:t>
      </w:r>
    </w:p>
    <w:p w14:paraId="6698A194">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（供应商名称）郑重承诺：</w:t>
      </w:r>
    </w:p>
    <w:p w14:paraId="2602653B">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1.我方具有良好的商业信誉和健全的财务会计制度，具有履行合同所必需的设备和专业技术能力，具</w:t>
      </w:r>
      <w:r>
        <w:rPr>
          <w:rFonts w:hint="eastAsia" w:ascii="宋体" w:hAnsi="宋体" w:eastAsia="宋体" w:cs="宋体"/>
          <w:sz w:val="21"/>
          <w:szCs w:val="21"/>
          <w:highlight w:val="none"/>
          <w:lang w:val="zh-CN"/>
        </w:rPr>
        <w:t>有依法缴纳税收和社会保障金的良好记录</w:t>
      </w:r>
      <w:r>
        <w:rPr>
          <w:rFonts w:hint="eastAsia" w:ascii="宋体" w:hAnsi="宋体" w:eastAsia="宋体" w:cs="宋体"/>
          <w:sz w:val="21"/>
          <w:szCs w:val="21"/>
          <w:highlight w:val="none"/>
        </w:rPr>
        <w:t>，参加本项目采购活动前三年内无重大违法活动记录。</w:t>
      </w:r>
    </w:p>
    <w:p w14:paraId="605FEBE1">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7D113074">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3.我方在采购项目评审（评标）环节结束后，随时接受采购人、采购代理机构的检查验证，配合提供相关证明材料，证明符合《中华人民共和国政府采购法》规定的供应商基本资格条件。</w:t>
      </w:r>
    </w:p>
    <w:p w14:paraId="6AA288A0">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我方对以上承诺负全部法律责任。</w:t>
      </w:r>
    </w:p>
    <w:p w14:paraId="3167ECD7">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特此承诺。</w:t>
      </w:r>
    </w:p>
    <w:p w14:paraId="68337774">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p>
    <w:p w14:paraId="13E434A7">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sz w:val="21"/>
          <w:szCs w:val="21"/>
          <w:highlight w:val="none"/>
        </w:rPr>
      </w:pPr>
    </w:p>
    <w:p w14:paraId="3A9567D3">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420" w:firstLineChars="20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（供应商公章）</w:t>
      </w:r>
    </w:p>
    <w:p w14:paraId="66394E40">
      <w:pPr>
        <w:keepNext w:val="0"/>
        <w:keepLines w:val="0"/>
        <w:pageBreakBefore w:val="0"/>
        <w:widowControl w:val="0"/>
        <w:tabs>
          <w:tab w:val="left" w:pos="6300"/>
        </w:tabs>
        <w:kinsoku w:val="0"/>
        <w:wordWrap/>
        <w:overflowPunct/>
        <w:topLinePunct w:val="0"/>
        <w:autoSpaceDE w:val="0"/>
        <w:autoSpaceDN w:val="0"/>
        <w:bidi w:val="0"/>
        <w:adjustRightInd/>
        <w:snapToGrid w:val="0"/>
        <w:spacing w:line="500" w:lineRule="exact"/>
        <w:ind w:firstLine="6930" w:firstLineChars="3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00FA6886">
      <w:pPr>
        <w:keepNext w:val="0"/>
        <w:keepLines w:val="0"/>
        <w:pageBreakBefore w:val="0"/>
        <w:widowControl w:val="0"/>
        <w:kinsoku w:val="0"/>
        <w:wordWrap/>
        <w:overflowPunct/>
        <w:topLinePunct w:val="0"/>
        <w:autoSpaceDE w:val="0"/>
        <w:autoSpaceDN w:val="0"/>
        <w:bidi w:val="0"/>
        <w:adjustRightInd/>
        <w:snapToGrid w:val="0"/>
        <w:spacing w:line="500" w:lineRule="exact"/>
        <w:ind w:firstLine="560" w:firstLineChars="200"/>
        <w:textAlignment w:val="auto"/>
        <w:rPr>
          <w:rFonts w:hint="eastAsia" w:ascii="宋体" w:hAnsi="宋体" w:eastAsia="宋体" w:cs="宋体"/>
          <w:sz w:val="21"/>
          <w:szCs w:val="21"/>
          <w:highlight w:val="none"/>
        </w:rPr>
      </w:pPr>
      <w:r>
        <w:rPr>
          <w:rFonts w:hint="eastAsia" w:ascii="宋体" w:hAnsi="宋体" w:eastAsia="宋体" w:cs="宋体"/>
          <w:highlight w:val="none"/>
        </w:rPr>
        <w:br w:type="page"/>
      </w:r>
      <w:bookmarkStart w:id="178" w:name="_Toc106030910"/>
      <w:bookmarkStart w:id="179" w:name="_Toc76462354"/>
      <w:bookmarkStart w:id="180" w:name="_Toc14422"/>
      <w:r>
        <w:rPr>
          <w:rFonts w:hint="eastAsia" w:ascii="宋体" w:hAnsi="宋体" w:eastAsia="宋体" w:cs="宋体"/>
          <w:b/>
          <w:sz w:val="21"/>
          <w:szCs w:val="21"/>
          <w:highlight w:val="none"/>
        </w:rPr>
        <w:t>五、其他资料</w:t>
      </w:r>
      <w:bookmarkEnd w:id="178"/>
      <w:bookmarkEnd w:id="179"/>
      <w:bookmarkEnd w:id="180"/>
    </w:p>
    <w:p w14:paraId="58F5FAC9">
      <w:pPr>
        <w:pStyle w:val="56"/>
        <w:rPr>
          <w:rFonts w:hint="eastAsia" w:eastAsia="宋体" w:cs="宋体"/>
          <w:sz w:val="21"/>
          <w:szCs w:val="16"/>
          <w:highlight w:val="none"/>
          <w:lang w:val="en-US" w:eastAsia="zh-CN"/>
        </w:rPr>
      </w:pPr>
      <w:r>
        <w:rPr>
          <w:rFonts w:hint="eastAsia" w:eastAsia="宋体" w:cs="宋体"/>
          <w:sz w:val="21"/>
          <w:szCs w:val="16"/>
          <w:highlight w:val="none"/>
          <w:lang w:val="en-US" w:eastAsia="zh-CN"/>
        </w:rPr>
        <w:t>（一）其他与项目有关的资料</w:t>
      </w:r>
    </w:p>
    <w:p w14:paraId="6DB458A6">
      <w:pPr>
        <w:pStyle w:val="56"/>
        <w:rPr>
          <w:rFonts w:hint="eastAsia" w:ascii="宋体" w:hAnsi="宋体" w:eastAsia="宋体" w:cs="宋体"/>
          <w:highlight w:val="none"/>
        </w:rPr>
      </w:pPr>
      <w:r>
        <w:rPr>
          <w:rFonts w:hint="eastAsia" w:eastAsia="宋体" w:cs="宋体"/>
          <w:sz w:val="21"/>
          <w:szCs w:val="16"/>
          <w:highlight w:val="none"/>
          <w:lang w:val="en-US" w:eastAsia="zh-CN"/>
        </w:rPr>
        <w:t>其他与项目有关的资料（自附）：供应商总体情况介绍、其他与本项目有关的资料等。</w:t>
      </w:r>
    </w:p>
    <w:p w14:paraId="7653575E">
      <w:pPr>
        <w:pStyle w:val="56"/>
        <w:rPr>
          <w:rFonts w:hint="eastAsia" w:ascii="宋体" w:hAnsi="宋体" w:eastAsia="宋体" w:cs="宋体"/>
          <w:highlight w:val="none"/>
        </w:rPr>
      </w:pPr>
    </w:p>
    <w:p w14:paraId="35FEBCBC">
      <w:pPr>
        <w:pStyle w:val="56"/>
        <w:rPr>
          <w:rFonts w:hint="eastAsia" w:ascii="宋体" w:hAnsi="宋体" w:eastAsia="宋体" w:cs="宋体"/>
          <w:highlight w:val="none"/>
        </w:rPr>
      </w:pPr>
    </w:p>
    <w:p w14:paraId="06874FA6">
      <w:pPr>
        <w:pStyle w:val="56"/>
        <w:rPr>
          <w:rFonts w:hint="eastAsia" w:ascii="宋体" w:hAnsi="宋体" w:eastAsia="宋体" w:cs="宋体"/>
          <w:highlight w:val="none"/>
        </w:rPr>
      </w:pPr>
    </w:p>
    <w:p w14:paraId="099582D9">
      <w:pPr>
        <w:pStyle w:val="56"/>
        <w:rPr>
          <w:rFonts w:hint="eastAsia" w:ascii="宋体" w:hAnsi="宋体" w:eastAsia="宋体" w:cs="宋体"/>
          <w:highlight w:val="none"/>
        </w:rPr>
      </w:pPr>
    </w:p>
    <w:p w14:paraId="2B16E498">
      <w:pPr>
        <w:pStyle w:val="56"/>
        <w:rPr>
          <w:rFonts w:hint="eastAsia" w:ascii="宋体" w:hAnsi="宋体" w:eastAsia="宋体" w:cs="宋体"/>
          <w:highlight w:val="none"/>
        </w:rPr>
      </w:pPr>
    </w:p>
    <w:p w14:paraId="30CEC380">
      <w:pPr>
        <w:pStyle w:val="56"/>
        <w:rPr>
          <w:rFonts w:hint="eastAsia" w:ascii="宋体" w:hAnsi="宋体" w:eastAsia="宋体" w:cs="宋体"/>
          <w:highlight w:val="none"/>
        </w:rPr>
      </w:pPr>
    </w:p>
    <w:p w14:paraId="7B250C76">
      <w:pPr>
        <w:pStyle w:val="56"/>
        <w:rPr>
          <w:rFonts w:hint="eastAsia" w:ascii="宋体" w:hAnsi="宋体" w:eastAsia="宋体" w:cs="宋体"/>
          <w:highlight w:val="none"/>
        </w:rPr>
      </w:pPr>
    </w:p>
    <w:p w14:paraId="1A17F37D">
      <w:pPr>
        <w:pStyle w:val="56"/>
        <w:rPr>
          <w:rFonts w:hint="eastAsia" w:ascii="宋体" w:hAnsi="宋体" w:eastAsia="宋体" w:cs="宋体"/>
          <w:highlight w:val="none"/>
        </w:rPr>
      </w:pPr>
    </w:p>
    <w:p w14:paraId="7F9A3D4F">
      <w:pPr>
        <w:pStyle w:val="56"/>
        <w:rPr>
          <w:rFonts w:hint="eastAsia" w:ascii="宋体" w:hAnsi="宋体" w:eastAsia="宋体" w:cs="宋体"/>
          <w:highlight w:val="none"/>
        </w:rPr>
      </w:pPr>
    </w:p>
    <w:p w14:paraId="782CE174">
      <w:pPr>
        <w:pStyle w:val="56"/>
        <w:rPr>
          <w:rFonts w:hint="eastAsia" w:ascii="宋体" w:hAnsi="宋体" w:eastAsia="宋体" w:cs="宋体"/>
          <w:highlight w:val="none"/>
        </w:rPr>
      </w:pPr>
    </w:p>
    <w:p w14:paraId="0EFC3053">
      <w:pPr>
        <w:pStyle w:val="56"/>
        <w:rPr>
          <w:rFonts w:hint="eastAsia" w:ascii="宋体" w:hAnsi="宋体" w:eastAsia="宋体" w:cs="宋体"/>
          <w:highlight w:val="none"/>
        </w:rPr>
      </w:pPr>
    </w:p>
    <w:p w14:paraId="7F7D23A5">
      <w:pPr>
        <w:pStyle w:val="56"/>
        <w:rPr>
          <w:rFonts w:hint="eastAsia" w:ascii="宋体" w:hAnsi="宋体" w:eastAsia="宋体" w:cs="宋体"/>
          <w:highlight w:val="none"/>
        </w:rPr>
      </w:pPr>
    </w:p>
    <w:p w14:paraId="774EBB9D">
      <w:pPr>
        <w:pStyle w:val="56"/>
        <w:rPr>
          <w:rFonts w:hint="eastAsia" w:ascii="宋体" w:hAnsi="宋体" w:eastAsia="宋体" w:cs="宋体"/>
          <w:highlight w:val="none"/>
        </w:rPr>
      </w:pPr>
    </w:p>
    <w:p w14:paraId="05C7745C">
      <w:pPr>
        <w:pStyle w:val="56"/>
        <w:rPr>
          <w:rFonts w:hint="eastAsia" w:ascii="宋体" w:hAnsi="宋体" w:eastAsia="宋体" w:cs="宋体"/>
          <w:highlight w:val="none"/>
        </w:rPr>
      </w:pPr>
    </w:p>
    <w:p w14:paraId="37CDD0EC">
      <w:pPr>
        <w:keepNext w:val="0"/>
        <w:keepLines w:val="0"/>
        <w:pageBreakBefore w:val="0"/>
        <w:widowControl w:val="0"/>
        <w:kinsoku w:val="0"/>
        <w:wordWrap/>
        <w:topLinePunct w:val="0"/>
        <w:autoSpaceDE w:val="0"/>
        <w:autoSpaceDN w:val="0"/>
        <w:bidi w:val="0"/>
        <w:spacing w:line="360" w:lineRule="auto"/>
        <w:jc w:val="center"/>
        <w:textAlignment w:val="auto"/>
        <w:outlineLvl w:val="0"/>
        <w:rPr>
          <w:rFonts w:hint="eastAsia" w:ascii="宋体" w:hAnsi="宋体" w:eastAsia="宋体" w:cs="宋体"/>
          <w:highlight w:val="none"/>
        </w:rPr>
      </w:pPr>
      <w:r>
        <w:rPr>
          <w:rFonts w:hint="eastAsia" w:ascii="宋体" w:hAnsi="宋体" w:eastAsia="宋体" w:cs="宋体"/>
          <w:sz w:val="24"/>
          <w:szCs w:val="24"/>
          <w:highlight w:val="none"/>
        </w:rPr>
        <w:t>（结束）</w:t>
      </w:r>
    </w:p>
    <w:sectPr>
      <w:pgSz w:w="11907" w:h="16840"/>
      <w:pgMar w:top="1474" w:right="1417" w:bottom="1247" w:left="1417" w:header="1134" w:footer="850"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00"/>
    <w:family w:val="roma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00000000000000000"/>
    <w:charset w:val="00"/>
    <w:family w:val="auto"/>
    <w:pitch w:val="default"/>
    <w:sig w:usb0="A00002BF" w:usb1="184F6CFA" w:usb2="00000012" w:usb3="00000000" w:csb0="00040001" w:csb1="00000000"/>
  </w:font>
  <w:font w:name="_x000B__x000C_">
    <w:altName w:val="Times New Roman"/>
    <w:panose1 w:val="00000000000000000000"/>
    <w:charset w:val="00"/>
    <w:family w:val="roman"/>
    <w:pitch w:val="default"/>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Narrow">
    <w:altName w:val="Times New Roman"/>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19446">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p w14:paraId="657C142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ABFD">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BAE4B4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48E2">
    <w:pPr>
      <w:pStyle w:val="35"/>
      <w:framePr w:wrap="around" w:vAnchor="text" w:hAnchor="margin" w:xAlign="center" w:y="1"/>
      <w:rPr>
        <w:rStyle w:val="62"/>
      </w:rPr>
    </w:pPr>
  </w:p>
  <w:p w14:paraId="4AC00B3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6D8C">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D139">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- 6 -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80FD">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- 14 -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BB63">
    <w:pPr>
      <w:pStyle w:val="35"/>
      <w:framePr w:wrap="around" w:vAnchor="text" w:hAnchor="margin" w:xAlign="center" w:y="1"/>
      <w:rPr>
        <w:rStyle w:val="62"/>
      </w:rPr>
    </w:pPr>
    <w:r>
      <w:fldChar w:fldCharType="begin"/>
    </w:r>
    <w:r>
      <w:rPr>
        <w:rStyle w:val="62"/>
      </w:rPr>
      <w:instrText xml:space="preserve">PAGE  </w:instrText>
    </w:r>
    <w:r>
      <w:fldChar w:fldCharType="separate"/>
    </w:r>
    <w:r>
      <w:rPr>
        <w:rStyle w:val="62"/>
      </w:rPr>
      <w:t>- 1 -</w:t>
    </w:r>
    <w:r>
      <w:fldChar w:fldCharType="end"/>
    </w:r>
  </w:p>
  <w:p w14:paraId="6B99C0D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A53E">
    <w:pPr>
      <w:pStyle w:val="36"/>
      <w:keepNext w:val="0"/>
      <w:keepLines w:val="0"/>
      <w:pageBreakBefore w:val="0"/>
      <w:widowControl w:val="0"/>
      <w:kinsoku/>
      <w:wordWrap/>
      <w:overflowPunct/>
      <w:topLinePunct w:val="0"/>
      <w:bidi w:val="0"/>
      <w:adjustRightInd/>
      <w:snapToGrid w:val="0"/>
      <w:spacing w:line="240" w:lineRule="auto"/>
      <w:ind w:firstLine="2730" w:firstLineChars="13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722C">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4D06">
    <w:pPr>
      <w:pStyle w:val="36"/>
      <w:ind w:firstLine="2940" w:firstLineChars="1400"/>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宋体" w:hAnsi="宋体" w:eastAsia="宋体" w:cs="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6"/>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7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1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6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
  </w:num>
  <w:num w:numId="8">
    <w:abstractNumId w:val="11"/>
  </w:num>
  <w:num w:numId="9">
    <w:abstractNumId w:val="7"/>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ODkzOGNhZjhhZmFiMTE3MTk0ZmQ5ZTBjNjk0ZmUifQ=="/>
  </w:docVars>
  <w:rsids>
    <w:rsidRoot w:val="00172A27"/>
    <w:rsid w:val="000014C5"/>
    <w:rsid w:val="00002AE4"/>
    <w:rsid w:val="00003626"/>
    <w:rsid w:val="000040DE"/>
    <w:rsid w:val="00005E84"/>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0BD"/>
    <w:rsid w:val="00082CC1"/>
    <w:rsid w:val="00090C5A"/>
    <w:rsid w:val="00091B1C"/>
    <w:rsid w:val="00091D22"/>
    <w:rsid w:val="000A06A6"/>
    <w:rsid w:val="000A164E"/>
    <w:rsid w:val="000A3057"/>
    <w:rsid w:val="000A35C1"/>
    <w:rsid w:val="000A3B46"/>
    <w:rsid w:val="000A7FA6"/>
    <w:rsid w:val="000B1068"/>
    <w:rsid w:val="000B3002"/>
    <w:rsid w:val="000B42F4"/>
    <w:rsid w:val="000B7010"/>
    <w:rsid w:val="000B7377"/>
    <w:rsid w:val="000B7F54"/>
    <w:rsid w:val="000C08C1"/>
    <w:rsid w:val="000C1E0E"/>
    <w:rsid w:val="000C1FF9"/>
    <w:rsid w:val="000C20E6"/>
    <w:rsid w:val="000C294F"/>
    <w:rsid w:val="000C2C03"/>
    <w:rsid w:val="000C6D89"/>
    <w:rsid w:val="000D196C"/>
    <w:rsid w:val="000D6DE7"/>
    <w:rsid w:val="000D776F"/>
    <w:rsid w:val="000E01C9"/>
    <w:rsid w:val="000E0DD7"/>
    <w:rsid w:val="000E3259"/>
    <w:rsid w:val="000E4835"/>
    <w:rsid w:val="000E5AB0"/>
    <w:rsid w:val="000F302A"/>
    <w:rsid w:val="000F3D5B"/>
    <w:rsid w:val="000F64D7"/>
    <w:rsid w:val="000F6CBC"/>
    <w:rsid w:val="000F7DBF"/>
    <w:rsid w:val="0010014A"/>
    <w:rsid w:val="00100639"/>
    <w:rsid w:val="00100673"/>
    <w:rsid w:val="0010088E"/>
    <w:rsid w:val="001028FD"/>
    <w:rsid w:val="0010293F"/>
    <w:rsid w:val="00105638"/>
    <w:rsid w:val="0010716D"/>
    <w:rsid w:val="00111B45"/>
    <w:rsid w:val="001140DC"/>
    <w:rsid w:val="00114CFE"/>
    <w:rsid w:val="00115337"/>
    <w:rsid w:val="001166B8"/>
    <w:rsid w:val="0011683E"/>
    <w:rsid w:val="00116856"/>
    <w:rsid w:val="00116C42"/>
    <w:rsid w:val="0011780F"/>
    <w:rsid w:val="00117B26"/>
    <w:rsid w:val="00120259"/>
    <w:rsid w:val="00122F9D"/>
    <w:rsid w:val="00124640"/>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0D4B"/>
    <w:rsid w:val="00181A6C"/>
    <w:rsid w:val="00183B60"/>
    <w:rsid w:val="00186623"/>
    <w:rsid w:val="001879FD"/>
    <w:rsid w:val="0019571D"/>
    <w:rsid w:val="001963A2"/>
    <w:rsid w:val="00196465"/>
    <w:rsid w:val="001A1B93"/>
    <w:rsid w:val="001A6369"/>
    <w:rsid w:val="001A64A1"/>
    <w:rsid w:val="001A6DCC"/>
    <w:rsid w:val="001A773E"/>
    <w:rsid w:val="001A7CEE"/>
    <w:rsid w:val="001B0396"/>
    <w:rsid w:val="001B1400"/>
    <w:rsid w:val="001B3DBD"/>
    <w:rsid w:val="001B4377"/>
    <w:rsid w:val="001B721D"/>
    <w:rsid w:val="001D0DF7"/>
    <w:rsid w:val="001D1038"/>
    <w:rsid w:val="001D2321"/>
    <w:rsid w:val="001D29E8"/>
    <w:rsid w:val="001D2DCD"/>
    <w:rsid w:val="001D2EB3"/>
    <w:rsid w:val="001D5055"/>
    <w:rsid w:val="001D630C"/>
    <w:rsid w:val="001E1467"/>
    <w:rsid w:val="001E1A2F"/>
    <w:rsid w:val="001E201B"/>
    <w:rsid w:val="001E28E5"/>
    <w:rsid w:val="001E5CAC"/>
    <w:rsid w:val="001E64A9"/>
    <w:rsid w:val="001E6841"/>
    <w:rsid w:val="001E725F"/>
    <w:rsid w:val="001F1AF5"/>
    <w:rsid w:val="001F1AF7"/>
    <w:rsid w:val="001F4964"/>
    <w:rsid w:val="001F4A96"/>
    <w:rsid w:val="001F7063"/>
    <w:rsid w:val="00202B04"/>
    <w:rsid w:val="00203052"/>
    <w:rsid w:val="002046B4"/>
    <w:rsid w:val="00204936"/>
    <w:rsid w:val="002049D5"/>
    <w:rsid w:val="00206AE4"/>
    <w:rsid w:val="002100EE"/>
    <w:rsid w:val="00210168"/>
    <w:rsid w:val="00210ED7"/>
    <w:rsid w:val="00211276"/>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33DA"/>
    <w:rsid w:val="002643C1"/>
    <w:rsid w:val="00265203"/>
    <w:rsid w:val="00270223"/>
    <w:rsid w:val="0027199E"/>
    <w:rsid w:val="00271D47"/>
    <w:rsid w:val="002721EA"/>
    <w:rsid w:val="002752BA"/>
    <w:rsid w:val="00280E8A"/>
    <w:rsid w:val="00285164"/>
    <w:rsid w:val="002855B0"/>
    <w:rsid w:val="00286959"/>
    <w:rsid w:val="00295FA5"/>
    <w:rsid w:val="00297A6F"/>
    <w:rsid w:val="002A242D"/>
    <w:rsid w:val="002A4956"/>
    <w:rsid w:val="002A53D4"/>
    <w:rsid w:val="002A6710"/>
    <w:rsid w:val="002A7778"/>
    <w:rsid w:val="002B1FDA"/>
    <w:rsid w:val="002B2ACF"/>
    <w:rsid w:val="002B4E91"/>
    <w:rsid w:val="002B578B"/>
    <w:rsid w:val="002B5ECC"/>
    <w:rsid w:val="002B7904"/>
    <w:rsid w:val="002C2507"/>
    <w:rsid w:val="002C2E6E"/>
    <w:rsid w:val="002C3A3D"/>
    <w:rsid w:val="002C7927"/>
    <w:rsid w:val="002D2553"/>
    <w:rsid w:val="002D41FF"/>
    <w:rsid w:val="002D608F"/>
    <w:rsid w:val="002D7053"/>
    <w:rsid w:val="002D7208"/>
    <w:rsid w:val="002D7725"/>
    <w:rsid w:val="002E0CC2"/>
    <w:rsid w:val="002E3527"/>
    <w:rsid w:val="002E3824"/>
    <w:rsid w:val="002E6413"/>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0D1"/>
    <w:rsid w:val="00322A7A"/>
    <w:rsid w:val="00326C5B"/>
    <w:rsid w:val="003336F0"/>
    <w:rsid w:val="0033663D"/>
    <w:rsid w:val="003366D9"/>
    <w:rsid w:val="00340777"/>
    <w:rsid w:val="00341D8A"/>
    <w:rsid w:val="00341DEB"/>
    <w:rsid w:val="00346A3D"/>
    <w:rsid w:val="00350510"/>
    <w:rsid w:val="00350C20"/>
    <w:rsid w:val="003548FA"/>
    <w:rsid w:val="00355430"/>
    <w:rsid w:val="00355643"/>
    <w:rsid w:val="00355A74"/>
    <w:rsid w:val="0035764D"/>
    <w:rsid w:val="00357CEB"/>
    <w:rsid w:val="00361427"/>
    <w:rsid w:val="00363702"/>
    <w:rsid w:val="0036458B"/>
    <w:rsid w:val="003703E8"/>
    <w:rsid w:val="00371D2F"/>
    <w:rsid w:val="00373122"/>
    <w:rsid w:val="0037612E"/>
    <w:rsid w:val="00376B94"/>
    <w:rsid w:val="00377540"/>
    <w:rsid w:val="0038033A"/>
    <w:rsid w:val="003816ED"/>
    <w:rsid w:val="003822FC"/>
    <w:rsid w:val="003840E9"/>
    <w:rsid w:val="00384161"/>
    <w:rsid w:val="00387610"/>
    <w:rsid w:val="0039432A"/>
    <w:rsid w:val="003953EA"/>
    <w:rsid w:val="00395C2F"/>
    <w:rsid w:val="00395FEE"/>
    <w:rsid w:val="003973D3"/>
    <w:rsid w:val="00397F89"/>
    <w:rsid w:val="003A0495"/>
    <w:rsid w:val="003A0892"/>
    <w:rsid w:val="003A3162"/>
    <w:rsid w:val="003A422B"/>
    <w:rsid w:val="003A449E"/>
    <w:rsid w:val="003A695E"/>
    <w:rsid w:val="003A71F3"/>
    <w:rsid w:val="003B19F5"/>
    <w:rsid w:val="003D0E0A"/>
    <w:rsid w:val="003D1A42"/>
    <w:rsid w:val="003D1C89"/>
    <w:rsid w:val="003D3B22"/>
    <w:rsid w:val="003D7B3D"/>
    <w:rsid w:val="003E0348"/>
    <w:rsid w:val="003E6936"/>
    <w:rsid w:val="003F3DB1"/>
    <w:rsid w:val="003F451E"/>
    <w:rsid w:val="003F4939"/>
    <w:rsid w:val="003F626F"/>
    <w:rsid w:val="003F6794"/>
    <w:rsid w:val="00402B32"/>
    <w:rsid w:val="0040519F"/>
    <w:rsid w:val="0040781E"/>
    <w:rsid w:val="00410C93"/>
    <w:rsid w:val="004115FB"/>
    <w:rsid w:val="00411B4A"/>
    <w:rsid w:val="004134DD"/>
    <w:rsid w:val="00417E99"/>
    <w:rsid w:val="0042124C"/>
    <w:rsid w:val="00421507"/>
    <w:rsid w:val="00424D02"/>
    <w:rsid w:val="0042525A"/>
    <w:rsid w:val="00425A1B"/>
    <w:rsid w:val="0042733C"/>
    <w:rsid w:val="00432665"/>
    <w:rsid w:val="0044185A"/>
    <w:rsid w:val="0044193A"/>
    <w:rsid w:val="00450224"/>
    <w:rsid w:val="00453B8F"/>
    <w:rsid w:val="004556B7"/>
    <w:rsid w:val="00460489"/>
    <w:rsid w:val="004608C7"/>
    <w:rsid w:val="00462878"/>
    <w:rsid w:val="00465B7A"/>
    <w:rsid w:val="004704BA"/>
    <w:rsid w:val="00471121"/>
    <w:rsid w:val="00472AA2"/>
    <w:rsid w:val="00473B39"/>
    <w:rsid w:val="00474175"/>
    <w:rsid w:val="00477CBC"/>
    <w:rsid w:val="00477D38"/>
    <w:rsid w:val="00481309"/>
    <w:rsid w:val="004928A2"/>
    <w:rsid w:val="00494610"/>
    <w:rsid w:val="004953EC"/>
    <w:rsid w:val="00497ADD"/>
    <w:rsid w:val="004A0D29"/>
    <w:rsid w:val="004A0DE1"/>
    <w:rsid w:val="004A15FC"/>
    <w:rsid w:val="004A2410"/>
    <w:rsid w:val="004A27AC"/>
    <w:rsid w:val="004A3995"/>
    <w:rsid w:val="004A6F19"/>
    <w:rsid w:val="004B1DDC"/>
    <w:rsid w:val="004B3AB3"/>
    <w:rsid w:val="004C1DD0"/>
    <w:rsid w:val="004C2685"/>
    <w:rsid w:val="004C64E4"/>
    <w:rsid w:val="004C6673"/>
    <w:rsid w:val="004D2334"/>
    <w:rsid w:val="004D2573"/>
    <w:rsid w:val="004D407C"/>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17D76"/>
    <w:rsid w:val="00523EB0"/>
    <w:rsid w:val="00532525"/>
    <w:rsid w:val="00534A97"/>
    <w:rsid w:val="005406A0"/>
    <w:rsid w:val="00540E03"/>
    <w:rsid w:val="00541D5F"/>
    <w:rsid w:val="00544BEA"/>
    <w:rsid w:val="005460D5"/>
    <w:rsid w:val="00547E98"/>
    <w:rsid w:val="00552C2A"/>
    <w:rsid w:val="00553CF0"/>
    <w:rsid w:val="00557C75"/>
    <w:rsid w:val="00564415"/>
    <w:rsid w:val="00565D4B"/>
    <w:rsid w:val="00566A85"/>
    <w:rsid w:val="00570C78"/>
    <w:rsid w:val="00573AE3"/>
    <w:rsid w:val="00581EF9"/>
    <w:rsid w:val="00583690"/>
    <w:rsid w:val="005902D9"/>
    <w:rsid w:val="0059075F"/>
    <w:rsid w:val="00596AB7"/>
    <w:rsid w:val="005A0690"/>
    <w:rsid w:val="005A1B5C"/>
    <w:rsid w:val="005A1EA7"/>
    <w:rsid w:val="005A6A12"/>
    <w:rsid w:val="005A7208"/>
    <w:rsid w:val="005B0724"/>
    <w:rsid w:val="005B08DB"/>
    <w:rsid w:val="005B1E46"/>
    <w:rsid w:val="005B433D"/>
    <w:rsid w:val="005B5AA4"/>
    <w:rsid w:val="005C3F4B"/>
    <w:rsid w:val="005C410D"/>
    <w:rsid w:val="005C42AC"/>
    <w:rsid w:val="005C4F84"/>
    <w:rsid w:val="005D2EC6"/>
    <w:rsid w:val="005D37D0"/>
    <w:rsid w:val="005D41E8"/>
    <w:rsid w:val="005D703E"/>
    <w:rsid w:val="005E35E9"/>
    <w:rsid w:val="005E5264"/>
    <w:rsid w:val="005E5525"/>
    <w:rsid w:val="005F3416"/>
    <w:rsid w:val="005F38BB"/>
    <w:rsid w:val="005F7895"/>
    <w:rsid w:val="0060003E"/>
    <w:rsid w:val="00602BBE"/>
    <w:rsid w:val="0060315D"/>
    <w:rsid w:val="00613410"/>
    <w:rsid w:val="00617986"/>
    <w:rsid w:val="00623D2D"/>
    <w:rsid w:val="006256CA"/>
    <w:rsid w:val="00627729"/>
    <w:rsid w:val="00627F21"/>
    <w:rsid w:val="0063025A"/>
    <w:rsid w:val="0064583B"/>
    <w:rsid w:val="006468B8"/>
    <w:rsid w:val="00651127"/>
    <w:rsid w:val="0065190C"/>
    <w:rsid w:val="006542F1"/>
    <w:rsid w:val="00654A48"/>
    <w:rsid w:val="0065651B"/>
    <w:rsid w:val="00657CE0"/>
    <w:rsid w:val="00664607"/>
    <w:rsid w:val="00665941"/>
    <w:rsid w:val="0066755F"/>
    <w:rsid w:val="00670089"/>
    <w:rsid w:val="00670C89"/>
    <w:rsid w:val="00671233"/>
    <w:rsid w:val="00671EDA"/>
    <w:rsid w:val="006763DC"/>
    <w:rsid w:val="00680AE4"/>
    <w:rsid w:val="00682205"/>
    <w:rsid w:val="006822B0"/>
    <w:rsid w:val="00682A29"/>
    <w:rsid w:val="00684E51"/>
    <w:rsid w:val="0068793C"/>
    <w:rsid w:val="00694288"/>
    <w:rsid w:val="00694F91"/>
    <w:rsid w:val="006A0E53"/>
    <w:rsid w:val="006A100B"/>
    <w:rsid w:val="006A143A"/>
    <w:rsid w:val="006A3285"/>
    <w:rsid w:val="006A4C56"/>
    <w:rsid w:val="006B0567"/>
    <w:rsid w:val="006B1E7C"/>
    <w:rsid w:val="006B4535"/>
    <w:rsid w:val="006B72DE"/>
    <w:rsid w:val="006B75CB"/>
    <w:rsid w:val="006C5FC1"/>
    <w:rsid w:val="006D44E1"/>
    <w:rsid w:val="006D6350"/>
    <w:rsid w:val="006D6662"/>
    <w:rsid w:val="006E21FA"/>
    <w:rsid w:val="006E477D"/>
    <w:rsid w:val="006E6D5F"/>
    <w:rsid w:val="006F0FB7"/>
    <w:rsid w:val="006F1AA4"/>
    <w:rsid w:val="006F5925"/>
    <w:rsid w:val="006F5E40"/>
    <w:rsid w:val="006F6E4A"/>
    <w:rsid w:val="007049B4"/>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3341"/>
    <w:rsid w:val="0074681C"/>
    <w:rsid w:val="00746EC2"/>
    <w:rsid w:val="007504DE"/>
    <w:rsid w:val="00762B70"/>
    <w:rsid w:val="007636FE"/>
    <w:rsid w:val="0077408E"/>
    <w:rsid w:val="007777A0"/>
    <w:rsid w:val="00777BAC"/>
    <w:rsid w:val="00780577"/>
    <w:rsid w:val="00781AD3"/>
    <w:rsid w:val="00781BFB"/>
    <w:rsid w:val="00786FA7"/>
    <w:rsid w:val="00790B3F"/>
    <w:rsid w:val="0079177C"/>
    <w:rsid w:val="00791DDB"/>
    <w:rsid w:val="00794382"/>
    <w:rsid w:val="007959AC"/>
    <w:rsid w:val="00796323"/>
    <w:rsid w:val="00796491"/>
    <w:rsid w:val="00796C4A"/>
    <w:rsid w:val="007A20E0"/>
    <w:rsid w:val="007B2204"/>
    <w:rsid w:val="007B4B60"/>
    <w:rsid w:val="007B7278"/>
    <w:rsid w:val="007C1691"/>
    <w:rsid w:val="007C6B0F"/>
    <w:rsid w:val="007D0625"/>
    <w:rsid w:val="007D7A44"/>
    <w:rsid w:val="007D7E32"/>
    <w:rsid w:val="007D7E65"/>
    <w:rsid w:val="007E19E0"/>
    <w:rsid w:val="007E517D"/>
    <w:rsid w:val="007F6769"/>
    <w:rsid w:val="008041D4"/>
    <w:rsid w:val="00806938"/>
    <w:rsid w:val="00807818"/>
    <w:rsid w:val="0081156A"/>
    <w:rsid w:val="008141B4"/>
    <w:rsid w:val="00827398"/>
    <w:rsid w:val="008275B6"/>
    <w:rsid w:val="0083653E"/>
    <w:rsid w:val="008369DC"/>
    <w:rsid w:val="00842974"/>
    <w:rsid w:val="00842F87"/>
    <w:rsid w:val="00843A88"/>
    <w:rsid w:val="00843D2E"/>
    <w:rsid w:val="0085550A"/>
    <w:rsid w:val="00856FE6"/>
    <w:rsid w:val="008616EF"/>
    <w:rsid w:val="00863C25"/>
    <w:rsid w:val="008641B7"/>
    <w:rsid w:val="00864D80"/>
    <w:rsid w:val="00864DC1"/>
    <w:rsid w:val="00870530"/>
    <w:rsid w:val="008705BC"/>
    <w:rsid w:val="00871999"/>
    <w:rsid w:val="00872E27"/>
    <w:rsid w:val="00875A42"/>
    <w:rsid w:val="0088192C"/>
    <w:rsid w:val="008904A8"/>
    <w:rsid w:val="00891A15"/>
    <w:rsid w:val="00891D94"/>
    <w:rsid w:val="00896589"/>
    <w:rsid w:val="008976AB"/>
    <w:rsid w:val="008A0CEE"/>
    <w:rsid w:val="008A19AF"/>
    <w:rsid w:val="008A20FB"/>
    <w:rsid w:val="008A4D88"/>
    <w:rsid w:val="008C1B22"/>
    <w:rsid w:val="008C4C84"/>
    <w:rsid w:val="008C510F"/>
    <w:rsid w:val="008D067F"/>
    <w:rsid w:val="008D3283"/>
    <w:rsid w:val="008E10B9"/>
    <w:rsid w:val="008E437B"/>
    <w:rsid w:val="008E4D3F"/>
    <w:rsid w:val="008E66B8"/>
    <w:rsid w:val="008E66F0"/>
    <w:rsid w:val="008F0A2E"/>
    <w:rsid w:val="008F1988"/>
    <w:rsid w:val="008F2B05"/>
    <w:rsid w:val="008F2D7B"/>
    <w:rsid w:val="008F5E76"/>
    <w:rsid w:val="008F6252"/>
    <w:rsid w:val="009023F3"/>
    <w:rsid w:val="0090383C"/>
    <w:rsid w:val="00905D85"/>
    <w:rsid w:val="00912132"/>
    <w:rsid w:val="00913CAA"/>
    <w:rsid w:val="009226D2"/>
    <w:rsid w:val="00922FAD"/>
    <w:rsid w:val="009238A7"/>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4258"/>
    <w:rsid w:val="00966820"/>
    <w:rsid w:val="00971E57"/>
    <w:rsid w:val="009723CF"/>
    <w:rsid w:val="00972F46"/>
    <w:rsid w:val="00973D3A"/>
    <w:rsid w:val="009741DC"/>
    <w:rsid w:val="0097652A"/>
    <w:rsid w:val="00980037"/>
    <w:rsid w:val="00983B43"/>
    <w:rsid w:val="00984742"/>
    <w:rsid w:val="00984E4D"/>
    <w:rsid w:val="0099161D"/>
    <w:rsid w:val="00991701"/>
    <w:rsid w:val="00991B37"/>
    <w:rsid w:val="009A0688"/>
    <w:rsid w:val="009B6208"/>
    <w:rsid w:val="009B71FF"/>
    <w:rsid w:val="009C3034"/>
    <w:rsid w:val="009C4BFF"/>
    <w:rsid w:val="009C5C04"/>
    <w:rsid w:val="009C650F"/>
    <w:rsid w:val="009C7522"/>
    <w:rsid w:val="009D0FDD"/>
    <w:rsid w:val="009D3162"/>
    <w:rsid w:val="009D3181"/>
    <w:rsid w:val="009D7B9B"/>
    <w:rsid w:val="009E067B"/>
    <w:rsid w:val="009E717E"/>
    <w:rsid w:val="009E737D"/>
    <w:rsid w:val="009F18FA"/>
    <w:rsid w:val="009F7062"/>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A5"/>
    <w:rsid w:val="00A44BEA"/>
    <w:rsid w:val="00A47C22"/>
    <w:rsid w:val="00A55B14"/>
    <w:rsid w:val="00A5689C"/>
    <w:rsid w:val="00A569E8"/>
    <w:rsid w:val="00A57FAF"/>
    <w:rsid w:val="00A601C4"/>
    <w:rsid w:val="00A61D6E"/>
    <w:rsid w:val="00A65656"/>
    <w:rsid w:val="00A70193"/>
    <w:rsid w:val="00A711C6"/>
    <w:rsid w:val="00A730F3"/>
    <w:rsid w:val="00A74B68"/>
    <w:rsid w:val="00A77EE1"/>
    <w:rsid w:val="00A84863"/>
    <w:rsid w:val="00A91750"/>
    <w:rsid w:val="00A95D95"/>
    <w:rsid w:val="00A9735D"/>
    <w:rsid w:val="00A977EC"/>
    <w:rsid w:val="00AA3FD1"/>
    <w:rsid w:val="00AA4CA0"/>
    <w:rsid w:val="00AA52DE"/>
    <w:rsid w:val="00AA75A7"/>
    <w:rsid w:val="00AB11B3"/>
    <w:rsid w:val="00AB1692"/>
    <w:rsid w:val="00AB1DAF"/>
    <w:rsid w:val="00AB40EF"/>
    <w:rsid w:val="00AB43D9"/>
    <w:rsid w:val="00AB5DD9"/>
    <w:rsid w:val="00AB5ED3"/>
    <w:rsid w:val="00AB6B0C"/>
    <w:rsid w:val="00AB70CD"/>
    <w:rsid w:val="00AB7800"/>
    <w:rsid w:val="00AC1860"/>
    <w:rsid w:val="00AC4898"/>
    <w:rsid w:val="00AC48B3"/>
    <w:rsid w:val="00AC7893"/>
    <w:rsid w:val="00AC7AC9"/>
    <w:rsid w:val="00AD1C54"/>
    <w:rsid w:val="00AD4BE9"/>
    <w:rsid w:val="00AE1920"/>
    <w:rsid w:val="00AE3F63"/>
    <w:rsid w:val="00AE76F8"/>
    <w:rsid w:val="00AF01B3"/>
    <w:rsid w:val="00AF0F13"/>
    <w:rsid w:val="00AF7992"/>
    <w:rsid w:val="00AF7CDD"/>
    <w:rsid w:val="00AF7FF3"/>
    <w:rsid w:val="00B00AB3"/>
    <w:rsid w:val="00B078CF"/>
    <w:rsid w:val="00B14C52"/>
    <w:rsid w:val="00B200AA"/>
    <w:rsid w:val="00B203A9"/>
    <w:rsid w:val="00B229A5"/>
    <w:rsid w:val="00B2488E"/>
    <w:rsid w:val="00B25EB3"/>
    <w:rsid w:val="00B31FB8"/>
    <w:rsid w:val="00B33526"/>
    <w:rsid w:val="00B42056"/>
    <w:rsid w:val="00B478C3"/>
    <w:rsid w:val="00B52715"/>
    <w:rsid w:val="00B61348"/>
    <w:rsid w:val="00B6263F"/>
    <w:rsid w:val="00B63207"/>
    <w:rsid w:val="00B67114"/>
    <w:rsid w:val="00B678C7"/>
    <w:rsid w:val="00B70368"/>
    <w:rsid w:val="00B7097C"/>
    <w:rsid w:val="00B72BCC"/>
    <w:rsid w:val="00B75449"/>
    <w:rsid w:val="00B81284"/>
    <w:rsid w:val="00B85062"/>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57CD"/>
    <w:rsid w:val="00BC775D"/>
    <w:rsid w:val="00BD0051"/>
    <w:rsid w:val="00BD2537"/>
    <w:rsid w:val="00BD2939"/>
    <w:rsid w:val="00BD5A75"/>
    <w:rsid w:val="00BD6BF7"/>
    <w:rsid w:val="00BE07A9"/>
    <w:rsid w:val="00BE1700"/>
    <w:rsid w:val="00BE2E36"/>
    <w:rsid w:val="00BE4D8F"/>
    <w:rsid w:val="00BF0A3E"/>
    <w:rsid w:val="00BF26AC"/>
    <w:rsid w:val="00BF46A7"/>
    <w:rsid w:val="00BF5230"/>
    <w:rsid w:val="00BF6DA8"/>
    <w:rsid w:val="00C00289"/>
    <w:rsid w:val="00C034E2"/>
    <w:rsid w:val="00C1090C"/>
    <w:rsid w:val="00C12B2E"/>
    <w:rsid w:val="00C201FC"/>
    <w:rsid w:val="00C240C8"/>
    <w:rsid w:val="00C249AF"/>
    <w:rsid w:val="00C26513"/>
    <w:rsid w:val="00C328C9"/>
    <w:rsid w:val="00C333ED"/>
    <w:rsid w:val="00C339ED"/>
    <w:rsid w:val="00C35BA8"/>
    <w:rsid w:val="00C37F72"/>
    <w:rsid w:val="00C40246"/>
    <w:rsid w:val="00C420C1"/>
    <w:rsid w:val="00C422C5"/>
    <w:rsid w:val="00C43FEE"/>
    <w:rsid w:val="00C45963"/>
    <w:rsid w:val="00C472B8"/>
    <w:rsid w:val="00C50723"/>
    <w:rsid w:val="00C50917"/>
    <w:rsid w:val="00C529FD"/>
    <w:rsid w:val="00C53124"/>
    <w:rsid w:val="00C538A9"/>
    <w:rsid w:val="00C53B2E"/>
    <w:rsid w:val="00C60C0B"/>
    <w:rsid w:val="00C6160A"/>
    <w:rsid w:val="00C62B51"/>
    <w:rsid w:val="00C65711"/>
    <w:rsid w:val="00C66460"/>
    <w:rsid w:val="00C710D5"/>
    <w:rsid w:val="00C76ECD"/>
    <w:rsid w:val="00C77C51"/>
    <w:rsid w:val="00C8221C"/>
    <w:rsid w:val="00C84B63"/>
    <w:rsid w:val="00C84E04"/>
    <w:rsid w:val="00C86DC6"/>
    <w:rsid w:val="00C910BE"/>
    <w:rsid w:val="00C922BE"/>
    <w:rsid w:val="00C9376D"/>
    <w:rsid w:val="00CA10F9"/>
    <w:rsid w:val="00CA14F4"/>
    <w:rsid w:val="00CA583F"/>
    <w:rsid w:val="00CA5844"/>
    <w:rsid w:val="00CA7415"/>
    <w:rsid w:val="00CB265C"/>
    <w:rsid w:val="00CB2BDD"/>
    <w:rsid w:val="00CB32BC"/>
    <w:rsid w:val="00CB4540"/>
    <w:rsid w:val="00CB4951"/>
    <w:rsid w:val="00CB7A07"/>
    <w:rsid w:val="00CC3087"/>
    <w:rsid w:val="00CC59BB"/>
    <w:rsid w:val="00CD1B93"/>
    <w:rsid w:val="00CD3A71"/>
    <w:rsid w:val="00CD3BD4"/>
    <w:rsid w:val="00CD3CC8"/>
    <w:rsid w:val="00CD4915"/>
    <w:rsid w:val="00CD60BD"/>
    <w:rsid w:val="00CD635D"/>
    <w:rsid w:val="00CD6DEE"/>
    <w:rsid w:val="00CD7C5B"/>
    <w:rsid w:val="00CD7CED"/>
    <w:rsid w:val="00CE04C7"/>
    <w:rsid w:val="00CE2AC9"/>
    <w:rsid w:val="00CE2AFE"/>
    <w:rsid w:val="00CE5F6F"/>
    <w:rsid w:val="00CE7B14"/>
    <w:rsid w:val="00CF1565"/>
    <w:rsid w:val="00CF156B"/>
    <w:rsid w:val="00CF1E02"/>
    <w:rsid w:val="00CF4BD6"/>
    <w:rsid w:val="00CF597A"/>
    <w:rsid w:val="00D00228"/>
    <w:rsid w:val="00D00DA0"/>
    <w:rsid w:val="00D0103F"/>
    <w:rsid w:val="00D018E0"/>
    <w:rsid w:val="00D03E34"/>
    <w:rsid w:val="00D042CC"/>
    <w:rsid w:val="00D05BAA"/>
    <w:rsid w:val="00D07F26"/>
    <w:rsid w:val="00D11A09"/>
    <w:rsid w:val="00D11BCD"/>
    <w:rsid w:val="00D13B7A"/>
    <w:rsid w:val="00D17FD1"/>
    <w:rsid w:val="00D22C4B"/>
    <w:rsid w:val="00D230C7"/>
    <w:rsid w:val="00D23583"/>
    <w:rsid w:val="00D23E7D"/>
    <w:rsid w:val="00D2405F"/>
    <w:rsid w:val="00D26C71"/>
    <w:rsid w:val="00D30C7F"/>
    <w:rsid w:val="00D32263"/>
    <w:rsid w:val="00D32DFB"/>
    <w:rsid w:val="00D41421"/>
    <w:rsid w:val="00D41998"/>
    <w:rsid w:val="00D41BA9"/>
    <w:rsid w:val="00D44059"/>
    <w:rsid w:val="00D4511A"/>
    <w:rsid w:val="00D4737F"/>
    <w:rsid w:val="00D51813"/>
    <w:rsid w:val="00D52376"/>
    <w:rsid w:val="00D53EE6"/>
    <w:rsid w:val="00D53F04"/>
    <w:rsid w:val="00D612C2"/>
    <w:rsid w:val="00D64D38"/>
    <w:rsid w:val="00D745E0"/>
    <w:rsid w:val="00D7614C"/>
    <w:rsid w:val="00D76AA3"/>
    <w:rsid w:val="00D76E25"/>
    <w:rsid w:val="00D7728A"/>
    <w:rsid w:val="00D80604"/>
    <w:rsid w:val="00D86529"/>
    <w:rsid w:val="00D86A86"/>
    <w:rsid w:val="00D8791E"/>
    <w:rsid w:val="00D9018D"/>
    <w:rsid w:val="00D92438"/>
    <w:rsid w:val="00D9447E"/>
    <w:rsid w:val="00DA0040"/>
    <w:rsid w:val="00DA086B"/>
    <w:rsid w:val="00DA1D7A"/>
    <w:rsid w:val="00DA5E0A"/>
    <w:rsid w:val="00DA6834"/>
    <w:rsid w:val="00DA7145"/>
    <w:rsid w:val="00DA78D8"/>
    <w:rsid w:val="00DA7E05"/>
    <w:rsid w:val="00DB4794"/>
    <w:rsid w:val="00DB5C3E"/>
    <w:rsid w:val="00DB5DC9"/>
    <w:rsid w:val="00DB628E"/>
    <w:rsid w:val="00DC4070"/>
    <w:rsid w:val="00DE1C59"/>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6FE2"/>
    <w:rsid w:val="00E1783C"/>
    <w:rsid w:val="00E17B19"/>
    <w:rsid w:val="00E2339E"/>
    <w:rsid w:val="00E300BB"/>
    <w:rsid w:val="00E31D0A"/>
    <w:rsid w:val="00E3245B"/>
    <w:rsid w:val="00E32DCD"/>
    <w:rsid w:val="00E32DF0"/>
    <w:rsid w:val="00E3707B"/>
    <w:rsid w:val="00E44D64"/>
    <w:rsid w:val="00E50685"/>
    <w:rsid w:val="00E57F6B"/>
    <w:rsid w:val="00E609CE"/>
    <w:rsid w:val="00E6234F"/>
    <w:rsid w:val="00E6284A"/>
    <w:rsid w:val="00E67AC7"/>
    <w:rsid w:val="00E7134F"/>
    <w:rsid w:val="00E7342C"/>
    <w:rsid w:val="00E736E9"/>
    <w:rsid w:val="00E76363"/>
    <w:rsid w:val="00E90BE3"/>
    <w:rsid w:val="00E91374"/>
    <w:rsid w:val="00E91D81"/>
    <w:rsid w:val="00E92BC2"/>
    <w:rsid w:val="00EA010E"/>
    <w:rsid w:val="00EA28AB"/>
    <w:rsid w:val="00EA2EC9"/>
    <w:rsid w:val="00EA6FBF"/>
    <w:rsid w:val="00EB1E33"/>
    <w:rsid w:val="00EB299C"/>
    <w:rsid w:val="00EB4DA6"/>
    <w:rsid w:val="00EB7B0A"/>
    <w:rsid w:val="00EC0881"/>
    <w:rsid w:val="00EC2900"/>
    <w:rsid w:val="00EC74F9"/>
    <w:rsid w:val="00ED13DE"/>
    <w:rsid w:val="00ED1996"/>
    <w:rsid w:val="00ED2843"/>
    <w:rsid w:val="00ED2F55"/>
    <w:rsid w:val="00ED5ED8"/>
    <w:rsid w:val="00EE0C95"/>
    <w:rsid w:val="00EE3F0F"/>
    <w:rsid w:val="00EE6711"/>
    <w:rsid w:val="00EF0199"/>
    <w:rsid w:val="00F0263C"/>
    <w:rsid w:val="00F0402A"/>
    <w:rsid w:val="00F05B6F"/>
    <w:rsid w:val="00F07266"/>
    <w:rsid w:val="00F16313"/>
    <w:rsid w:val="00F1700E"/>
    <w:rsid w:val="00F20820"/>
    <w:rsid w:val="00F20FF1"/>
    <w:rsid w:val="00F233E9"/>
    <w:rsid w:val="00F24317"/>
    <w:rsid w:val="00F27AC7"/>
    <w:rsid w:val="00F32641"/>
    <w:rsid w:val="00F34974"/>
    <w:rsid w:val="00F35457"/>
    <w:rsid w:val="00F3595B"/>
    <w:rsid w:val="00F367F3"/>
    <w:rsid w:val="00F36A26"/>
    <w:rsid w:val="00F40B69"/>
    <w:rsid w:val="00F41F54"/>
    <w:rsid w:val="00F426A6"/>
    <w:rsid w:val="00F429FD"/>
    <w:rsid w:val="00F4623C"/>
    <w:rsid w:val="00F46AD7"/>
    <w:rsid w:val="00F558CB"/>
    <w:rsid w:val="00F56399"/>
    <w:rsid w:val="00F606BB"/>
    <w:rsid w:val="00F70113"/>
    <w:rsid w:val="00F746E3"/>
    <w:rsid w:val="00F76C17"/>
    <w:rsid w:val="00F7709C"/>
    <w:rsid w:val="00F7750A"/>
    <w:rsid w:val="00F80006"/>
    <w:rsid w:val="00F80084"/>
    <w:rsid w:val="00F818A4"/>
    <w:rsid w:val="00F9257D"/>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043138"/>
    <w:rsid w:val="01062ECD"/>
    <w:rsid w:val="01064C9A"/>
    <w:rsid w:val="010F3B4F"/>
    <w:rsid w:val="011253ED"/>
    <w:rsid w:val="01227D26"/>
    <w:rsid w:val="012810B4"/>
    <w:rsid w:val="01436A59"/>
    <w:rsid w:val="014D7AA3"/>
    <w:rsid w:val="0171156E"/>
    <w:rsid w:val="017E6F26"/>
    <w:rsid w:val="01804A4C"/>
    <w:rsid w:val="018114D5"/>
    <w:rsid w:val="018207C5"/>
    <w:rsid w:val="0182157D"/>
    <w:rsid w:val="01875DDB"/>
    <w:rsid w:val="01885C73"/>
    <w:rsid w:val="019B3634"/>
    <w:rsid w:val="01A050EF"/>
    <w:rsid w:val="01A73D87"/>
    <w:rsid w:val="01C55775"/>
    <w:rsid w:val="01CA216C"/>
    <w:rsid w:val="01CF1530"/>
    <w:rsid w:val="01F42D45"/>
    <w:rsid w:val="01FF0067"/>
    <w:rsid w:val="021A09FD"/>
    <w:rsid w:val="023615AF"/>
    <w:rsid w:val="024912E2"/>
    <w:rsid w:val="02581365"/>
    <w:rsid w:val="025A34EF"/>
    <w:rsid w:val="02641C78"/>
    <w:rsid w:val="027D2D3A"/>
    <w:rsid w:val="028B7ABC"/>
    <w:rsid w:val="028C11CF"/>
    <w:rsid w:val="02A258E0"/>
    <w:rsid w:val="02B73990"/>
    <w:rsid w:val="02B96468"/>
    <w:rsid w:val="02BC1AB4"/>
    <w:rsid w:val="02BF3353"/>
    <w:rsid w:val="02CF2F98"/>
    <w:rsid w:val="02D2752A"/>
    <w:rsid w:val="03045209"/>
    <w:rsid w:val="03196F07"/>
    <w:rsid w:val="031E4AAC"/>
    <w:rsid w:val="032338E1"/>
    <w:rsid w:val="033A0C2B"/>
    <w:rsid w:val="03577A2F"/>
    <w:rsid w:val="035937A7"/>
    <w:rsid w:val="035A7415"/>
    <w:rsid w:val="035C5045"/>
    <w:rsid w:val="036D2DAF"/>
    <w:rsid w:val="037E6D6A"/>
    <w:rsid w:val="03BB7FBE"/>
    <w:rsid w:val="03C42FF4"/>
    <w:rsid w:val="03D80B70"/>
    <w:rsid w:val="03E56DE9"/>
    <w:rsid w:val="03F4527E"/>
    <w:rsid w:val="03F92894"/>
    <w:rsid w:val="040770F3"/>
    <w:rsid w:val="041B5ECB"/>
    <w:rsid w:val="043F0BEF"/>
    <w:rsid w:val="04561A95"/>
    <w:rsid w:val="047D72D7"/>
    <w:rsid w:val="049D5915"/>
    <w:rsid w:val="04B14F1D"/>
    <w:rsid w:val="04B52C5F"/>
    <w:rsid w:val="04C9495C"/>
    <w:rsid w:val="04E11CA6"/>
    <w:rsid w:val="04E62E18"/>
    <w:rsid w:val="04F81B62"/>
    <w:rsid w:val="04FB65BC"/>
    <w:rsid w:val="05031C1C"/>
    <w:rsid w:val="05094D59"/>
    <w:rsid w:val="05263B5D"/>
    <w:rsid w:val="0543026B"/>
    <w:rsid w:val="055C30DB"/>
    <w:rsid w:val="056D52E8"/>
    <w:rsid w:val="057166D8"/>
    <w:rsid w:val="057C19CF"/>
    <w:rsid w:val="05831454"/>
    <w:rsid w:val="058761A0"/>
    <w:rsid w:val="059A3C03"/>
    <w:rsid w:val="05B51333"/>
    <w:rsid w:val="05BC1DCB"/>
    <w:rsid w:val="05CB200E"/>
    <w:rsid w:val="05EB00C3"/>
    <w:rsid w:val="05EE467B"/>
    <w:rsid w:val="05EF21A1"/>
    <w:rsid w:val="05F23A3F"/>
    <w:rsid w:val="05FD1662"/>
    <w:rsid w:val="06190FCC"/>
    <w:rsid w:val="063F3B40"/>
    <w:rsid w:val="064047AA"/>
    <w:rsid w:val="06540256"/>
    <w:rsid w:val="06622973"/>
    <w:rsid w:val="066B5CCB"/>
    <w:rsid w:val="066C559F"/>
    <w:rsid w:val="06712BB6"/>
    <w:rsid w:val="067A5F0E"/>
    <w:rsid w:val="06840641"/>
    <w:rsid w:val="06896151"/>
    <w:rsid w:val="06C76C7A"/>
    <w:rsid w:val="06C8671D"/>
    <w:rsid w:val="06D66EBD"/>
    <w:rsid w:val="06EE2458"/>
    <w:rsid w:val="06FC2DC7"/>
    <w:rsid w:val="070677A2"/>
    <w:rsid w:val="071A324D"/>
    <w:rsid w:val="071A4FFB"/>
    <w:rsid w:val="072916E2"/>
    <w:rsid w:val="072B271B"/>
    <w:rsid w:val="07300CC3"/>
    <w:rsid w:val="07397B77"/>
    <w:rsid w:val="07520C39"/>
    <w:rsid w:val="07550729"/>
    <w:rsid w:val="075F6EB2"/>
    <w:rsid w:val="07602C49"/>
    <w:rsid w:val="076F023F"/>
    <w:rsid w:val="07805F5A"/>
    <w:rsid w:val="078132CC"/>
    <w:rsid w:val="0797664C"/>
    <w:rsid w:val="07996868"/>
    <w:rsid w:val="07A01A8C"/>
    <w:rsid w:val="07AA728C"/>
    <w:rsid w:val="07C03DF5"/>
    <w:rsid w:val="07C21C4C"/>
    <w:rsid w:val="07CD4D00"/>
    <w:rsid w:val="07E04497"/>
    <w:rsid w:val="07E13D6B"/>
    <w:rsid w:val="07F12200"/>
    <w:rsid w:val="07FF744E"/>
    <w:rsid w:val="080261BB"/>
    <w:rsid w:val="080829BC"/>
    <w:rsid w:val="081D4EDF"/>
    <w:rsid w:val="0823486A"/>
    <w:rsid w:val="082D0D5E"/>
    <w:rsid w:val="08395955"/>
    <w:rsid w:val="083B791F"/>
    <w:rsid w:val="08406399"/>
    <w:rsid w:val="08412CE0"/>
    <w:rsid w:val="08487F22"/>
    <w:rsid w:val="08493DEA"/>
    <w:rsid w:val="085D3A13"/>
    <w:rsid w:val="085E53BC"/>
    <w:rsid w:val="085F360E"/>
    <w:rsid w:val="08674270"/>
    <w:rsid w:val="0878022B"/>
    <w:rsid w:val="087B41C0"/>
    <w:rsid w:val="089A4646"/>
    <w:rsid w:val="08AC299F"/>
    <w:rsid w:val="08AF5C17"/>
    <w:rsid w:val="08CD6EE3"/>
    <w:rsid w:val="08CE0793"/>
    <w:rsid w:val="08FE77F2"/>
    <w:rsid w:val="0906705B"/>
    <w:rsid w:val="09150170"/>
    <w:rsid w:val="0935611C"/>
    <w:rsid w:val="09371E95"/>
    <w:rsid w:val="09383E5F"/>
    <w:rsid w:val="095270BF"/>
    <w:rsid w:val="0958005D"/>
    <w:rsid w:val="095F2A73"/>
    <w:rsid w:val="09774987"/>
    <w:rsid w:val="09862E1C"/>
    <w:rsid w:val="09A43FF4"/>
    <w:rsid w:val="09BE25B6"/>
    <w:rsid w:val="09C94B9B"/>
    <w:rsid w:val="09DC14C7"/>
    <w:rsid w:val="09E33DCA"/>
    <w:rsid w:val="09F71624"/>
    <w:rsid w:val="09F75AC8"/>
    <w:rsid w:val="0A1246B0"/>
    <w:rsid w:val="0A470CEC"/>
    <w:rsid w:val="0A4A3E4A"/>
    <w:rsid w:val="0A4F76B2"/>
    <w:rsid w:val="0A670558"/>
    <w:rsid w:val="0A682522"/>
    <w:rsid w:val="0A6C237D"/>
    <w:rsid w:val="0A782765"/>
    <w:rsid w:val="0AAE43D8"/>
    <w:rsid w:val="0ABF65E6"/>
    <w:rsid w:val="0AE47DFA"/>
    <w:rsid w:val="0AF52007"/>
    <w:rsid w:val="0AFA13CC"/>
    <w:rsid w:val="0B0E5232"/>
    <w:rsid w:val="0B116715"/>
    <w:rsid w:val="0B204BAA"/>
    <w:rsid w:val="0B212DFC"/>
    <w:rsid w:val="0B261DB7"/>
    <w:rsid w:val="0B291CB1"/>
    <w:rsid w:val="0B2C47E2"/>
    <w:rsid w:val="0B325009"/>
    <w:rsid w:val="0B36617C"/>
    <w:rsid w:val="0B3B3792"/>
    <w:rsid w:val="0B41349E"/>
    <w:rsid w:val="0B41524D"/>
    <w:rsid w:val="0B4B7E79"/>
    <w:rsid w:val="0B696551"/>
    <w:rsid w:val="0B6D27A1"/>
    <w:rsid w:val="0B731A1D"/>
    <w:rsid w:val="0B7C44D7"/>
    <w:rsid w:val="0B89019A"/>
    <w:rsid w:val="0B8D16A0"/>
    <w:rsid w:val="0BA15CEB"/>
    <w:rsid w:val="0BBC0D77"/>
    <w:rsid w:val="0BC14CD6"/>
    <w:rsid w:val="0BC419DA"/>
    <w:rsid w:val="0BCD6AE0"/>
    <w:rsid w:val="0BD53976"/>
    <w:rsid w:val="0BD936D7"/>
    <w:rsid w:val="0BF30382"/>
    <w:rsid w:val="0BFE313E"/>
    <w:rsid w:val="0C1F4E62"/>
    <w:rsid w:val="0C3E79DE"/>
    <w:rsid w:val="0C4D013D"/>
    <w:rsid w:val="0C540FAF"/>
    <w:rsid w:val="0C7E7DDA"/>
    <w:rsid w:val="0C832815"/>
    <w:rsid w:val="0C870F80"/>
    <w:rsid w:val="0C915682"/>
    <w:rsid w:val="0C9D33BF"/>
    <w:rsid w:val="0CA77331"/>
    <w:rsid w:val="0CB33F28"/>
    <w:rsid w:val="0CB437FC"/>
    <w:rsid w:val="0CC46135"/>
    <w:rsid w:val="0CC872A8"/>
    <w:rsid w:val="0CD10852"/>
    <w:rsid w:val="0CE340E1"/>
    <w:rsid w:val="0CE9794A"/>
    <w:rsid w:val="0D026C5D"/>
    <w:rsid w:val="0D180B0A"/>
    <w:rsid w:val="0D3A01A5"/>
    <w:rsid w:val="0D3D5EE8"/>
    <w:rsid w:val="0D466B4A"/>
    <w:rsid w:val="0D501777"/>
    <w:rsid w:val="0D6945E7"/>
    <w:rsid w:val="0D6B035F"/>
    <w:rsid w:val="0D6B65B1"/>
    <w:rsid w:val="0D7A12B9"/>
    <w:rsid w:val="0D7D4536"/>
    <w:rsid w:val="0D86163D"/>
    <w:rsid w:val="0D9013FA"/>
    <w:rsid w:val="0D951880"/>
    <w:rsid w:val="0DA73361"/>
    <w:rsid w:val="0DE3083D"/>
    <w:rsid w:val="0DEB4F48"/>
    <w:rsid w:val="0DFF4F4B"/>
    <w:rsid w:val="0E0662D9"/>
    <w:rsid w:val="0E172295"/>
    <w:rsid w:val="0E250E55"/>
    <w:rsid w:val="0E464928"/>
    <w:rsid w:val="0E486C7E"/>
    <w:rsid w:val="0E5928AD"/>
    <w:rsid w:val="0E5B6E42"/>
    <w:rsid w:val="0E5C05EF"/>
    <w:rsid w:val="0E642D2B"/>
    <w:rsid w:val="0E697251"/>
    <w:rsid w:val="0E6B25E0"/>
    <w:rsid w:val="0E947D89"/>
    <w:rsid w:val="0EA31D7A"/>
    <w:rsid w:val="0EBD108E"/>
    <w:rsid w:val="0EC248F6"/>
    <w:rsid w:val="0EC817E1"/>
    <w:rsid w:val="0EC82A4F"/>
    <w:rsid w:val="0EC95C85"/>
    <w:rsid w:val="0ED308B1"/>
    <w:rsid w:val="0EDE2DB2"/>
    <w:rsid w:val="0EFC1FA5"/>
    <w:rsid w:val="0F1D7D7F"/>
    <w:rsid w:val="0F2478E6"/>
    <w:rsid w:val="0F30117A"/>
    <w:rsid w:val="0F470958"/>
    <w:rsid w:val="0F543075"/>
    <w:rsid w:val="0F655282"/>
    <w:rsid w:val="0F6D575B"/>
    <w:rsid w:val="0F8B4CE8"/>
    <w:rsid w:val="0F9022FF"/>
    <w:rsid w:val="0F953C81"/>
    <w:rsid w:val="0FA1275E"/>
    <w:rsid w:val="0FB12275"/>
    <w:rsid w:val="0FB71F81"/>
    <w:rsid w:val="0FBA55CD"/>
    <w:rsid w:val="0FBE7AE4"/>
    <w:rsid w:val="0FBF2BE4"/>
    <w:rsid w:val="0FC24482"/>
    <w:rsid w:val="0FCD3D31"/>
    <w:rsid w:val="0FD03043"/>
    <w:rsid w:val="0FD61CDB"/>
    <w:rsid w:val="0FF00FEF"/>
    <w:rsid w:val="1002420A"/>
    <w:rsid w:val="10055022"/>
    <w:rsid w:val="10101691"/>
    <w:rsid w:val="10142A71"/>
    <w:rsid w:val="10155B3B"/>
    <w:rsid w:val="10234F21"/>
    <w:rsid w:val="10394744"/>
    <w:rsid w:val="104650B3"/>
    <w:rsid w:val="105E23FD"/>
    <w:rsid w:val="1061079A"/>
    <w:rsid w:val="10613C9B"/>
    <w:rsid w:val="10802373"/>
    <w:rsid w:val="108871AD"/>
    <w:rsid w:val="108C6F6A"/>
    <w:rsid w:val="1097590F"/>
    <w:rsid w:val="10BF5108"/>
    <w:rsid w:val="10CC380A"/>
    <w:rsid w:val="10DD77C5"/>
    <w:rsid w:val="10EC17B7"/>
    <w:rsid w:val="110D797F"/>
    <w:rsid w:val="11186A50"/>
    <w:rsid w:val="11196324"/>
    <w:rsid w:val="111B02EE"/>
    <w:rsid w:val="112C42A9"/>
    <w:rsid w:val="1134315E"/>
    <w:rsid w:val="11380C28"/>
    <w:rsid w:val="11407D54"/>
    <w:rsid w:val="11427629"/>
    <w:rsid w:val="114E0946"/>
    <w:rsid w:val="115049F7"/>
    <w:rsid w:val="115D6B49"/>
    <w:rsid w:val="116D4627"/>
    <w:rsid w:val="11716160"/>
    <w:rsid w:val="117A3266"/>
    <w:rsid w:val="118A5A9B"/>
    <w:rsid w:val="119D0D03"/>
    <w:rsid w:val="11C97D4A"/>
    <w:rsid w:val="11CB1D14"/>
    <w:rsid w:val="11E626AA"/>
    <w:rsid w:val="12137217"/>
    <w:rsid w:val="12372F05"/>
    <w:rsid w:val="123C49C0"/>
    <w:rsid w:val="124B1394"/>
    <w:rsid w:val="12744159"/>
    <w:rsid w:val="1277358D"/>
    <w:rsid w:val="128A572B"/>
    <w:rsid w:val="128E407F"/>
    <w:rsid w:val="129409F9"/>
    <w:rsid w:val="129D0E16"/>
    <w:rsid w:val="12A367ED"/>
    <w:rsid w:val="12AF6F40"/>
    <w:rsid w:val="12B02CB8"/>
    <w:rsid w:val="12B66520"/>
    <w:rsid w:val="12CB3EE4"/>
    <w:rsid w:val="12DB5F87"/>
    <w:rsid w:val="12E65D92"/>
    <w:rsid w:val="12EA441C"/>
    <w:rsid w:val="12EC1F42"/>
    <w:rsid w:val="12F108A0"/>
    <w:rsid w:val="130B7EEE"/>
    <w:rsid w:val="13286CF2"/>
    <w:rsid w:val="134E6A3B"/>
    <w:rsid w:val="13651CF4"/>
    <w:rsid w:val="136C3083"/>
    <w:rsid w:val="13702B73"/>
    <w:rsid w:val="13737F6D"/>
    <w:rsid w:val="13760AF9"/>
    <w:rsid w:val="13771DFE"/>
    <w:rsid w:val="139A199E"/>
    <w:rsid w:val="13A520F1"/>
    <w:rsid w:val="13BC5DB8"/>
    <w:rsid w:val="13C94031"/>
    <w:rsid w:val="13DE7224"/>
    <w:rsid w:val="13F310AE"/>
    <w:rsid w:val="13F84916"/>
    <w:rsid w:val="13FA243C"/>
    <w:rsid w:val="14321BD6"/>
    <w:rsid w:val="143E4A1F"/>
    <w:rsid w:val="144E4536"/>
    <w:rsid w:val="145F6743"/>
    <w:rsid w:val="14700951"/>
    <w:rsid w:val="147A5E14"/>
    <w:rsid w:val="14863468"/>
    <w:rsid w:val="14A625C4"/>
    <w:rsid w:val="14A95C11"/>
    <w:rsid w:val="14B33D84"/>
    <w:rsid w:val="14BF0AA4"/>
    <w:rsid w:val="14C36CD2"/>
    <w:rsid w:val="14EE28E4"/>
    <w:rsid w:val="14F31E50"/>
    <w:rsid w:val="14F447EE"/>
    <w:rsid w:val="14FB646C"/>
    <w:rsid w:val="14FF1771"/>
    <w:rsid w:val="150D3199"/>
    <w:rsid w:val="1510411E"/>
    <w:rsid w:val="151439D2"/>
    <w:rsid w:val="15231751"/>
    <w:rsid w:val="15233C15"/>
    <w:rsid w:val="153B0F5F"/>
    <w:rsid w:val="154D0C92"/>
    <w:rsid w:val="155D099A"/>
    <w:rsid w:val="156D6C3E"/>
    <w:rsid w:val="15724254"/>
    <w:rsid w:val="15836462"/>
    <w:rsid w:val="15891CCA"/>
    <w:rsid w:val="158F12AA"/>
    <w:rsid w:val="15A70F0F"/>
    <w:rsid w:val="15AB651B"/>
    <w:rsid w:val="15B66837"/>
    <w:rsid w:val="15C14137"/>
    <w:rsid w:val="15CF79D4"/>
    <w:rsid w:val="15D867AD"/>
    <w:rsid w:val="15DB706A"/>
    <w:rsid w:val="15E52C78"/>
    <w:rsid w:val="15F15EE9"/>
    <w:rsid w:val="15F5110D"/>
    <w:rsid w:val="15F80BFE"/>
    <w:rsid w:val="15FF1F8C"/>
    <w:rsid w:val="162D31F8"/>
    <w:rsid w:val="163B60AC"/>
    <w:rsid w:val="164120F7"/>
    <w:rsid w:val="166F1ADC"/>
    <w:rsid w:val="1672275E"/>
    <w:rsid w:val="16866209"/>
    <w:rsid w:val="16907088"/>
    <w:rsid w:val="16B32D77"/>
    <w:rsid w:val="16B40FC8"/>
    <w:rsid w:val="16C805D0"/>
    <w:rsid w:val="16C94348"/>
    <w:rsid w:val="16E3540A"/>
    <w:rsid w:val="16E6314C"/>
    <w:rsid w:val="16EE7E2B"/>
    <w:rsid w:val="1706734A"/>
    <w:rsid w:val="17076D19"/>
    <w:rsid w:val="17084E70"/>
    <w:rsid w:val="170A0BE8"/>
    <w:rsid w:val="17190E2C"/>
    <w:rsid w:val="171952CF"/>
    <w:rsid w:val="17235FC3"/>
    <w:rsid w:val="172779EC"/>
    <w:rsid w:val="172B0B5F"/>
    <w:rsid w:val="172B6DB1"/>
    <w:rsid w:val="174452FC"/>
    <w:rsid w:val="175E3962"/>
    <w:rsid w:val="176D7A6E"/>
    <w:rsid w:val="17802C1E"/>
    <w:rsid w:val="17A1211B"/>
    <w:rsid w:val="17B86896"/>
    <w:rsid w:val="17C23271"/>
    <w:rsid w:val="17C36FE9"/>
    <w:rsid w:val="17C90A93"/>
    <w:rsid w:val="17C92852"/>
    <w:rsid w:val="17CC40F0"/>
    <w:rsid w:val="17DD00AB"/>
    <w:rsid w:val="17EA592D"/>
    <w:rsid w:val="182E6B59"/>
    <w:rsid w:val="184A37E9"/>
    <w:rsid w:val="185F4F64"/>
    <w:rsid w:val="186A4292"/>
    <w:rsid w:val="186E46F2"/>
    <w:rsid w:val="18814EDA"/>
    <w:rsid w:val="18842C1C"/>
    <w:rsid w:val="18AE68FA"/>
    <w:rsid w:val="18BC23B6"/>
    <w:rsid w:val="18C56B80"/>
    <w:rsid w:val="18C66D91"/>
    <w:rsid w:val="18CF0E1C"/>
    <w:rsid w:val="18DA283C"/>
    <w:rsid w:val="18E90EEB"/>
    <w:rsid w:val="18ED6A14"/>
    <w:rsid w:val="18ED7A84"/>
    <w:rsid w:val="18F2531A"/>
    <w:rsid w:val="18F733EE"/>
    <w:rsid w:val="18FD04DE"/>
    <w:rsid w:val="190F0CF7"/>
    <w:rsid w:val="19121FD6"/>
    <w:rsid w:val="192561AE"/>
    <w:rsid w:val="19287A4C"/>
    <w:rsid w:val="192C1C52"/>
    <w:rsid w:val="193A32DB"/>
    <w:rsid w:val="19410B0E"/>
    <w:rsid w:val="197D7D98"/>
    <w:rsid w:val="199E386A"/>
    <w:rsid w:val="19BB266E"/>
    <w:rsid w:val="19BE7C49"/>
    <w:rsid w:val="19C37774"/>
    <w:rsid w:val="19D07778"/>
    <w:rsid w:val="19D159ED"/>
    <w:rsid w:val="19DD4C15"/>
    <w:rsid w:val="19E24986"/>
    <w:rsid w:val="19EE47F1"/>
    <w:rsid w:val="19F811CC"/>
    <w:rsid w:val="19FE07AD"/>
    <w:rsid w:val="1A073B05"/>
    <w:rsid w:val="1A0D279E"/>
    <w:rsid w:val="1A1F2BFD"/>
    <w:rsid w:val="1A2453EF"/>
    <w:rsid w:val="1A277D03"/>
    <w:rsid w:val="1A4C65B4"/>
    <w:rsid w:val="1A543B20"/>
    <w:rsid w:val="1A5605E9"/>
    <w:rsid w:val="1A691CF7"/>
    <w:rsid w:val="1A7D3DC7"/>
    <w:rsid w:val="1A954C6D"/>
    <w:rsid w:val="1AA2382E"/>
    <w:rsid w:val="1ABD2CAF"/>
    <w:rsid w:val="1AC75042"/>
    <w:rsid w:val="1ADF413A"/>
    <w:rsid w:val="1AE856E5"/>
    <w:rsid w:val="1AF239F3"/>
    <w:rsid w:val="1AFA0F74"/>
    <w:rsid w:val="1B0E4A1F"/>
    <w:rsid w:val="1B650AE3"/>
    <w:rsid w:val="1B656E28"/>
    <w:rsid w:val="1B721452"/>
    <w:rsid w:val="1B867431"/>
    <w:rsid w:val="1B8C6F40"/>
    <w:rsid w:val="1B9238A2"/>
    <w:rsid w:val="1BA62EAA"/>
    <w:rsid w:val="1BAB77F5"/>
    <w:rsid w:val="1BDF4C58"/>
    <w:rsid w:val="1BFE2CE6"/>
    <w:rsid w:val="1C0C0BA2"/>
    <w:rsid w:val="1C0C6595"/>
    <w:rsid w:val="1C13053F"/>
    <w:rsid w:val="1C220782"/>
    <w:rsid w:val="1C2362A8"/>
    <w:rsid w:val="1C255E3A"/>
    <w:rsid w:val="1C273FEB"/>
    <w:rsid w:val="1C2A7637"/>
    <w:rsid w:val="1C4C3A51"/>
    <w:rsid w:val="1C56667E"/>
    <w:rsid w:val="1C623423"/>
    <w:rsid w:val="1C6B65AE"/>
    <w:rsid w:val="1C762B41"/>
    <w:rsid w:val="1C780324"/>
    <w:rsid w:val="1C7B376E"/>
    <w:rsid w:val="1C850D11"/>
    <w:rsid w:val="1C8C6544"/>
    <w:rsid w:val="1C93342E"/>
    <w:rsid w:val="1C974B8B"/>
    <w:rsid w:val="1C9D605B"/>
    <w:rsid w:val="1CA078F9"/>
    <w:rsid w:val="1CB87339"/>
    <w:rsid w:val="1CC21F65"/>
    <w:rsid w:val="1CCC4B92"/>
    <w:rsid w:val="1CD221A8"/>
    <w:rsid w:val="1CD777BF"/>
    <w:rsid w:val="1CF163A7"/>
    <w:rsid w:val="1D04432C"/>
    <w:rsid w:val="1D047E88"/>
    <w:rsid w:val="1D091942"/>
    <w:rsid w:val="1D09303E"/>
    <w:rsid w:val="1D0E163B"/>
    <w:rsid w:val="1D1366FC"/>
    <w:rsid w:val="1D152095"/>
    <w:rsid w:val="1D271DC8"/>
    <w:rsid w:val="1D577257"/>
    <w:rsid w:val="1D644DCB"/>
    <w:rsid w:val="1D69418F"/>
    <w:rsid w:val="1D801C31"/>
    <w:rsid w:val="1DA76336"/>
    <w:rsid w:val="1DA90A2F"/>
    <w:rsid w:val="1DAA074C"/>
    <w:rsid w:val="1DAB29F9"/>
    <w:rsid w:val="1DB4365C"/>
    <w:rsid w:val="1DD133BA"/>
    <w:rsid w:val="1DDE2DCF"/>
    <w:rsid w:val="1DE43E33"/>
    <w:rsid w:val="1DF61EC7"/>
    <w:rsid w:val="1DF75C3F"/>
    <w:rsid w:val="1DF95513"/>
    <w:rsid w:val="1E042F6C"/>
    <w:rsid w:val="1E135668"/>
    <w:rsid w:val="1E220F0E"/>
    <w:rsid w:val="1E2702D2"/>
    <w:rsid w:val="1E346A6F"/>
    <w:rsid w:val="1E3824DF"/>
    <w:rsid w:val="1E8E20FF"/>
    <w:rsid w:val="1E962389"/>
    <w:rsid w:val="1EA90CE7"/>
    <w:rsid w:val="1EB37DB8"/>
    <w:rsid w:val="1EBB2A09"/>
    <w:rsid w:val="1EC75611"/>
    <w:rsid w:val="1EC975DB"/>
    <w:rsid w:val="1EE14925"/>
    <w:rsid w:val="1EF34658"/>
    <w:rsid w:val="1EF67CA4"/>
    <w:rsid w:val="1F446C62"/>
    <w:rsid w:val="1F4D303B"/>
    <w:rsid w:val="1F4E188E"/>
    <w:rsid w:val="1F5642E7"/>
    <w:rsid w:val="1F666BD8"/>
    <w:rsid w:val="1F6B0692"/>
    <w:rsid w:val="1F6E7DEB"/>
    <w:rsid w:val="1F6F6DDD"/>
    <w:rsid w:val="1F8D0609"/>
    <w:rsid w:val="1F901EA7"/>
    <w:rsid w:val="1F9B6F21"/>
    <w:rsid w:val="1F9C4CF0"/>
    <w:rsid w:val="1F9C6A9E"/>
    <w:rsid w:val="1FA94D17"/>
    <w:rsid w:val="1FCB27B8"/>
    <w:rsid w:val="1FD42C24"/>
    <w:rsid w:val="1FED72F9"/>
    <w:rsid w:val="1FF73CD4"/>
    <w:rsid w:val="20052895"/>
    <w:rsid w:val="20054643"/>
    <w:rsid w:val="20315438"/>
    <w:rsid w:val="2039253E"/>
    <w:rsid w:val="2059673D"/>
    <w:rsid w:val="205B27D3"/>
    <w:rsid w:val="2063744D"/>
    <w:rsid w:val="20670E5A"/>
    <w:rsid w:val="207703BB"/>
    <w:rsid w:val="20831A0C"/>
    <w:rsid w:val="20987265"/>
    <w:rsid w:val="20A0611A"/>
    <w:rsid w:val="20A67B9D"/>
    <w:rsid w:val="20B47E17"/>
    <w:rsid w:val="20BB73F7"/>
    <w:rsid w:val="20C37B0C"/>
    <w:rsid w:val="20F546B7"/>
    <w:rsid w:val="211D59BC"/>
    <w:rsid w:val="21224147"/>
    <w:rsid w:val="212E5E1B"/>
    <w:rsid w:val="21350F58"/>
    <w:rsid w:val="213D22F1"/>
    <w:rsid w:val="214964AC"/>
    <w:rsid w:val="215A09BE"/>
    <w:rsid w:val="215A276C"/>
    <w:rsid w:val="21703D3E"/>
    <w:rsid w:val="21750D9C"/>
    <w:rsid w:val="21811B2E"/>
    <w:rsid w:val="21815F4B"/>
    <w:rsid w:val="21864056"/>
    <w:rsid w:val="219B761A"/>
    <w:rsid w:val="21A07893"/>
    <w:rsid w:val="21A12149"/>
    <w:rsid w:val="21A954A2"/>
    <w:rsid w:val="21B01D92"/>
    <w:rsid w:val="21B46321"/>
    <w:rsid w:val="21BE719F"/>
    <w:rsid w:val="21C347B6"/>
    <w:rsid w:val="21E64000"/>
    <w:rsid w:val="21EB7868"/>
    <w:rsid w:val="22383A9E"/>
    <w:rsid w:val="22576CAC"/>
    <w:rsid w:val="225D0766"/>
    <w:rsid w:val="226F7696"/>
    <w:rsid w:val="228201CD"/>
    <w:rsid w:val="229B303C"/>
    <w:rsid w:val="229D6DB5"/>
    <w:rsid w:val="22B578FD"/>
    <w:rsid w:val="22EF06DF"/>
    <w:rsid w:val="22F64717"/>
    <w:rsid w:val="22FE333A"/>
    <w:rsid w:val="23061C85"/>
    <w:rsid w:val="2309269C"/>
    <w:rsid w:val="230E1A60"/>
    <w:rsid w:val="230F4B13"/>
    <w:rsid w:val="231132FF"/>
    <w:rsid w:val="23144B9D"/>
    <w:rsid w:val="23337719"/>
    <w:rsid w:val="23342B1D"/>
    <w:rsid w:val="23356FED"/>
    <w:rsid w:val="234A3673"/>
    <w:rsid w:val="234B6811"/>
    <w:rsid w:val="235F050E"/>
    <w:rsid w:val="23700025"/>
    <w:rsid w:val="237A5348"/>
    <w:rsid w:val="23825FAA"/>
    <w:rsid w:val="23843AD1"/>
    <w:rsid w:val="23A06601"/>
    <w:rsid w:val="23A45F21"/>
    <w:rsid w:val="23B56380"/>
    <w:rsid w:val="23B76226"/>
    <w:rsid w:val="23D507D0"/>
    <w:rsid w:val="23DD1433"/>
    <w:rsid w:val="23F52C20"/>
    <w:rsid w:val="23FA3D93"/>
    <w:rsid w:val="23FE3883"/>
    <w:rsid w:val="23FF584D"/>
    <w:rsid w:val="240D3AC6"/>
    <w:rsid w:val="245142FB"/>
    <w:rsid w:val="24561911"/>
    <w:rsid w:val="249441E7"/>
    <w:rsid w:val="24967F5F"/>
    <w:rsid w:val="24AA57B9"/>
    <w:rsid w:val="24B73BCA"/>
    <w:rsid w:val="24B93C4E"/>
    <w:rsid w:val="24D32F62"/>
    <w:rsid w:val="24D9609E"/>
    <w:rsid w:val="24EA02AB"/>
    <w:rsid w:val="25001A40"/>
    <w:rsid w:val="25015B27"/>
    <w:rsid w:val="25021151"/>
    <w:rsid w:val="250C0222"/>
    <w:rsid w:val="25203CCD"/>
    <w:rsid w:val="252E63EA"/>
    <w:rsid w:val="254672A4"/>
    <w:rsid w:val="254E083A"/>
    <w:rsid w:val="255A0F8D"/>
    <w:rsid w:val="256B13EC"/>
    <w:rsid w:val="258E69A4"/>
    <w:rsid w:val="25983D9C"/>
    <w:rsid w:val="25A8529C"/>
    <w:rsid w:val="25BC39F6"/>
    <w:rsid w:val="25C26B32"/>
    <w:rsid w:val="25D52D09"/>
    <w:rsid w:val="25D6738E"/>
    <w:rsid w:val="25E46AA9"/>
    <w:rsid w:val="25FC2044"/>
    <w:rsid w:val="25FC3DF2"/>
    <w:rsid w:val="26050DF8"/>
    <w:rsid w:val="2613738E"/>
    <w:rsid w:val="261465EB"/>
    <w:rsid w:val="26170C2C"/>
    <w:rsid w:val="26211AAB"/>
    <w:rsid w:val="26541E80"/>
    <w:rsid w:val="265F25D3"/>
    <w:rsid w:val="26661BB3"/>
    <w:rsid w:val="26694895"/>
    <w:rsid w:val="266B541C"/>
    <w:rsid w:val="26751DF6"/>
    <w:rsid w:val="26753BA5"/>
    <w:rsid w:val="2678382B"/>
    <w:rsid w:val="26795443"/>
    <w:rsid w:val="26946721"/>
    <w:rsid w:val="269C0568"/>
    <w:rsid w:val="26B446CD"/>
    <w:rsid w:val="26DE0FD1"/>
    <w:rsid w:val="26E34FB2"/>
    <w:rsid w:val="26EB3B6A"/>
    <w:rsid w:val="26F30BD9"/>
    <w:rsid w:val="26F64CE5"/>
    <w:rsid w:val="26F66678"/>
    <w:rsid w:val="27003DB6"/>
    <w:rsid w:val="2705317A"/>
    <w:rsid w:val="27160EE4"/>
    <w:rsid w:val="27202D3F"/>
    <w:rsid w:val="27231852"/>
    <w:rsid w:val="27280C17"/>
    <w:rsid w:val="2729330D"/>
    <w:rsid w:val="27321A96"/>
    <w:rsid w:val="273B4DEE"/>
    <w:rsid w:val="274A6DDF"/>
    <w:rsid w:val="27547C5E"/>
    <w:rsid w:val="27605F57"/>
    <w:rsid w:val="27636091"/>
    <w:rsid w:val="276E08C0"/>
    <w:rsid w:val="277811CF"/>
    <w:rsid w:val="277F117F"/>
    <w:rsid w:val="27814EF7"/>
    <w:rsid w:val="278422F1"/>
    <w:rsid w:val="27A02EA3"/>
    <w:rsid w:val="27A97FAA"/>
    <w:rsid w:val="27AA5AD0"/>
    <w:rsid w:val="27C46B92"/>
    <w:rsid w:val="27E62FAC"/>
    <w:rsid w:val="27E92A9C"/>
    <w:rsid w:val="27F136FF"/>
    <w:rsid w:val="27FB02D5"/>
    <w:rsid w:val="2805621D"/>
    <w:rsid w:val="280E42B1"/>
    <w:rsid w:val="281444A5"/>
    <w:rsid w:val="282028E2"/>
    <w:rsid w:val="282835C4"/>
    <w:rsid w:val="28370309"/>
    <w:rsid w:val="283C0E1E"/>
    <w:rsid w:val="284D6B87"/>
    <w:rsid w:val="285A12A4"/>
    <w:rsid w:val="285F2D5E"/>
    <w:rsid w:val="28776B74"/>
    <w:rsid w:val="288051AE"/>
    <w:rsid w:val="288307FB"/>
    <w:rsid w:val="288A7DDB"/>
    <w:rsid w:val="2892191C"/>
    <w:rsid w:val="28944638"/>
    <w:rsid w:val="28976054"/>
    <w:rsid w:val="289A78F2"/>
    <w:rsid w:val="28A938B5"/>
    <w:rsid w:val="28C773D2"/>
    <w:rsid w:val="28CF3A40"/>
    <w:rsid w:val="28D7758E"/>
    <w:rsid w:val="28DB0E17"/>
    <w:rsid w:val="28DC7F0B"/>
    <w:rsid w:val="28E868B0"/>
    <w:rsid w:val="28ED67B2"/>
    <w:rsid w:val="28F17E5A"/>
    <w:rsid w:val="28FE2577"/>
    <w:rsid w:val="28FF7D52"/>
    <w:rsid w:val="29015BC3"/>
    <w:rsid w:val="290851A4"/>
    <w:rsid w:val="291E49C7"/>
    <w:rsid w:val="29215AB9"/>
    <w:rsid w:val="29261BE1"/>
    <w:rsid w:val="294471C1"/>
    <w:rsid w:val="29480D4F"/>
    <w:rsid w:val="294C45CE"/>
    <w:rsid w:val="296D7293"/>
    <w:rsid w:val="297840D8"/>
    <w:rsid w:val="29826D04"/>
    <w:rsid w:val="2984482A"/>
    <w:rsid w:val="2987431B"/>
    <w:rsid w:val="298760C9"/>
    <w:rsid w:val="29947575"/>
    <w:rsid w:val="299F1664"/>
    <w:rsid w:val="29A22DDE"/>
    <w:rsid w:val="29A22F02"/>
    <w:rsid w:val="29A30A29"/>
    <w:rsid w:val="29D37560"/>
    <w:rsid w:val="29E057D9"/>
    <w:rsid w:val="29F574D6"/>
    <w:rsid w:val="2A0A0E9F"/>
    <w:rsid w:val="2A0C2A72"/>
    <w:rsid w:val="2A1A302B"/>
    <w:rsid w:val="2A225DF1"/>
    <w:rsid w:val="2A2658E2"/>
    <w:rsid w:val="2A422DA8"/>
    <w:rsid w:val="2A4D09BA"/>
    <w:rsid w:val="2A5E32CD"/>
    <w:rsid w:val="2A6D37AC"/>
    <w:rsid w:val="2A7A4F72"/>
    <w:rsid w:val="2A7A5C2D"/>
    <w:rsid w:val="2A950CB9"/>
    <w:rsid w:val="2AA01F44"/>
    <w:rsid w:val="2AA76E09"/>
    <w:rsid w:val="2AAF1D7B"/>
    <w:rsid w:val="2ABB0720"/>
    <w:rsid w:val="2AD33BC8"/>
    <w:rsid w:val="2AD43590"/>
    <w:rsid w:val="2AD74E2E"/>
    <w:rsid w:val="2ADE7F6A"/>
    <w:rsid w:val="2B035C23"/>
    <w:rsid w:val="2B090037"/>
    <w:rsid w:val="2B0A0D5F"/>
    <w:rsid w:val="2B0F6C93"/>
    <w:rsid w:val="2B215521"/>
    <w:rsid w:val="2B3269EC"/>
    <w:rsid w:val="2B346F24"/>
    <w:rsid w:val="2B367DA6"/>
    <w:rsid w:val="2B3E30FF"/>
    <w:rsid w:val="2B6568DD"/>
    <w:rsid w:val="2B74267D"/>
    <w:rsid w:val="2BC453B2"/>
    <w:rsid w:val="2BC8214C"/>
    <w:rsid w:val="2BD53DFD"/>
    <w:rsid w:val="2BDA4BD6"/>
    <w:rsid w:val="2BE315B0"/>
    <w:rsid w:val="2BF612E4"/>
    <w:rsid w:val="2BFB2D9E"/>
    <w:rsid w:val="2C0E2AD1"/>
    <w:rsid w:val="2C1874AC"/>
    <w:rsid w:val="2C1D2D14"/>
    <w:rsid w:val="2C1F4CDE"/>
    <w:rsid w:val="2C2045B2"/>
    <w:rsid w:val="2C22032B"/>
    <w:rsid w:val="2C2C73FB"/>
    <w:rsid w:val="2C372028"/>
    <w:rsid w:val="2C416A03"/>
    <w:rsid w:val="2C42277B"/>
    <w:rsid w:val="2C4E1120"/>
    <w:rsid w:val="2C500C98"/>
    <w:rsid w:val="2C534988"/>
    <w:rsid w:val="2C567FD4"/>
    <w:rsid w:val="2C70553A"/>
    <w:rsid w:val="2C7F6DBF"/>
    <w:rsid w:val="2C83035C"/>
    <w:rsid w:val="2C83526D"/>
    <w:rsid w:val="2C8C4BFF"/>
    <w:rsid w:val="2C9D5C3F"/>
    <w:rsid w:val="2CC17B44"/>
    <w:rsid w:val="2CDA0C05"/>
    <w:rsid w:val="2CF972DD"/>
    <w:rsid w:val="2CFA4E04"/>
    <w:rsid w:val="2CFE48F4"/>
    <w:rsid w:val="2D03015C"/>
    <w:rsid w:val="2D077487"/>
    <w:rsid w:val="2D1063D5"/>
    <w:rsid w:val="2D20215E"/>
    <w:rsid w:val="2D2325AC"/>
    <w:rsid w:val="2D391DD0"/>
    <w:rsid w:val="2D502C75"/>
    <w:rsid w:val="2D661D22"/>
    <w:rsid w:val="2D6B7AAF"/>
    <w:rsid w:val="2D7156F0"/>
    <w:rsid w:val="2D7F4033"/>
    <w:rsid w:val="2D8F379E"/>
    <w:rsid w:val="2D9E7E85"/>
    <w:rsid w:val="2DA134D1"/>
    <w:rsid w:val="2DA84860"/>
    <w:rsid w:val="2DAE0720"/>
    <w:rsid w:val="2DD501AA"/>
    <w:rsid w:val="2DD613CD"/>
    <w:rsid w:val="2DF83A39"/>
    <w:rsid w:val="2E4647A4"/>
    <w:rsid w:val="2E4A5917"/>
    <w:rsid w:val="2E556795"/>
    <w:rsid w:val="2E5642BC"/>
    <w:rsid w:val="2E6D0438"/>
    <w:rsid w:val="2E8157DC"/>
    <w:rsid w:val="2E910490"/>
    <w:rsid w:val="2E9279E9"/>
    <w:rsid w:val="2E930678"/>
    <w:rsid w:val="2E9D1EEA"/>
    <w:rsid w:val="2EBA0CEE"/>
    <w:rsid w:val="2EBF00B3"/>
    <w:rsid w:val="2EDF0755"/>
    <w:rsid w:val="2EDF19C0"/>
    <w:rsid w:val="2EEB534C"/>
    <w:rsid w:val="2F1A353B"/>
    <w:rsid w:val="2F234AE5"/>
    <w:rsid w:val="2F300FB0"/>
    <w:rsid w:val="2F3A5EB7"/>
    <w:rsid w:val="2F5B602D"/>
    <w:rsid w:val="2F6241C8"/>
    <w:rsid w:val="2F6D7B0F"/>
    <w:rsid w:val="2F6F7933"/>
    <w:rsid w:val="2F725125"/>
    <w:rsid w:val="2FA23C5C"/>
    <w:rsid w:val="2FC94E71"/>
    <w:rsid w:val="2FCF2577"/>
    <w:rsid w:val="2FDC6A42"/>
    <w:rsid w:val="2FDD4C94"/>
    <w:rsid w:val="2FE04785"/>
    <w:rsid w:val="2FE83639"/>
    <w:rsid w:val="2FE853E7"/>
    <w:rsid w:val="2FEF6776"/>
    <w:rsid w:val="2FF43D8C"/>
    <w:rsid w:val="30006BD5"/>
    <w:rsid w:val="30030473"/>
    <w:rsid w:val="30136908"/>
    <w:rsid w:val="30221C2F"/>
    <w:rsid w:val="30296190"/>
    <w:rsid w:val="303F76FD"/>
    <w:rsid w:val="304A49D9"/>
    <w:rsid w:val="30517430"/>
    <w:rsid w:val="305B7C64"/>
    <w:rsid w:val="305F1D36"/>
    <w:rsid w:val="30705B08"/>
    <w:rsid w:val="308F751E"/>
    <w:rsid w:val="30A532D8"/>
    <w:rsid w:val="30AC4667"/>
    <w:rsid w:val="30B73737"/>
    <w:rsid w:val="30BF439A"/>
    <w:rsid w:val="30C70618"/>
    <w:rsid w:val="30C96FC7"/>
    <w:rsid w:val="30D20571"/>
    <w:rsid w:val="30E525F0"/>
    <w:rsid w:val="31172428"/>
    <w:rsid w:val="311E5564"/>
    <w:rsid w:val="312B12F0"/>
    <w:rsid w:val="313308E4"/>
    <w:rsid w:val="31344D88"/>
    <w:rsid w:val="314D7BF8"/>
    <w:rsid w:val="315224D4"/>
    <w:rsid w:val="31554CFE"/>
    <w:rsid w:val="315D508D"/>
    <w:rsid w:val="31603C8E"/>
    <w:rsid w:val="31657B2E"/>
    <w:rsid w:val="3183186B"/>
    <w:rsid w:val="31880C30"/>
    <w:rsid w:val="319B6BB5"/>
    <w:rsid w:val="31A35DC8"/>
    <w:rsid w:val="31AD4B3A"/>
    <w:rsid w:val="31B45EC9"/>
    <w:rsid w:val="31B77767"/>
    <w:rsid w:val="31B9703B"/>
    <w:rsid w:val="31C0486E"/>
    <w:rsid w:val="31CA1248"/>
    <w:rsid w:val="31D2634F"/>
    <w:rsid w:val="31D43E75"/>
    <w:rsid w:val="31D729D3"/>
    <w:rsid w:val="31D80455"/>
    <w:rsid w:val="31DE4CF4"/>
    <w:rsid w:val="31EC7411"/>
    <w:rsid w:val="31EE06F3"/>
    <w:rsid w:val="31FD31B6"/>
    <w:rsid w:val="32075FF9"/>
    <w:rsid w:val="32102173"/>
    <w:rsid w:val="32244DFC"/>
    <w:rsid w:val="324032FC"/>
    <w:rsid w:val="32470AEB"/>
    <w:rsid w:val="3248332A"/>
    <w:rsid w:val="325F5934"/>
    <w:rsid w:val="325F5E35"/>
    <w:rsid w:val="32825621"/>
    <w:rsid w:val="328E04C8"/>
    <w:rsid w:val="328E2276"/>
    <w:rsid w:val="32951856"/>
    <w:rsid w:val="32D305D1"/>
    <w:rsid w:val="32D63C1D"/>
    <w:rsid w:val="32E26A66"/>
    <w:rsid w:val="32F347CF"/>
    <w:rsid w:val="32FC0CB9"/>
    <w:rsid w:val="32FD282E"/>
    <w:rsid w:val="33072028"/>
    <w:rsid w:val="331D184C"/>
    <w:rsid w:val="331F55C4"/>
    <w:rsid w:val="33484B1B"/>
    <w:rsid w:val="334943EF"/>
    <w:rsid w:val="335039CF"/>
    <w:rsid w:val="335E5CD2"/>
    <w:rsid w:val="335F00B6"/>
    <w:rsid w:val="33650EE0"/>
    <w:rsid w:val="33680D19"/>
    <w:rsid w:val="337376BE"/>
    <w:rsid w:val="33743B62"/>
    <w:rsid w:val="33791178"/>
    <w:rsid w:val="33843679"/>
    <w:rsid w:val="33874913"/>
    <w:rsid w:val="33953AD8"/>
    <w:rsid w:val="33955886"/>
    <w:rsid w:val="33A67A93"/>
    <w:rsid w:val="33CD3272"/>
    <w:rsid w:val="33FE167D"/>
    <w:rsid w:val="34060532"/>
    <w:rsid w:val="3411315F"/>
    <w:rsid w:val="341B222F"/>
    <w:rsid w:val="34365013"/>
    <w:rsid w:val="346F257B"/>
    <w:rsid w:val="34767465"/>
    <w:rsid w:val="348F22D5"/>
    <w:rsid w:val="349FFD48"/>
    <w:rsid w:val="34A32A62"/>
    <w:rsid w:val="34A57D4B"/>
    <w:rsid w:val="34A83397"/>
    <w:rsid w:val="34AE6BFF"/>
    <w:rsid w:val="34BD3967"/>
    <w:rsid w:val="34C04B85"/>
    <w:rsid w:val="34C226AB"/>
    <w:rsid w:val="34CA155F"/>
    <w:rsid w:val="34CC3529"/>
    <w:rsid w:val="34D128EE"/>
    <w:rsid w:val="34E116D1"/>
    <w:rsid w:val="34E940DB"/>
    <w:rsid w:val="34F67946"/>
    <w:rsid w:val="352907C1"/>
    <w:rsid w:val="35321F96"/>
    <w:rsid w:val="3535115B"/>
    <w:rsid w:val="35531555"/>
    <w:rsid w:val="355A2B1A"/>
    <w:rsid w:val="355C665B"/>
    <w:rsid w:val="35647C06"/>
    <w:rsid w:val="3575596F"/>
    <w:rsid w:val="359F479A"/>
    <w:rsid w:val="35A3178F"/>
    <w:rsid w:val="35AD6EB7"/>
    <w:rsid w:val="35B44695"/>
    <w:rsid w:val="35B91D00"/>
    <w:rsid w:val="35C44201"/>
    <w:rsid w:val="35C506A4"/>
    <w:rsid w:val="35CF507F"/>
    <w:rsid w:val="35D2691D"/>
    <w:rsid w:val="35E14DB3"/>
    <w:rsid w:val="35F920FC"/>
    <w:rsid w:val="360867E3"/>
    <w:rsid w:val="36146F36"/>
    <w:rsid w:val="36160F00"/>
    <w:rsid w:val="361C5DEB"/>
    <w:rsid w:val="3621058C"/>
    <w:rsid w:val="363778C4"/>
    <w:rsid w:val="364A469A"/>
    <w:rsid w:val="36511F38"/>
    <w:rsid w:val="36527A5E"/>
    <w:rsid w:val="365C59ED"/>
    <w:rsid w:val="36716136"/>
    <w:rsid w:val="36736147"/>
    <w:rsid w:val="369167D9"/>
    <w:rsid w:val="369E4A52"/>
    <w:rsid w:val="36B96CD0"/>
    <w:rsid w:val="36D84407"/>
    <w:rsid w:val="36E20DE2"/>
    <w:rsid w:val="36EC3A0F"/>
    <w:rsid w:val="36EF1B18"/>
    <w:rsid w:val="36F045DC"/>
    <w:rsid w:val="36F35177"/>
    <w:rsid w:val="36FD5C1C"/>
    <w:rsid w:val="370266B3"/>
    <w:rsid w:val="370E7E29"/>
    <w:rsid w:val="37184804"/>
    <w:rsid w:val="37296A11"/>
    <w:rsid w:val="3733791C"/>
    <w:rsid w:val="373F4487"/>
    <w:rsid w:val="37403FDE"/>
    <w:rsid w:val="375515B4"/>
    <w:rsid w:val="376932B2"/>
    <w:rsid w:val="376B6EFA"/>
    <w:rsid w:val="377003D6"/>
    <w:rsid w:val="37B22EAA"/>
    <w:rsid w:val="37B704C1"/>
    <w:rsid w:val="37B87D95"/>
    <w:rsid w:val="37B90E7A"/>
    <w:rsid w:val="37BC1633"/>
    <w:rsid w:val="37BD5302"/>
    <w:rsid w:val="37D050DF"/>
    <w:rsid w:val="37E33064"/>
    <w:rsid w:val="37EC4B4C"/>
    <w:rsid w:val="37F52D97"/>
    <w:rsid w:val="3801126E"/>
    <w:rsid w:val="38042FDA"/>
    <w:rsid w:val="38086A9B"/>
    <w:rsid w:val="38341B11"/>
    <w:rsid w:val="38606463"/>
    <w:rsid w:val="38657F1D"/>
    <w:rsid w:val="386C12AB"/>
    <w:rsid w:val="38710670"/>
    <w:rsid w:val="38763ED8"/>
    <w:rsid w:val="387C104C"/>
    <w:rsid w:val="387E2D8D"/>
    <w:rsid w:val="38AF010E"/>
    <w:rsid w:val="38B22A36"/>
    <w:rsid w:val="38B322CD"/>
    <w:rsid w:val="38C369F1"/>
    <w:rsid w:val="38CA6E75"/>
    <w:rsid w:val="38D429AD"/>
    <w:rsid w:val="38E928FC"/>
    <w:rsid w:val="38E96FEE"/>
    <w:rsid w:val="3902576C"/>
    <w:rsid w:val="39076A69"/>
    <w:rsid w:val="39170B88"/>
    <w:rsid w:val="392400CC"/>
    <w:rsid w:val="395656FF"/>
    <w:rsid w:val="395E6FAD"/>
    <w:rsid w:val="39653AC8"/>
    <w:rsid w:val="397A0ADB"/>
    <w:rsid w:val="397B72CC"/>
    <w:rsid w:val="398048E2"/>
    <w:rsid w:val="3982065B"/>
    <w:rsid w:val="399D36E6"/>
    <w:rsid w:val="39A84565"/>
    <w:rsid w:val="39A86313"/>
    <w:rsid w:val="39AE76A2"/>
    <w:rsid w:val="39B20F40"/>
    <w:rsid w:val="39BA7DF4"/>
    <w:rsid w:val="39C40C73"/>
    <w:rsid w:val="39C742BF"/>
    <w:rsid w:val="39CE4CE2"/>
    <w:rsid w:val="39DD52FC"/>
    <w:rsid w:val="39E41315"/>
    <w:rsid w:val="39FF0D34"/>
    <w:rsid w:val="3A064DE8"/>
    <w:rsid w:val="3A211C22"/>
    <w:rsid w:val="3A347BA7"/>
    <w:rsid w:val="3A4122C4"/>
    <w:rsid w:val="3A575643"/>
    <w:rsid w:val="3A6164C2"/>
    <w:rsid w:val="3A667F7C"/>
    <w:rsid w:val="3A6B7341"/>
    <w:rsid w:val="3A6F6E31"/>
    <w:rsid w:val="3A706705"/>
    <w:rsid w:val="3A820793"/>
    <w:rsid w:val="3AAC1E33"/>
    <w:rsid w:val="3AB331C1"/>
    <w:rsid w:val="3AB80142"/>
    <w:rsid w:val="3ABD5CA2"/>
    <w:rsid w:val="3ABE5C3C"/>
    <w:rsid w:val="3AD43138"/>
    <w:rsid w:val="3AD8429B"/>
    <w:rsid w:val="3AEE05C8"/>
    <w:rsid w:val="3AF45588"/>
    <w:rsid w:val="3B007A89"/>
    <w:rsid w:val="3B111C96"/>
    <w:rsid w:val="3B337E2C"/>
    <w:rsid w:val="3B471B5C"/>
    <w:rsid w:val="3B547DD5"/>
    <w:rsid w:val="3B5E2A01"/>
    <w:rsid w:val="3B5F50F7"/>
    <w:rsid w:val="3B742225"/>
    <w:rsid w:val="3B822B94"/>
    <w:rsid w:val="3BBC42F8"/>
    <w:rsid w:val="3BC1190E"/>
    <w:rsid w:val="3BD056AD"/>
    <w:rsid w:val="3BD3519D"/>
    <w:rsid w:val="3BF16F66"/>
    <w:rsid w:val="3BF6059E"/>
    <w:rsid w:val="3BFC46F4"/>
    <w:rsid w:val="3C0D06AF"/>
    <w:rsid w:val="3C0E4427"/>
    <w:rsid w:val="3C1557B6"/>
    <w:rsid w:val="3C242C38"/>
    <w:rsid w:val="3C2D27C8"/>
    <w:rsid w:val="3C2F7D9B"/>
    <w:rsid w:val="3C3519B4"/>
    <w:rsid w:val="3C3F0A85"/>
    <w:rsid w:val="3C553E04"/>
    <w:rsid w:val="3C5E0F0B"/>
    <w:rsid w:val="3C717F2F"/>
    <w:rsid w:val="3C8C573F"/>
    <w:rsid w:val="3C9708C1"/>
    <w:rsid w:val="3CA4480B"/>
    <w:rsid w:val="3CB0609F"/>
    <w:rsid w:val="3CB21257"/>
    <w:rsid w:val="3CB37024"/>
    <w:rsid w:val="3CD13DD3"/>
    <w:rsid w:val="3CDD0544"/>
    <w:rsid w:val="3CDF4258"/>
    <w:rsid w:val="3CE21B3C"/>
    <w:rsid w:val="3CE361DD"/>
    <w:rsid w:val="3CE55188"/>
    <w:rsid w:val="3CEF24AB"/>
    <w:rsid w:val="3D1D2B74"/>
    <w:rsid w:val="3D2A703F"/>
    <w:rsid w:val="3D3D3216"/>
    <w:rsid w:val="3D474095"/>
    <w:rsid w:val="3D4F6EA2"/>
    <w:rsid w:val="3D5D4D3B"/>
    <w:rsid w:val="3D65276D"/>
    <w:rsid w:val="3D84027A"/>
    <w:rsid w:val="3DA443AE"/>
    <w:rsid w:val="3DAE7C70"/>
    <w:rsid w:val="3DBC1A54"/>
    <w:rsid w:val="3DE2791A"/>
    <w:rsid w:val="3DE57E80"/>
    <w:rsid w:val="3DEB4A20"/>
    <w:rsid w:val="3DEE47D6"/>
    <w:rsid w:val="3DF00289"/>
    <w:rsid w:val="3E0755D2"/>
    <w:rsid w:val="3E0E185F"/>
    <w:rsid w:val="3E1249E2"/>
    <w:rsid w:val="3E1321C9"/>
    <w:rsid w:val="3E135D25"/>
    <w:rsid w:val="3E18158D"/>
    <w:rsid w:val="3E3E7246"/>
    <w:rsid w:val="3E3F6B1A"/>
    <w:rsid w:val="3E5D4E61"/>
    <w:rsid w:val="3E630F69"/>
    <w:rsid w:val="3E636201"/>
    <w:rsid w:val="3E6704EC"/>
    <w:rsid w:val="3E6E11AD"/>
    <w:rsid w:val="3E8804C1"/>
    <w:rsid w:val="3E8A6426"/>
    <w:rsid w:val="3E952BDE"/>
    <w:rsid w:val="3EA13331"/>
    <w:rsid w:val="3ED02CAC"/>
    <w:rsid w:val="3ED12F46"/>
    <w:rsid w:val="3EF36AD2"/>
    <w:rsid w:val="3EF773F5"/>
    <w:rsid w:val="3F043070"/>
    <w:rsid w:val="3F0833B0"/>
    <w:rsid w:val="3F116709"/>
    <w:rsid w:val="3F214472"/>
    <w:rsid w:val="3F2D1069"/>
    <w:rsid w:val="3F312907"/>
    <w:rsid w:val="3F397A0D"/>
    <w:rsid w:val="3F4940F4"/>
    <w:rsid w:val="3F4F5483"/>
    <w:rsid w:val="3F520ACF"/>
    <w:rsid w:val="3F6031EC"/>
    <w:rsid w:val="3F682D95"/>
    <w:rsid w:val="3F880979"/>
    <w:rsid w:val="3F8E7D59"/>
    <w:rsid w:val="3FA00970"/>
    <w:rsid w:val="3FB3156E"/>
    <w:rsid w:val="3FB47094"/>
    <w:rsid w:val="3FCE0156"/>
    <w:rsid w:val="3FD37E62"/>
    <w:rsid w:val="3FEE07F8"/>
    <w:rsid w:val="3FFD6B0B"/>
    <w:rsid w:val="3FFF0C57"/>
    <w:rsid w:val="400242A3"/>
    <w:rsid w:val="400C4005"/>
    <w:rsid w:val="401C35B7"/>
    <w:rsid w:val="40316936"/>
    <w:rsid w:val="403326AF"/>
    <w:rsid w:val="404843AC"/>
    <w:rsid w:val="404E74E8"/>
    <w:rsid w:val="406334F2"/>
    <w:rsid w:val="406E36E7"/>
    <w:rsid w:val="40905D53"/>
    <w:rsid w:val="409E221E"/>
    <w:rsid w:val="40A13ABC"/>
    <w:rsid w:val="40BF3F42"/>
    <w:rsid w:val="40BF6101"/>
    <w:rsid w:val="40C559FD"/>
    <w:rsid w:val="40CB28E7"/>
    <w:rsid w:val="40CC7840"/>
    <w:rsid w:val="40CD665F"/>
    <w:rsid w:val="40CF23D7"/>
    <w:rsid w:val="40EB4D37"/>
    <w:rsid w:val="40F40090"/>
    <w:rsid w:val="410D4CAE"/>
    <w:rsid w:val="41131FE0"/>
    <w:rsid w:val="41340D87"/>
    <w:rsid w:val="413940D2"/>
    <w:rsid w:val="41474664"/>
    <w:rsid w:val="415B3C6B"/>
    <w:rsid w:val="415F544E"/>
    <w:rsid w:val="41654062"/>
    <w:rsid w:val="41A35612"/>
    <w:rsid w:val="41AD023F"/>
    <w:rsid w:val="41CC2DBB"/>
    <w:rsid w:val="41CE268F"/>
    <w:rsid w:val="41D91034"/>
    <w:rsid w:val="41DD28D2"/>
    <w:rsid w:val="41E77BF5"/>
    <w:rsid w:val="41F63FB2"/>
    <w:rsid w:val="420B38E3"/>
    <w:rsid w:val="421107CE"/>
    <w:rsid w:val="42134546"/>
    <w:rsid w:val="42187DAE"/>
    <w:rsid w:val="42204EB5"/>
    <w:rsid w:val="42276243"/>
    <w:rsid w:val="424B0183"/>
    <w:rsid w:val="427F7E2D"/>
    <w:rsid w:val="428D7983"/>
    <w:rsid w:val="42B31885"/>
    <w:rsid w:val="42CB4E20"/>
    <w:rsid w:val="42EB2656"/>
    <w:rsid w:val="42FE6FA4"/>
    <w:rsid w:val="43010842"/>
    <w:rsid w:val="43035AFF"/>
    <w:rsid w:val="43095949"/>
    <w:rsid w:val="430F11B1"/>
    <w:rsid w:val="43217136"/>
    <w:rsid w:val="4346094B"/>
    <w:rsid w:val="434E48F9"/>
    <w:rsid w:val="43556ECB"/>
    <w:rsid w:val="4379487C"/>
    <w:rsid w:val="438D7C61"/>
    <w:rsid w:val="43987951"/>
    <w:rsid w:val="439B778F"/>
    <w:rsid w:val="43A80B22"/>
    <w:rsid w:val="43A85162"/>
    <w:rsid w:val="43E66B47"/>
    <w:rsid w:val="44015A22"/>
    <w:rsid w:val="44184095"/>
    <w:rsid w:val="44185E43"/>
    <w:rsid w:val="442073EE"/>
    <w:rsid w:val="443800FA"/>
    <w:rsid w:val="4464036A"/>
    <w:rsid w:val="447315C8"/>
    <w:rsid w:val="447B4624"/>
    <w:rsid w:val="447F5EC2"/>
    <w:rsid w:val="44867251"/>
    <w:rsid w:val="448B4867"/>
    <w:rsid w:val="449221E8"/>
    <w:rsid w:val="4496320C"/>
    <w:rsid w:val="449C6A74"/>
    <w:rsid w:val="44A660D0"/>
    <w:rsid w:val="44D53D34"/>
    <w:rsid w:val="44E328F5"/>
    <w:rsid w:val="450B5ED4"/>
    <w:rsid w:val="45126D36"/>
    <w:rsid w:val="45292F05"/>
    <w:rsid w:val="452C7897"/>
    <w:rsid w:val="453C0257"/>
    <w:rsid w:val="454B2248"/>
    <w:rsid w:val="45531DF4"/>
    <w:rsid w:val="45605CF4"/>
    <w:rsid w:val="45617CBE"/>
    <w:rsid w:val="45A007E6"/>
    <w:rsid w:val="45A12799"/>
    <w:rsid w:val="45A55DFD"/>
    <w:rsid w:val="45AA6CD7"/>
    <w:rsid w:val="45AC502B"/>
    <w:rsid w:val="45BC4EF4"/>
    <w:rsid w:val="45E56F6B"/>
    <w:rsid w:val="45F66658"/>
    <w:rsid w:val="45FB5A1D"/>
    <w:rsid w:val="45FF5DF9"/>
    <w:rsid w:val="46064E72"/>
    <w:rsid w:val="460A2104"/>
    <w:rsid w:val="462E7BA0"/>
    <w:rsid w:val="46390B44"/>
    <w:rsid w:val="4642364B"/>
    <w:rsid w:val="4669507C"/>
    <w:rsid w:val="466C19B1"/>
    <w:rsid w:val="466E4307"/>
    <w:rsid w:val="467B090B"/>
    <w:rsid w:val="467F21AA"/>
    <w:rsid w:val="468A3DC6"/>
    <w:rsid w:val="46C71DA3"/>
    <w:rsid w:val="46CB067E"/>
    <w:rsid w:val="46CD560B"/>
    <w:rsid w:val="46D00C57"/>
    <w:rsid w:val="46DD3374"/>
    <w:rsid w:val="46E110B6"/>
    <w:rsid w:val="46E4575A"/>
    <w:rsid w:val="46E62229"/>
    <w:rsid w:val="46F10BCE"/>
    <w:rsid w:val="46F661E4"/>
    <w:rsid w:val="46F72688"/>
    <w:rsid w:val="471F1BDF"/>
    <w:rsid w:val="47282841"/>
    <w:rsid w:val="472965B9"/>
    <w:rsid w:val="47365564"/>
    <w:rsid w:val="473F7B8B"/>
    <w:rsid w:val="474D674C"/>
    <w:rsid w:val="47552596"/>
    <w:rsid w:val="4780267D"/>
    <w:rsid w:val="479954ED"/>
    <w:rsid w:val="47AE06A6"/>
    <w:rsid w:val="47B03BA9"/>
    <w:rsid w:val="47C14A44"/>
    <w:rsid w:val="47F646ED"/>
    <w:rsid w:val="48074B4D"/>
    <w:rsid w:val="483E7E42"/>
    <w:rsid w:val="4847319B"/>
    <w:rsid w:val="484D62D8"/>
    <w:rsid w:val="484F3DFE"/>
    <w:rsid w:val="48516FB5"/>
    <w:rsid w:val="48671147"/>
    <w:rsid w:val="486C49B0"/>
    <w:rsid w:val="48822425"/>
    <w:rsid w:val="488519D4"/>
    <w:rsid w:val="48931F3C"/>
    <w:rsid w:val="48973EA7"/>
    <w:rsid w:val="48A04659"/>
    <w:rsid w:val="48A64365"/>
    <w:rsid w:val="48BD403C"/>
    <w:rsid w:val="48C77E38"/>
    <w:rsid w:val="48CC36A0"/>
    <w:rsid w:val="48D12A65"/>
    <w:rsid w:val="48E9042E"/>
    <w:rsid w:val="48E94252"/>
    <w:rsid w:val="48EC789E"/>
    <w:rsid w:val="48EE3617"/>
    <w:rsid w:val="48F11A6E"/>
    <w:rsid w:val="48F30C2D"/>
    <w:rsid w:val="49033566"/>
    <w:rsid w:val="49153299"/>
    <w:rsid w:val="49163F98"/>
    <w:rsid w:val="49464F44"/>
    <w:rsid w:val="49496A9F"/>
    <w:rsid w:val="494C7D22"/>
    <w:rsid w:val="49507E2D"/>
    <w:rsid w:val="495F006C"/>
    <w:rsid w:val="49697141"/>
    <w:rsid w:val="496D3510"/>
    <w:rsid w:val="497004D0"/>
    <w:rsid w:val="497B7CB3"/>
    <w:rsid w:val="498502AC"/>
    <w:rsid w:val="498D1081"/>
    <w:rsid w:val="4990287D"/>
    <w:rsid w:val="49952D6D"/>
    <w:rsid w:val="49B4660E"/>
    <w:rsid w:val="49B52FF9"/>
    <w:rsid w:val="49CE3AA3"/>
    <w:rsid w:val="49D379CB"/>
    <w:rsid w:val="49D40A5E"/>
    <w:rsid w:val="49E50EBD"/>
    <w:rsid w:val="49E52C6C"/>
    <w:rsid w:val="49E8275C"/>
    <w:rsid w:val="49F96717"/>
    <w:rsid w:val="4A01737A"/>
    <w:rsid w:val="4A080708"/>
    <w:rsid w:val="4A0B01F8"/>
    <w:rsid w:val="4A0D5D1E"/>
    <w:rsid w:val="4A1C6C6A"/>
    <w:rsid w:val="4A370FED"/>
    <w:rsid w:val="4A437992"/>
    <w:rsid w:val="4A595408"/>
    <w:rsid w:val="4A610F14"/>
    <w:rsid w:val="4A6810DB"/>
    <w:rsid w:val="4A9106FD"/>
    <w:rsid w:val="4A92116F"/>
    <w:rsid w:val="4AA246B9"/>
    <w:rsid w:val="4AD41253"/>
    <w:rsid w:val="4AE66BEE"/>
    <w:rsid w:val="4AE7722A"/>
    <w:rsid w:val="4AEE5B50"/>
    <w:rsid w:val="4AF173EE"/>
    <w:rsid w:val="4B0B04B0"/>
    <w:rsid w:val="4B0E1D4E"/>
    <w:rsid w:val="4B2D12E0"/>
    <w:rsid w:val="4B5F6A4E"/>
    <w:rsid w:val="4B62209A"/>
    <w:rsid w:val="4B7818BD"/>
    <w:rsid w:val="4B814C16"/>
    <w:rsid w:val="4B9009B5"/>
    <w:rsid w:val="4B9F32EE"/>
    <w:rsid w:val="4BA23D98"/>
    <w:rsid w:val="4BA3693A"/>
    <w:rsid w:val="4BAE52DF"/>
    <w:rsid w:val="4BB072A9"/>
    <w:rsid w:val="4BBC79FC"/>
    <w:rsid w:val="4BBF74EC"/>
    <w:rsid w:val="4BC32B39"/>
    <w:rsid w:val="4BCD4F5D"/>
    <w:rsid w:val="4BD765E4"/>
    <w:rsid w:val="4BE07B8E"/>
    <w:rsid w:val="4BE331DB"/>
    <w:rsid w:val="4BE90D9B"/>
    <w:rsid w:val="4BEA27BB"/>
    <w:rsid w:val="4BEA671C"/>
    <w:rsid w:val="4BEB6B31"/>
    <w:rsid w:val="4BF54CBC"/>
    <w:rsid w:val="4BF76C86"/>
    <w:rsid w:val="4C0513A3"/>
    <w:rsid w:val="4C0A69B9"/>
    <w:rsid w:val="4C1642A8"/>
    <w:rsid w:val="4C2537F3"/>
    <w:rsid w:val="4C2C4B82"/>
    <w:rsid w:val="4C3457E4"/>
    <w:rsid w:val="4C673E0C"/>
    <w:rsid w:val="4CA7563F"/>
    <w:rsid w:val="4CB44B77"/>
    <w:rsid w:val="4CB608EF"/>
    <w:rsid w:val="4CC0351C"/>
    <w:rsid w:val="4CCA7EF7"/>
    <w:rsid w:val="4CCC75F4"/>
    <w:rsid w:val="4CD55219"/>
    <w:rsid w:val="4CE27936"/>
    <w:rsid w:val="4CEC4311"/>
    <w:rsid w:val="4CEE3464"/>
    <w:rsid w:val="4CF3569F"/>
    <w:rsid w:val="4CF82CB6"/>
    <w:rsid w:val="4CFB09F8"/>
    <w:rsid w:val="4CFB40DB"/>
    <w:rsid w:val="4D0258E3"/>
    <w:rsid w:val="4D1B0752"/>
    <w:rsid w:val="4D1B69A4"/>
    <w:rsid w:val="4D586982"/>
    <w:rsid w:val="4D5D0D6B"/>
    <w:rsid w:val="4D73058E"/>
    <w:rsid w:val="4D785BA5"/>
    <w:rsid w:val="4D9D385D"/>
    <w:rsid w:val="4DA150FB"/>
    <w:rsid w:val="4DAE7818"/>
    <w:rsid w:val="4DB77039"/>
    <w:rsid w:val="4DBA440F"/>
    <w:rsid w:val="4DD36371"/>
    <w:rsid w:val="4DE84AD8"/>
    <w:rsid w:val="4DFA0CB0"/>
    <w:rsid w:val="4E2875CB"/>
    <w:rsid w:val="4E296E9F"/>
    <w:rsid w:val="4E2B47CD"/>
    <w:rsid w:val="4E320449"/>
    <w:rsid w:val="4E326C4A"/>
    <w:rsid w:val="4E345F70"/>
    <w:rsid w:val="4E37780E"/>
    <w:rsid w:val="4E600B13"/>
    <w:rsid w:val="4E720846"/>
    <w:rsid w:val="4E7B3B9E"/>
    <w:rsid w:val="4E9E6D0A"/>
    <w:rsid w:val="4EB250E6"/>
    <w:rsid w:val="4EBC7D13"/>
    <w:rsid w:val="4ECE0172"/>
    <w:rsid w:val="4ED65279"/>
    <w:rsid w:val="4EDE412D"/>
    <w:rsid w:val="4EE23C1E"/>
    <w:rsid w:val="4EEF00E8"/>
    <w:rsid w:val="4EF43951"/>
    <w:rsid w:val="4EF80730"/>
    <w:rsid w:val="4EF92D15"/>
    <w:rsid w:val="4F0A6CD0"/>
    <w:rsid w:val="4F1F3B80"/>
    <w:rsid w:val="4F4B26A6"/>
    <w:rsid w:val="4F5D5052"/>
    <w:rsid w:val="4F5F526E"/>
    <w:rsid w:val="4F6C1739"/>
    <w:rsid w:val="4F7D56F4"/>
    <w:rsid w:val="4F7D74A2"/>
    <w:rsid w:val="4F876573"/>
    <w:rsid w:val="4F881D91"/>
    <w:rsid w:val="4F9C5928"/>
    <w:rsid w:val="4FA9473B"/>
    <w:rsid w:val="4FB8672C"/>
    <w:rsid w:val="4FC6709B"/>
    <w:rsid w:val="4FFF7BCB"/>
    <w:rsid w:val="50267B3A"/>
    <w:rsid w:val="502B5150"/>
    <w:rsid w:val="502C5217"/>
    <w:rsid w:val="50416722"/>
    <w:rsid w:val="504D50C7"/>
    <w:rsid w:val="505B4610"/>
    <w:rsid w:val="50716043"/>
    <w:rsid w:val="50766910"/>
    <w:rsid w:val="508A1E77"/>
    <w:rsid w:val="509074BA"/>
    <w:rsid w:val="50923421"/>
    <w:rsid w:val="50A530C4"/>
    <w:rsid w:val="50A618CE"/>
    <w:rsid w:val="50A76ECD"/>
    <w:rsid w:val="50AC2DD5"/>
    <w:rsid w:val="50BC3801"/>
    <w:rsid w:val="50C86E43"/>
    <w:rsid w:val="50F16394"/>
    <w:rsid w:val="50FB4B23"/>
    <w:rsid w:val="51204589"/>
    <w:rsid w:val="513A1AEF"/>
    <w:rsid w:val="51400921"/>
    <w:rsid w:val="5144471C"/>
    <w:rsid w:val="515801C7"/>
    <w:rsid w:val="516E3547"/>
    <w:rsid w:val="51887C9D"/>
    <w:rsid w:val="518C60C3"/>
    <w:rsid w:val="519136D9"/>
    <w:rsid w:val="51A258E6"/>
    <w:rsid w:val="51A5108F"/>
    <w:rsid w:val="51AB479B"/>
    <w:rsid w:val="51AB6549"/>
    <w:rsid w:val="51AC22C1"/>
    <w:rsid w:val="51BC0756"/>
    <w:rsid w:val="51C664D7"/>
    <w:rsid w:val="51D535C6"/>
    <w:rsid w:val="51E1640E"/>
    <w:rsid w:val="51E952C3"/>
    <w:rsid w:val="51E97071"/>
    <w:rsid w:val="51F7162D"/>
    <w:rsid w:val="52081BED"/>
    <w:rsid w:val="520B348B"/>
    <w:rsid w:val="520E0886"/>
    <w:rsid w:val="52232583"/>
    <w:rsid w:val="5245699D"/>
    <w:rsid w:val="524A3FB4"/>
    <w:rsid w:val="524D7600"/>
    <w:rsid w:val="525A1D1D"/>
    <w:rsid w:val="52707792"/>
    <w:rsid w:val="52846D9A"/>
    <w:rsid w:val="528A050C"/>
    <w:rsid w:val="52990A97"/>
    <w:rsid w:val="529945F3"/>
    <w:rsid w:val="529C40E3"/>
    <w:rsid w:val="529C6035"/>
    <w:rsid w:val="52AA2CA4"/>
    <w:rsid w:val="52AB4326"/>
    <w:rsid w:val="52B24B47"/>
    <w:rsid w:val="52C35B14"/>
    <w:rsid w:val="52CA0C50"/>
    <w:rsid w:val="52D92ACB"/>
    <w:rsid w:val="52D970E6"/>
    <w:rsid w:val="52E71802"/>
    <w:rsid w:val="52EA0C77"/>
    <w:rsid w:val="53020B78"/>
    <w:rsid w:val="5302663C"/>
    <w:rsid w:val="530E77AC"/>
    <w:rsid w:val="5314011E"/>
    <w:rsid w:val="53213F70"/>
    <w:rsid w:val="532A5B93"/>
    <w:rsid w:val="5332085A"/>
    <w:rsid w:val="53405F6E"/>
    <w:rsid w:val="53432D2C"/>
    <w:rsid w:val="53455429"/>
    <w:rsid w:val="534741B0"/>
    <w:rsid w:val="53511372"/>
    <w:rsid w:val="53542C10"/>
    <w:rsid w:val="5354676C"/>
    <w:rsid w:val="53590226"/>
    <w:rsid w:val="535B7AFB"/>
    <w:rsid w:val="53605C7D"/>
    <w:rsid w:val="536E5A80"/>
    <w:rsid w:val="53986FA1"/>
    <w:rsid w:val="53B4776F"/>
    <w:rsid w:val="53BD2563"/>
    <w:rsid w:val="53D8739D"/>
    <w:rsid w:val="53EC109A"/>
    <w:rsid w:val="53EE096F"/>
    <w:rsid w:val="53F9679C"/>
    <w:rsid w:val="53FC12DE"/>
    <w:rsid w:val="53FD0BB2"/>
    <w:rsid w:val="540006A2"/>
    <w:rsid w:val="5402441A"/>
    <w:rsid w:val="541008E5"/>
    <w:rsid w:val="541D1254"/>
    <w:rsid w:val="543547EF"/>
    <w:rsid w:val="543C792C"/>
    <w:rsid w:val="54420CBA"/>
    <w:rsid w:val="544C45A3"/>
    <w:rsid w:val="54560AEA"/>
    <w:rsid w:val="545B29F3"/>
    <w:rsid w:val="5474356A"/>
    <w:rsid w:val="54931516"/>
    <w:rsid w:val="54BE2A37"/>
    <w:rsid w:val="54CB2E84"/>
    <w:rsid w:val="54D6553E"/>
    <w:rsid w:val="54D933CD"/>
    <w:rsid w:val="54DF0B0E"/>
    <w:rsid w:val="54E54D3D"/>
    <w:rsid w:val="54FA3343"/>
    <w:rsid w:val="55055F70"/>
    <w:rsid w:val="55085A60"/>
    <w:rsid w:val="55144614"/>
    <w:rsid w:val="55236D3E"/>
    <w:rsid w:val="552B174F"/>
    <w:rsid w:val="552B7848"/>
    <w:rsid w:val="555B2034"/>
    <w:rsid w:val="556D1D67"/>
    <w:rsid w:val="557C08CC"/>
    <w:rsid w:val="5593347C"/>
    <w:rsid w:val="55953EB1"/>
    <w:rsid w:val="55A82E06"/>
    <w:rsid w:val="55AD491E"/>
    <w:rsid w:val="55B77B42"/>
    <w:rsid w:val="55BB6F76"/>
    <w:rsid w:val="55BE54B6"/>
    <w:rsid w:val="55C71477"/>
    <w:rsid w:val="55C776C9"/>
    <w:rsid w:val="55CB540B"/>
    <w:rsid w:val="55F3226C"/>
    <w:rsid w:val="55F66200"/>
    <w:rsid w:val="55FD30EB"/>
    <w:rsid w:val="560501F2"/>
    <w:rsid w:val="560E354A"/>
    <w:rsid w:val="5621327D"/>
    <w:rsid w:val="562558E8"/>
    <w:rsid w:val="56270168"/>
    <w:rsid w:val="5637484F"/>
    <w:rsid w:val="565F6940"/>
    <w:rsid w:val="5661367A"/>
    <w:rsid w:val="568850AA"/>
    <w:rsid w:val="568E7925"/>
    <w:rsid w:val="56A60C51"/>
    <w:rsid w:val="56B31C4E"/>
    <w:rsid w:val="56B45E9F"/>
    <w:rsid w:val="56CE4A87"/>
    <w:rsid w:val="56D007FF"/>
    <w:rsid w:val="56E60023"/>
    <w:rsid w:val="56E733A1"/>
    <w:rsid w:val="56E9366F"/>
    <w:rsid w:val="56F50266"/>
    <w:rsid w:val="57030BD5"/>
    <w:rsid w:val="5705494D"/>
    <w:rsid w:val="5708338B"/>
    <w:rsid w:val="57335A1F"/>
    <w:rsid w:val="573C40E7"/>
    <w:rsid w:val="57462870"/>
    <w:rsid w:val="574F3E1A"/>
    <w:rsid w:val="57520FF1"/>
    <w:rsid w:val="57527466"/>
    <w:rsid w:val="57720C71"/>
    <w:rsid w:val="57845D7E"/>
    <w:rsid w:val="578D1B53"/>
    <w:rsid w:val="579B2BBB"/>
    <w:rsid w:val="57A13ADE"/>
    <w:rsid w:val="57AA2DFF"/>
    <w:rsid w:val="57B95737"/>
    <w:rsid w:val="57BB14B0"/>
    <w:rsid w:val="57CF0AB7"/>
    <w:rsid w:val="57D4431F"/>
    <w:rsid w:val="57D911BD"/>
    <w:rsid w:val="57EF2F07"/>
    <w:rsid w:val="57FE2145"/>
    <w:rsid w:val="5824666E"/>
    <w:rsid w:val="584274DB"/>
    <w:rsid w:val="585A4825"/>
    <w:rsid w:val="5875165E"/>
    <w:rsid w:val="58852069"/>
    <w:rsid w:val="588B2C30"/>
    <w:rsid w:val="588F3847"/>
    <w:rsid w:val="58A57E7F"/>
    <w:rsid w:val="58AE691E"/>
    <w:rsid w:val="58B33F35"/>
    <w:rsid w:val="58BA52C3"/>
    <w:rsid w:val="58CD4FF7"/>
    <w:rsid w:val="58D8399B"/>
    <w:rsid w:val="58E80B25"/>
    <w:rsid w:val="5915699E"/>
    <w:rsid w:val="591744C4"/>
    <w:rsid w:val="59192F0D"/>
    <w:rsid w:val="591A2206"/>
    <w:rsid w:val="59282B75"/>
    <w:rsid w:val="592941F7"/>
    <w:rsid w:val="593E4146"/>
    <w:rsid w:val="594D25DB"/>
    <w:rsid w:val="595C45CC"/>
    <w:rsid w:val="596C2A61"/>
    <w:rsid w:val="5986716D"/>
    <w:rsid w:val="59A0270B"/>
    <w:rsid w:val="59AA358A"/>
    <w:rsid w:val="59B461B6"/>
    <w:rsid w:val="59B47F65"/>
    <w:rsid w:val="59C06909"/>
    <w:rsid w:val="59D86349"/>
    <w:rsid w:val="59FB5B93"/>
    <w:rsid w:val="59FD7B5D"/>
    <w:rsid w:val="5A054C64"/>
    <w:rsid w:val="5A07278A"/>
    <w:rsid w:val="5A1E1882"/>
    <w:rsid w:val="5A517B3B"/>
    <w:rsid w:val="5A6A4AC7"/>
    <w:rsid w:val="5A6C6A91"/>
    <w:rsid w:val="5A70032F"/>
    <w:rsid w:val="5A7122F9"/>
    <w:rsid w:val="5A7140A7"/>
    <w:rsid w:val="5A723C0B"/>
    <w:rsid w:val="5A751DEA"/>
    <w:rsid w:val="5A820063"/>
    <w:rsid w:val="5A871B1D"/>
    <w:rsid w:val="5A8F01C0"/>
    <w:rsid w:val="5A9A53AC"/>
    <w:rsid w:val="5A9D4737"/>
    <w:rsid w:val="5AAF19DC"/>
    <w:rsid w:val="5ABA15AB"/>
    <w:rsid w:val="5AC558FB"/>
    <w:rsid w:val="5ADC7773"/>
    <w:rsid w:val="5ADF54B5"/>
    <w:rsid w:val="5AE26D53"/>
    <w:rsid w:val="5AE66844"/>
    <w:rsid w:val="5B127639"/>
    <w:rsid w:val="5B150ED7"/>
    <w:rsid w:val="5B33135D"/>
    <w:rsid w:val="5B370E4D"/>
    <w:rsid w:val="5B413A7A"/>
    <w:rsid w:val="5B433C96"/>
    <w:rsid w:val="5B4D6AD9"/>
    <w:rsid w:val="5B50627E"/>
    <w:rsid w:val="5B8A71CF"/>
    <w:rsid w:val="5B8D6CBF"/>
    <w:rsid w:val="5B906CB4"/>
    <w:rsid w:val="5B93724D"/>
    <w:rsid w:val="5BA7266B"/>
    <w:rsid w:val="5BB66216"/>
    <w:rsid w:val="5BC36CC9"/>
    <w:rsid w:val="5BF91A20"/>
    <w:rsid w:val="5C0C052C"/>
    <w:rsid w:val="5C190436"/>
    <w:rsid w:val="5C2209C9"/>
    <w:rsid w:val="5C27423E"/>
    <w:rsid w:val="5C2869E8"/>
    <w:rsid w:val="5C2C64D8"/>
    <w:rsid w:val="5C2F7D76"/>
    <w:rsid w:val="5C317F92"/>
    <w:rsid w:val="5C384E7D"/>
    <w:rsid w:val="5C3B496D"/>
    <w:rsid w:val="5C441A74"/>
    <w:rsid w:val="5C78796F"/>
    <w:rsid w:val="5C930305"/>
    <w:rsid w:val="5C967DF5"/>
    <w:rsid w:val="5CA67F0E"/>
    <w:rsid w:val="5CA81314"/>
    <w:rsid w:val="5CB309A7"/>
    <w:rsid w:val="5CB52971"/>
    <w:rsid w:val="5CB54DA6"/>
    <w:rsid w:val="5CDD5A24"/>
    <w:rsid w:val="5CF71093"/>
    <w:rsid w:val="5D00696B"/>
    <w:rsid w:val="5D0631CD"/>
    <w:rsid w:val="5D1041BB"/>
    <w:rsid w:val="5D370B16"/>
    <w:rsid w:val="5D375134"/>
    <w:rsid w:val="5D4546B9"/>
    <w:rsid w:val="5D5F6439"/>
    <w:rsid w:val="5D664772"/>
    <w:rsid w:val="5D883BE2"/>
    <w:rsid w:val="5D8F6D1E"/>
    <w:rsid w:val="5D900CE9"/>
    <w:rsid w:val="5D9E1657"/>
    <w:rsid w:val="5DD15589"/>
    <w:rsid w:val="5DD3213F"/>
    <w:rsid w:val="5DDB5A14"/>
    <w:rsid w:val="5DE51034"/>
    <w:rsid w:val="5DEF1EB3"/>
    <w:rsid w:val="5E1C432A"/>
    <w:rsid w:val="5E227B93"/>
    <w:rsid w:val="5E2F2BA5"/>
    <w:rsid w:val="5E394EDC"/>
    <w:rsid w:val="5E3E6996"/>
    <w:rsid w:val="5E4A0E97"/>
    <w:rsid w:val="5E783C56"/>
    <w:rsid w:val="5E7F3237"/>
    <w:rsid w:val="5E8C14B0"/>
    <w:rsid w:val="5E9842F9"/>
    <w:rsid w:val="5EA04F5B"/>
    <w:rsid w:val="5EA47E55"/>
    <w:rsid w:val="5EB67D6F"/>
    <w:rsid w:val="5EC944B2"/>
    <w:rsid w:val="5EDF69B5"/>
    <w:rsid w:val="5EFF1C82"/>
    <w:rsid w:val="5F047298"/>
    <w:rsid w:val="5F4366D9"/>
    <w:rsid w:val="5F441D8B"/>
    <w:rsid w:val="5F4B3AE6"/>
    <w:rsid w:val="5F4E49B7"/>
    <w:rsid w:val="5F5F0972"/>
    <w:rsid w:val="5F8108E9"/>
    <w:rsid w:val="5F8B2697"/>
    <w:rsid w:val="5FAC2886"/>
    <w:rsid w:val="5FC44C79"/>
    <w:rsid w:val="5FCF78A6"/>
    <w:rsid w:val="5FDA624B"/>
    <w:rsid w:val="5FE01AB3"/>
    <w:rsid w:val="5FE84E0C"/>
    <w:rsid w:val="5FF92B75"/>
    <w:rsid w:val="5FFF5CB2"/>
    <w:rsid w:val="60083F80"/>
    <w:rsid w:val="600D3BA4"/>
    <w:rsid w:val="6025396A"/>
    <w:rsid w:val="603C46F3"/>
    <w:rsid w:val="604B4ACA"/>
    <w:rsid w:val="606D4EC2"/>
    <w:rsid w:val="60765F74"/>
    <w:rsid w:val="60771CEC"/>
    <w:rsid w:val="609A4BD3"/>
    <w:rsid w:val="60AF592A"/>
    <w:rsid w:val="60BD61F0"/>
    <w:rsid w:val="60E94998"/>
    <w:rsid w:val="60FB291D"/>
    <w:rsid w:val="611759A9"/>
    <w:rsid w:val="6131633F"/>
    <w:rsid w:val="6155027F"/>
    <w:rsid w:val="61722BDF"/>
    <w:rsid w:val="61891CD7"/>
    <w:rsid w:val="618E3791"/>
    <w:rsid w:val="618F19E3"/>
    <w:rsid w:val="619F599E"/>
    <w:rsid w:val="61A15272"/>
    <w:rsid w:val="61AD1E69"/>
    <w:rsid w:val="61B50D1E"/>
    <w:rsid w:val="61BA6334"/>
    <w:rsid w:val="61C204DF"/>
    <w:rsid w:val="61C51E9E"/>
    <w:rsid w:val="61C86CA3"/>
    <w:rsid w:val="61E909C7"/>
    <w:rsid w:val="61EF2482"/>
    <w:rsid w:val="61F86BC7"/>
    <w:rsid w:val="622F0AD0"/>
    <w:rsid w:val="622F287E"/>
    <w:rsid w:val="62481B92"/>
    <w:rsid w:val="624A590A"/>
    <w:rsid w:val="625773C4"/>
    <w:rsid w:val="625E3163"/>
    <w:rsid w:val="62600C89"/>
    <w:rsid w:val="62612C54"/>
    <w:rsid w:val="626F338E"/>
    <w:rsid w:val="62731D94"/>
    <w:rsid w:val="62740BD9"/>
    <w:rsid w:val="62844EB5"/>
    <w:rsid w:val="629B7F14"/>
    <w:rsid w:val="629D1EDE"/>
    <w:rsid w:val="62A0552A"/>
    <w:rsid w:val="62A42440"/>
    <w:rsid w:val="62B56081"/>
    <w:rsid w:val="62CA5D0D"/>
    <w:rsid w:val="62D43425"/>
    <w:rsid w:val="62DF3642"/>
    <w:rsid w:val="62E713AB"/>
    <w:rsid w:val="62F13FD7"/>
    <w:rsid w:val="62FD4875"/>
    <w:rsid w:val="63072608"/>
    <w:rsid w:val="63080089"/>
    <w:rsid w:val="630F26B0"/>
    <w:rsid w:val="631534B6"/>
    <w:rsid w:val="633D7894"/>
    <w:rsid w:val="63464323"/>
    <w:rsid w:val="634E6886"/>
    <w:rsid w:val="63612F0B"/>
    <w:rsid w:val="636517F5"/>
    <w:rsid w:val="636F54AF"/>
    <w:rsid w:val="637864A7"/>
    <w:rsid w:val="637A3FCD"/>
    <w:rsid w:val="638210D3"/>
    <w:rsid w:val="638E5CCA"/>
    <w:rsid w:val="639221EC"/>
    <w:rsid w:val="63970CEB"/>
    <w:rsid w:val="63A6759B"/>
    <w:rsid w:val="63B156E4"/>
    <w:rsid w:val="63C30523"/>
    <w:rsid w:val="63CB65D6"/>
    <w:rsid w:val="63CF5075"/>
    <w:rsid w:val="63E36016"/>
    <w:rsid w:val="64024326"/>
    <w:rsid w:val="642D7291"/>
    <w:rsid w:val="642F4DB7"/>
    <w:rsid w:val="64524F4A"/>
    <w:rsid w:val="64550596"/>
    <w:rsid w:val="645667E8"/>
    <w:rsid w:val="645E744B"/>
    <w:rsid w:val="64722EF6"/>
    <w:rsid w:val="647E30EE"/>
    <w:rsid w:val="647E5060"/>
    <w:rsid w:val="648107EF"/>
    <w:rsid w:val="6481685C"/>
    <w:rsid w:val="64A532CB"/>
    <w:rsid w:val="64B27796"/>
    <w:rsid w:val="64BA6A91"/>
    <w:rsid w:val="64BE438D"/>
    <w:rsid w:val="64D21BE7"/>
    <w:rsid w:val="64D427F8"/>
    <w:rsid w:val="64D4595F"/>
    <w:rsid w:val="64D616D7"/>
    <w:rsid w:val="64D67E26"/>
    <w:rsid w:val="64D911C7"/>
    <w:rsid w:val="65040DC9"/>
    <w:rsid w:val="650E0E71"/>
    <w:rsid w:val="651B09EE"/>
    <w:rsid w:val="651B51D8"/>
    <w:rsid w:val="653463FD"/>
    <w:rsid w:val="653C5B7F"/>
    <w:rsid w:val="65436640"/>
    <w:rsid w:val="65474383"/>
    <w:rsid w:val="655B1BDC"/>
    <w:rsid w:val="655F791E"/>
    <w:rsid w:val="656942F9"/>
    <w:rsid w:val="656B62C3"/>
    <w:rsid w:val="65837118"/>
    <w:rsid w:val="659B47BF"/>
    <w:rsid w:val="65B5753E"/>
    <w:rsid w:val="65C23A09"/>
    <w:rsid w:val="65C77271"/>
    <w:rsid w:val="65CE0600"/>
    <w:rsid w:val="65D35C16"/>
    <w:rsid w:val="65E322FD"/>
    <w:rsid w:val="66007D67"/>
    <w:rsid w:val="66246472"/>
    <w:rsid w:val="663D12E2"/>
    <w:rsid w:val="663F505A"/>
    <w:rsid w:val="664D7E66"/>
    <w:rsid w:val="6655487D"/>
    <w:rsid w:val="665F7D80"/>
    <w:rsid w:val="66624588"/>
    <w:rsid w:val="668138C4"/>
    <w:rsid w:val="668313EA"/>
    <w:rsid w:val="66855163"/>
    <w:rsid w:val="66862C89"/>
    <w:rsid w:val="668B19A9"/>
    <w:rsid w:val="668B60C8"/>
    <w:rsid w:val="66967370"/>
    <w:rsid w:val="66A6332B"/>
    <w:rsid w:val="66AD46B9"/>
    <w:rsid w:val="66B71A94"/>
    <w:rsid w:val="66C51A03"/>
    <w:rsid w:val="66E07BC1"/>
    <w:rsid w:val="66FB71D3"/>
    <w:rsid w:val="67136C12"/>
    <w:rsid w:val="671B1623"/>
    <w:rsid w:val="67321E7D"/>
    <w:rsid w:val="67334BBF"/>
    <w:rsid w:val="673F17B5"/>
    <w:rsid w:val="6764121C"/>
    <w:rsid w:val="677376B1"/>
    <w:rsid w:val="67793D50"/>
    <w:rsid w:val="67851192"/>
    <w:rsid w:val="678B74EE"/>
    <w:rsid w:val="67A07D7A"/>
    <w:rsid w:val="67A45ABC"/>
    <w:rsid w:val="67A4786A"/>
    <w:rsid w:val="67A84FA7"/>
    <w:rsid w:val="67A96C2F"/>
    <w:rsid w:val="67B51A77"/>
    <w:rsid w:val="67BB4BB4"/>
    <w:rsid w:val="67C47F0C"/>
    <w:rsid w:val="67C972D1"/>
    <w:rsid w:val="67E20393"/>
    <w:rsid w:val="680B1673"/>
    <w:rsid w:val="68120C78"/>
    <w:rsid w:val="681F3395"/>
    <w:rsid w:val="683C3F47"/>
    <w:rsid w:val="68446C9C"/>
    <w:rsid w:val="685748DD"/>
    <w:rsid w:val="68594AF9"/>
    <w:rsid w:val="685968A7"/>
    <w:rsid w:val="68652F67"/>
    <w:rsid w:val="68654C52"/>
    <w:rsid w:val="68686F8D"/>
    <w:rsid w:val="68701E42"/>
    <w:rsid w:val="687436E1"/>
    <w:rsid w:val="687C07E7"/>
    <w:rsid w:val="688F22C8"/>
    <w:rsid w:val="68923B67"/>
    <w:rsid w:val="68B41D2F"/>
    <w:rsid w:val="68B95597"/>
    <w:rsid w:val="68C1269E"/>
    <w:rsid w:val="68CB7079"/>
    <w:rsid w:val="68EA74FF"/>
    <w:rsid w:val="68F6059A"/>
    <w:rsid w:val="69004F74"/>
    <w:rsid w:val="691F7904"/>
    <w:rsid w:val="692A0243"/>
    <w:rsid w:val="693370F8"/>
    <w:rsid w:val="6939281C"/>
    <w:rsid w:val="69474951"/>
    <w:rsid w:val="694C01BA"/>
    <w:rsid w:val="697B284D"/>
    <w:rsid w:val="697D4817"/>
    <w:rsid w:val="69814125"/>
    <w:rsid w:val="69A578CA"/>
    <w:rsid w:val="69B31FE7"/>
    <w:rsid w:val="69C6410F"/>
    <w:rsid w:val="69C9180A"/>
    <w:rsid w:val="69CD6811"/>
    <w:rsid w:val="69D1246D"/>
    <w:rsid w:val="69D245C4"/>
    <w:rsid w:val="69F10D61"/>
    <w:rsid w:val="69FE14F0"/>
    <w:rsid w:val="6A3D00DC"/>
    <w:rsid w:val="6A3D7B02"/>
    <w:rsid w:val="6A4A5773"/>
    <w:rsid w:val="6A6E4160"/>
    <w:rsid w:val="6A6E5F0E"/>
    <w:rsid w:val="6A8E0DDF"/>
    <w:rsid w:val="6A9040D6"/>
    <w:rsid w:val="6A9F256B"/>
    <w:rsid w:val="6ACB15B2"/>
    <w:rsid w:val="6ACF10A2"/>
    <w:rsid w:val="6AD74A57"/>
    <w:rsid w:val="6B016D82"/>
    <w:rsid w:val="6B064398"/>
    <w:rsid w:val="6B28640F"/>
    <w:rsid w:val="6B4671A5"/>
    <w:rsid w:val="6B4849B1"/>
    <w:rsid w:val="6B517D09"/>
    <w:rsid w:val="6B52582F"/>
    <w:rsid w:val="6B6320BC"/>
    <w:rsid w:val="6B7252B8"/>
    <w:rsid w:val="6B7D28AC"/>
    <w:rsid w:val="6B8754D9"/>
    <w:rsid w:val="6B882FFF"/>
    <w:rsid w:val="6BA3608B"/>
    <w:rsid w:val="6BC3086A"/>
    <w:rsid w:val="6BD149A6"/>
    <w:rsid w:val="6BD85D34"/>
    <w:rsid w:val="6BFB1336"/>
    <w:rsid w:val="6C0E025D"/>
    <w:rsid w:val="6C184383"/>
    <w:rsid w:val="6C1B20C5"/>
    <w:rsid w:val="6C256AA0"/>
    <w:rsid w:val="6C296590"/>
    <w:rsid w:val="6C303DC2"/>
    <w:rsid w:val="6C3B431E"/>
    <w:rsid w:val="6C450AD1"/>
    <w:rsid w:val="6C4E5FF7"/>
    <w:rsid w:val="6C57134F"/>
    <w:rsid w:val="6C744C98"/>
    <w:rsid w:val="6C77587D"/>
    <w:rsid w:val="6CB258E8"/>
    <w:rsid w:val="6CB63C68"/>
    <w:rsid w:val="6CC462B9"/>
    <w:rsid w:val="6CC938CF"/>
    <w:rsid w:val="6CDE55CC"/>
    <w:rsid w:val="6CDE73AA"/>
    <w:rsid w:val="6CE547B7"/>
    <w:rsid w:val="6CF90658"/>
    <w:rsid w:val="6CF92406"/>
    <w:rsid w:val="6D01750D"/>
    <w:rsid w:val="6D033285"/>
    <w:rsid w:val="6D0E20F8"/>
    <w:rsid w:val="6D231231"/>
    <w:rsid w:val="6D270AA3"/>
    <w:rsid w:val="6D3754BB"/>
    <w:rsid w:val="6D415B5B"/>
    <w:rsid w:val="6D480C98"/>
    <w:rsid w:val="6D4B0788"/>
    <w:rsid w:val="6D521B17"/>
    <w:rsid w:val="6D875C64"/>
    <w:rsid w:val="6D8A7502"/>
    <w:rsid w:val="6D8C5028"/>
    <w:rsid w:val="6DDF784E"/>
    <w:rsid w:val="6DE02185"/>
    <w:rsid w:val="6DF20188"/>
    <w:rsid w:val="6DF36E56"/>
    <w:rsid w:val="6DF57072"/>
    <w:rsid w:val="6E095A12"/>
    <w:rsid w:val="6E35359F"/>
    <w:rsid w:val="6E3D6323"/>
    <w:rsid w:val="6E3E0836"/>
    <w:rsid w:val="6E3F653F"/>
    <w:rsid w:val="6E423939"/>
    <w:rsid w:val="6E5042A8"/>
    <w:rsid w:val="6E6E0BD2"/>
    <w:rsid w:val="6E70494A"/>
    <w:rsid w:val="6E8E4DD0"/>
    <w:rsid w:val="6E912274"/>
    <w:rsid w:val="6E9C0605"/>
    <w:rsid w:val="6E9C74ED"/>
    <w:rsid w:val="6EA25D92"/>
    <w:rsid w:val="6EAA0329"/>
    <w:rsid w:val="6EAA7249"/>
    <w:rsid w:val="6EAF13D5"/>
    <w:rsid w:val="6ED3075F"/>
    <w:rsid w:val="6ED36C87"/>
    <w:rsid w:val="6EDE2373"/>
    <w:rsid w:val="6EE607ED"/>
    <w:rsid w:val="6EEB3DC4"/>
    <w:rsid w:val="6F143527"/>
    <w:rsid w:val="6F386DA0"/>
    <w:rsid w:val="6F435BBB"/>
    <w:rsid w:val="6F451933"/>
    <w:rsid w:val="6F563B40"/>
    <w:rsid w:val="6F59718C"/>
    <w:rsid w:val="6F5F19C8"/>
    <w:rsid w:val="6F79782E"/>
    <w:rsid w:val="6F8F2BAE"/>
    <w:rsid w:val="6F9603E0"/>
    <w:rsid w:val="6FAA3E8C"/>
    <w:rsid w:val="6FB70357"/>
    <w:rsid w:val="6FC8788D"/>
    <w:rsid w:val="6FCF56A0"/>
    <w:rsid w:val="6FDB4045"/>
    <w:rsid w:val="6FE969BF"/>
    <w:rsid w:val="702552C0"/>
    <w:rsid w:val="70352925"/>
    <w:rsid w:val="70545BA6"/>
    <w:rsid w:val="705B6F34"/>
    <w:rsid w:val="705F3769"/>
    <w:rsid w:val="70814BED"/>
    <w:rsid w:val="70891CF3"/>
    <w:rsid w:val="709A7A5C"/>
    <w:rsid w:val="70A42689"/>
    <w:rsid w:val="70B82EFE"/>
    <w:rsid w:val="70C50F0F"/>
    <w:rsid w:val="70D25448"/>
    <w:rsid w:val="70D32F6E"/>
    <w:rsid w:val="70E76A1A"/>
    <w:rsid w:val="70E81AA2"/>
    <w:rsid w:val="70EB02B8"/>
    <w:rsid w:val="70EE1B56"/>
    <w:rsid w:val="70F574E0"/>
    <w:rsid w:val="7104137A"/>
    <w:rsid w:val="710D7471"/>
    <w:rsid w:val="711B1A70"/>
    <w:rsid w:val="712D08D1"/>
    <w:rsid w:val="712D7639"/>
    <w:rsid w:val="712E4B78"/>
    <w:rsid w:val="71450EBE"/>
    <w:rsid w:val="71465FE5"/>
    <w:rsid w:val="715776FB"/>
    <w:rsid w:val="718524BB"/>
    <w:rsid w:val="7185354B"/>
    <w:rsid w:val="71956476"/>
    <w:rsid w:val="71970440"/>
    <w:rsid w:val="71A4174D"/>
    <w:rsid w:val="71CC00E9"/>
    <w:rsid w:val="71D376CA"/>
    <w:rsid w:val="71DE606F"/>
    <w:rsid w:val="71E847F7"/>
    <w:rsid w:val="71F71048"/>
    <w:rsid w:val="71FE5794"/>
    <w:rsid w:val="720A0C12"/>
    <w:rsid w:val="724E6D50"/>
    <w:rsid w:val="725B146D"/>
    <w:rsid w:val="728124EA"/>
    <w:rsid w:val="72895FDA"/>
    <w:rsid w:val="728C1627"/>
    <w:rsid w:val="729D55E2"/>
    <w:rsid w:val="729F75AC"/>
    <w:rsid w:val="72B15531"/>
    <w:rsid w:val="72CB65F3"/>
    <w:rsid w:val="72D336FA"/>
    <w:rsid w:val="72DD2C26"/>
    <w:rsid w:val="72FF44EF"/>
    <w:rsid w:val="730B69EF"/>
    <w:rsid w:val="730E55D1"/>
    <w:rsid w:val="73257B3E"/>
    <w:rsid w:val="732E6B82"/>
    <w:rsid w:val="73337CF4"/>
    <w:rsid w:val="734B14E2"/>
    <w:rsid w:val="735C36EF"/>
    <w:rsid w:val="737F9D8F"/>
    <w:rsid w:val="7387303E"/>
    <w:rsid w:val="73BB0416"/>
    <w:rsid w:val="73BE1CB4"/>
    <w:rsid w:val="73DA4614"/>
    <w:rsid w:val="73F13E37"/>
    <w:rsid w:val="73FE0302"/>
    <w:rsid w:val="74142A11"/>
    <w:rsid w:val="747B5DF7"/>
    <w:rsid w:val="748051BB"/>
    <w:rsid w:val="74BB61F3"/>
    <w:rsid w:val="74BE1A94"/>
    <w:rsid w:val="74C257D4"/>
    <w:rsid w:val="74CA112A"/>
    <w:rsid w:val="74CD20AE"/>
    <w:rsid w:val="74D70DF7"/>
    <w:rsid w:val="74DD23E1"/>
    <w:rsid w:val="74DF1EE2"/>
    <w:rsid w:val="74F160B9"/>
    <w:rsid w:val="74F27B3A"/>
    <w:rsid w:val="74F579F0"/>
    <w:rsid w:val="74FC6F38"/>
    <w:rsid w:val="74FD4A5E"/>
    <w:rsid w:val="74FF07D6"/>
    <w:rsid w:val="750000AA"/>
    <w:rsid w:val="75022074"/>
    <w:rsid w:val="75144A21"/>
    <w:rsid w:val="752C594B"/>
    <w:rsid w:val="75353DF2"/>
    <w:rsid w:val="75550D0E"/>
    <w:rsid w:val="755D54FC"/>
    <w:rsid w:val="75616CAE"/>
    <w:rsid w:val="7566653C"/>
    <w:rsid w:val="756D12FD"/>
    <w:rsid w:val="757C3BD5"/>
    <w:rsid w:val="757E664F"/>
    <w:rsid w:val="758C2B6B"/>
    <w:rsid w:val="75952EE8"/>
    <w:rsid w:val="759727BC"/>
    <w:rsid w:val="75AF3FAA"/>
    <w:rsid w:val="75B0387E"/>
    <w:rsid w:val="75B570E6"/>
    <w:rsid w:val="75D94B83"/>
    <w:rsid w:val="75E11C8A"/>
    <w:rsid w:val="761C6D8F"/>
    <w:rsid w:val="76257DC8"/>
    <w:rsid w:val="762D4ECF"/>
    <w:rsid w:val="76350270"/>
    <w:rsid w:val="76391AC6"/>
    <w:rsid w:val="76402E54"/>
    <w:rsid w:val="765108EE"/>
    <w:rsid w:val="76542B44"/>
    <w:rsid w:val="76581835"/>
    <w:rsid w:val="765E32DA"/>
    <w:rsid w:val="765E777E"/>
    <w:rsid w:val="7662101C"/>
    <w:rsid w:val="766828B5"/>
    <w:rsid w:val="76740D50"/>
    <w:rsid w:val="768129FA"/>
    <w:rsid w:val="76875FA1"/>
    <w:rsid w:val="769767EC"/>
    <w:rsid w:val="76A74E38"/>
    <w:rsid w:val="76B850E0"/>
    <w:rsid w:val="76D17F50"/>
    <w:rsid w:val="76E027C0"/>
    <w:rsid w:val="76E06296"/>
    <w:rsid w:val="76E47C83"/>
    <w:rsid w:val="76E8234C"/>
    <w:rsid w:val="76EF27A5"/>
    <w:rsid w:val="77000835"/>
    <w:rsid w:val="77041EFE"/>
    <w:rsid w:val="771816DB"/>
    <w:rsid w:val="77212C85"/>
    <w:rsid w:val="772B3B04"/>
    <w:rsid w:val="77316C41"/>
    <w:rsid w:val="778D031B"/>
    <w:rsid w:val="779F11FE"/>
    <w:rsid w:val="77A64F39"/>
    <w:rsid w:val="77AB7E65"/>
    <w:rsid w:val="77B92EBE"/>
    <w:rsid w:val="77BC650A"/>
    <w:rsid w:val="77C74EAF"/>
    <w:rsid w:val="77CC339C"/>
    <w:rsid w:val="77D630EC"/>
    <w:rsid w:val="77ED6884"/>
    <w:rsid w:val="782D7408"/>
    <w:rsid w:val="782F3180"/>
    <w:rsid w:val="783764D9"/>
    <w:rsid w:val="783B43EB"/>
    <w:rsid w:val="783E1615"/>
    <w:rsid w:val="78485FF0"/>
    <w:rsid w:val="785B3584"/>
    <w:rsid w:val="7863107C"/>
    <w:rsid w:val="78656BA2"/>
    <w:rsid w:val="7881167C"/>
    <w:rsid w:val="78866B18"/>
    <w:rsid w:val="788D7EA7"/>
    <w:rsid w:val="789F3DA6"/>
    <w:rsid w:val="78A376CA"/>
    <w:rsid w:val="78A52377"/>
    <w:rsid w:val="78CF226D"/>
    <w:rsid w:val="78F65A4C"/>
    <w:rsid w:val="790463BB"/>
    <w:rsid w:val="790F4D60"/>
    <w:rsid w:val="79144124"/>
    <w:rsid w:val="79224A93"/>
    <w:rsid w:val="794C38BE"/>
    <w:rsid w:val="79622AB2"/>
    <w:rsid w:val="79784C56"/>
    <w:rsid w:val="79792E52"/>
    <w:rsid w:val="79865022"/>
    <w:rsid w:val="79984D55"/>
    <w:rsid w:val="79A27982"/>
    <w:rsid w:val="79A96F62"/>
    <w:rsid w:val="79BE0C60"/>
    <w:rsid w:val="79C1605A"/>
    <w:rsid w:val="79E17A79"/>
    <w:rsid w:val="79E24222"/>
    <w:rsid w:val="79E41D48"/>
    <w:rsid w:val="79F75F20"/>
    <w:rsid w:val="79FB3163"/>
    <w:rsid w:val="79FC7092"/>
    <w:rsid w:val="7A0643B5"/>
    <w:rsid w:val="7A0D129F"/>
    <w:rsid w:val="7A0F3269"/>
    <w:rsid w:val="7A1B7E60"/>
    <w:rsid w:val="7A1E525A"/>
    <w:rsid w:val="7A213A5B"/>
    <w:rsid w:val="7A2427C7"/>
    <w:rsid w:val="7A460C55"/>
    <w:rsid w:val="7A552C46"/>
    <w:rsid w:val="7A57076C"/>
    <w:rsid w:val="7A5720C5"/>
    <w:rsid w:val="7A6335B5"/>
    <w:rsid w:val="7A644B7F"/>
    <w:rsid w:val="7A7452B3"/>
    <w:rsid w:val="7A7632E8"/>
    <w:rsid w:val="7A88301C"/>
    <w:rsid w:val="7A8F6158"/>
    <w:rsid w:val="7A8F7F06"/>
    <w:rsid w:val="7A941DC9"/>
    <w:rsid w:val="7A9B2196"/>
    <w:rsid w:val="7AA8721A"/>
    <w:rsid w:val="7ABD52ED"/>
    <w:rsid w:val="7AD65B35"/>
    <w:rsid w:val="7AE30252"/>
    <w:rsid w:val="7AE53FCA"/>
    <w:rsid w:val="7AF46271"/>
    <w:rsid w:val="7B0C506C"/>
    <w:rsid w:val="7B136D89"/>
    <w:rsid w:val="7B18614D"/>
    <w:rsid w:val="7B197C05"/>
    <w:rsid w:val="7B252618"/>
    <w:rsid w:val="7B2D5625"/>
    <w:rsid w:val="7B3867F0"/>
    <w:rsid w:val="7B446F42"/>
    <w:rsid w:val="7B4C5DF7"/>
    <w:rsid w:val="7B573F39"/>
    <w:rsid w:val="7B5B7497"/>
    <w:rsid w:val="7B6969A9"/>
    <w:rsid w:val="7B7A410F"/>
    <w:rsid w:val="7B810197"/>
    <w:rsid w:val="7B95154C"/>
    <w:rsid w:val="7B98728E"/>
    <w:rsid w:val="7B9F23CB"/>
    <w:rsid w:val="7BD302C6"/>
    <w:rsid w:val="7BD74AA8"/>
    <w:rsid w:val="7BEC3136"/>
    <w:rsid w:val="7BF278E8"/>
    <w:rsid w:val="7BF87D2D"/>
    <w:rsid w:val="7C120DEF"/>
    <w:rsid w:val="7C1C7EBF"/>
    <w:rsid w:val="7C2B1EB0"/>
    <w:rsid w:val="7C2C6CF3"/>
    <w:rsid w:val="7C4B4E4D"/>
    <w:rsid w:val="7C653614"/>
    <w:rsid w:val="7C66368D"/>
    <w:rsid w:val="7C8D66C7"/>
    <w:rsid w:val="7C9603F6"/>
    <w:rsid w:val="7CB63E70"/>
    <w:rsid w:val="7CBB1486"/>
    <w:rsid w:val="7CDC31AB"/>
    <w:rsid w:val="7CEA55B6"/>
    <w:rsid w:val="7CF95B0B"/>
    <w:rsid w:val="7D1D3B52"/>
    <w:rsid w:val="7D20578D"/>
    <w:rsid w:val="7D2B5066"/>
    <w:rsid w:val="7D36433B"/>
    <w:rsid w:val="7D3A3102"/>
    <w:rsid w:val="7D4274B2"/>
    <w:rsid w:val="7D480840"/>
    <w:rsid w:val="7D4C0330"/>
    <w:rsid w:val="7D7B6E68"/>
    <w:rsid w:val="7D7F24B4"/>
    <w:rsid w:val="7D831878"/>
    <w:rsid w:val="7D8555F0"/>
    <w:rsid w:val="7D986F5E"/>
    <w:rsid w:val="7DA41F1A"/>
    <w:rsid w:val="7DA71A0B"/>
    <w:rsid w:val="7DB06B11"/>
    <w:rsid w:val="7DB67916"/>
    <w:rsid w:val="7DFA255A"/>
    <w:rsid w:val="7DFB573F"/>
    <w:rsid w:val="7E1075B0"/>
    <w:rsid w:val="7E130E4E"/>
    <w:rsid w:val="7E1626EC"/>
    <w:rsid w:val="7E2766A8"/>
    <w:rsid w:val="7E2A2A0B"/>
    <w:rsid w:val="7E2D63B4"/>
    <w:rsid w:val="7E31584F"/>
    <w:rsid w:val="7E3E16AB"/>
    <w:rsid w:val="7E582D05"/>
    <w:rsid w:val="7E5F5E41"/>
    <w:rsid w:val="7E7318ED"/>
    <w:rsid w:val="7E745D91"/>
    <w:rsid w:val="7E7C69F3"/>
    <w:rsid w:val="7E950F89"/>
    <w:rsid w:val="7E9A1DC5"/>
    <w:rsid w:val="7EA61CC2"/>
    <w:rsid w:val="7EA66FFC"/>
    <w:rsid w:val="7ED94113"/>
    <w:rsid w:val="7EE822DB"/>
    <w:rsid w:val="7EEB5047"/>
    <w:rsid w:val="7F0C5FC9"/>
    <w:rsid w:val="7F1C3D32"/>
    <w:rsid w:val="7F224FB0"/>
    <w:rsid w:val="7F2C666B"/>
    <w:rsid w:val="7F370B6C"/>
    <w:rsid w:val="7F3E1EFB"/>
    <w:rsid w:val="7F47583B"/>
    <w:rsid w:val="7F4D16AD"/>
    <w:rsid w:val="7F59213F"/>
    <w:rsid w:val="7F6D27E0"/>
    <w:rsid w:val="7F7A3631"/>
    <w:rsid w:val="7F833DB1"/>
    <w:rsid w:val="7F8F09A8"/>
    <w:rsid w:val="7F9D1317"/>
    <w:rsid w:val="7FA36202"/>
    <w:rsid w:val="7FAF4BA7"/>
    <w:rsid w:val="7FC06324"/>
    <w:rsid w:val="7FC22B2C"/>
    <w:rsid w:val="7FC76394"/>
    <w:rsid w:val="7FD512DD"/>
    <w:rsid w:val="B9A96DB7"/>
    <w:rsid w:val="DDFBEF78"/>
    <w:rsid w:val="DE7F370F"/>
    <w:rsid w:val="F94322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uiPriority w:val="0"/>
  </w:style>
  <w:style w:type="table" w:default="1" w:styleId="58">
    <w:name w:val="Normal Table"/>
    <w:semiHidden/>
    <w:uiPriority w:val="0"/>
    <w:tblPr>
      <w:tblStyle w:val="58"/>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uiPriority w:val="0"/>
    <w:pPr>
      <w:adjustRightInd w:val="0"/>
      <w:snapToGrid w:val="0"/>
      <w:spacing w:line="360" w:lineRule="auto"/>
      <w:ind w:left="100" w:leftChars="400" w:hanging="200" w:hangingChars="200"/>
    </w:pPr>
    <w:rPr>
      <w:sz w:val="24"/>
    </w:rPr>
  </w:style>
  <w:style w:type="paragraph" w:styleId="13">
    <w:name w:val="toc 7"/>
    <w:basedOn w:val="1"/>
    <w:next w:val="1"/>
    <w:uiPriority w:val="0"/>
    <w:pPr>
      <w:ind w:left="2520" w:leftChars="1200"/>
    </w:pPr>
  </w:style>
  <w:style w:type="paragraph" w:styleId="14">
    <w:name w:val="List Number 2"/>
    <w:basedOn w:val="1"/>
    <w:uiPriority w:val="0"/>
    <w:pPr>
      <w:numPr>
        <w:ilvl w:val="0"/>
        <w:numId w:val="1"/>
      </w:numPr>
      <w:tabs>
        <w:tab w:val="left" w:pos="780"/>
        <w:tab w:val="clear" w:pos="425"/>
      </w:tabs>
      <w:spacing w:line="360" w:lineRule="auto"/>
    </w:pPr>
    <w:rPr>
      <w:sz w:val="24"/>
    </w:rPr>
  </w:style>
  <w:style w:type="paragraph" w:styleId="15">
    <w:name w:val="List Bullet 4"/>
    <w:basedOn w:val="1"/>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uiPriority w:val="0"/>
    <w:pPr>
      <w:shd w:val="clear" w:color="auto" w:fill="000080"/>
    </w:pPr>
  </w:style>
  <w:style w:type="paragraph" w:styleId="19">
    <w:name w:val="toa heading"/>
    <w:basedOn w:val="1"/>
    <w:next w:val="1"/>
    <w:uiPriority w:val="0"/>
    <w:pPr>
      <w:spacing w:before="120" w:beforeLines="0"/>
    </w:pPr>
    <w:rPr>
      <w:rFonts w:ascii="Arial" w:hAnsi="Arial"/>
      <w:sz w:val="24"/>
    </w:rPr>
  </w:style>
  <w:style w:type="paragraph" w:styleId="20">
    <w:name w:val="annotation text"/>
    <w:basedOn w:val="1"/>
    <w:link w:val="70"/>
    <w:uiPriority w:val="0"/>
    <w:pPr>
      <w:adjustRightInd w:val="0"/>
      <w:spacing w:line="360" w:lineRule="atLeast"/>
      <w:jc w:val="left"/>
      <w:textAlignment w:val="baseline"/>
    </w:pPr>
    <w:rPr>
      <w:kern w:val="0"/>
      <w:sz w:val="24"/>
    </w:rPr>
  </w:style>
  <w:style w:type="paragraph" w:styleId="21">
    <w:name w:val="Body Text 3"/>
    <w:basedOn w:val="1"/>
    <w:uiPriority w:val="0"/>
    <w:pPr>
      <w:adjustRightInd w:val="0"/>
      <w:snapToGrid w:val="0"/>
      <w:spacing w:after="120" w:afterLines="0" w:afterAutospacing="0" w:line="360" w:lineRule="auto"/>
    </w:pPr>
    <w:rPr>
      <w:sz w:val="16"/>
    </w:rPr>
  </w:style>
  <w:style w:type="paragraph" w:styleId="22">
    <w:name w:val="List Bullet 3"/>
    <w:basedOn w:val="1"/>
    <w:uiPriority w:val="0"/>
    <w:pPr>
      <w:numPr>
        <w:ilvl w:val="0"/>
        <w:numId w:val="3"/>
      </w:numPr>
      <w:adjustRightInd w:val="0"/>
      <w:snapToGrid w:val="0"/>
      <w:spacing w:line="360" w:lineRule="auto"/>
    </w:pPr>
    <w:rPr>
      <w:sz w:val="24"/>
    </w:rPr>
  </w:style>
  <w:style w:type="paragraph" w:styleId="23">
    <w:name w:val="Body Text Indent"/>
    <w:basedOn w:val="1"/>
    <w:next w:val="1"/>
    <w:link w:val="71"/>
    <w:uiPriority w:val="0"/>
    <w:pPr>
      <w:spacing w:line="700" w:lineRule="exact"/>
      <w:ind w:left="960"/>
    </w:pPr>
    <w:rPr>
      <w:sz w:val="44"/>
    </w:rPr>
  </w:style>
  <w:style w:type="paragraph" w:styleId="24">
    <w:name w:val="List Number 3"/>
    <w:basedOn w:val="1"/>
    <w:uiPriority w:val="0"/>
    <w:pPr>
      <w:tabs>
        <w:tab w:val="left" w:pos="2120"/>
      </w:tabs>
      <w:adjustRightInd w:val="0"/>
      <w:snapToGrid w:val="0"/>
      <w:spacing w:line="360" w:lineRule="auto"/>
      <w:ind w:left="2120" w:hanging="720"/>
    </w:pPr>
    <w:rPr>
      <w:sz w:val="24"/>
    </w:rPr>
  </w:style>
  <w:style w:type="paragraph" w:styleId="25">
    <w:name w:val="List 2"/>
    <w:basedOn w:val="1"/>
    <w:uiPriority w:val="0"/>
    <w:pPr>
      <w:adjustRightInd w:val="0"/>
      <w:snapToGrid w:val="0"/>
      <w:spacing w:line="360" w:lineRule="auto"/>
      <w:ind w:left="100" w:leftChars="200" w:hanging="200" w:hangingChars="200"/>
    </w:pPr>
    <w:rPr>
      <w:sz w:val="24"/>
    </w:rPr>
  </w:style>
  <w:style w:type="paragraph" w:styleId="26">
    <w:name w:val="List Continue"/>
    <w:basedOn w:val="1"/>
    <w:uiPriority w:val="0"/>
    <w:pPr>
      <w:adjustRightInd w:val="0"/>
      <w:snapToGrid w:val="0"/>
      <w:spacing w:after="120" w:afterLines="0" w:afterAutospacing="0" w:line="360" w:lineRule="auto"/>
      <w:ind w:left="420" w:leftChars="200"/>
    </w:pPr>
    <w:rPr>
      <w:sz w:val="24"/>
    </w:rPr>
  </w:style>
  <w:style w:type="paragraph" w:styleId="27">
    <w:name w:val="List Bullet 2"/>
    <w:basedOn w:val="1"/>
    <w:uiPriority w:val="0"/>
    <w:pPr>
      <w:numPr>
        <w:ilvl w:val="0"/>
        <w:numId w:val="4"/>
      </w:numPr>
      <w:adjustRightInd w:val="0"/>
      <w:snapToGrid w:val="0"/>
      <w:spacing w:line="360" w:lineRule="auto"/>
    </w:pPr>
    <w:rPr>
      <w:sz w:val="24"/>
    </w:rPr>
  </w:style>
  <w:style w:type="paragraph" w:styleId="28">
    <w:name w:val="toc 5"/>
    <w:basedOn w:val="1"/>
    <w:next w:val="1"/>
    <w:uiPriority w:val="0"/>
    <w:pPr>
      <w:ind w:left="1680" w:leftChars="800"/>
    </w:pPr>
  </w:style>
  <w:style w:type="paragraph" w:styleId="29">
    <w:name w:val="toc 3"/>
    <w:basedOn w:val="1"/>
    <w:next w:val="1"/>
    <w:uiPriority w:val="39"/>
    <w:pPr>
      <w:ind w:left="840" w:leftChars="400"/>
    </w:pPr>
  </w:style>
  <w:style w:type="paragraph" w:styleId="30">
    <w:name w:val="Plain Text"/>
    <w:basedOn w:val="1"/>
    <w:uiPriority w:val="0"/>
    <w:rPr>
      <w:rFonts w:ascii="宋体" w:hAnsi="Courier New"/>
      <w:sz w:val="21"/>
    </w:rPr>
  </w:style>
  <w:style w:type="paragraph" w:styleId="31">
    <w:name w:val="toc 8"/>
    <w:basedOn w:val="1"/>
    <w:next w:val="1"/>
    <w:uiPriority w:val="0"/>
    <w:pPr>
      <w:ind w:left="2940" w:leftChars="1400"/>
    </w:pPr>
  </w:style>
  <w:style w:type="paragraph" w:styleId="32">
    <w:name w:val="Date"/>
    <w:basedOn w:val="1"/>
    <w:next w:val="1"/>
    <w:link w:val="72"/>
    <w:uiPriority w:val="0"/>
  </w:style>
  <w:style w:type="paragraph" w:styleId="33">
    <w:name w:val="Body Text Indent 2"/>
    <w:basedOn w:val="1"/>
    <w:link w:val="73"/>
    <w:uiPriority w:val="0"/>
    <w:pPr>
      <w:snapToGrid w:val="0"/>
      <w:spacing w:line="560" w:lineRule="atLeast"/>
      <w:ind w:firstLine="540"/>
    </w:pPr>
    <w:rPr>
      <w:sz w:val="24"/>
    </w:rPr>
  </w:style>
  <w:style w:type="paragraph" w:styleId="34">
    <w:name w:val="Balloon Text"/>
    <w:basedOn w:val="1"/>
    <w:uiPriority w:val="0"/>
    <w:rPr>
      <w:sz w:val="18"/>
    </w:rPr>
  </w:style>
  <w:style w:type="paragraph" w:styleId="35">
    <w:name w:val="footer"/>
    <w:basedOn w:val="1"/>
    <w:uiPriority w:val="0"/>
    <w:pPr>
      <w:tabs>
        <w:tab w:val="center" w:pos="4153"/>
        <w:tab w:val="right" w:pos="8306"/>
      </w:tabs>
      <w:snapToGrid w:val="0"/>
      <w:jc w:val="left"/>
    </w:pPr>
    <w:rPr>
      <w:sz w:val="18"/>
    </w:rPr>
  </w:style>
  <w:style w:type="paragraph" w:styleId="36">
    <w:name w:val="header"/>
    <w:basedOn w:val="1"/>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uiPriority w:val="0"/>
    <w:pPr>
      <w:spacing w:line="180" w:lineRule="auto"/>
      <w:jc w:val="center"/>
    </w:pPr>
    <w:rPr>
      <w:sz w:val="30"/>
    </w:rPr>
  </w:style>
  <w:style w:type="paragraph" w:styleId="38">
    <w:name w:val="List Continue 4"/>
    <w:basedOn w:val="1"/>
    <w:uiPriority w:val="0"/>
    <w:pPr>
      <w:adjustRightInd w:val="0"/>
      <w:snapToGrid w:val="0"/>
      <w:spacing w:after="120" w:afterLines="0" w:afterAutospacing="0" w:line="360" w:lineRule="auto"/>
      <w:ind w:left="1680" w:leftChars="800"/>
    </w:pPr>
    <w:rPr>
      <w:sz w:val="24"/>
    </w:rPr>
  </w:style>
  <w:style w:type="paragraph" w:styleId="39">
    <w:name w:val="toc 4"/>
    <w:basedOn w:val="1"/>
    <w:next w:val="1"/>
    <w:uiPriority w:val="0"/>
    <w:pPr>
      <w:ind w:left="1260" w:leftChars="600"/>
    </w:pPr>
  </w:style>
  <w:style w:type="paragraph" w:styleId="40">
    <w:name w:val="footnote text"/>
    <w:basedOn w:val="1"/>
    <w:link w:val="74"/>
    <w:uiPriority w:val="0"/>
    <w:pPr>
      <w:spacing w:line="360" w:lineRule="auto"/>
    </w:pPr>
    <w:rPr>
      <w:sz w:val="18"/>
    </w:rPr>
  </w:style>
  <w:style w:type="paragraph" w:styleId="41">
    <w:name w:val="toc 6"/>
    <w:basedOn w:val="1"/>
    <w:next w:val="1"/>
    <w:uiPriority w:val="0"/>
    <w:pPr>
      <w:ind w:left="2100" w:leftChars="1000"/>
    </w:pPr>
  </w:style>
  <w:style w:type="paragraph" w:styleId="42">
    <w:name w:val="List 5"/>
    <w:basedOn w:val="1"/>
    <w:uiPriority w:val="0"/>
    <w:pPr>
      <w:adjustRightInd w:val="0"/>
      <w:snapToGrid w:val="0"/>
      <w:spacing w:line="360" w:lineRule="auto"/>
      <w:ind w:left="100" w:leftChars="800" w:hanging="200" w:hangingChars="200"/>
    </w:pPr>
    <w:rPr>
      <w:sz w:val="24"/>
    </w:rPr>
  </w:style>
  <w:style w:type="paragraph" w:styleId="43">
    <w:name w:val="Body Text Indent 3"/>
    <w:basedOn w:val="1"/>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uiPriority w:val="39"/>
    <w:pPr>
      <w:ind w:left="420" w:leftChars="200"/>
    </w:pPr>
  </w:style>
  <w:style w:type="paragraph" w:styleId="46">
    <w:name w:val="toc 9"/>
    <w:basedOn w:val="1"/>
    <w:next w:val="1"/>
    <w:uiPriority w:val="0"/>
    <w:pPr>
      <w:ind w:left="3360" w:leftChars="1600"/>
    </w:pPr>
  </w:style>
  <w:style w:type="paragraph" w:styleId="47">
    <w:name w:val="Body Text 2"/>
    <w:basedOn w:val="1"/>
    <w:uiPriority w:val="0"/>
    <w:pPr>
      <w:adjustRightInd w:val="0"/>
      <w:snapToGrid w:val="0"/>
      <w:spacing w:after="120" w:afterLines="0" w:afterAutospacing="0" w:line="480" w:lineRule="auto"/>
    </w:pPr>
    <w:rPr>
      <w:sz w:val="24"/>
    </w:rPr>
  </w:style>
  <w:style w:type="paragraph" w:styleId="48">
    <w:name w:val="List 4"/>
    <w:basedOn w:val="1"/>
    <w:uiPriority w:val="0"/>
    <w:pPr>
      <w:adjustRightInd w:val="0"/>
      <w:snapToGrid w:val="0"/>
      <w:spacing w:line="360" w:lineRule="auto"/>
      <w:ind w:left="100" w:leftChars="600" w:hanging="200" w:hangingChars="200"/>
    </w:pPr>
    <w:rPr>
      <w:sz w:val="24"/>
    </w:rPr>
  </w:style>
  <w:style w:type="paragraph" w:styleId="49">
    <w:name w:val="List Continue 2"/>
    <w:basedOn w:val="1"/>
    <w:uiPriority w:val="0"/>
    <w:pPr>
      <w:adjustRightInd w:val="0"/>
      <w:snapToGrid w:val="0"/>
      <w:spacing w:after="120" w:afterLines="0" w:afterAutospacing="0" w:line="360" w:lineRule="auto"/>
      <w:ind w:left="840" w:leftChars="400"/>
    </w:pPr>
    <w:rPr>
      <w:sz w:val="24"/>
    </w:rPr>
  </w:style>
  <w:style w:type="paragraph" w:styleId="50">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5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uiPriority w:val="0"/>
    <w:pPr>
      <w:adjustRightInd w:val="0"/>
      <w:snapToGrid w:val="0"/>
      <w:spacing w:after="120" w:afterLines="0" w:afterAutospacing="0" w:line="360" w:lineRule="auto"/>
      <w:ind w:left="1260" w:leftChars="600"/>
    </w:pPr>
    <w:rPr>
      <w:sz w:val="24"/>
    </w:rPr>
  </w:style>
  <w:style w:type="paragraph" w:styleId="53">
    <w:name w:val="index 1"/>
    <w:basedOn w:val="1"/>
    <w:next w:val="1"/>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0"/>
    <w:next w:val="20"/>
    <w:link w:val="75"/>
    <w:uiPriority w:val="0"/>
    <w:pPr>
      <w:adjustRightInd/>
      <w:spacing w:line="240" w:lineRule="auto"/>
      <w:textAlignment w:val="auto"/>
    </w:pPr>
  </w:style>
  <w:style w:type="paragraph" w:styleId="56">
    <w:name w:val="Body Text First Indent"/>
    <w:basedOn w:val="2"/>
    <w:qFormat/>
    <w:uiPriority w:val="0"/>
    <w:pPr>
      <w:spacing w:line="360" w:lineRule="auto"/>
      <w:ind w:firstLine="420"/>
    </w:pPr>
    <w:rPr>
      <w:rFonts w:ascii="宋体" w:hAnsi="宋体"/>
      <w:sz w:val="24"/>
    </w:rPr>
  </w:style>
  <w:style w:type="paragraph" w:styleId="57">
    <w:name w:val="Body Text First Indent 2"/>
    <w:basedOn w:val="23"/>
    <w:next w:val="56"/>
    <w:link w:val="76"/>
    <w:uiPriority w:val="0"/>
    <w:pPr>
      <w:spacing w:after="120" w:afterLines="0" w:line="240" w:lineRule="auto"/>
      <w:ind w:left="420" w:leftChars="200" w:firstLine="420" w:firstLineChars="200"/>
    </w:pPr>
  </w:style>
  <w:style w:type="table" w:styleId="59">
    <w:name w:val="Table Grid"/>
    <w:basedOn w:val="58"/>
    <w:uiPriority w:val="0"/>
    <w:tblPr>
      <w:tblStyle w:val="5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uiPriority w:val="0"/>
  </w:style>
  <w:style w:type="character" w:styleId="63">
    <w:name w:val="FollowedHyperlink"/>
    <w:uiPriority w:val="0"/>
    <w:rPr>
      <w:color w:val="800080"/>
      <w:u w:val="single"/>
    </w:rPr>
  </w:style>
  <w:style w:type="character" w:styleId="64">
    <w:name w:val="Emphasis"/>
    <w:qFormat/>
    <w:uiPriority w:val="0"/>
    <w:rPr>
      <w:i/>
    </w:rPr>
  </w:style>
  <w:style w:type="character" w:styleId="65">
    <w:name w:val="Hyperlink"/>
    <w:uiPriority w:val="99"/>
    <w:rPr>
      <w:color w:val="0000FF"/>
      <w:u w:val="single"/>
    </w:rPr>
  </w:style>
  <w:style w:type="character" w:styleId="66">
    <w:name w:val="annotation reference"/>
    <w:uiPriority w:val="0"/>
    <w:rPr>
      <w:sz w:val="21"/>
      <w:szCs w:val="21"/>
    </w:rPr>
  </w:style>
  <w:style w:type="character" w:styleId="67">
    <w:name w:val="footnote reference"/>
    <w:uiPriority w:val="0"/>
    <w:rPr>
      <w:position w:val="6"/>
      <w:sz w:val="14"/>
      <w:vertAlign w:val="superscript"/>
    </w:rPr>
  </w:style>
  <w:style w:type="character" w:customStyle="1" w:styleId="68">
    <w:name w:val="标题 2 字符"/>
    <w:link w:val="4"/>
    <w:uiPriority w:val="0"/>
    <w:rPr>
      <w:rFonts w:ascii="Arial" w:hAnsi="Arial" w:eastAsia="黑体"/>
      <w:b/>
      <w:kern w:val="2"/>
      <w:sz w:val="32"/>
    </w:rPr>
  </w:style>
  <w:style w:type="character" w:customStyle="1" w:styleId="69">
    <w:name w:val="标题 3 字符"/>
    <w:link w:val="5"/>
    <w:uiPriority w:val="0"/>
    <w:rPr>
      <w:rFonts w:eastAsia="宋体"/>
      <w:b/>
      <w:kern w:val="2"/>
      <w:sz w:val="32"/>
      <w:lang w:val="en-US" w:eastAsia="zh-CN"/>
    </w:rPr>
  </w:style>
  <w:style w:type="character" w:customStyle="1" w:styleId="70">
    <w:name w:val="批注文字 字符"/>
    <w:link w:val="20"/>
    <w:uiPriority w:val="0"/>
    <w:rPr>
      <w:sz w:val="24"/>
    </w:rPr>
  </w:style>
  <w:style w:type="character" w:customStyle="1" w:styleId="71">
    <w:name w:val="正文文本缩进 字符"/>
    <w:link w:val="23"/>
    <w:uiPriority w:val="0"/>
    <w:rPr>
      <w:kern w:val="2"/>
      <w:sz w:val="44"/>
    </w:rPr>
  </w:style>
  <w:style w:type="character" w:customStyle="1" w:styleId="72">
    <w:name w:val="日期 字符"/>
    <w:link w:val="32"/>
    <w:uiPriority w:val="0"/>
    <w:rPr>
      <w:kern w:val="2"/>
      <w:sz w:val="28"/>
    </w:rPr>
  </w:style>
  <w:style w:type="character" w:customStyle="1" w:styleId="73">
    <w:name w:val="正文文本缩进 2 字符"/>
    <w:link w:val="33"/>
    <w:uiPriority w:val="0"/>
    <w:rPr>
      <w:kern w:val="2"/>
      <w:sz w:val="28"/>
    </w:rPr>
  </w:style>
  <w:style w:type="character" w:customStyle="1" w:styleId="74">
    <w:name w:val="脚注文本 字符"/>
    <w:link w:val="40"/>
    <w:uiPriority w:val="0"/>
    <w:rPr>
      <w:kern w:val="2"/>
      <w:sz w:val="18"/>
    </w:rPr>
  </w:style>
  <w:style w:type="character" w:customStyle="1" w:styleId="75">
    <w:name w:val="批注主题 字符"/>
    <w:link w:val="55"/>
    <w:uiPriority w:val="0"/>
  </w:style>
  <w:style w:type="character" w:customStyle="1" w:styleId="76">
    <w:name w:val="正文文本首行缩进 2 字符"/>
    <w:link w:val="57"/>
    <w:uiPriority w:val="0"/>
  </w:style>
  <w:style w:type="paragraph" w:customStyle="1" w:styleId="77">
    <w:name w:val="常用样式（方正仿宋简）"/>
    <w:basedOn w:val="1"/>
    <w:qFormat/>
    <w:uiPriority w:val="0"/>
    <w:pPr>
      <w:spacing w:line="560" w:lineRule="exact"/>
      <w:ind w:firstLine="640" w:firstLineChars="200"/>
    </w:pPr>
    <w:rPr>
      <w:rFonts w:eastAsia="方正仿宋简体"/>
      <w:sz w:val="32"/>
    </w:rPr>
  </w:style>
  <w:style w:type="character" w:customStyle="1" w:styleId="78">
    <w:name w:val=" Char Char4"/>
    <w:uiPriority w:val="0"/>
    <w:rPr>
      <w:rFonts w:eastAsia="宋体"/>
      <w:b/>
      <w:kern w:val="2"/>
      <w:sz w:val="21"/>
      <w:lang w:val="en-US" w:eastAsia="zh-CN"/>
    </w:rPr>
  </w:style>
  <w:style w:type="character" w:customStyle="1" w:styleId="79">
    <w:name w:val="Table Text Char"/>
    <w:link w:val="80"/>
    <w:uiPriority w:val="0"/>
    <w:rPr>
      <w:rFonts w:ascii="Arial" w:hAnsi="Arial"/>
      <w:kern w:val="2"/>
      <w:sz w:val="18"/>
      <w:lang w:val="en-US" w:eastAsia="zh-CN" w:bidi="ar-SA"/>
    </w:rPr>
  </w:style>
  <w:style w:type="paragraph" w:customStyle="1" w:styleId="80">
    <w:name w:val="Table Text"/>
    <w:link w:val="79"/>
    <w:uiPriority w:val="0"/>
    <w:pPr>
      <w:snapToGrid w:val="0"/>
      <w:spacing w:before="80" w:after="80"/>
    </w:pPr>
    <w:rPr>
      <w:rFonts w:ascii="Arial" w:hAnsi="Arial"/>
      <w:kern w:val="2"/>
      <w:sz w:val="18"/>
      <w:lang w:val="en-US" w:eastAsia="zh-CN" w:bidi="ar-SA"/>
    </w:rPr>
  </w:style>
  <w:style w:type="character" w:customStyle="1" w:styleId="81">
    <w:name w:val="标书正文:  0.74 厘米 Char1"/>
    <w:uiPriority w:val="0"/>
    <w:rPr>
      <w:rFonts w:eastAsia="宋体"/>
      <w:kern w:val="2"/>
      <w:sz w:val="24"/>
      <w:lang w:val="en-US" w:eastAsia="zh-CN"/>
    </w:rPr>
  </w:style>
  <w:style w:type="character" w:customStyle="1" w:styleId="82">
    <w:name w:val="Table Text Char1 Char"/>
    <w:uiPriority w:val="0"/>
    <w:rPr>
      <w:rFonts w:ascii="Arial" w:hAnsi="Arial"/>
      <w:kern w:val="2"/>
      <w:sz w:val="18"/>
      <w:lang w:val="en-US" w:eastAsia="zh-CN" w:bidi="ar-SA"/>
    </w:rPr>
  </w:style>
  <w:style w:type="character" w:customStyle="1" w:styleId="83">
    <w:name w:val=" Char Char5"/>
    <w:uiPriority w:val="0"/>
    <w:rPr>
      <w:rFonts w:ascii="Arial" w:hAnsi="Arial" w:eastAsia="宋体"/>
      <w:b/>
      <w:smallCaps/>
      <w:kern w:val="28"/>
      <w:sz w:val="36"/>
      <w:lang w:val="en-US" w:eastAsia="en-US"/>
    </w:rPr>
  </w:style>
  <w:style w:type="character" w:customStyle="1" w:styleId="84">
    <w:name w:val="Table Heading Char Char"/>
    <w:uiPriority w:val="0"/>
    <w:rPr>
      <w:rFonts w:ascii="Arial" w:hAnsi="Arial" w:eastAsia="黑体"/>
      <w:kern w:val="2"/>
      <w:sz w:val="18"/>
      <w:lang w:val="en-US" w:eastAsia="zh-CN"/>
    </w:rPr>
  </w:style>
  <w:style w:type="character" w:customStyle="1" w:styleId="85">
    <w:name w:val="crowed11"/>
    <w:uiPriority w:val="0"/>
    <w:rPr>
      <w:rFonts w:hint="default" w:ascii="_x000B__x000C_" w:hAnsi="_x000B__x000C_"/>
      <w:sz w:val="24"/>
    </w:rPr>
  </w:style>
  <w:style w:type="character" w:customStyle="1" w:styleId="86">
    <w:name w:val="未命名11"/>
    <w:uiPriority w:val="0"/>
    <w:rPr>
      <w:color w:val="77FFFF"/>
      <w:sz w:val="24"/>
    </w:rPr>
  </w:style>
  <w:style w:type="character" w:customStyle="1" w:styleId="87">
    <w:name w:val="title_emph1"/>
    <w:uiPriority w:val="0"/>
    <w:rPr>
      <w:rFonts w:hint="default" w:ascii="Arial" w:hAnsi="Arial"/>
      <w:b/>
      <w:sz w:val="20"/>
    </w:rPr>
  </w:style>
  <w:style w:type="character" w:customStyle="1" w:styleId="88">
    <w:name w:val="content-white1"/>
    <w:uiPriority w:val="0"/>
    <w:rPr>
      <w:rFonts w:ascii="_x000B__x000C_" w:hAnsi="_x000B__x000C_"/>
      <w:color w:val="auto"/>
      <w:sz w:val="18"/>
      <w:u w:val="none"/>
    </w:rPr>
  </w:style>
  <w:style w:type="character" w:customStyle="1" w:styleId="89">
    <w:name w:val="v151"/>
    <w:uiPriority w:val="0"/>
    <w:rPr>
      <w:sz w:val="18"/>
    </w:rPr>
  </w:style>
  <w:style w:type="character" w:customStyle="1" w:styleId="90">
    <w:name w:val="文字 Char"/>
    <w:link w:val="91"/>
    <w:uiPriority w:val="0"/>
    <w:rPr>
      <w:rFonts w:ascii="宋体"/>
      <w:kern w:val="2"/>
      <w:sz w:val="28"/>
    </w:rPr>
  </w:style>
  <w:style w:type="paragraph" w:customStyle="1" w:styleId="91">
    <w:name w:val="文字"/>
    <w:basedOn w:val="1"/>
    <w:link w:val="90"/>
    <w:uiPriority w:val="0"/>
    <w:pPr>
      <w:tabs>
        <w:tab w:val="left" w:pos="8520"/>
      </w:tabs>
      <w:spacing w:line="312" w:lineRule="auto"/>
      <w:ind w:right="-210" w:firstLine="556"/>
    </w:pPr>
    <w:rPr>
      <w:rFonts w:ascii="宋体"/>
    </w:rPr>
  </w:style>
  <w:style w:type="character" w:customStyle="1" w:styleId="92">
    <w:name w:val=" Char Char"/>
    <w:uiPriority w:val="0"/>
    <w:rPr>
      <w:rFonts w:ascii="宋体" w:hAnsi="宋体" w:eastAsia="宋体"/>
      <w:kern w:val="2"/>
      <w:sz w:val="24"/>
      <w:lang w:val="en-US" w:eastAsia="zh-CN" w:bidi="ar-SA"/>
    </w:rPr>
  </w:style>
  <w:style w:type="character" w:customStyle="1" w:styleId="93">
    <w:name w:val=" Char Char2"/>
    <w:uiPriority w:val="0"/>
    <w:rPr>
      <w:rFonts w:eastAsia="宋体"/>
      <w:kern w:val="2"/>
      <w:sz w:val="18"/>
      <w:lang w:val="en-US" w:eastAsia="zh-CN"/>
    </w:rPr>
  </w:style>
  <w:style w:type="character" w:customStyle="1" w:styleId="94">
    <w:name w:val="样式 宋体"/>
    <w:uiPriority w:val="0"/>
    <w:rPr>
      <w:rFonts w:ascii="宋体" w:hAnsi="宋体" w:eastAsia="宋体"/>
      <w:sz w:val="28"/>
    </w:rPr>
  </w:style>
  <w:style w:type="character" w:customStyle="1" w:styleId="95">
    <w:name w:val="小 Char"/>
    <w:aliases w:val="表格文字 Char,普通文字 Char Char1"/>
    <w:uiPriority w:val="0"/>
    <w:rPr>
      <w:rFonts w:ascii="宋体" w:hAnsi="Courier New" w:eastAsia="宋体"/>
      <w:kern w:val="2"/>
      <w:sz w:val="21"/>
      <w:lang w:val="en-US" w:eastAsia="zh-CN" w:bidi="ar-SA"/>
    </w:rPr>
  </w:style>
  <w:style w:type="character" w:customStyle="1" w:styleId="96">
    <w:name w:val=" Char Char3"/>
    <w:uiPriority w:val="0"/>
    <w:rPr>
      <w:rFonts w:eastAsia="宋体"/>
      <w:kern w:val="2"/>
      <w:sz w:val="18"/>
      <w:lang w:val="en-US" w:eastAsia="zh-CN"/>
    </w:rPr>
  </w:style>
  <w:style w:type="character" w:customStyle="1" w:styleId="97">
    <w:name w:val="font1"/>
    <w:uiPriority w:val="0"/>
    <w:rPr>
      <w:color w:val="000000"/>
      <w:sz w:val="18"/>
    </w:rPr>
  </w:style>
  <w:style w:type="character" w:customStyle="1" w:styleId="98">
    <w:name w:val="正文 + 三号 Char"/>
    <w:aliases w:val="加粗 Char"/>
    <w:uiPriority w:val="0"/>
    <w:rPr>
      <w:rFonts w:eastAsia="宋体"/>
      <w:kern w:val="2"/>
      <w:sz w:val="21"/>
      <w:lang w:val="en-US" w:eastAsia="zh-CN"/>
    </w:rPr>
  </w:style>
  <w:style w:type="character" w:customStyle="1" w:styleId="99">
    <w:name w:val="top-det1"/>
    <w:uiPriority w:val="0"/>
    <w:rPr>
      <w:b/>
      <w:color w:val="000000"/>
    </w:rPr>
  </w:style>
  <w:style w:type="character" w:customStyle="1" w:styleId="100">
    <w:name w:val="Table Text Char Char Char Char"/>
    <w:link w:val="101"/>
    <w:uiPriority w:val="0"/>
    <w:rPr>
      <w:rFonts w:ascii="Arial" w:hAnsi="Arial"/>
      <w:kern w:val="2"/>
      <w:sz w:val="18"/>
      <w:lang w:val="en-US" w:eastAsia="zh-CN" w:bidi="ar-SA"/>
    </w:rPr>
  </w:style>
  <w:style w:type="paragraph" w:customStyle="1" w:styleId="101">
    <w:name w:val="Table Text Char Char Char"/>
    <w:link w:val="100"/>
    <w:uiPriority w:val="0"/>
    <w:pPr>
      <w:snapToGrid w:val="0"/>
      <w:spacing w:before="80" w:after="80"/>
    </w:pPr>
    <w:rPr>
      <w:rFonts w:ascii="Arial" w:hAnsi="Arial"/>
      <w:kern w:val="2"/>
      <w:sz w:val="18"/>
      <w:lang w:val="en-US" w:eastAsia="zh-CN" w:bidi="ar-SA"/>
    </w:rPr>
  </w:style>
  <w:style w:type="character" w:customStyle="1" w:styleId="102">
    <w:name w:val=" Char Char7"/>
    <w:uiPriority w:val="0"/>
    <w:rPr>
      <w:rFonts w:ascii="宋体" w:hAnsi="宋体" w:eastAsia="宋体"/>
      <w:kern w:val="2"/>
      <w:sz w:val="28"/>
    </w:rPr>
  </w:style>
  <w:style w:type="character" w:customStyle="1" w:styleId="103">
    <w:name w:val=" Char Char6"/>
    <w:uiPriority w:val="0"/>
    <w:rPr>
      <w:rFonts w:ascii="仿宋_GB2312" w:eastAsia="仿宋_GB2312"/>
      <w:kern w:val="2"/>
      <w:sz w:val="32"/>
    </w:rPr>
  </w:style>
  <w:style w:type="character" w:customStyle="1" w:styleId="104">
    <w:name w:val=" Char Char11"/>
    <w:uiPriority w:val="0"/>
    <w:rPr>
      <w:rFonts w:ascii="宋体"/>
      <w:kern w:val="2"/>
      <w:sz w:val="28"/>
    </w:rPr>
  </w:style>
  <w:style w:type="character" w:customStyle="1" w:styleId="105">
    <w:name w:val="H2 Char"/>
    <w:aliases w:val="h2 Char,Heading 2 Hidden Char,Heading 2 CCBS Char,2nd level Char,2 Char,Header 2 Char,l2 Char,Fab-2 Char,PIM2 Char,heading 2 Char,Titre3 Char,HD2 Char,sect 1.2 Char,第一章 标题 2 Char,ISO1 Char,Underrubrik1 Char,prop2 Char,UNDERRUBRIK 1-2 Char"/>
    <w:uiPriority w:val="0"/>
    <w:rPr>
      <w:rFonts w:ascii="Arial" w:hAnsi="Arial" w:eastAsia="宋体"/>
      <w:kern w:val="2"/>
      <w:sz w:val="28"/>
      <w:lang w:val="en-US" w:eastAsia="zh-CN"/>
    </w:rPr>
  </w:style>
  <w:style w:type="paragraph" w:customStyle="1" w:styleId="106">
    <w:name w:val="Item Step in Table"/>
    <w:uiPriority w:val="0"/>
    <w:pPr>
      <w:numPr>
        <w:ilvl w:val="0"/>
        <w:numId w:val="5"/>
      </w:numPr>
      <w:tabs>
        <w:tab w:val="left" w:pos="397"/>
      </w:tabs>
      <w:spacing w:before="40" w:after="40"/>
      <w:jc w:val="both"/>
    </w:pPr>
    <w:rPr>
      <w:rFonts w:ascii="Arial" w:hAnsi="Arial"/>
      <w:sz w:val="18"/>
      <w:lang w:val="en-US" w:eastAsia="zh-CN" w:bidi="ar-SA"/>
    </w:rPr>
  </w:style>
  <w:style w:type="paragraph" w:customStyle="1" w:styleId="107">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108">
    <w:name w:val=" Char1 Char Char Char"/>
    <w:basedOn w:val="1"/>
    <w:uiPriority w:val="0"/>
    <w:rPr>
      <w:rFonts w:ascii="Tahoma" w:hAnsi="Tahoma"/>
      <w:sz w:val="24"/>
    </w:rPr>
  </w:style>
  <w:style w:type="paragraph" w:customStyle="1" w:styleId="109">
    <w:name w:val="默认段落字体 Para Char Char Char Char Char Char Char"/>
    <w:basedOn w:val="1"/>
    <w:uiPriority w:val="0"/>
    <w:rPr>
      <w:rFonts w:ascii="Tahoma" w:hAnsi="Tahoma"/>
      <w:sz w:val="24"/>
    </w:rPr>
  </w:style>
  <w:style w:type="paragraph" w:customStyle="1" w:styleId="110">
    <w:name w:val=" Char Char 字元 字元 字元 Char Char Char Char"/>
    <w:basedOn w:val="1"/>
    <w:uiPriority w:val="0"/>
    <w:pPr>
      <w:adjustRightInd w:val="0"/>
      <w:spacing w:line="360" w:lineRule="auto"/>
    </w:pPr>
    <w:rPr>
      <w:kern w:val="0"/>
      <w:sz w:val="24"/>
    </w:rPr>
  </w:style>
  <w:style w:type="paragraph" w:customStyle="1" w:styleId="111">
    <w:name w:val="项目"/>
    <w:basedOn w:val="1"/>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2">
    <w:name w:val="简单回函地址"/>
    <w:basedOn w:val="1"/>
    <w:uiPriority w:val="0"/>
    <w:pPr>
      <w:adjustRightInd w:val="0"/>
      <w:snapToGrid w:val="0"/>
      <w:spacing w:line="360" w:lineRule="auto"/>
    </w:pPr>
    <w:rPr>
      <w:sz w:val="24"/>
    </w:rPr>
  </w:style>
  <w:style w:type="paragraph" w:customStyle="1" w:styleId="113">
    <w:name w:val="IN Step"/>
    <w:basedOn w:val="1"/>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4">
    <w:name w:val=" Char Char Char"/>
    <w:basedOn w:val="1"/>
    <w:uiPriority w:val="0"/>
    <w:rPr>
      <w:rFonts w:ascii="Tahoma" w:hAnsi="Tahoma"/>
      <w:sz w:val="24"/>
    </w:rPr>
  </w:style>
  <w:style w:type="paragraph" w:customStyle="1" w:styleId="115">
    <w:name w:val="表文字"/>
    <w:uiPriority w:val="0"/>
    <w:rPr>
      <w:rFonts w:ascii="宋体"/>
      <w:kern w:val="2"/>
      <w:lang w:val="en-US" w:eastAsia="zh-CN" w:bidi="ar-SA"/>
    </w:rPr>
  </w:style>
  <w:style w:type="paragraph" w:customStyle="1" w:styleId="116">
    <w:name w:val="正文格式"/>
    <w:basedOn w:val="1"/>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17">
    <w:name w:val="样式 样式 首行缩进:  2 字符 + 首行缩进:  2 字符"/>
    <w:basedOn w:val="1"/>
    <w:uiPriority w:val="0"/>
    <w:pPr>
      <w:numPr>
        <w:ilvl w:val="0"/>
        <w:numId w:val="6"/>
      </w:numPr>
      <w:tabs>
        <w:tab w:val="clear" w:pos="1230"/>
      </w:tabs>
      <w:spacing w:line="360" w:lineRule="auto"/>
      <w:ind w:firstLine="480" w:firstLineChars="200"/>
    </w:pPr>
    <w:rPr>
      <w:sz w:val="24"/>
    </w:rPr>
  </w:style>
  <w:style w:type="paragraph" w:customStyle="1" w:styleId="118">
    <w:name w:val="附录3"/>
    <w:basedOn w:val="1"/>
    <w:next w:val="1"/>
    <w:uiPriority w:val="0"/>
    <w:pPr>
      <w:numPr>
        <w:ilvl w:val="0"/>
        <w:numId w:val="0"/>
      </w:numPr>
      <w:tabs>
        <w:tab w:val="left" w:pos="851"/>
      </w:tabs>
      <w:ind w:left="425" w:hanging="425"/>
      <w:outlineLvl w:val="2"/>
    </w:pPr>
    <w:rPr>
      <w:rFonts w:eastAsia="黑体"/>
      <w:b/>
      <w:sz w:val="32"/>
    </w:rPr>
  </w:style>
  <w:style w:type="paragraph" w:customStyle="1" w:styleId="119">
    <w:name w:val=" Char Char Char Char Char Char Char Char Char Char Char Char Char Char Char Char"/>
    <w:basedOn w:val="1"/>
    <w:uiPriority w:val="0"/>
    <w:pPr>
      <w:tabs>
        <w:tab w:val="left" w:pos="360"/>
      </w:tabs>
    </w:pPr>
    <w:rPr>
      <w:sz w:val="24"/>
    </w:rPr>
  </w:style>
  <w:style w:type="paragraph" w:customStyle="1" w:styleId="120">
    <w:name w:val=" Char Char Char Char Char Char Char"/>
    <w:basedOn w:val="1"/>
    <w:uiPriority w:val="0"/>
    <w:rPr>
      <w:rFonts w:ascii="Tahoma" w:hAnsi="Tahoma"/>
      <w:sz w:val="24"/>
    </w:rPr>
  </w:style>
  <w:style w:type="paragraph" w:customStyle="1" w:styleId="121">
    <w:name w:val=" Char Char14 Char Char"/>
    <w:basedOn w:val="1"/>
    <w:uiPriority w:val="0"/>
    <w:rPr>
      <w:sz w:val="21"/>
      <w:szCs w:val="24"/>
    </w:rPr>
  </w:style>
  <w:style w:type="paragraph" w:customStyle="1" w:styleId="122">
    <w:name w:val="表头文本"/>
    <w:uiPriority w:val="0"/>
    <w:pPr>
      <w:jc w:val="center"/>
    </w:pPr>
    <w:rPr>
      <w:rFonts w:ascii="Arial" w:hAnsi="Arial"/>
      <w:b/>
      <w:sz w:val="21"/>
      <w:lang w:val="en-US" w:eastAsia="zh-CN" w:bidi="ar-SA"/>
    </w:rPr>
  </w:style>
  <w:style w:type="paragraph" w:customStyle="1" w:styleId="123">
    <w:name w:val="默认段落字体 Para Char Char Char Char Char Char Char Char Char1 Char Char Char Char"/>
    <w:basedOn w:val="1"/>
    <w:uiPriority w:val="0"/>
    <w:rPr>
      <w:rFonts w:ascii="Tahoma" w:hAnsi="Tahoma"/>
      <w:sz w:val="24"/>
    </w:rPr>
  </w:style>
  <w:style w:type="paragraph" w:customStyle="1" w:styleId="124">
    <w:name w:val="标题3——2"/>
    <w:basedOn w:val="5"/>
    <w:next w:val="56"/>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lang/>
    </w:rPr>
  </w:style>
  <w:style w:type="paragraph" w:customStyle="1" w:styleId="125">
    <w:name w:val="样式 正文首行缩进 2 + 首行缩进:  2 字符"/>
    <w:basedOn w:val="1"/>
    <w:uiPriority w:val="0"/>
    <w:pPr>
      <w:numPr>
        <w:ilvl w:val="0"/>
        <w:numId w:val="7"/>
      </w:numPr>
      <w:adjustRightInd w:val="0"/>
      <w:snapToGrid w:val="0"/>
      <w:spacing w:line="360" w:lineRule="auto"/>
    </w:pPr>
    <w:rPr>
      <w:rFonts w:ascii="Arial" w:hAnsi="Arial"/>
      <w:b/>
      <w:sz w:val="24"/>
    </w:rPr>
  </w:style>
  <w:style w:type="paragraph" w:customStyle="1" w:styleId="126">
    <w:name w:val="_"/>
    <w:basedOn w:val="1"/>
    <w:uiPriority w:val="0"/>
    <w:pPr>
      <w:adjustRightInd w:val="0"/>
      <w:spacing w:line="360" w:lineRule="auto"/>
      <w:ind w:left="480" w:firstLine="200" w:firstLineChars="200"/>
      <w:textAlignment w:val="baseline"/>
    </w:pPr>
    <w:rPr>
      <w:kern w:val="0"/>
      <w:sz w:val="24"/>
    </w:rPr>
  </w:style>
  <w:style w:type="paragraph" w:customStyle="1" w:styleId="127">
    <w:name w:val="样式2"/>
    <w:basedOn w:val="6"/>
    <w:uiPriority w:val="0"/>
    <w:pPr>
      <w:numPr>
        <w:ilvl w:val="0"/>
        <w:numId w:val="8"/>
      </w:numPr>
      <w:spacing w:before="560" w:beforeLines="0" w:line="400" w:lineRule="exact"/>
      <w:jc w:val="center"/>
      <w:outlineLvl w:val="0"/>
    </w:pPr>
    <w:rPr>
      <w:b w:val="0"/>
      <w:sz w:val="44"/>
    </w:rPr>
  </w:style>
  <w:style w:type="paragraph" w:customStyle="1" w:styleId="128">
    <w:name w:val="xl40"/>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9">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30">
    <w:name w:val="样式1xz"/>
    <w:basedOn w:val="1"/>
    <w:uiPriority w:val="0"/>
    <w:pPr>
      <w:tabs>
        <w:tab w:val="left" w:pos="1050"/>
        <w:tab w:val="right" w:leader="dot" w:pos="8296"/>
      </w:tabs>
    </w:pPr>
    <w:rPr>
      <w:caps/>
      <w:spacing w:val="20"/>
      <w:sz w:val="24"/>
    </w:rPr>
  </w:style>
  <w:style w:type="paragraph" w:customStyle="1" w:styleId="131">
    <w:name w:val="Style Heading 3h3Heading 3 - oldLevel 3 HeadH3level_3PIM 3se..."/>
    <w:basedOn w:val="5"/>
    <w:uiPriority w:val="0"/>
    <w:pPr>
      <w:numPr>
        <w:ilvl w:val="2"/>
        <w:numId w:val="2"/>
      </w:numPr>
      <w:tabs>
        <w:tab w:val="left" w:pos="709"/>
        <w:tab w:val="left" w:pos="1620"/>
      </w:tabs>
      <w:spacing w:line="413" w:lineRule="auto"/>
    </w:pPr>
  </w:style>
  <w:style w:type="paragraph" w:customStyle="1" w:styleId="132">
    <w:name w:val="Char"/>
    <w:basedOn w:val="1"/>
    <w:uiPriority w:val="0"/>
    <w:pPr>
      <w:spacing w:line="240" w:lineRule="atLeast"/>
      <w:ind w:left="420" w:firstLine="420"/>
    </w:pPr>
    <w:rPr>
      <w:kern w:val="0"/>
      <w:sz w:val="21"/>
    </w:rPr>
  </w:style>
  <w:style w:type="paragraph" w:customStyle="1" w:styleId="133">
    <w:name w:val="1.正文"/>
    <w:basedOn w:val="1"/>
    <w:uiPriority w:val="0"/>
    <w:pPr>
      <w:spacing w:line="360" w:lineRule="auto"/>
      <w:ind w:left="540" w:leftChars="225" w:firstLine="540" w:firstLineChars="225"/>
    </w:pPr>
    <w:rPr>
      <w:sz w:val="24"/>
    </w:rPr>
  </w:style>
  <w:style w:type="paragraph" w:customStyle="1" w:styleId="134">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35">
    <w:name w:val="标书正文:  0.74 厘米"/>
    <w:basedOn w:val="1"/>
    <w:uiPriority w:val="0"/>
    <w:pPr>
      <w:snapToGrid w:val="0"/>
      <w:spacing w:line="360" w:lineRule="auto"/>
      <w:ind w:firstLine="420"/>
    </w:pPr>
    <w:rPr>
      <w:sz w:val="24"/>
    </w:rPr>
  </w:style>
  <w:style w:type="paragraph" w:customStyle="1" w:styleId="136">
    <w:name w:val=" Char Char Char Char Char Char Char Char Char Char Char Char Char"/>
    <w:basedOn w:val="1"/>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37">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38">
    <w:name w:val="af"/>
    <w:basedOn w:val="1"/>
    <w:uiPriority w:val="0"/>
    <w:pPr>
      <w:widowControl/>
      <w:spacing w:line="300" w:lineRule="atLeast"/>
      <w:jc w:val="left"/>
    </w:pPr>
    <w:rPr>
      <w:rFonts w:ascii="宋体" w:hAnsi="宋体"/>
      <w:kern w:val="0"/>
      <w:sz w:val="18"/>
    </w:rPr>
  </w:style>
  <w:style w:type="paragraph" w:customStyle="1" w:styleId="139">
    <w:name w:val="样式 正文缩进正文（首行缩进两字）表正文正文非缩进特点标题4段1 + 首行缩进:  2 字符"/>
    <w:basedOn w:val="16"/>
    <w:uiPriority w:val="0"/>
    <w:pPr>
      <w:ind w:firstLine="480" w:firstLineChars="200"/>
    </w:pPr>
  </w:style>
  <w:style w:type="paragraph" w:customStyle="1" w:styleId="140">
    <w:name w:val="样式 标题 1 + 居中 段前: 6 磅 段后: 6 磅 行距: 1.5 倍行距"/>
    <w:basedOn w:val="3"/>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41">
    <w:name w:val="Default"/>
    <w:uiPriority w:val="0"/>
    <w:pPr>
      <w:widowControl w:val="0"/>
      <w:autoSpaceDE w:val="0"/>
      <w:autoSpaceDN w:val="0"/>
      <w:adjustRightInd w:val="0"/>
    </w:pPr>
    <w:rPr>
      <w:rFonts w:ascii="宋体"/>
      <w:color w:val="000000"/>
      <w:sz w:val="24"/>
      <w:lang w:val="en-US" w:eastAsia="zh-CN" w:bidi="ar-SA"/>
    </w:rPr>
  </w:style>
  <w:style w:type="paragraph" w:customStyle="1" w:styleId="142">
    <w:name w:val="表格文本"/>
    <w:uiPriority w:val="0"/>
    <w:pPr>
      <w:tabs>
        <w:tab w:val="decimal" w:pos="0"/>
      </w:tabs>
    </w:pPr>
    <w:rPr>
      <w:rFonts w:ascii="Arial" w:hAnsi="Arial"/>
      <w:sz w:val="21"/>
      <w:lang w:val="en-US" w:eastAsia="zh-CN" w:bidi="ar-SA"/>
    </w:rPr>
  </w:style>
  <w:style w:type="paragraph" w:customStyle="1" w:styleId="143">
    <w:name w:val=" Char Char Char1 Char Char Char Char Char Char Char Char Char Char Char Char Char"/>
    <w:basedOn w:val="1"/>
    <w:uiPriority w:val="0"/>
    <w:pPr>
      <w:widowControl/>
      <w:spacing w:after="160" w:afterLines="0" w:line="240" w:lineRule="exact"/>
      <w:jc w:val="left"/>
    </w:pPr>
    <w:rPr>
      <w:rFonts w:ascii="Verdana" w:hAnsi="Verdana"/>
      <w:kern w:val="0"/>
      <w:sz w:val="18"/>
      <w:lang w:eastAsia="en-US"/>
    </w:rPr>
  </w:style>
  <w:style w:type="paragraph" w:customStyle="1" w:styleId="144">
    <w:name w:val="Body Text Indent 2"/>
    <w:basedOn w:val="1"/>
    <w:uiPriority w:val="0"/>
    <w:pPr>
      <w:adjustRightInd w:val="0"/>
      <w:spacing w:before="120" w:beforeLines="0" w:beforeAutospacing="0"/>
      <w:ind w:firstLine="420"/>
      <w:textAlignment w:val="baseline"/>
    </w:pPr>
    <w:rPr>
      <w:sz w:val="24"/>
    </w:rPr>
  </w:style>
  <w:style w:type="paragraph" w:customStyle="1" w:styleId="145">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46">
    <w:name w:val="样式 首行缩进:  0.74 厘米"/>
    <w:basedOn w:val="1"/>
    <w:uiPriority w:val="0"/>
    <w:pPr>
      <w:spacing w:line="360" w:lineRule="auto"/>
      <w:ind w:firstLine="420"/>
    </w:pPr>
    <w:rPr>
      <w:sz w:val="24"/>
    </w:rPr>
  </w:style>
  <w:style w:type="paragraph" w:customStyle="1" w:styleId="147">
    <w:name w:val="二级列表"/>
    <w:basedOn w:val="148"/>
    <w:next w:val="148"/>
    <w:uiPriority w:val="0"/>
    <w:pPr>
      <w:tabs>
        <w:tab w:val="left" w:pos="2120"/>
      </w:tabs>
      <w:ind w:firstLine="0" w:firstLineChars="0"/>
    </w:pPr>
    <w:rPr>
      <w:b/>
    </w:rPr>
  </w:style>
  <w:style w:type="paragraph" w:customStyle="1" w:styleId="148">
    <w:name w:val="段落正文"/>
    <w:basedOn w:val="1"/>
    <w:uiPriority w:val="0"/>
    <w:pPr>
      <w:spacing w:before="156" w:beforeLines="50" w:beforeAutospacing="0" w:line="360" w:lineRule="auto"/>
      <w:ind w:firstLine="200" w:firstLineChars="200"/>
    </w:pPr>
    <w:rPr>
      <w:spacing w:val="2"/>
      <w:sz w:val="24"/>
    </w:rPr>
  </w:style>
  <w:style w:type="paragraph" w:customStyle="1" w:styleId="149">
    <w:name w:val="content"/>
    <w:basedOn w:val="1"/>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50">
    <w:name w:val="正文（首行不缩进）"/>
    <w:basedOn w:val="1"/>
    <w:uiPriority w:val="0"/>
    <w:pPr>
      <w:autoSpaceDE w:val="0"/>
      <w:autoSpaceDN w:val="0"/>
      <w:adjustRightInd w:val="0"/>
      <w:spacing w:line="360" w:lineRule="auto"/>
      <w:jc w:val="left"/>
    </w:pPr>
    <w:rPr>
      <w:kern w:val="0"/>
      <w:sz w:val="21"/>
    </w:rPr>
  </w:style>
  <w:style w:type="paragraph" w:customStyle="1" w:styleId="151">
    <w:name w:val="附录1"/>
    <w:basedOn w:val="1"/>
    <w:next w:val="1"/>
    <w:uiPriority w:val="0"/>
    <w:pPr>
      <w:tabs>
        <w:tab w:val="left" w:pos="1304"/>
      </w:tabs>
      <w:ind w:left="425" w:hanging="425"/>
      <w:outlineLvl w:val="0"/>
    </w:pPr>
    <w:rPr>
      <w:rFonts w:ascii="黑体" w:hAnsi="黑体" w:eastAsia="黑体"/>
      <w:b/>
      <w:sz w:val="44"/>
    </w:rPr>
  </w:style>
  <w:style w:type="paragraph" w:customStyle="1" w:styleId="152">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3">
    <w:name w:val="可研正文"/>
    <w:basedOn w:val="2"/>
    <w:uiPriority w:val="0"/>
    <w:pPr>
      <w:adjustRightInd w:val="0"/>
      <w:snapToGrid w:val="0"/>
      <w:spacing w:line="440" w:lineRule="exact"/>
      <w:ind w:firstLine="567"/>
    </w:pPr>
    <w:rPr>
      <w:sz w:val="28"/>
    </w:rPr>
  </w:style>
  <w:style w:type="paragraph" w:customStyle="1" w:styleId="154">
    <w:name w:val=" Char Char1 Char"/>
    <w:basedOn w:val="1"/>
    <w:uiPriority w:val="0"/>
    <w:rPr>
      <w:rFonts w:ascii="Tahoma" w:hAnsi="Tahoma"/>
      <w:sz w:val="24"/>
      <w:szCs w:val="24"/>
    </w:rPr>
  </w:style>
  <w:style w:type="paragraph" w:customStyle="1" w:styleId="155">
    <w:name w:val="1"/>
    <w:basedOn w:val="1"/>
    <w:next w:val="30"/>
    <w:uiPriority w:val="0"/>
    <w:rPr>
      <w:rFonts w:ascii="宋体" w:hAnsi="Courier New"/>
      <w:sz w:val="21"/>
    </w:rPr>
  </w:style>
  <w:style w:type="paragraph" w:customStyle="1" w:styleId="156">
    <w:name w:val="标题无"/>
    <w:basedOn w:val="1"/>
    <w:uiPriority w:val="0"/>
    <w:pPr>
      <w:spacing w:line="360" w:lineRule="auto"/>
    </w:pPr>
    <w:rPr>
      <w:sz w:val="24"/>
      <w:lang/>
    </w:rPr>
  </w:style>
  <w:style w:type="paragraph" w:customStyle="1" w:styleId="157">
    <w:name w:val="文本框样式1"/>
    <w:basedOn w:val="1"/>
    <w:uiPriority w:val="0"/>
    <w:pPr>
      <w:adjustRightInd w:val="0"/>
      <w:snapToGrid w:val="0"/>
      <w:spacing w:before="60" w:beforeLines="0" w:beforeAutospacing="0" w:line="180" w:lineRule="exact"/>
      <w:jc w:val="center"/>
    </w:pPr>
    <w:rPr>
      <w:sz w:val="21"/>
    </w:rPr>
  </w:style>
  <w:style w:type="paragraph" w:customStyle="1" w:styleId="158">
    <w:name w:val="È±Ê¡ÎÄ±¾"/>
    <w:basedOn w:val="1"/>
    <w:uiPriority w:val="0"/>
    <w:pPr>
      <w:widowControl/>
      <w:overflowPunct w:val="0"/>
      <w:autoSpaceDE w:val="0"/>
      <w:autoSpaceDN w:val="0"/>
      <w:adjustRightInd w:val="0"/>
      <w:jc w:val="left"/>
      <w:textAlignment w:val="baseline"/>
    </w:pPr>
    <w:rPr>
      <w:kern w:val="0"/>
      <w:sz w:val="24"/>
      <w:lang/>
    </w:rPr>
  </w:style>
  <w:style w:type="paragraph" w:customStyle="1" w:styleId="159">
    <w:name w:val="bt"/>
    <w:basedOn w:val="1"/>
    <w:next w:val="2"/>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60">
    <w:name w:val="style1"/>
    <w:basedOn w:val="1"/>
    <w:uiPriority w:val="0"/>
    <w:pPr>
      <w:widowControl/>
      <w:spacing w:before="100" w:beforeLines="0" w:beforeAutospacing="1" w:after="100" w:afterLines="0" w:afterAutospacing="1"/>
      <w:jc w:val="left"/>
    </w:pPr>
    <w:rPr>
      <w:rFonts w:ascii="宋体" w:hAnsi="宋体"/>
      <w:kern w:val="0"/>
      <w:sz w:val="21"/>
    </w:rPr>
  </w:style>
  <w:style w:type="paragraph" w:customStyle="1" w:styleId="161">
    <w:name w:val="xl53"/>
    <w:basedOn w:val="1"/>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2">
    <w:name w:val=" Char1"/>
    <w:basedOn w:val="1"/>
    <w:uiPriority w:val="0"/>
    <w:rPr>
      <w:sz w:val="21"/>
    </w:rPr>
  </w:style>
  <w:style w:type="paragraph" w:customStyle="1" w:styleId="163">
    <w:name w:val="xl27"/>
    <w:basedOn w:val="1"/>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64">
    <w:name w:val="Item List"/>
    <w:uiPriority w:val="0"/>
    <w:pPr>
      <w:numPr>
        <w:ilvl w:val="0"/>
        <w:numId w:val="9"/>
      </w:numPr>
      <w:spacing w:line="300" w:lineRule="auto"/>
      <w:jc w:val="both"/>
    </w:pPr>
    <w:rPr>
      <w:rFonts w:ascii="Arial" w:hAnsi="Arial"/>
      <w:sz w:val="21"/>
      <w:lang w:val="en-US" w:eastAsia="zh-CN" w:bidi="ar-SA"/>
    </w:rPr>
  </w:style>
  <w:style w:type="paragraph" w:customStyle="1" w:styleId="165">
    <w:name w:val="正文 + 三号"/>
    <w:basedOn w:val="1"/>
    <w:uiPriority w:val="0"/>
    <w:rPr>
      <w:sz w:val="21"/>
    </w:rPr>
  </w:style>
  <w:style w:type="paragraph" w:customStyle="1" w:styleId="166">
    <w:name w:val="段 Char"/>
    <w:uiPriority w:val="0"/>
    <w:pPr>
      <w:autoSpaceDE w:val="0"/>
      <w:autoSpaceDN w:val="0"/>
      <w:ind w:firstLine="200" w:firstLineChars="200"/>
      <w:jc w:val="both"/>
    </w:pPr>
    <w:rPr>
      <w:rFonts w:ascii="宋体"/>
      <w:sz w:val="21"/>
      <w:lang w:val="en-US" w:eastAsia="zh-CN" w:bidi="ar-SA"/>
    </w:rPr>
  </w:style>
  <w:style w:type="paragraph" w:customStyle="1" w:styleId="167">
    <w:name w:val="列表项目"/>
    <w:basedOn w:val="1"/>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68">
    <w:name w:val="Title - Revision"/>
    <w:basedOn w:val="54"/>
    <w:uiPriority w:val="0"/>
    <w:pPr>
      <w:spacing w:before="720" w:beforeLines="0" w:beforeAutospacing="0"/>
    </w:pPr>
  </w:style>
  <w:style w:type="paragraph" w:customStyle="1" w:styleId="169">
    <w:name w:val="Table Text Char Char"/>
    <w:uiPriority w:val="0"/>
    <w:pPr>
      <w:snapToGrid w:val="0"/>
      <w:spacing w:before="80" w:after="80"/>
    </w:pPr>
    <w:rPr>
      <w:rFonts w:ascii="Arial" w:hAnsi="Arial"/>
      <w:kern w:val="2"/>
      <w:sz w:val="18"/>
      <w:lang w:val="en-US" w:eastAsia="zh-CN" w:bidi="ar-SA"/>
    </w:rPr>
  </w:style>
  <w:style w:type="paragraph" w:customStyle="1" w:styleId="170">
    <w:name w:val="内容标题"/>
    <w:basedOn w:val="18"/>
    <w:uiPriority w:val="0"/>
    <w:rPr>
      <w:rFonts w:ascii="Tahoma" w:hAnsi="Tahoma"/>
      <w:sz w:val="24"/>
    </w:rPr>
  </w:style>
  <w:style w:type="paragraph" w:customStyle="1" w:styleId="171">
    <w:name w:val="首行缩进"/>
    <w:basedOn w:val="1"/>
    <w:uiPriority w:val="0"/>
    <w:pPr>
      <w:numPr>
        <w:ilvl w:val="0"/>
        <w:numId w:val="10"/>
      </w:numPr>
      <w:spacing w:line="360" w:lineRule="auto"/>
    </w:pPr>
    <w:rPr>
      <w:rFonts w:eastAsia="仿宋_GB2312"/>
    </w:rPr>
  </w:style>
  <w:style w:type="paragraph" w:customStyle="1" w:styleId="172">
    <w:name w:val="Table Description"/>
    <w:next w:val="1"/>
    <w:uiPriority w:val="0"/>
    <w:pPr>
      <w:keepNext/>
      <w:snapToGrid w:val="0"/>
      <w:spacing w:before="160" w:after="80"/>
      <w:ind w:left="1134"/>
      <w:jc w:val="center"/>
    </w:pPr>
    <w:rPr>
      <w:rFonts w:ascii="Arial" w:hAnsi="Arial" w:eastAsia="黑体"/>
      <w:sz w:val="18"/>
      <w:lang w:val="en-US" w:eastAsia="zh-CN" w:bidi="ar-SA"/>
    </w:rPr>
  </w:style>
  <w:style w:type="paragraph" w:customStyle="1" w:styleId="173">
    <w:name w:val="图片文字"/>
    <w:basedOn w:val="1"/>
    <w:uiPriority w:val="0"/>
    <w:pPr>
      <w:spacing w:line="240" w:lineRule="atLeast"/>
      <w:jc w:val="center"/>
    </w:pPr>
    <w:rPr>
      <w:sz w:val="21"/>
    </w:rPr>
  </w:style>
  <w:style w:type="paragraph" w:customStyle="1" w:styleId="174">
    <w:name w:val="样式1"/>
    <w:basedOn w:val="6"/>
    <w:uiPriority w:val="0"/>
    <w:pPr>
      <w:tabs>
        <w:tab w:val="left" w:pos="720"/>
      </w:tabs>
      <w:spacing w:before="500" w:beforeLines="0" w:beforeAutospacing="0" w:after="260" w:afterLines="0" w:afterAutospacing="0" w:line="560" w:lineRule="atLeast"/>
      <w:ind w:left="420" w:hanging="420"/>
    </w:pPr>
  </w:style>
  <w:style w:type="paragraph" w:customStyle="1" w:styleId="175">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176">
    <w:name w:val=" Char Char Char Char Char Char1 Char"/>
    <w:basedOn w:val="1"/>
    <w:uiPriority w:val="0"/>
    <w:pPr>
      <w:widowControl/>
      <w:spacing w:after="160" w:afterLines="0" w:afterAutospacing="0" w:line="240" w:lineRule="exact"/>
      <w:jc w:val="left"/>
    </w:pPr>
    <w:rPr>
      <w:rFonts w:ascii="Verdana" w:hAnsi="Verdana"/>
      <w:kern w:val="0"/>
      <w:sz w:val="21"/>
      <w:lang w:eastAsia="en-US"/>
    </w:rPr>
  </w:style>
  <w:style w:type="paragraph" w:customStyle="1" w:styleId="177">
    <w:name w:val="正文4"/>
    <w:basedOn w:val="1"/>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78">
    <w:name w:val="tabletext"/>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9">
    <w:name w:val="Figure Description"/>
    <w:next w:val="1"/>
    <w:uiPriority w:val="0"/>
    <w:pPr>
      <w:snapToGrid w:val="0"/>
      <w:spacing w:before="80" w:after="320"/>
      <w:ind w:left="1134"/>
      <w:jc w:val="center"/>
    </w:pPr>
    <w:rPr>
      <w:rFonts w:ascii="Arial" w:hAnsi="Arial" w:eastAsia="黑体"/>
      <w:sz w:val="18"/>
      <w:lang w:val="en-US" w:eastAsia="zh-CN" w:bidi="ar-SA"/>
    </w:rPr>
  </w:style>
  <w:style w:type="paragraph" w:customStyle="1" w:styleId="180">
    <w:name w:val="表头样式"/>
    <w:basedOn w:val="1"/>
    <w:uiPriority w:val="0"/>
    <w:pPr>
      <w:autoSpaceDE w:val="0"/>
      <w:autoSpaceDN w:val="0"/>
      <w:adjustRightInd w:val="0"/>
      <w:spacing w:line="360" w:lineRule="auto"/>
      <w:jc w:val="left"/>
    </w:pPr>
    <w:rPr>
      <w:b/>
      <w:kern w:val="0"/>
      <w:sz w:val="21"/>
    </w:rPr>
  </w:style>
  <w:style w:type="paragraph" w:customStyle="1" w:styleId="181">
    <w:name w:val="编号正文"/>
    <w:basedOn w:val="182"/>
    <w:uiPriority w:val="0"/>
    <w:pPr>
      <w:snapToGrid/>
      <w:spacing w:line="360" w:lineRule="auto"/>
      <w:ind w:left="1407" w:hanging="1047"/>
      <w:jc w:val="left"/>
    </w:pPr>
    <w:rPr>
      <w:rFonts w:eastAsia="仿宋_GB2312"/>
    </w:rPr>
  </w:style>
  <w:style w:type="paragraph" w:customStyle="1" w:styleId="182">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3">
    <w:name w:val="操作步骤"/>
    <w:basedOn w:val="1"/>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84">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185">
    <w:name w:val="Char Char Char Char"/>
    <w:basedOn w:val="1"/>
    <w:uiPriority w:val="0"/>
    <w:pPr>
      <w:pageBreakBefore/>
      <w:widowControl/>
      <w:spacing w:after="160" w:afterLines="0" w:line="240" w:lineRule="exact"/>
      <w:jc w:val="left"/>
    </w:pPr>
    <w:rPr>
      <w:rFonts w:ascii="Verdana" w:hAnsi="Verdana"/>
      <w:kern w:val="0"/>
      <w:sz w:val="20"/>
      <w:lang w:eastAsia="en-US"/>
    </w:rPr>
  </w:style>
  <w:style w:type="paragraph" w:customStyle="1" w:styleId="186">
    <w:name w:val="Title - Date"/>
    <w:basedOn w:val="54"/>
    <w:next w:val="1"/>
    <w:uiPriority w:val="0"/>
    <w:pPr>
      <w:spacing w:before="240" w:beforeLines="0" w:beforeAutospacing="0" w:after="720" w:afterLines="0" w:afterAutospacing="0"/>
    </w:pPr>
    <w:rPr>
      <w:sz w:val="28"/>
    </w:rPr>
  </w:style>
  <w:style w:type="paragraph" w:customStyle="1" w:styleId="187">
    <w:name w:val="样式3"/>
    <w:basedOn w:val="3"/>
    <w:next w:val="3"/>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88">
    <w:name w:val="CSS1级正文 Char"/>
    <w:basedOn w:val="2"/>
    <w:uiPriority w:val="0"/>
    <w:pPr>
      <w:adjustRightInd w:val="0"/>
      <w:snapToGrid w:val="0"/>
      <w:spacing w:line="360" w:lineRule="auto"/>
      <w:ind w:firstLine="480"/>
    </w:pPr>
    <w:rPr>
      <w:rFonts w:ascii="Times New Roman" w:eastAsia="宋体"/>
      <w:sz w:val="24"/>
    </w:rPr>
  </w:style>
  <w:style w:type="paragraph" w:customStyle="1" w:styleId="189">
    <w:name w:val="表号"/>
    <w:basedOn w:val="1"/>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90">
    <w:name w:val="文本1"/>
    <w:basedOn w:val="1"/>
    <w:uiPriority w:val="0"/>
    <w:pPr>
      <w:adjustRightInd w:val="0"/>
      <w:spacing w:line="312" w:lineRule="atLeast"/>
      <w:jc w:val="center"/>
      <w:textAlignment w:val="baseline"/>
    </w:pPr>
    <w:rPr>
      <w:kern w:val="0"/>
      <w:sz w:val="18"/>
    </w:rPr>
  </w:style>
  <w:style w:type="paragraph" w:customStyle="1" w:styleId="191">
    <w:name w:val="样式 样式 正文首行缩进 2 + 左  0 字符 + 首行缩进:  2.57 字符"/>
    <w:basedOn w:val="1"/>
    <w:next w:val="1"/>
    <w:uiPriority w:val="0"/>
    <w:pPr>
      <w:adjustRightInd w:val="0"/>
      <w:snapToGrid w:val="0"/>
      <w:spacing w:after="120" w:afterLines="0" w:afterAutospacing="0"/>
      <w:ind w:firstLine="540" w:firstLineChars="257"/>
    </w:pPr>
    <w:rPr>
      <w:sz w:val="21"/>
    </w:rPr>
  </w:style>
  <w:style w:type="paragraph" w:customStyle="1" w:styleId="192">
    <w:name w:val="摘要"/>
    <w:basedOn w:val="1"/>
    <w:next w:val="4"/>
    <w:uiPriority w:val="0"/>
    <w:pPr>
      <w:spacing w:line="360" w:lineRule="auto"/>
    </w:pPr>
    <w:rPr>
      <w:rFonts w:eastAsia="黑体"/>
      <w:sz w:val="20"/>
    </w:rPr>
  </w:style>
  <w:style w:type="paragraph" w:customStyle="1" w:styleId="193">
    <w:name w:val="样式 宋体 五号 两端对齐 行距: 单倍行距"/>
    <w:basedOn w:val="1"/>
    <w:uiPriority w:val="0"/>
    <w:pPr>
      <w:adjustRightInd w:val="0"/>
      <w:textAlignment w:val="baseline"/>
    </w:pPr>
    <w:rPr>
      <w:rFonts w:ascii="宋体" w:hAnsi="宋体"/>
      <w:kern w:val="0"/>
      <w:sz w:val="21"/>
    </w:rPr>
  </w:style>
  <w:style w:type="paragraph" w:customStyle="1" w:styleId="194">
    <w:name w:val="文章正文"/>
    <w:basedOn w:val="1"/>
    <w:uiPriority w:val="0"/>
    <w:pPr>
      <w:ind w:firstLine="560" w:firstLineChars="200"/>
    </w:pPr>
    <w:rPr>
      <w:rFonts w:ascii="仿宋_GB2312" w:hAnsi="宋体" w:eastAsia="仿宋_GB2312"/>
      <w:color w:val="000000"/>
    </w:rPr>
  </w:style>
  <w:style w:type="paragraph" w:customStyle="1" w:styleId="195">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6">
    <w:name w:val="样式 标题 6第五层条 + 三号 段前: 0.5 行"/>
    <w:basedOn w:val="8"/>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97">
    <w:name w:val="样式 宋体 五号 行距: 单倍行距"/>
    <w:basedOn w:val="1"/>
    <w:uiPriority w:val="0"/>
    <w:pPr>
      <w:adjustRightInd w:val="0"/>
      <w:jc w:val="left"/>
    </w:pPr>
    <w:rPr>
      <w:rFonts w:ascii="宋体" w:hAnsi="宋体"/>
      <w:kern w:val="0"/>
      <w:sz w:val="21"/>
    </w:rPr>
  </w:style>
  <w:style w:type="paragraph" w:customStyle="1" w:styleId="198">
    <w:name w:val="Char1 Char Char Char"/>
    <w:basedOn w:val="1"/>
    <w:uiPriority w:val="0"/>
    <w:rPr>
      <w:rFonts w:ascii="Tahoma" w:hAnsi="Tahoma"/>
      <w:sz w:val="30"/>
    </w:rPr>
  </w:style>
  <w:style w:type="paragraph" w:customStyle="1" w:styleId="199">
    <w:name w:val="IN Feature"/>
    <w:next w:val="113"/>
    <w:uiPriority w:val="0"/>
    <w:pPr>
      <w:keepNext/>
      <w:keepLines/>
      <w:spacing w:before="240" w:after="240"/>
      <w:outlineLvl w:val="7"/>
    </w:pPr>
    <w:rPr>
      <w:rFonts w:ascii="Arial" w:hAnsi="Arial" w:eastAsia="黑体"/>
      <w:sz w:val="21"/>
      <w:lang w:val="en-US" w:eastAsia="zh-CN" w:bidi="ar-SA"/>
    </w:rPr>
  </w:style>
  <w:style w:type="paragraph" w:customStyle="1" w:styleId="200">
    <w:name w:val="正文1"/>
    <w:basedOn w:val="1"/>
    <w:uiPriority w:val="0"/>
    <w:pPr>
      <w:spacing w:line="300" w:lineRule="auto"/>
      <w:ind w:firstLine="200" w:firstLineChars="200"/>
    </w:pPr>
    <w:rPr>
      <w:sz w:val="24"/>
    </w:rPr>
  </w:style>
  <w:style w:type="paragraph" w:customStyle="1" w:styleId="201">
    <w:name w:val=" Char2 Char Char Char Char Char Char"/>
    <w:basedOn w:val="1"/>
    <w:uiPriority w:val="0"/>
    <w:rPr>
      <w:rFonts w:ascii="仿宋_GB2312"/>
      <w:b/>
      <w:sz w:val="30"/>
    </w:rPr>
  </w:style>
  <w:style w:type="paragraph" w:customStyle="1" w:styleId="202">
    <w:name w:val="样式4"/>
    <w:basedOn w:val="6"/>
    <w:uiPriority w:val="0"/>
    <w:pPr>
      <w:adjustRightInd w:val="0"/>
      <w:snapToGrid w:val="0"/>
    </w:pPr>
  </w:style>
  <w:style w:type="paragraph" w:customStyle="1" w:styleId="203">
    <w:name w:val="标准正文"/>
    <w:basedOn w:val="23"/>
    <w:uiPriority w:val="0"/>
    <w:pPr>
      <w:spacing w:before="60" w:beforeLines="0" w:after="60" w:afterLines="0" w:line="360" w:lineRule="auto"/>
      <w:ind w:left="0" w:firstLine="482"/>
    </w:pPr>
    <w:rPr>
      <w:rFonts w:ascii="Arial" w:hAnsi="Arial"/>
      <w:sz w:val="24"/>
    </w:rPr>
  </w:style>
  <w:style w:type="paragraph" w:customStyle="1" w:styleId="204">
    <w:name w:val="表格内文字"/>
    <w:basedOn w:val="30"/>
    <w:uiPriority w:val="0"/>
    <w:pPr>
      <w:adjustRightInd w:val="0"/>
    </w:pPr>
    <w:rPr>
      <w:color w:val="000000"/>
      <w:lang w:val="en-GB"/>
    </w:rPr>
  </w:style>
  <w:style w:type="paragraph" w:customStyle="1" w:styleId="205">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6">
    <w:name w:val="图例"/>
    <w:basedOn w:val="1"/>
    <w:uiPriority w:val="0"/>
    <w:pPr>
      <w:spacing w:before="120" w:beforeLines="0" w:beforeAutospacing="0" w:after="120" w:afterLines="0" w:afterAutospacing="0" w:line="360" w:lineRule="auto"/>
      <w:jc w:val="center"/>
    </w:pPr>
    <w:rPr>
      <w:rFonts w:eastAsia="仿宋_GB2312"/>
      <w:b/>
      <w:sz w:val="24"/>
    </w:rPr>
  </w:style>
  <w:style w:type="paragraph" w:customStyle="1" w:styleId="207">
    <w:name w:val="Table Heading"/>
    <w:uiPriority w:val="0"/>
    <w:pPr>
      <w:keepNext/>
      <w:snapToGrid w:val="0"/>
      <w:spacing w:before="80" w:after="80"/>
      <w:jc w:val="center"/>
    </w:pPr>
    <w:rPr>
      <w:rFonts w:ascii="Arial" w:hAnsi="Arial" w:eastAsia="黑体"/>
      <w:sz w:val="18"/>
      <w:lang w:val="en-US" w:eastAsia="zh-CN" w:bidi="ar-SA"/>
    </w:rPr>
  </w:style>
  <w:style w:type="paragraph" w:customStyle="1" w:styleId="208">
    <w:name w:val="Item Step"/>
    <w:uiPriority w:val="0"/>
    <w:pPr>
      <w:tabs>
        <w:tab w:val="left" w:pos="1644"/>
      </w:tabs>
      <w:ind w:left="1644" w:hanging="510"/>
      <w:outlineLvl w:val="4"/>
    </w:pPr>
    <w:rPr>
      <w:rFonts w:ascii="Arial" w:hAnsi="Arial"/>
      <w:sz w:val="21"/>
      <w:lang w:val="en-US" w:eastAsia="zh-CN" w:bidi="ar-SA"/>
    </w:rPr>
  </w:style>
  <w:style w:type="paragraph" w:customStyle="1" w:styleId="209">
    <w:name w:val="正文格式 Char"/>
    <w:basedOn w:val="1"/>
    <w:uiPriority w:val="0"/>
    <w:pPr>
      <w:widowControl/>
      <w:adjustRightInd w:val="0"/>
      <w:spacing w:line="440" w:lineRule="atLeast"/>
      <w:ind w:firstLine="510"/>
      <w:textAlignment w:val="baseline"/>
    </w:pPr>
    <w:rPr>
      <w:kern w:val="0"/>
      <w:sz w:val="24"/>
    </w:rPr>
  </w:style>
  <w:style w:type="paragraph" w:customStyle="1" w:styleId="210">
    <w:name w:val="章标题"/>
    <w:next w:val="1"/>
    <w:uiPriority w:val="0"/>
    <w:pPr>
      <w:numPr>
        <w:ilvl w:val="1"/>
        <w:numId w:val="5"/>
      </w:numPr>
      <w:spacing w:before="156" w:beforeLines="50" w:after="156" w:afterLines="50"/>
      <w:ind w:left="0"/>
      <w:jc w:val="both"/>
      <w:outlineLvl w:val="1"/>
    </w:pPr>
    <w:rPr>
      <w:rFonts w:ascii="黑体" w:eastAsia="黑体"/>
      <w:sz w:val="24"/>
      <w:lang w:val="en-US" w:eastAsia="zh-CN" w:bidi="ar-SA"/>
    </w:rPr>
  </w:style>
  <w:style w:type="paragraph" w:customStyle="1" w:styleId="211">
    <w:name w:val="没有缩进（为图形使用）"/>
    <w:basedOn w:val="1"/>
    <w:uiPriority w:val="0"/>
    <w:pPr>
      <w:spacing w:before="120" w:beforeLines="0" w:beforeAutospacing="0" w:after="120" w:afterLines="0" w:afterAutospacing="0" w:line="360" w:lineRule="auto"/>
    </w:pPr>
    <w:rPr>
      <w:sz w:val="24"/>
    </w:rPr>
  </w:style>
  <w:style w:type="paragraph" w:customStyle="1" w:styleId="212">
    <w:name w:val="00"/>
    <w:basedOn w:val="1"/>
    <w:uiPriority w:val="0"/>
    <w:pPr>
      <w:autoSpaceDE w:val="0"/>
      <w:autoSpaceDN w:val="0"/>
      <w:adjustRightInd w:val="0"/>
      <w:jc w:val="left"/>
    </w:pPr>
    <w:rPr>
      <w:rFonts w:ascii="黑体" w:eastAsia="黑体"/>
      <w:b/>
      <w:kern w:val="0"/>
      <w:sz w:val="20"/>
    </w:rPr>
  </w:style>
  <w:style w:type="paragraph" w:customStyle="1" w:styleId="213">
    <w:name w:val="段"/>
    <w:uiPriority w:val="0"/>
    <w:pPr>
      <w:autoSpaceDE w:val="0"/>
      <w:autoSpaceDN w:val="0"/>
      <w:ind w:firstLine="200" w:firstLineChars="200"/>
      <w:jc w:val="both"/>
    </w:pPr>
    <w:rPr>
      <w:rFonts w:ascii="宋体"/>
      <w:sz w:val="21"/>
      <w:lang w:val="en-US" w:eastAsia="zh-CN" w:bidi="ar-SA"/>
    </w:rPr>
  </w:style>
  <w:style w:type="paragraph" w:customStyle="1" w:styleId="214">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15">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6">
    <w:name w:val="正文字缩2字"/>
    <w:basedOn w:val="1"/>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7">
    <w:name w:val=" Char Char1"/>
    <w:basedOn w:val="1"/>
    <w:uiPriority w:val="0"/>
    <w:pPr>
      <w:widowControl/>
      <w:spacing w:after="160" w:afterLines="0" w:afterAutospacing="0" w:line="240" w:lineRule="exact"/>
      <w:jc w:val="left"/>
    </w:pPr>
    <w:rPr>
      <w:rFonts w:ascii="Verdana" w:hAnsi="Verdana"/>
      <w:kern w:val="0"/>
      <w:sz w:val="20"/>
      <w:lang w:eastAsia="en-US"/>
    </w:rPr>
  </w:style>
  <w:style w:type="paragraph" w:styleId="218">
    <w:name w:val=""/>
    <w:uiPriority w:val="0"/>
    <w:rPr>
      <w:kern w:val="2"/>
      <w:sz w:val="21"/>
      <w:lang w:val="en-US" w:eastAsia="zh-CN" w:bidi="ar-SA"/>
    </w:rPr>
  </w:style>
  <w:style w:type="paragraph" w:customStyle="1" w:styleId="219">
    <w:name w:val=" Char"/>
    <w:basedOn w:val="1"/>
    <w:uiPriority w:val="0"/>
    <w:pPr>
      <w:spacing w:line="240" w:lineRule="atLeast"/>
      <w:ind w:left="420" w:firstLine="420"/>
    </w:pPr>
    <w:rPr>
      <w:kern w:val="0"/>
      <w:sz w:val="21"/>
    </w:rPr>
  </w:style>
  <w:style w:type="paragraph" w:customStyle="1" w:styleId="220">
    <w:name w:val="二级条标题"/>
    <w:basedOn w:val="221"/>
    <w:next w:val="213"/>
    <w:uiPriority w:val="0"/>
    <w:pPr>
      <w:ind w:left="840"/>
      <w:outlineLvl w:val="3"/>
    </w:pPr>
  </w:style>
  <w:style w:type="paragraph" w:customStyle="1" w:styleId="221">
    <w:name w:val="一级条标题"/>
    <w:basedOn w:val="210"/>
    <w:next w:val="213"/>
    <w:uiPriority w:val="0"/>
    <w:pPr>
      <w:numPr>
        <w:ilvl w:val="1"/>
        <w:numId w:val="0"/>
      </w:numPr>
      <w:spacing w:before="0" w:beforeLines="0" w:beforeAutospacing="0" w:after="0" w:afterLines="0" w:afterAutospacing="0"/>
      <w:ind w:left="525"/>
      <w:outlineLvl w:val="2"/>
    </w:pPr>
    <w:rPr>
      <w:sz w:val="21"/>
    </w:rPr>
  </w:style>
  <w:style w:type="paragraph" w:customStyle="1" w:styleId="222">
    <w:name w:val="正文表格"/>
    <w:basedOn w:val="1"/>
    <w:uiPriority w:val="0"/>
    <w:pPr>
      <w:adjustRightInd w:val="0"/>
      <w:spacing w:before="40" w:beforeLines="0" w:beforeAutospacing="0" w:after="40" w:afterLines="0" w:afterAutospacing="0"/>
    </w:pPr>
    <w:rPr>
      <w:sz w:val="24"/>
    </w:rPr>
  </w:style>
  <w:style w:type="paragraph" w:customStyle="1" w:styleId="223">
    <w:name w:val="Table Text Char1"/>
    <w:uiPriority w:val="0"/>
    <w:pPr>
      <w:snapToGrid w:val="0"/>
      <w:spacing w:before="80" w:after="80"/>
    </w:pPr>
    <w:rPr>
      <w:rFonts w:ascii="Arial" w:hAnsi="Arial"/>
      <w:kern w:val="2"/>
      <w:sz w:val="18"/>
      <w:lang w:val="en-US" w:eastAsia="zh-CN" w:bidi="ar-SA"/>
    </w:rPr>
  </w:style>
  <w:style w:type="paragraph" w:customStyle="1" w:styleId="224">
    <w:name w:val="Table Contents"/>
    <w:basedOn w:val="2"/>
    <w:uiPriority w:val="0"/>
    <w:pPr>
      <w:suppressAutoHyphens/>
      <w:jc w:val="left"/>
    </w:pPr>
    <w:rPr>
      <w:rFonts w:ascii="Times New Roman" w:eastAsia="Times New Roman"/>
      <w:kern w:val="0"/>
      <w:sz w:val="24"/>
      <w:lang/>
    </w:rPr>
  </w:style>
  <w:style w:type="paragraph" w:customStyle="1" w:styleId="225">
    <w:name w:val="图标"/>
    <w:basedOn w:val="1"/>
    <w:next w:val="1"/>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26">
    <w:name w:val="标题2"/>
    <w:basedOn w:val="4"/>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27">
    <w:name w:val="Char Char Char Char Char Char Char"/>
    <w:basedOn w:val="18"/>
    <w:uiPriority w:val="0"/>
    <w:rPr>
      <w:rFonts w:ascii="宋体" w:hAnsi="Tahoma"/>
    </w:rPr>
  </w:style>
  <w:style w:type="paragraph" w:customStyle="1" w:styleId="228">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229">
    <w:name w:val="附录4"/>
    <w:basedOn w:val="1"/>
    <w:next w:val="1"/>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30">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231">
    <w:name w:val="样式 行距: 1.5 倍行距1"/>
    <w:basedOn w:val="1"/>
    <w:uiPriority w:val="0"/>
    <w:pPr>
      <w:snapToGrid w:val="0"/>
    </w:pPr>
    <w:rPr>
      <w:sz w:val="21"/>
    </w:rPr>
  </w:style>
  <w:style w:type="paragraph" w:customStyle="1" w:styleId="232">
    <w:name w:val="关键词"/>
    <w:basedOn w:val="1"/>
    <w:next w:val="1"/>
    <w:uiPriority w:val="0"/>
    <w:pPr>
      <w:spacing w:line="360" w:lineRule="auto"/>
    </w:pPr>
    <w:rPr>
      <w:rFonts w:eastAsia="黑体"/>
      <w:sz w:val="20"/>
    </w:rPr>
  </w:style>
  <w:style w:type="paragraph" w:customStyle="1" w:styleId="233">
    <w:name w:val="司法正文"/>
    <w:uiPriority w:val="0"/>
    <w:pPr>
      <w:widowControl w:val="0"/>
      <w:ind w:firstLine="200" w:firstLineChars="200"/>
      <w:jc w:val="both"/>
    </w:pPr>
    <w:rPr>
      <w:rFonts w:eastAsia="仿宋_GB2312"/>
      <w:sz w:val="32"/>
      <w:lang w:val="en-US" w:eastAsia="zh-CN" w:bidi="ar-SA"/>
    </w:rPr>
  </w:style>
  <w:style w:type="paragraph" w:customStyle="1" w:styleId="234">
    <w:name w:val=" Char Char1 Char Char Char Char Char Char Char Char Char Char Char Char Char Char"/>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235">
    <w:name w:val="首行缩进 1"/>
    <w:basedOn w:val="1"/>
    <w:uiPriority w:val="0"/>
    <w:pPr>
      <w:spacing w:after="120" w:afterLines="0" w:afterAutospacing="0" w:line="360" w:lineRule="auto"/>
      <w:ind w:firstLine="200" w:firstLineChars="200"/>
    </w:pPr>
    <w:rPr>
      <w:sz w:val="24"/>
    </w:rPr>
  </w:style>
  <w:style w:type="paragraph" w:customStyle="1" w:styleId="236">
    <w:name w:val="样式 标题 1章标题Heading 0Section HeadPIM 1H1h11st levell11H1..."/>
    <w:basedOn w:val="3"/>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7">
    <w:name w:val="Note"/>
    <w:basedOn w:val="1"/>
    <w:uiPriority w:val="0"/>
    <w:pPr>
      <w:pBdr>
        <w:top w:val="single" w:color="auto" w:sz="12" w:space="3"/>
        <w:bottom w:val="single" w:color="auto" w:sz="12" w:space="3"/>
      </w:pBdr>
      <w:spacing w:line="360" w:lineRule="auto"/>
    </w:pPr>
    <w:rPr>
      <w:sz w:val="24"/>
    </w:rPr>
  </w:style>
  <w:style w:type="paragraph" w:customStyle="1" w:styleId="238">
    <w:name w:val="索引 51"/>
    <w:basedOn w:val="1"/>
    <w:next w:val="1"/>
    <w:qFormat/>
    <w:uiPriority w:val="0"/>
    <w:pPr>
      <w:ind w:left="1680"/>
    </w:pPr>
  </w:style>
  <w:style w:type="character" w:customStyle="1" w:styleId="239">
    <w:name w:val="NormalCharacter"/>
    <w:qFormat/>
    <w:uiPriority w:val="0"/>
    <w:rPr>
      <w:rFonts w:ascii="Times New Roman" w:hAnsi="Times New Roman" w:eastAsia="宋体" w:cs="Times New Roman"/>
      <w:kern w:val="2"/>
      <w:sz w:val="28"/>
      <w:lang w:val="en-US" w:eastAsia="zh-CN" w:bidi="ar-SA"/>
    </w:rPr>
  </w:style>
  <w:style w:type="paragraph" w:customStyle="1" w:styleId="240">
    <w:name w:val="正文缩进1"/>
    <w:basedOn w:val="1"/>
    <w:qFormat/>
    <w:uiPriority w:val="0"/>
    <w:pPr>
      <w:ind w:firstLine="420" w:firstLineChars="200"/>
    </w:pPr>
    <w:rPr>
      <w:rFonts w:eastAsia="宋体"/>
      <w:szCs w:val="20"/>
    </w:rPr>
  </w:style>
  <w:style w:type="table" w:customStyle="1" w:styleId="241">
    <w:name w:val="Table Normal"/>
    <w:unhideWhenUsed/>
    <w:qFormat/>
    <w:uiPriority w:val="0"/>
    <w:tblPr>
      <w:tblStyle w:val="58"/>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41</Pages>
  <Words>16673</Words>
  <Characters>17502</Characters>
  <Lines>149</Lines>
  <Paragraphs>42</Paragraphs>
  <TotalTime>5</TotalTime>
  <ScaleCrop>false</ScaleCrop>
  <LinksUpToDate>false</LinksUpToDate>
  <CharactersWithSpaces>17870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2022-06-15T00:41:00Z</dcterms:created>
  <dc:creator>周媛媛</dc:creator>
  <cp:lastModifiedBy>WPS_1735188972</cp:lastModifiedBy>
  <cp:lastPrinted>2022-12-06T06:25:00Z</cp:lastPrinted>
  <dcterms:modified xsi:type="dcterms:W3CDTF">2025-09-24T01:42:20Z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FAF0D0E3AA814D3DAF5D84438E7FC029_13</vt:lpwstr>
  </property>
  <property fmtid="{D5CDD505-2E9C-101B-9397-08002B2CF9AE}" pid="4" name="KSOTemplateDocerSaveRecord">
    <vt:lpwstr>eyJoZGlkIjoiZWNlZWQxNmRmNDg2OWM4ZTk4YzhmMmU1MGMwNDFhNWEiLCJ1c2VySWQiOiIxNjY5NjY0MjUxIn0=</vt:lpwstr>
  </property>
</Properties>
</file>