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33AA35">
      <w:pPr>
        <w:widowControl/>
        <w:shd w:val="clear"/>
        <w:spacing w:line="360" w:lineRule="auto"/>
        <w:jc w:val="center"/>
        <w:rPr>
          <w:rFonts w:hint="eastAsia" w:ascii="仿宋" w:hAnsi="仿宋" w:eastAsia="仿宋" w:cs="仿宋"/>
          <w:b/>
          <w:color w:val="auto"/>
          <w:sz w:val="48"/>
          <w:szCs w:val="48"/>
          <w:highlight w:val="none"/>
          <w:lang w:val="en-US" w:eastAsia="zh-CN"/>
        </w:rPr>
      </w:pPr>
      <w:bookmarkStart w:id="0" w:name="_Toc13074"/>
      <w:bookmarkStart w:id="1" w:name="_Toc13642"/>
      <w:bookmarkStart w:id="2" w:name="_Toc458977590"/>
      <w:bookmarkStart w:id="3" w:name="_Toc8304"/>
      <w:bookmarkStart w:id="4" w:name="_Toc30001"/>
      <w:bookmarkStart w:id="5" w:name="_Toc27718"/>
      <w:bookmarkStart w:id="6" w:name="_Toc22646"/>
      <w:bookmarkStart w:id="7" w:name="_Toc6737"/>
      <w:bookmarkStart w:id="8" w:name="_Toc3704"/>
      <w:bookmarkStart w:id="9" w:name="_Toc3568"/>
      <w:bookmarkStart w:id="10" w:name="_Toc2741"/>
      <w:bookmarkStart w:id="11" w:name="_Toc16157"/>
      <w:bookmarkStart w:id="12" w:name="_Toc17828"/>
      <w:bookmarkStart w:id="13" w:name="_Toc22849"/>
      <w:bookmarkStart w:id="14" w:name="_Toc26203"/>
      <w:bookmarkStart w:id="15" w:name="_Toc5728"/>
      <w:bookmarkStart w:id="16" w:name="_Toc17523"/>
      <w:bookmarkStart w:id="17" w:name="_Toc12552"/>
      <w:bookmarkStart w:id="18" w:name="_Toc24887"/>
      <w:bookmarkStart w:id="19" w:name="_Toc4746"/>
      <w:bookmarkStart w:id="20" w:name="_Toc15925"/>
      <w:r>
        <w:rPr>
          <w:rFonts w:hint="eastAsia" w:ascii="仿宋" w:hAnsi="仿宋" w:eastAsia="仿宋" w:cs="仿宋"/>
          <w:b/>
          <w:color w:val="auto"/>
          <w:sz w:val="48"/>
          <w:szCs w:val="48"/>
          <w:highlight w:val="none"/>
          <w:lang w:val="en-US" w:eastAsia="zh-CN"/>
        </w:rPr>
        <w:t xml:space="preserve"> </w:t>
      </w:r>
    </w:p>
    <w:p w14:paraId="72C61544">
      <w:pPr>
        <w:widowControl/>
        <w:shd w:val="clear"/>
        <w:spacing w:line="360" w:lineRule="auto"/>
        <w:jc w:val="both"/>
        <w:rPr>
          <w:rFonts w:hint="eastAsia" w:ascii="仿宋" w:hAnsi="仿宋" w:eastAsia="仿宋" w:cs="仿宋"/>
          <w:b/>
          <w:bCs/>
          <w:color w:val="auto"/>
          <w:sz w:val="48"/>
          <w:szCs w:val="48"/>
          <w:highlight w:val="none"/>
          <w:lang w:val="zh-CN"/>
        </w:rPr>
      </w:pPr>
      <w:bookmarkStart w:id="21" w:name="OLE_LINK1"/>
    </w:p>
    <w:p w14:paraId="226E829D">
      <w:pPr>
        <w:widowControl/>
        <w:shd w:val="clear"/>
        <w:spacing w:line="360" w:lineRule="auto"/>
        <w:jc w:val="center"/>
        <w:rPr>
          <w:rFonts w:hint="eastAsia" w:ascii="仿宋" w:hAnsi="仿宋" w:eastAsia="仿宋" w:cs="仿宋"/>
          <w:b/>
          <w:bCs/>
          <w:color w:val="auto"/>
          <w:sz w:val="48"/>
          <w:szCs w:val="48"/>
          <w:highlight w:val="none"/>
          <w:lang w:val="zh-CN"/>
        </w:rPr>
      </w:pPr>
    </w:p>
    <w:bookmarkEnd w:id="21"/>
    <w:p w14:paraId="68DFCFFF">
      <w:pPr>
        <w:widowControl/>
        <w:shd w:val="clear"/>
        <w:spacing w:line="360" w:lineRule="auto"/>
        <w:jc w:val="center"/>
        <w:rPr>
          <w:rFonts w:hint="eastAsia" w:ascii="仿宋" w:hAnsi="仿宋" w:eastAsia="仿宋" w:cs="仿宋"/>
          <w:b/>
          <w:bCs/>
          <w:color w:val="auto"/>
          <w:sz w:val="48"/>
          <w:szCs w:val="48"/>
          <w:highlight w:val="none"/>
          <w:lang w:val="zh-CN"/>
        </w:rPr>
      </w:pPr>
      <w:r>
        <w:rPr>
          <w:rFonts w:hint="eastAsia" w:ascii="仿宋" w:hAnsi="仿宋" w:eastAsia="仿宋" w:cs="仿宋"/>
          <w:b/>
          <w:bCs/>
          <w:color w:val="auto"/>
          <w:sz w:val="48"/>
          <w:szCs w:val="48"/>
          <w:highlight w:val="none"/>
          <w:lang w:val="zh-CN"/>
        </w:rPr>
        <w:t>九龙坡区公立医疗机构耗材集中遴选</w:t>
      </w:r>
    </w:p>
    <w:p w14:paraId="613E9CF3">
      <w:pPr>
        <w:widowControl/>
        <w:shd w:val="clear"/>
        <w:spacing w:line="360" w:lineRule="auto"/>
        <w:jc w:val="center"/>
        <w:rPr>
          <w:rFonts w:hint="eastAsia" w:ascii="仿宋" w:hAnsi="仿宋" w:eastAsia="仿宋" w:cs="仿宋"/>
          <w:b/>
          <w:bCs/>
          <w:color w:val="auto"/>
          <w:sz w:val="72"/>
          <w:szCs w:val="72"/>
          <w:highlight w:val="none"/>
          <w:lang w:eastAsia="zh-CN"/>
        </w:rPr>
      </w:pPr>
      <w:r>
        <w:rPr>
          <w:rFonts w:hint="eastAsia" w:ascii="仿宋" w:hAnsi="仿宋" w:eastAsia="仿宋" w:cs="仿宋"/>
          <w:b/>
          <w:bCs/>
          <w:color w:val="auto"/>
          <w:sz w:val="72"/>
          <w:szCs w:val="72"/>
          <w:highlight w:val="none"/>
          <w:lang w:eastAsia="zh-CN"/>
        </w:rPr>
        <w:t>资格预审文件</w:t>
      </w:r>
    </w:p>
    <w:p w14:paraId="3A8A0E42">
      <w:pPr>
        <w:widowControl/>
        <w:shd w:val="clear"/>
        <w:spacing w:line="360" w:lineRule="auto"/>
        <w:jc w:val="center"/>
        <w:rPr>
          <w:rFonts w:hint="eastAsia" w:ascii="仿宋" w:hAnsi="仿宋" w:eastAsia="仿宋" w:cs="仿宋"/>
          <w:b/>
          <w:color w:val="auto"/>
          <w:sz w:val="48"/>
          <w:szCs w:val="48"/>
          <w:highlight w:val="none"/>
        </w:rPr>
      </w:pPr>
    </w:p>
    <w:p w14:paraId="239C918A">
      <w:pPr>
        <w:widowControl/>
        <w:shd w:val="clear"/>
        <w:spacing w:line="360" w:lineRule="auto"/>
        <w:jc w:val="center"/>
        <w:rPr>
          <w:rFonts w:hint="eastAsia" w:ascii="仿宋" w:hAnsi="仿宋" w:eastAsia="仿宋" w:cs="仿宋"/>
          <w:b/>
          <w:color w:val="auto"/>
          <w:sz w:val="32"/>
          <w:szCs w:val="32"/>
          <w:highlight w:val="none"/>
        </w:rPr>
      </w:pPr>
    </w:p>
    <w:p w14:paraId="723D4337">
      <w:pPr>
        <w:widowControl/>
        <w:shd w:val="clea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项目编号：YJZB</w:t>
      </w:r>
      <w:r>
        <w:rPr>
          <w:rFonts w:hint="eastAsia" w:ascii="仿宋" w:hAnsi="仿宋" w:eastAsia="仿宋" w:cs="仿宋"/>
          <w:b/>
          <w:color w:val="auto"/>
          <w:sz w:val="32"/>
          <w:szCs w:val="32"/>
          <w:highlight w:val="none"/>
          <w:lang w:val="en-US" w:eastAsia="zh-CN"/>
        </w:rPr>
        <w:t>25</w:t>
      </w:r>
      <w:r>
        <w:rPr>
          <w:rFonts w:hint="eastAsia" w:ascii="仿宋" w:hAnsi="仿宋" w:eastAsia="仿宋" w:cs="仿宋"/>
          <w:b/>
          <w:color w:val="auto"/>
          <w:sz w:val="32"/>
          <w:szCs w:val="32"/>
          <w:highlight w:val="none"/>
        </w:rPr>
        <w:t>277</w:t>
      </w:r>
    </w:p>
    <w:p w14:paraId="050FE70C">
      <w:pPr>
        <w:widowControl/>
        <w:shd w:val="clear"/>
        <w:spacing w:line="360" w:lineRule="auto"/>
        <w:jc w:val="center"/>
        <w:rPr>
          <w:rFonts w:hint="default" w:ascii="仿宋" w:hAnsi="仿宋" w:eastAsia="仿宋" w:cs="仿宋"/>
          <w:b/>
          <w:color w:val="auto"/>
          <w:sz w:val="48"/>
          <w:szCs w:val="48"/>
          <w:highlight w:val="none"/>
          <w:lang w:val="en-US" w:eastAsia="zh-CN"/>
        </w:rPr>
      </w:pPr>
      <w:r>
        <w:rPr>
          <w:rFonts w:hint="eastAsia" w:ascii="仿宋" w:hAnsi="仿宋" w:eastAsia="仿宋" w:cs="仿宋"/>
          <w:b/>
          <w:color w:val="auto"/>
          <w:sz w:val="32"/>
          <w:szCs w:val="32"/>
          <w:highlight w:val="none"/>
          <w:lang w:val="en-US" w:eastAsia="zh-CN"/>
        </w:rPr>
        <w:t>项目名称：九龙坡区公立医疗机构耗材集中遴选</w:t>
      </w:r>
    </w:p>
    <w:p w14:paraId="0F705BAF">
      <w:pPr>
        <w:widowControl/>
        <w:shd w:val="clear"/>
        <w:spacing w:line="360" w:lineRule="auto"/>
        <w:jc w:val="center"/>
        <w:rPr>
          <w:rFonts w:hint="eastAsia" w:ascii="仿宋" w:hAnsi="仿宋" w:eastAsia="仿宋" w:cs="仿宋"/>
          <w:b/>
          <w:color w:val="auto"/>
          <w:sz w:val="32"/>
          <w:szCs w:val="32"/>
          <w:highlight w:val="none"/>
        </w:rPr>
      </w:pPr>
    </w:p>
    <w:p w14:paraId="18277DA4">
      <w:pPr>
        <w:widowControl/>
        <w:shd w:val="clear"/>
        <w:spacing w:line="360" w:lineRule="auto"/>
        <w:jc w:val="center"/>
        <w:rPr>
          <w:rFonts w:hint="eastAsia" w:ascii="仿宋" w:hAnsi="仿宋" w:eastAsia="仿宋" w:cs="仿宋"/>
          <w:b/>
          <w:color w:val="auto"/>
          <w:sz w:val="32"/>
          <w:szCs w:val="32"/>
          <w:highlight w:val="none"/>
        </w:rPr>
      </w:pPr>
    </w:p>
    <w:p w14:paraId="51939274">
      <w:pPr>
        <w:widowControl/>
        <w:shd w:val="clear"/>
        <w:spacing w:line="360" w:lineRule="auto"/>
        <w:jc w:val="both"/>
        <w:rPr>
          <w:rFonts w:hint="eastAsia" w:ascii="仿宋" w:hAnsi="仿宋" w:eastAsia="仿宋" w:cs="仿宋"/>
          <w:b/>
          <w:color w:val="auto"/>
          <w:sz w:val="32"/>
          <w:szCs w:val="32"/>
          <w:highlight w:val="none"/>
        </w:rPr>
      </w:pPr>
    </w:p>
    <w:p w14:paraId="5A7BEC0C">
      <w:pPr>
        <w:widowControl/>
        <w:shd w:val="clear"/>
        <w:spacing w:line="360" w:lineRule="auto"/>
        <w:jc w:val="center"/>
        <w:rPr>
          <w:rFonts w:hint="eastAsia" w:ascii="仿宋" w:hAnsi="仿宋" w:eastAsia="仿宋" w:cs="仿宋"/>
          <w:b/>
          <w:color w:val="auto"/>
          <w:sz w:val="32"/>
          <w:szCs w:val="32"/>
          <w:highlight w:val="none"/>
        </w:rPr>
      </w:pPr>
    </w:p>
    <w:p w14:paraId="62D0A08E">
      <w:pPr>
        <w:widowControl/>
        <w:shd w:val="clear"/>
        <w:spacing w:line="360"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采购人：</w:t>
      </w:r>
      <w:r>
        <w:rPr>
          <w:rFonts w:hint="eastAsia" w:ascii="仿宋" w:hAnsi="仿宋" w:eastAsia="仿宋" w:cs="仿宋"/>
          <w:b/>
          <w:color w:val="auto"/>
          <w:sz w:val="32"/>
          <w:szCs w:val="32"/>
          <w:highlight w:val="none"/>
          <w:lang w:eastAsia="zh-CN"/>
        </w:rPr>
        <w:t>重庆市九龙坡区人民医院</w:t>
      </w:r>
    </w:p>
    <w:p w14:paraId="15EC7762">
      <w:pPr>
        <w:widowControl/>
        <w:shd w:val="clear"/>
        <w:spacing w:line="360"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重庆亿集招标代理有限公司</w:t>
      </w:r>
    </w:p>
    <w:p w14:paraId="28F94E0C">
      <w:pPr>
        <w:widowControl/>
        <w:shd w:val="clear"/>
        <w:spacing w:line="360"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val="en-US" w:eastAsia="zh-CN"/>
        </w:rPr>
        <w:t>二〇二五</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十二</w:t>
      </w:r>
      <w:r>
        <w:rPr>
          <w:rFonts w:hint="eastAsia" w:ascii="仿宋" w:hAnsi="仿宋" w:eastAsia="仿宋" w:cs="仿宋"/>
          <w:b/>
          <w:color w:val="auto"/>
          <w:sz w:val="32"/>
          <w:szCs w:val="32"/>
          <w:highlight w:val="none"/>
          <w:lang w:eastAsia="zh-CN"/>
        </w:rPr>
        <w:t>月</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668046A4">
      <w:pPr>
        <w:shd w:val="clear"/>
        <w:spacing w:line="360" w:lineRule="auto"/>
        <w:rPr>
          <w:rFonts w:hint="eastAsia" w:ascii="仿宋" w:hAnsi="仿宋" w:eastAsia="仿宋" w:cs="仿宋"/>
          <w:b/>
          <w:bCs/>
          <w:color w:val="auto"/>
          <w:sz w:val="32"/>
          <w:szCs w:val="32"/>
          <w:highlight w:val="none"/>
        </w:rPr>
      </w:pPr>
      <w:bookmarkStart w:id="22" w:name="_Toc327324316"/>
      <w:bookmarkStart w:id="23" w:name="_Toc7117"/>
      <w:bookmarkStart w:id="24" w:name="_Toc7750"/>
      <w:r>
        <w:rPr>
          <w:rFonts w:ascii="仿宋" w:hAnsi="仿宋" w:eastAsia="仿宋" w:cs="仿宋"/>
          <w:b/>
          <w:bCs/>
          <w:color w:val="auto"/>
          <w:sz w:val="32"/>
          <w:szCs w:val="32"/>
          <w:highlight w:val="none"/>
        </w:rPr>
        <w:br w:type="page"/>
      </w:r>
    </w:p>
    <w:p w14:paraId="2BA5404F">
      <w:pPr>
        <w:shd w:val="clear"/>
        <w:spacing w:line="48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录</w:t>
      </w:r>
    </w:p>
    <w:p w14:paraId="627B77AD">
      <w:pPr>
        <w:pStyle w:val="34"/>
        <w:shd w:val="clear"/>
        <w:tabs>
          <w:tab w:val="right" w:leader="dot" w:pos="9271"/>
        </w:tabs>
        <w:spacing w:line="48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bCs/>
          <w:color w:val="auto"/>
          <w:sz w:val="24"/>
          <w:szCs w:val="24"/>
          <w:highlight w:val="none"/>
        </w:rPr>
        <w:fldChar w:fldCharType="begin"/>
      </w:r>
      <w:r>
        <w:rPr>
          <w:rFonts w:hint="eastAsia" w:ascii="方正仿宋_GBK" w:hAnsi="方正仿宋_GBK" w:eastAsia="方正仿宋_GBK" w:cs="方正仿宋_GBK"/>
          <w:b/>
          <w:bCs/>
          <w:color w:val="auto"/>
          <w:sz w:val="24"/>
          <w:szCs w:val="24"/>
          <w:highlight w:val="none"/>
        </w:rPr>
        <w:instrText xml:space="preserve">TOC \o "1-1" \h \u </w:instrText>
      </w:r>
      <w:r>
        <w:rPr>
          <w:rFonts w:hint="eastAsia" w:ascii="方正仿宋_GBK" w:hAnsi="方正仿宋_GBK" w:eastAsia="方正仿宋_GBK" w:cs="方正仿宋_GBK"/>
          <w:b/>
          <w:bCs/>
          <w:color w:val="auto"/>
          <w:sz w:val="24"/>
          <w:szCs w:val="24"/>
          <w:highlight w:val="none"/>
        </w:rPr>
        <w:fldChar w:fldCharType="separate"/>
      </w:r>
      <w:r>
        <w:rPr>
          <w:rFonts w:hint="eastAsia" w:ascii="方正仿宋_GBK" w:hAnsi="方正仿宋_GBK" w:eastAsia="方正仿宋_GBK" w:cs="方正仿宋_GBK"/>
          <w:bCs/>
          <w:color w:val="auto"/>
          <w:sz w:val="24"/>
          <w:szCs w:val="24"/>
          <w:highlight w:val="none"/>
        </w:rPr>
        <w:fldChar w:fldCharType="begin"/>
      </w:r>
      <w:r>
        <w:rPr>
          <w:rFonts w:hint="eastAsia" w:ascii="方正仿宋_GBK" w:hAnsi="方正仿宋_GBK" w:eastAsia="方正仿宋_GBK" w:cs="方正仿宋_GBK"/>
          <w:bCs/>
          <w:color w:val="auto"/>
          <w:sz w:val="24"/>
          <w:szCs w:val="24"/>
          <w:highlight w:val="none"/>
        </w:rPr>
        <w:instrText xml:space="preserve"> HYPERLINK \l _Toc25731 </w:instrText>
      </w:r>
      <w:r>
        <w:rPr>
          <w:rFonts w:hint="eastAsia" w:ascii="方正仿宋_GBK" w:hAnsi="方正仿宋_GBK" w:eastAsia="方正仿宋_GBK" w:cs="方正仿宋_GBK"/>
          <w:bCs/>
          <w:color w:val="auto"/>
          <w:sz w:val="24"/>
          <w:szCs w:val="24"/>
          <w:highlight w:val="none"/>
        </w:rPr>
        <w:fldChar w:fldCharType="separate"/>
      </w:r>
      <w:r>
        <w:rPr>
          <w:rFonts w:hint="eastAsia" w:ascii="方正仿宋_GBK" w:hAnsi="方正仿宋_GBK" w:eastAsia="方正仿宋_GBK" w:cs="方正仿宋_GBK"/>
          <w:color w:val="auto"/>
          <w:sz w:val="24"/>
          <w:szCs w:val="24"/>
          <w:highlight w:val="none"/>
        </w:rPr>
        <w:t>第一章  资格预审邀请</w:t>
      </w:r>
      <w:r>
        <w:rPr>
          <w:rFonts w:hint="eastAsia" w:ascii="方正仿宋_GBK" w:hAnsi="方正仿宋_GBK" w:eastAsia="方正仿宋_GBK" w:cs="方正仿宋_GBK"/>
          <w:color w:val="auto"/>
          <w:sz w:val="24"/>
          <w:szCs w:val="24"/>
          <w:highlight w:val="none"/>
        </w:rPr>
        <w:tab/>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PAGEREF _Toc25731 \h </w:instrText>
      </w:r>
      <w:r>
        <w:rPr>
          <w:rFonts w:hint="eastAsia" w:ascii="方正仿宋_GBK" w:hAnsi="方正仿宋_GBK" w:eastAsia="方正仿宋_GBK" w:cs="方正仿宋_GBK"/>
          <w:color w:val="auto"/>
          <w:sz w:val="24"/>
          <w:szCs w:val="24"/>
          <w:highlight w:val="none"/>
        </w:rPr>
        <w:fldChar w:fldCharType="separate"/>
      </w: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bCs/>
          <w:color w:val="auto"/>
          <w:sz w:val="24"/>
          <w:szCs w:val="24"/>
          <w:highlight w:val="none"/>
        </w:rPr>
        <w:fldChar w:fldCharType="end"/>
      </w:r>
    </w:p>
    <w:p w14:paraId="00E87E6C">
      <w:pPr>
        <w:pStyle w:val="34"/>
        <w:shd w:val="clear"/>
        <w:tabs>
          <w:tab w:val="right" w:leader="dot" w:pos="9271"/>
        </w:tabs>
        <w:spacing w:line="48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szCs w:val="24"/>
          <w:highlight w:val="none"/>
        </w:rPr>
        <w:fldChar w:fldCharType="begin"/>
      </w:r>
      <w:r>
        <w:rPr>
          <w:rFonts w:hint="eastAsia" w:ascii="方正仿宋_GBK" w:hAnsi="方正仿宋_GBK" w:eastAsia="方正仿宋_GBK" w:cs="方正仿宋_GBK"/>
          <w:bCs/>
          <w:color w:val="auto"/>
          <w:sz w:val="24"/>
          <w:szCs w:val="24"/>
          <w:highlight w:val="none"/>
        </w:rPr>
        <w:instrText xml:space="preserve"> HYPERLINK \l _Toc14526 </w:instrText>
      </w:r>
      <w:r>
        <w:rPr>
          <w:rFonts w:hint="eastAsia" w:ascii="方正仿宋_GBK" w:hAnsi="方正仿宋_GBK" w:eastAsia="方正仿宋_GBK" w:cs="方正仿宋_GBK"/>
          <w:bCs/>
          <w:color w:val="auto"/>
          <w:sz w:val="24"/>
          <w:szCs w:val="24"/>
          <w:highlight w:val="none"/>
        </w:rPr>
        <w:fldChar w:fldCharType="separate"/>
      </w:r>
      <w:r>
        <w:rPr>
          <w:rFonts w:hint="eastAsia" w:ascii="方正仿宋_GBK" w:hAnsi="方正仿宋_GBK" w:eastAsia="方正仿宋_GBK" w:cs="方正仿宋_GBK"/>
          <w:color w:val="auto"/>
          <w:sz w:val="24"/>
          <w:szCs w:val="24"/>
          <w:highlight w:val="none"/>
        </w:rPr>
        <w:t>第二章  资格预审申请须知</w:t>
      </w:r>
      <w:r>
        <w:rPr>
          <w:rFonts w:hint="eastAsia" w:ascii="方正仿宋_GBK" w:hAnsi="方正仿宋_GBK" w:eastAsia="方正仿宋_GBK" w:cs="方正仿宋_GBK"/>
          <w:color w:val="auto"/>
          <w:sz w:val="24"/>
          <w:szCs w:val="24"/>
          <w:highlight w:val="none"/>
        </w:rPr>
        <w:tab/>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PAGEREF _Toc14526 \h </w:instrText>
      </w:r>
      <w:r>
        <w:rPr>
          <w:rFonts w:hint="eastAsia" w:ascii="方正仿宋_GBK" w:hAnsi="方正仿宋_GBK" w:eastAsia="方正仿宋_GBK" w:cs="方正仿宋_GBK"/>
          <w:color w:val="auto"/>
          <w:sz w:val="24"/>
          <w:szCs w:val="24"/>
          <w:highlight w:val="none"/>
        </w:rPr>
        <w:fldChar w:fldCharType="separate"/>
      </w:r>
      <w:r>
        <w:rPr>
          <w:rFonts w:hint="eastAsia" w:ascii="方正仿宋_GBK" w:hAnsi="方正仿宋_GBK" w:eastAsia="方正仿宋_GBK" w:cs="方正仿宋_GBK"/>
          <w:color w:val="auto"/>
          <w:sz w:val="24"/>
          <w:szCs w:val="24"/>
          <w:highlight w:val="none"/>
        </w:rPr>
        <w:t>6</w:t>
      </w:r>
      <w:r>
        <w:rPr>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bCs/>
          <w:color w:val="auto"/>
          <w:sz w:val="24"/>
          <w:szCs w:val="24"/>
          <w:highlight w:val="none"/>
        </w:rPr>
        <w:fldChar w:fldCharType="end"/>
      </w:r>
    </w:p>
    <w:p w14:paraId="54EEB5ED">
      <w:pPr>
        <w:pStyle w:val="34"/>
        <w:shd w:val="clear"/>
        <w:tabs>
          <w:tab w:val="right" w:leader="dot" w:pos="9271"/>
        </w:tabs>
        <w:spacing w:line="48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szCs w:val="24"/>
          <w:highlight w:val="none"/>
        </w:rPr>
        <w:fldChar w:fldCharType="begin"/>
      </w:r>
      <w:r>
        <w:rPr>
          <w:rFonts w:hint="eastAsia" w:ascii="方正仿宋_GBK" w:hAnsi="方正仿宋_GBK" w:eastAsia="方正仿宋_GBK" w:cs="方正仿宋_GBK"/>
          <w:bCs/>
          <w:color w:val="auto"/>
          <w:sz w:val="24"/>
          <w:szCs w:val="24"/>
          <w:highlight w:val="none"/>
        </w:rPr>
        <w:instrText xml:space="preserve"> HYPERLINK \l _Toc14922 </w:instrText>
      </w:r>
      <w:r>
        <w:rPr>
          <w:rFonts w:hint="eastAsia" w:ascii="方正仿宋_GBK" w:hAnsi="方正仿宋_GBK" w:eastAsia="方正仿宋_GBK" w:cs="方正仿宋_GBK"/>
          <w:bCs/>
          <w:color w:val="auto"/>
          <w:sz w:val="24"/>
          <w:szCs w:val="24"/>
          <w:highlight w:val="none"/>
        </w:rPr>
        <w:fldChar w:fldCharType="separate"/>
      </w:r>
      <w:r>
        <w:rPr>
          <w:rFonts w:hint="eastAsia" w:ascii="方正仿宋_GBK" w:hAnsi="方正仿宋_GBK" w:eastAsia="方正仿宋_GBK" w:cs="方正仿宋_GBK"/>
          <w:color w:val="auto"/>
          <w:sz w:val="24"/>
          <w:szCs w:val="24"/>
          <w:highlight w:val="none"/>
        </w:rPr>
        <w:t>第三章  投标人应当提供的资格、资质性及其他类似效力要求的相关证明材料</w:t>
      </w:r>
      <w:r>
        <w:rPr>
          <w:rFonts w:hint="eastAsia" w:ascii="方正仿宋_GBK" w:hAnsi="方正仿宋_GBK" w:eastAsia="方正仿宋_GBK" w:cs="方正仿宋_GBK"/>
          <w:color w:val="auto"/>
          <w:sz w:val="24"/>
          <w:szCs w:val="24"/>
          <w:highlight w:val="none"/>
        </w:rPr>
        <w:tab/>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PAGEREF _Toc14922 \h </w:instrText>
      </w:r>
      <w:r>
        <w:rPr>
          <w:rFonts w:hint="eastAsia" w:ascii="方正仿宋_GBK" w:hAnsi="方正仿宋_GBK" w:eastAsia="方正仿宋_GBK" w:cs="方正仿宋_GBK"/>
          <w:color w:val="auto"/>
          <w:sz w:val="24"/>
          <w:szCs w:val="24"/>
          <w:highlight w:val="none"/>
        </w:rPr>
        <w:fldChar w:fldCharType="separate"/>
      </w:r>
      <w:r>
        <w:rPr>
          <w:rFonts w:hint="eastAsia" w:ascii="方正仿宋_GBK" w:hAnsi="方正仿宋_GBK" w:eastAsia="方正仿宋_GBK" w:cs="方正仿宋_GBK"/>
          <w:color w:val="auto"/>
          <w:sz w:val="24"/>
          <w:szCs w:val="24"/>
          <w:highlight w:val="none"/>
        </w:rPr>
        <w:t>15</w:t>
      </w:r>
      <w:r>
        <w:rPr>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bCs/>
          <w:color w:val="auto"/>
          <w:sz w:val="24"/>
          <w:szCs w:val="24"/>
          <w:highlight w:val="none"/>
        </w:rPr>
        <w:fldChar w:fldCharType="end"/>
      </w:r>
    </w:p>
    <w:p w14:paraId="6F3B4950">
      <w:pPr>
        <w:pStyle w:val="34"/>
        <w:shd w:val="clear"/>
        <w:tabs>
          <w:tab w:val="right" w:leader="dot" w:pos="9271"/>
        </w:tabs>
        <w:spacing w:line="48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szCs w:val="24"/>
          <w:highlight w:val="none"/>
        </w:rPr>
        <w:fldChar w:fldCharType="begin"/>
      </w:r>
      <w:r>
        <w:rPr>
          <w:rFonts w:hint="eastAsia" w:ascii="方正仿宋_GBK" w:hAnsi="方正仿宋_GBK" w:eastAsia="方正仿宋_GBK" w:cs="方正仿宋_GBK"/>
          <w:bCs/>
          <w:color w:val="auto"/>
          <w:sz w:val="24"/>
          <w:szCs w:val="24"/>
          <w:highlight w:val="none"/>
        </w:rPr>
        <w:instrText xml:space="preserve"> HYPERLINK \l _Toc989 </w:instrText>
      </w:r>
      <w:r>
        <w:rPr>
          <w:rFonts w:hint="eastAsia" w:ascii="方正仿宋_GBK" w:hAnsi="方正仿宋_GBK" w:eastAsia="方正仿宋_GBK" w:cs="方正仿宋_GBK"/>
          <w:bCs/>
          <w:color w:val="auto"/>
          <w:sz w:val="24"/>
          <w:szCs w:val="24"/>
          <w:highlight w:val="none"/>
        </w:rPr>
        <w:fldChar w:fldCharType="separate"/>
      </w:r>
      <w:r>
        <w:rPr>
          <w:rFonts w:hint="eastAsia" w:ascii="方正仿宋_GBK" w:hAnsi="方正仿宋_GBK" w:eastAsia="方正仿宋_GBK" w:cs="方正仿宋_GBK"/>
          <w:color w:val="auto"/>
          <w:sz w:val="24"/>
          <w:szCs w:val="24"/>
          <w:highlight w:val="none"/>
        </w:rPr>
        <w:t>第四章  投标人应当提供的资格预审申请文件的内容和格式</w:t>
      </w:r>
      <w:r>
        <w:rPr>
          <w:rFonts w:hint="eastAsia" w:ascii="方正仿宋_GBK" w:hAnsi="方正仿宋_GBK" w:eastAsia="方正仿宋_GBK" w:cs="方正仿宋_GBK"/>
          <w:color w:val="auto"/>
          <w:sz w:val="24"/>
          <w:szCs w:val="24"/>
          <w:highlight w:val="none"/>
        </w:rPr>
        <w:tab/>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PAGEREF _Toc989 \h </w:instrText>
      </w:r>
      <w:r>
        <w:rPr>
          <w:rFonts w:hint="eastAsia" w:ascii="方正仿宋_GBK" w:hAnsi="方正仿宋_GBK" w:eastAsia="方正仿宋_GBK" w:cs="方正仿宋_GBK"/>
          <w:color w:val="auto"/>
          <w:sz w:val="24"/>
          <w:szCs w:val="24"/>
          <w:highlight w:val="none"/>
        </w:rPr>
        <w:fldChar w:fldCharType="separate"/>
      </w:r>
      <w:r>
        <w:rPr>
          <w:rFonts w:hint="eastAsia" w:ascii="方正仿宋_GBK" w:hAnsi="方正仿宋_GBK" w:eastAsia="方正仿宋_GBK" w:cs="方正仿宋_GBK"/>
          <w:color w:val="auto"/>
          <w:sz w:val="24"/>
          <w:szCs w:val="24"/>
          <w:highlight w:val="none"/>
        </w:rPr>
        <w:t>18</w:t>
      </w:r>
      <w:r>
        <w:rPr>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bCs/>
          <w:color w:val="auto"/>
          <w:sz w:val="24"/>
          <w:szCs w:val="24"/>
          <w:highlight w:val="none"/>
        </w:rPr>
        <w:fldChar w:fldCharType="end"/>
      </w:r>
    </w:p>
    <w:p w14:paraId="0481FB6B">
      <w:pPr>
        <w:pStyle w:val="34"/>
        <w:shd w:val="clear"/>
        <w:tabs>
          <w:tab w:val="right" w:leader="dot" w:pos="9271"/>
        </w:tabs>
        <w:spacing w:line="480" w:lineRule="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bCs/>
          <w:color w:val="auto"/>
          <w:sz w:val="24"/>
          <w:szCs w:val="24"/>
          <w:highlight w:val="none"/>
        </w:rPr>
        <w:fldChar w:fldCharType="begin"/>
      </w:r>
      <w:r>
        <w:rPr>
          <w:rFonts w:hint="eastAsia" w:ascii="方正仿宋_GBK" w:hAnsi="方正仿宋_GBK" w:eastAsia="方正仿宋_GBK" w:cs="方正仿宋_GBK"/>
          <w:bCs/>
          <w:color w:val="auto"/>
          <w:sz w:val="24"/>
          <w:szCs w:val="24"/>
          <w:highlight w:val="none"/>
        </w:rPr>
        <w:instrText xml:space="preserve"> HYPERLINK \l _Toc8622 </w:instrText>
      </w:r>
      <w:r>
        <w:rPr>
          <w:rFonts w:hint="eastAsia" w:ascii="方正仿宋_GBK" w:hAnsi="方正仿宋_GBK" w:eastAsia="方正仿宋_GBK" w:cs="方正仿宋_GBK"/>
          <w:bCs/>
          <w:color w:val="auto"/>
          <w:sz w:val="24"/>
          <w:szCs w:val="24"/>
          <w:highlight w:val="none"/>
        </w:rPr>
        <w:fldChar w:fldCharType="separate"/>
      </w:r>
      <w:r>
        <w:rPr>
          <w:rFonts w:hint="eastAsia" w:ascii="方正仿宋_GBK" w:hAnsi="方正仿宋_GBK" w:eastAsia="方正仿宋_GBK" w:cs="方正仿宋_GBK"/>
          <w:color w:val="auto"/>
          <w:sz w:val="24"/>
          <w:szCs w:val="24"/>
          <w:highlight w:val="none"/>
        </w:rPr>
        <w:t>第五章  采购项目介绍</w:t>
      </w:r>
      <w:r>
        <w:rPr>
          <w:rFonts w:hint="eastAsia" w:ascii="方正仿宋_GBK" w:hAnsi="方正仿宋_GBK" w:eastAsia="方正仿宋_GBK" w:cs="方正仿宋_GBK"/>
          <w:color w:val="auto"/>
          <w:sz w:val="24"/>
          <w:szCs w:val="24"/>
          <w:highlight w:val="none"/>
        </w:rPr>
        <w:tab/>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fldChar w:fldCharType="end"/>
      </w:r>
      <w:r>
        <w:rPr>
          <w:rFonts w:hint="eastAsia" w:ascii="方正仿宋_GBK" w:hAnsi="方正仿宋_GBK" w:eastAsia="方正仿宋_GBK" w:cs="方正仿宋_GBK"/>
          <w:bCs/>
          <w:color w:val="auto"/>
          <w:sz w:val="24"/>
          <w:szCs w:val="24"/>
          <w:highlight w:val="none"/>
          <w:lang w:val="en-US" w:eastAsia="zh-CN"/>
        </w:rPr>
        <w:t>2</w:t>
      </w:r>
    </w:p>
    <w:p w14:paraId="22BD9D99">
      <w:pPr>
        <w:pStyle w:val="34"/>
        <w:shd w:val="clear"/>
        <w:tabs>
          <w:tab w:val="right" w:leader="dot" w:pos="9271"/>
        </w:tabs>
        <w:spacing w:line="48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szCs w:val="24"/>
          <w:highlight w:val="none"/>
        </w:rPr>
        <w:fldChar w:fldCharType="begin"/>
      </w:r>
      <w:r>
        <w:rPr>
          <w:rFonts w:hint="eastAsia" w:ascii="方正仿宋_GBK" w:hAnsi="方正仿宋_GBK" w:eastAsia="方正仿宋_GBK" w:cs="方正仿宋_GBK"/>
          <w:bCs/>
          <w:color w:val="auto"/>
          <w:sz w:val="24"/>
          <w:szCs w:val="24"/>
          <w:highlight w:val="none"/>
        </w:rPr>
        <w:instrText xml:space="preserve"> HYPERLINK \l _Toc26896 </w:instrText>
      </w:r>
      <w:r>
        <w:rPr>
          <w:rFonts w:hint="eastAsia" w:ascii="方正仿宋_GBK" w:hAnsi="方正仿宋_GBK" w:eastAsia="方正仿宋_GBK" w:cs="方正仿宋_GBK"/>
          <w:bCs/>
          <w:color w:val="auto"/>
          <w:sz w:val="24"/>
          <w:szCs w:val="24"/>
          <w:highlight w:val="none"/>
        </w:rPr>
        <w:fldChar w:fldCharType="separate"/>
      </w:r>
      <w:r>
        <w:rPr>
          <w:rFonts w:hint="eastAsia" w:ascii="方正仿宋_GBK" w:hAnsi="方正仿宋_GBK" w:eastAsia="方正仿宋_GBK" w:cs="方正仿宋_GBK"/>
          <w:color w:val="auto"/>
          <w:sz w:val="24"/>
          <w:szCs w:val="24"/>
          <w:highlight w:val="none"/>
        </w:rPr>
        <w:t>第六章  资格审核标准和方法</w:t>
      </w:r>
      <w:r>
        <w:rPr>
          <w:rFonts w:hint="eastAsia" w:ascii="方正仿宋_GBK" w:hAnsi="方正仿宋_GBK" w:eastAsia="方正仿宋_GBK" w:cs="方正仿宋_GBK"/>
          <w:color w:val="auto"/>
          <w:sz w:val="24"/>
          <w:szCs w:val="24"/>
          <w:highlight w:val="none"/>
        </w:rPr>
        <w:tab/>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PAGEREF _Toc26896 \h </w:instrText>
      </w:r>
      <w:r>
        <w:rPr>
          <w:rFonts w:hint="eastAsia" w:ascii="方正仿宋_GBK" w:hAnsi="方正仿宋_GBK" w:eastAsia="方正仿宋_GBK" w:cs="方正仿宋_GBK"/>
          <w:color w:val="auto"/>
          <w:sz w:val="24"/>
          <w:szCs w:val="24"/>
          <w:highlight w:val="none"/>
        </w:rPr>
        <w:fldChar w:fldCharType="separate"/>
      </w:r>
      <w:r>
        <w:rPr>
          <w:rFonts w:hint="eastAsia" w:ascii="方正仿宋_GBK" w:hAnsi="方正仿宋_GBK" w:eastAsia="方正仿宋_GBK" w:cs="方正仿宋_GBK"/>
          <w:color w:val="auto"/>
          <w:sz w:val="24"/>
          <w:szCs w:val="24"/>
          <w:highlight w:val="none"/>
        </w:rPr>
        <w:t>38</w:t>
      </w:r>
      <w:r>
        <w:rPr>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bCs/>
          <w:color w:val="auto"/>
          <w:sz w:val="24"/>
          <w:szCs w:val="24"/>
          <w:highlight w:val="none"/>
        </w:rPr>
        <w:fldChar w:fldCharType="end"/>
      </w:r>
    </w:p>
    <w:p w14:paraId="0C181C09">
      <w:pPr>
        <w:shd w:val="clear"/>
        <w:spacing w:line="480" w:lineRule="auto"/>
        <w:rPr>
          <w:rFonts w:hint="eastAsia" w:ascii="仿宋" w:hAnsi="仿宋" w:eastAsia="仿宋" w:cs="仿宋"/>
          <w:color w:val="auto"/>
          <w:highlight w:val="none"/>
        </w:rPr>
        <w:sectPr>
          <w:headerReference r:id="rId3" w:type="default"/>
          <w:footerReference r:id="rId4" w:type="default"/>
          <w:pgSz w:w="11906" w:h="16838"/>
          <w:pgMar w:top="1440" w:right="1080" w:bottom="1440" w:left="1080" w:header="1134" w:footer="624" w:gutter="0"/>
          <w:pgNumType w:start="1"/>
          <w:cols w:space="720" w:num="1"/>
          <w:docGrid w:linePitch="462" w:charSpace="0"/>
        </w:sectPr>
      </w:pPr>
      <w:r>
        <w:rPr>
          <w:rFonts w:hint="eastAsia" w:ascii="方正仿宋_GBK" w:hAnsi="方正仿宋_GBK" w:eastAsia="方正仿宋_GBK" w:cs="方正仿宋_GBK"/>
          <w:bCs/>
          <w:color w:val="auto"/>
          <w:sz w:val="24"/>
          <w:szCs w:val="24"/>
          <w:highlight w:val="none"/>
        </w:rPr>
        <w:fldChar w:fldCharType="end"/>
      </w:r>
      <w:bookmarkStart w:id="25" w:name="_Toc25731"/>
    </w:p>
    <w:p w14:paraId="207B6967">
      <w:pPr>
        <w:pStyle w:val="5"/>
        <w:shd w:val="clear"/>
        <w:bidi w:val="0"/>
        <w:rPr>
          <w:rStyle w:val="62"/>
          <w:rFonts w:hint="eastAsia" w:ascii="仿宋" w:hAnsi="仿宋" w:eastAsia="仿宋"/>
          <w:b/>
          <w:bCs/>
          <w:color w:val="auto"/>
          <w:sz w:val="32"/>
          <w:szCs w:val="32"/>
          <w:highlight w:val="none"/>
        </w:rPr>
      </w:pPr>
      <w:r>
        <w:rPr>
          <w:rStyle w:val="62"/>
          <w:rFonts w:hint="eastAsia" w:ascii="仿宋" w:hAnsi="仿宋" w:eastAsia="仿宋"/>
          <w:b/>
          <w:bCs/>
          <w:color w:val="auto"/>
          <w:sz w:val="32"/>
          <w:szCs w:val="32"/>
          <w:highlight w:val="none"/>
        </w:rPr>
        <w:t>第一章  资格预审邀请</w:t>
      </w:r>
      <w:bookmarkEnd w:id="22"/>
      <w:bookmarkEnd w:id="23"/>
      <w:bookmarkEnd w:id="24"/>
      <w:bookmarkEnd w:id="25"/>
    </w:p>
    <w:p w14:paraId="7462C073">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szCs w:val="24"/>
          <w:highlight w:val="none"/>
          <w:lang w:eastAsia="zh-CN"/>
        </w:rPr>
      </w:pPr>
      <w:bookmarkStart w:id="26" w:name="OLE_LINK8"/>
      <w:r>
        <w:rPr>
          <w:rFonts w:hint="eastAsia" w:ascii="仿宋" w:hAnsi="仿宋" w:eastAsia="仿宋" w:cs="仿宋"/>
          <w:color w:val="auto"/>
          <w:sz w:val="24"/>
          <w:szCs w:val="24"/>
          <w:highlight w:val="none"/>
          <w:lang w:eastAsia="zh-CN"/>
        </w:rPr>
        <w:t>重庆亿集招标代理有限公司</w:t>
      </w:r>
      <w:r>
        <w:rPr>
          <w:rFonts w:hint="eastAsia" w:ascii="仿宋" w:hAnsi="仿宋" w:eastAsia="仿宋" w:cs="仿宋"/>
          <w:color w:val="auto"/>
          <w:sz w:val="24"/>
          <w:szCs w:val="24"/>
          <w:highlight w:val="none"/>
        </w:rPr>
        <w:t>（采购代理机构）受</w:t>
      </w:r>
      <w:r>
        <w:rPr>
          <w:rFonts w:hint="eastAsia" w:ascii="仿宋" w:hAnsi="仿宋" w:eastAsia="仿宋" w:cs="仿宋"/>
          <w:color w:val="auto"/>
          <w:sz w:val="24"/>
          <w:szCs w:val="24"/>
          <w:highlight w:val="none"/>
          <w:lang w:eastAsia="zh-CN"/>
        </w:rPr>
        <w:t>重庆市九龙坡区人民医院</w:t>
      </w:r>
      <w:r>
        <w:rPr>
          <w:rFonts w:hint="eastAsia" w:ascii="仿宋" w:hAnsi="仿宋" w:eastAsia="仿宋" w:cs="仿宋"/>
          <w:color w:val="auto"/>
          <w:sz w:val="24"/>
          <w:szCs w:val="24"/>
          <w:highlight w:val="none"/>
        </w:rPr>
        <w:t>（采购人）委托，拟对</w:t>
      </w:r>
      <w:r>
        <w:rPr>
          <w:rFonts w:hint="eastAsia" w:ascii="仿宋" w:hAnsi="仿宋" w:eastAsia="仿宋" w:cs="仿宋"/>
          <w:color w:val="auto"/>
          <w:sz w:val="24"/>
          <w:szCs w:val="24"/>
          <w:highlight w:val="none"/>
          <w:lang w:eastAsia="zh-CN"/>
        </w:rPr>
        <w:t>“九龙坡区公立医疗机构耗材集中遴选”</w:t>
      </w:r>
      <w:r>
        <w:rPr>
          <w:rFonts w:hint="eastAsia" w:ascii="仿宋" w:hAnsi="仿宋" w:eastAsia="仿宋" w:cs="仿宋"/>
          <w:color w:val="auto"/>
          <w:sz w:val="24"/>
          <w:szCs w:val="24"/>
          <w:highlight w:val="none"/>
        </w:rPr>
        <w:t>采用资格预审和第二轮报价两个阶段的采购方式进行采购。现进行本项目</w:t>
      </w:r>
      <w:r>
        <w:rPr>
          <w:rFonts w:hint="eastAsia" w:ascii="仿宋" w:hAnsi="仿宋" w:eastAsia="仿宋" w:cs="仿宋"/>
          <w:color w:val="auto"/>
          <w:sz w:val="24"/>
          <w:szCs w:val="24"/>
          <w:highlight w:val="none"/>
          <w:lang w:val="en-US" w:eastAsia="zh-CN"/>
        </w:rPr>
        <w:t>资格预审</w:t>
      </w:r>
      <w:r>
        <w:rPr>
          <w:rFonts w:hint="eastAsia" w:ascii="仿宋" w:hAnsi="仿宋" w:eastAsia="仿宋" w:cs="仿宋"/>
          <w:color w:val="auto"/>
          <w:sz w:val="24"/>
          <w:szCs w:val="24"/>
          <w:highlight w:val="none"/>
        </w:rPr>
        <w:t>阶段，兹邀请符合要求的投标人参与</w:t>
      </w:r>
      <w:r>
        <w:rPr>
          <w:rFonts w:hint="eastAsia" w:ascii="仿宋" w:hAnsi="仿宋" w:eastAsia="仿宋" w:cs="仿宋"/>
          <w:color w:val="auto"/>
          <w:sz w:val="24"/>
          <w:szCs w:val="24"/>
          <w:highlight w:val="none"/>
          <w:lang w:eastAsia="zh-CN"/>
        </w:rPr>
        <w:t>。</w:t>
      </w:r>
    </w:p>
    <w:p w14:paraId="2A10C430">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本资格预审阶段分为样品评审、资质审查和第一轮报价，样品评审时投标人须按要求提供样品，资质审查投标人须按要求提供资格预审申请文件。通过样品评审的投标人均进入资质审查，</w:t>
      </w:r>
      <w:r>
        <w:rPr>
          <w:rFonts w:hint="eastAsia" w:ascii="仿宋" w:hAnsi="仿宋" w:eastAsia="仿宋" w:cs="仿宋"/>
          <w:color w:val="auto"/>
          <w:sz w:val="24"/>
          <w:szCs w:val="24"/>
          <w:highlight w:val="none"/>
        </w:rPr>
        <w:t>通过资质审查</w:t>
      </w:r>
      <w:r>
        <w:rPr>
          <w:rFonts w:hint="eastAsia" w:ascii="仿宋" w:hAnsi="仿宋" w:eastAsia="仿宋" w:cs="仿宋"/>
          <w:color w:val="auto"/>
          <w:sz w:val="24"/>
          <w:szCs w:val="24"/>
          <w:highlight w:val="none"/>
          <w:lang w:val="en-US" w:eastAsia="zh-CN"/>
        </w:rPr>
        <w:t>且单</w:t>
      </w:r>
      <w:r>
        <w:rPr>
          <w:rFonts w:hint="eastAsia" w:ascii="仿宋" w:hAnsi="仿宋" w:eastAsia="仿宋" w:cs="仿宋"/>
          <w:color w:val="auto"/>
          <w:sz w:val="24"/>
          <w:szCs w:val="24"/>
          <w:highlight w:val="none"/>
        </w:rPr>
        <w:t>品目</w:t>
      </w:r>
      <w:r>
        <w:rPr>
          <w:rFonts w:hint="eastAsia" w:ascii="仿宋" w:hAnsi="仿宋" w:eastAsia="仿宋" w:cs="仿宋"/>
          <w:color w:val="auto"/>
          <w:sz w:val="24"/>
          <w:szCs w:val="24"/>
          <w:highlight w:val="none"/>
          <w:lang w:val="en-US" w:eastAsia="zh-CN"/>
        </w:rPr>
        <w:t>耗材</w:t>
      </w:r>
      <w:r>
        <w:rPr>
          <w:rFonts w:hint="eastAsia" w:ascii="仿宋" w:hAnsi="仿宋" w:eastAsia="仿宋" w:cs="仿宋"/>
          <w:color w:val="auto"/>
          <w:sz w:val="24"/>
          <w:szCs w:val="24"/>
          <w:highlight w:val="none"/>
        </w:rPr>
        <w:t>报价最低的前五名投标人（不足 5 家时按实际家数确定）可参加后续采购（即</w:t>
      </w:r>
      <w:r>
        <w:rPr>
          <w:rFonts w:hint="eastAsia" w:ascii="仿宋" w:hAnsi="仿宋" w:eastAsia="仿宋" w:cs="仿宋"/>
          <w:color w:val="auto"/>
          <w:sz w:val="24"/>
          <w:szCs w:val="24"/>
          <w:highlight w:val="none"/>
          <w:lang w:eastAsia="zh-CN"/>
        </w:rPr>
        <w:t>第二轮</w:t>
      </w:r>
      <w:r>
        <w:rPr>
          <w:rFonts w:hint="eastAsia" w:ascii="仿宋" w:hAnsi="仿宋" w:eastAsia="仿宋" w:cs="仿宋"/>
          <w:color w:val="auto"/>
          <w:sz w:val="24"/>
          <w:szCs w:val="24"/>
          <w:highlight w:val="none"/>
        </w:rPr>
        <w:t>报价）活动。</w:t>
      </w:r>
    </w:p>
    <w:p w14:paraId="14F6047D">
      <w:pPr>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color w:val="auto"/>
          <w:sz w:val="24"/>
          <w:szCs w:val="24"/>
          <w:highlight w:val="none"/>
        </w:rPr>
        <w:t>项目概况及采购需求（</w:t>
      </w:r>
      <w:r>
        <w:rPr>
          <w:rFonts w:hint="eastAsia" w:ascii="仿宋" w:hAnsi="仿宋" w:eastAsia="仿宋" w:cs="仿宋"/>
          <w:b/>
          <w:bCs/>
          <w:color w:val="auto"/>
          <w:sz w:val="24"/>
          <w:szCs w:val="24"/>
          <w:highlight w:val="none"/>
        </w:rPr>
        <w:t>采购项目基本情况</w:t>
      </w:r>
      <w:r>
        <w:rPr>
          <w:rFonts w:hint="eastAsia" w:ascii="仿宋" w:hAnsi="仿宋" w:eastAsia="仿宋" w:cs="仿宋"/>
          <w:b/>
          <w:color w:val="auto"/>
          <w:sz w:val="24"/>
          <w:szCs w:val="24"/>
          <w:highlight w:val="none"/>
        </w:rPr>
        <w:t>）</w:t>
      </w:r>
    </w:p>
    <w:p w14:paraId="413CE1C6">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YJZB25277</w:t>
      </w:r>
    </w:p>
    <w:p w14:paraId="79B83CFB">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2.</w:t>
      </w:r>
      <w:r>
        <w:rPr>
          <w:rFonts w:hint="eastAsia" w:ascii="仿宋" w:hAnsi="仿宋" w:eastAsia="仿宋" w:cs="仿宋"/>
          <w:bCs/>
          <w:color w:val="auto"/>
          <w:sz w:val="24"/>
          <w:szCs w:val="24"/>
          <w:highlight w:val="none"/>
        </w:rPr>
        <w:t>项目名称：</w:t>
      </w:r>
      <w:r>
        <w:rPr>
          <w:rFonts w:hint="eastAsia" w:ascii="仿宋" w:hAnsi="仿宋" w:eastAsia="仿宋" w:cs="仿宋"/>
          <w:color w:val="auto"/>
          <w:sz w:val="24"/>
          <w:szCs w:val="24"/>
          <w:highlight w:val="none"/>
          <w:lang w:eastAsia="zh-CN"/>
        </w:rPr>
        <w:t>九龙坡区公立医疗机构耗材集中遴选</w:t>
      </w:r>
      <w:r>
        <w:rPr>
          <w:rFonts w:hint="eastAsia" w:ascii="仿宋" w:hAnsi="仿宋" w:eastAsia="仿宋" w:cs="仿宋"/>
          <w:color w:val="auto"/>
          <w:sz w:val="24"/>
          <w:szCs w:val="24"/>
          <w:highlight w:val="none"/>
        </w:rPr>
        <w:t>。</w:t>
      </w:r>
    </w:p>
    <w:p w14:paraId="5317DAAE">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3.</w:t>
      </w:r>
      <w:r>
        <w:rPr>
          <w:rFonts w:hint="eastAsia" w:ascii="仿宋" w:hAnsi="仿宋" w:eastAsia="仿宋" w:cs="仿宋"/>
          <w:color w:val="auto"/>
          <w:sz w:val="24"/>
          <w:szCs w:val="24"/>
          <w:highlight w:val="none"/>
        </w:rPr>
        <w:t>项目规模：对重庆市九龙坡区20家公立医疗机构开展</w:t>
      </w:r>
      <w:r>
        <w:rPr>
          <w:rFonts w:hint="eastAsia" w:ascii="仿宋" w:hAnsi="仿宋" w:eastAsia="仿宋" w:cs="仿宋"/>
          <w:color w:val="auto"/>
          <w:sz w:val="24"/>
          <w:szCs w:val="24"/>
          <w:highlight w:val="none"/>
          <w:lang w:eastAsia="zh-CN"/>
        </w:rPr>
        <w:t>试剂</w:t>
      </w:r>
      <w:r>
        <w:rPr>
          <w:rFonts w:hint="eastAsia" w:ascii="仿宋" w:hAnsi="仿宋" w:eastAsia="仿宋" w:cs="仿宋"/>
          <w:color w:val="auto"/>
          <w:sz w:val="24"/>
          <w:szCs w:val="24"/>
          <w:highlight w:val="none"/>
          <w:lang w:val="en-US" w:eastAsia="zh-CN"/>
        </w:rPr>
        <w:t>耗材</w:t>
      </w:r>
      <w:r>
        <w:rPr>
          <w:rFonts w:hint="eastAsia" w:ascii="仿宋" w:hAnsi="仿宋" w:eastAsia="仿宋" w:cs="仿宋"/>
          <w:color w:val="auto"/>
          <w:sz w:val="24"/>
          <w:szCs w:val="24"/>
          <w:highlight w:val="none"/>
        </w:rPr>
        <w:t>集中采购，涵盖</w:t>
      </w:r>
      <w:r>
        <w:rPr>
          <w:rFonts w:hint="eastAsia" w:ascii="仿宋" w:hAnsi="仿宋" w:eastAsia="仿宋" w:cs="仿宋"/>
          <w:color w:val="auto"/>
          <w:sz w:val="24"/>
          <w:szCs w:val="24"/>
          <w:highlight w:val="none"/>
          <w:lang w:val="en-US" w:eastAsia="zh-CN"/>
        </w:rPr>
        <w:t>105个品目</w:t>
      </w:r>
      <w:r>
        <w:rPr>
          <w:rFonts w:hint="eastAsia" w:ascii="仿宋" w:hAnsi="仿宋" w:eastAsia="仿宋" w:cs="仿宋"/>
          <w:color w:val="auto"/>
          <w:sz w:val="24"/>
          <w:szCs w:val="24"/>
          <w:highlight w:val="none"/>
        </w:rPr>
        <w:t>。</w:t>
      </w:r>
    </w:p>
    <w:p w14:paraId="2EC39E55">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bCs/>
          <w:color w:val="auto"/>
          <w:sz w:val="24"/>
          <w:szCs w:val="24"/>
          <w:highlight w:val="none"/>
        </w:rPr>
        <w:t>采购需求内容：详见附件《</w:t>
      </w:r>
      <w:r>
        <w:rPr>
          <w:rFonts w:hint="eastAsia" w:ascii="仿宋" w:hAnsi="仿宋" w:eastAsia="仿宋" w:cs="仿宋"/>
          <w:bCs/>
          <w:color w:val="auto"/>
          <w:sz w:val="24"/>
          <w:szCs w:val="24"/>
          <w:highlight w:val="none"/>
          <w:lang w:eastAsia="zh-CN"/>
        </w:rPr>
        <w:t>耗材采购清单</w:t>
      </w:r>
      <w:r>
        <w:rPr>
          <w:rFonts w:hint="eastAsia" w:ascii="仿宋" w:hAnsi="仿宋" w:eastAsia="仿宋" w:cs="仿宋"/>
          <w:bCs/>
          <w:color w:val="auto"/>
          <w:sz w:val="24"/>
          <w:szCs w:val="24"/>
          <w:highlight w:val="none"/>
        </w:rPr>
        <w:t>》。</w:t>
      </w:r>
    </w:p>
    <w:p w14:paraId="3146DE3D">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eastAsia="zh-CN"/>
        </w:rPr>
        <w:t>5.</w:t>
      </w:r>
      <w:r>
        <w:rPr>
          <w:rFonts w:hint="eastAsia" w:ascii="仿宋" w:hAnsi="仿宋" w:eastAsia="仿宋" w:cs="仿宋"/>
          <w:color w:val="auto"/>
          <w:sz w:val="24"/>
          <w:szCs w:val="24"/>
          <w:highlight w:val="none"/>
        </w:rPr>
        <w:t>最高限价：</w:t>
      </w:r>
      <w:r>
        <w:rPr>
          <w:rFonts w:hint="eastAsia" w:ascii="仿宋" w:hAnsi="仿宋" w:eastAsia="仿宋" w:cs="仿宋"/>
          <w:b/>
          <w:bCs/>
          <w:color w:val="auto"/>
          <w:sz w:val="24"/>
          <w:szCs w:val="24"/>
          <w:highlight w:val="none"/>
        </w:rPr>
        <w:t>资格预审时以</w:t>
      </w:r>
      <w:r>
        <w:rPr>
          <w:rFonts w:hint="eastAsia" w:ascii="仿宋" w:hAnsi="仿宋" w:eastAsia="仿宋" w:cs="仿宋"/>
          <w:b/>
          <w:bCs/>
          <w:color w:val="auto"/>
          <w:sz w:val="24"/>
          <w:szCs w:val="24"/>
          <w:highlight w:val="none"/>
          <w:lang w:eastAsia="zh-CN"/>
        </w:rPr>
        <w:t>重庆药品和医用耗材招采管理系统</w:t>
      </w:r>
      <w:r>
        <w:rPr>
          <w:rFonts w:hint="eastAsia" w:ascii="仿宋" w:hAnsi="仿宋" w:eastAsia="仿宋" w:cs="仿宋"/>
          <w:b/>
          <w:bCs/>
          <w:color w:val="auto"/>
          <w:sz w:val="24"/>
          <w:szCs w:val="24"/>
          <w:highlight w:val="none"/>
          <w:lang w:val="en-US" w:eastAsia="zh-CN"/>
        </w:rPr>
        <w:t>同期</w:t>
      </w:r>
      <w:r>
        <w:rPr>
          <w:rFonts w:hint="eastAsia" w:ascii="仿宋" w:hAnsi="仿宋" w:eastAsia="仿宋" w:cs="仿宋"/>
          <w:b/>
          <w:bCs/>
          <w:color w:val="auto"/>
          <w:sz w:val="24"/>
          <w:szCs w:val="24"/>
          <w:highlight w:val="none"/>
          <w:lang w:eastAsia="zh-CN"/>
        </w:rPr>
        <w:t>挂网价</w:t>
      </w:r>
      <w:r>
        <w:rPr>
          <w:rFonts w:hint="eastAsia" w:ascii="仿宋" w:hAnsi="仿宋" w:eastAsia="仿宋" w:cs="仿宋"/>
          <w:b/>
          <w:bCs/>
          <w:color w:val="auto"/>
          <w:sz w:val="24"/>
          <w:szCs w:val="24"/>
          <w:highlight w:val="none"/>
        </w:rPr>
        <w:t>作为最高限价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投标品目中存在型号规格统一报价的，以对应型号规格中最低挂网价为该型号规格的最高限价）</w:t>
      </w:r>
      <w:r>
        <w:rPr>
          <w:rFonts w:hint="eastAsia" w:ascii="仿宋" w:hAnsi="仿宋" w:eastAsia="仿宋" w:cs="仿宋"/>
          <w:b/>
          <w:bCs/>
          <w:color w:val="FF0000"/>
          <w:sz w:val="24"/>
          <w:szCs w:val="24"/>
          <w:highlight w:val="none"/>
          <w:lang w:val="en-US" w:eastAsia="zh-CN"/>
        </w:rPr>
        <w:t>（示例：序号7品目：胸腹腔引流导管 中型号规格“导丝导入直型 ，6Fr-16Fr各型号”中各型号规格统一报价。假如6Fr的挂网价为6Fr-16Fr各型号中最低，则以6Fr型号规格的挂网价格为“导丝导入直型 ，6Fr-16Fr各型号”的最高限价）</w:t>
      </w:r>
      <w:r>
        <w:rPr>
          <w:rFonts w:hint="eastAsia" w:ascii="仿宋" w:hAnsi="仿宋" w:eastAsia="仿宋" w:cs="仿宋"/>
          <w:color w:val="FF0000"/>
          <w:sz w:val="24"/>
          <w:szCs w:val="24"/>
          <w:highlight w:val="none"/>
        </w:rPr>
        <w:t>。</w:t>
      </w:r>
    </w:p>
    <w:p w14:paraId="4E8048AC">
      <w:pPr>
        <w:pStyle w:val="3"/>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合同履行期限：一年（</w:t>
      </w:r>
      <w:r>
        <w:rPr>
          <w:rFonts w:ascii="仿宋" w:hAnsi="仿宋" w:eastAsia="仿宋" w:cs="仿宋"/>
          <w:bCs/>
          <w:color w:val="auto"/>
          <w:sz w:val="24"/>
          <w:szCs w:val="24"/>
          <w:highlight w:val="none"/>
        </w:rPr>
        <w:t>因政策原因，若某</w:t>
      </w:r>
      <w:r>
        <w:rPr>
          <w:rFonts w:hint="eastAsia" w:ascii="仿宋" w:hAnsi="仿宋" w:eastAsia="仿宋" w:cs="仿宋"/>
          <w:bCs/>
          <w:color w:val="auto"/>
          <w:sz w:val="24"/>
          <w:szCs w:val="24"/>
          <w:highlight w:val="none"/>
        </w:rPr>
        <w:t>品目</w:t>
      </w:r>
      <w:r>
        <w:rPr>
          <w:rFonts w:hint="eastAsia" w:ascii="仿宋" w:hAnsi="仿宋" w:eastAsia="仿宋" w:cs="仿宋"/>
          <w:bCs/>
          <w:color w:val="auto"/>
          <w:sz w:val="24"/>
          <w:szCs w:val="24"/>
          <w:highlight w:val="none"/>
          <w:lang w:eastAsia="zh-CN"/>
        </w:rPr>
        <w:t>耗材</w:t>
      </w:r>
      <w:r>
        <w:rPr>
          <w:rFonts w:ascii="仿宋" w:hAnsi="仿宋" w:eastAsia="仿宋" w:cs="仿宋"/>
          <w:bCs/>
          <w:color w:val="auto"/>
          <w:sz w:val="24"/>
          <w:szCs w:val="24"/>
          <w:highlight w:val="none"/>
        </w:rPr>
        <w:t>被纳入</w:t>
      </w:r>
      <w:r>
        <w:rPr>
          <w:rFonts w:hint="eastAsia" w:ascii="仿宋" w:hAnsi="仿宋" w:eastAsia="仿宋" w:cs="仿宋"/>
          <w:bCs/>
          <w:color w:val="auto"/>
          <w:sz w:val="24"/>
          <w:szCs w:val="24"/>
          <w:highlight w:val="none"/>
        </w:rPr>
        <w:t>上级部门</w:t>
      </w:r>
      <w:r>
        <w:rPr>
          <w:rFonts w:ascii="仿宋" w:hAnsi="仿宋" w:eastAsia="仿宋" w:cs="仿宋"/>
          <w:bCs/>
          <w:color w:val="auto"/>
          <w:sz w:val="24"/>
          <w:szCs w:val="24"/>
          <w:highlight w:val="none"/>
        </w:rPr>
        <w:t>集采范围，则该</w:t>
      </w:r>
      <w:r>
        <w:rPr>
          <w:rFonts w:hint="eastAsia" w:ascii="仿宋" w:hAnsi="仿宋" w:eastAsia="仿宋" w:cs="仿宋"/>
          <w:bCs/>
          <w:color w:val="auto"/>
          <w:sz w:val="24"/>
          <w:szCs w:val="24"/>
          <w:highlight w:val="none"/>
        </w:rPr>
        <w:t>品目</w:t>
      </w:r>
      <w:r>
        <w:rPr>
          <w:rFonts w:hint="eastAsia" w:ascii="仿宋" w:hAnsi="仿宋" w:eastAsia="仿宋" w:cs="仿宋"/>
          <w:bCs/>
          <w:color w:val="auto"/>
          <w:sz w:val="24"/>
          <w:szCs w:val="24"/>
          <w:highlight w:val="none"/>
          <w:lang w:eastAsia="zh-CN"/>
        </w:rPr>
        <w:t>耗材</w:t>
      </w:r>
      <w:r>
        <w:rPr>
          <w:rFonts w:ascii="仿宋" w:hAnsi="仿宋" w:eastAsia="仿宋" w:cs="仿宋"/>
          <w:bCs/>
          <w:color w:val="auto"/>
          <w:sz w:val="24"/>
          <w:szCs w:val="24"/>
          <w:highlight w:val="none"/>
        </w:rPr>
        <w:t>自动</w:t>
      </w:r>
      <w:r>
        <w:rPr>
          <w:rFonts w:hint="eastAsia" w:ascii="仿宋" w:hAnsi="仿宋" w:eastAsia="仿宋" w:cs="仿宋"/>
          <w:bCs/>
          <w:color w:val="auto"/>
          <w:sz w:val="24"/>
          <w:szCs w:val="24"/>
          <w:highlight w:val="none"/>
          <w:lang w:eastAsia="zh-CN"/>
        </w:rPr>
        <w:t>退出</w:t>
      </w:r>
      <w:r>
        <w:rPr>
          <w:rFonts w:hint="eastAsia" w:ascii="仿宋" w:hAnsi="仿宋" w:eastAsia="仿宋" w:cs="仿宋"/>
          <w:bCs/>
          <w:color w:val="auto"/>
          <w:sz w:val="24"/>
          <w:szCs w:val="24"/>
          <w:highlight w:val="none"/>
        </w:rPr>
        <w:t>供货合同）。</w:t>
      </w:r>
    </w:p>
    <w:p w14:paraId="1E7FF1C7">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7.</w:t>
      </w:r>
      <w:r>
        <w:rPr>
          <w:rFonts w:hint="eastAsia" w:ascii="仿宋" w:hAnsi="仿宋" w:eastAsia="仿宋" w:cs="仿宋"/>
          <w:bCs/>
          <w:color w:val="auto"/>
          <w:sz w:val="24"/>
          <w:szCs w:val="24"/>
          <w:highlight w:val="none"/>
        </w:rPr>
        <w:t>第二轮报价中单品目</w:t>
      </w:r>
      <w:r>
        <w:rPr>
          <w:rFonts w:hint="eastAsia" w:ascii="仿宋" w:hAnsi="仿宋" w:eastAsia="仿宋" w:cs="仿宋"/>
          <w:bCs/>
          <w:color w:val="auto"/>
          <w:sz w:val="24"/>
          <w:szCs w:val="24"/>
          <w:highlight w:val="none"/>
          <w:lang w:eastAsia="zh-CN"/>
        </w:rPr>
        <w:t>耗材</w:t>
      </w:r>
      <w:r>
        <w:rPr>
          <w:rFonts w:hint="eastAsia" w:ascii="仿宋" w:hAnsi="仿宋" w:eastAsia="仿宋" w:cs="仿宋"/>
          <w:bCs/>
          <w:color w:val="auto"/>
          <w:sz w:val="24"/>
          <w:szCs w:val="24"/>
          <w:highlight w:val="none"/>
        </w:rPr>
        <w:t>报价最低的</w:t>
      </w:r>
      <w:r>
        <w:rPr>
          <w:rFonts w:hint="eastAsia" w:ascii="仿宋" w:hAnsi="仿宋" w:eastAsia="仿宋" w:cs="仿宋"/>
          <w:bCs/>
          <w:color w:val="auto"/>
          <w:sz w:val="24"/>
          <w:szCs w:val="24"/>
          <w:highlight w:val="none"/>
          <w:lang w:eastAsia="zh-CN"/>
        </w:rPr>
        <w:t>耗材</w:t>
      </w:r>
      <w:r>
        <w:rPr>
          <w:rFonts w:hint="eastAsia" w:ascii="仿宋" w:hAnsi="仿宋" w:eastAsia="仿宋" w:cs="仿宋"/>
          <w:bCs/>
          <w:color w:val="auto"/>
          <w:sz w:val="24"/>
          <w:szCs w:val="24"/>
          <w:highlight w:val="none"/>
        </w:rPr>
        <w:t>制造商</w:t>
      </w:r>
      <w:r>
        <w:rPr>
          <w:rFonts w:hint="eastAsia" w:ascii="仿宋" w:hAnsi="仿宋" w:eastAsia="仿宋" w:cs="仿宋"/>
          <w:bCs/>
          <w:color w:val="auto"/>
          <w:sz w:val="24"/>
          <w:szCs w:val="24"/>
          <w:highlight w:val="none"/>
          <w:lang w:val="en-US" w:eastAsia="zh-CN"/>
        </w:rPr>
        <w:t>或经销商</w:t>
      </w:r>
      <w:r>
        <w:rPr>
          <w:rFonts w:hint="eastAsia" w:ascii="仿宋" w:hAnsi="仿宋" w:eastAsia="仿宋" w:cs="仿宋"/>
          <w:bCs/>
          <w:color w:val="auto"/>
          <w:sz w:val="24"/>
          <w:szCs w:val="24"/>
          <w:highlight w:val="none"/>
        </w:rPr>
        <w:t>将成为该</w:t>
      </w:r>
      <w:r>
        <w:rPr>
          <w:rFonts w:hint="eastAsia" w:ascii="仿宋" w:hAnsi="仿宋" w:eastAsia="仿宋" w:cs="仿宋"/>
          <w:bCs/>
          <w:color w:val="auto"/>
          <w:sz w:val="24"/>
          <w:szCs w:val="24"/>
          <w:highlight w:val="none"/>
          <w:lang w:eastAsia="zh-CN"/>
        </w:rPr>
        <w:t>耗材</w:t>
      </w:r>
      <w:r>
        <w:rPr>
          <w:rFonts w:hint="eastAsia" w:ascii="仿宋" w:hAnsi="仿宋" w:eastAsia="仿宋" w:cs="仿宋"/>
          <w:bCs/>
          <w:color w:val="auto"/>
          <w:sz w:val="24"/>
          <w:szCs w:val="24"/>
          <w:highlight w:val="none"/>
        </w:rPr>
        <w:t>的主供货商，报价次低的将成为该</w:t>
      </w:r>
      <w:r>
        <w:rPr>
          <w:rFonts w:hint="eastAsia" w:ascii="仿宋" w:hAnsi="仿宋" w:eastAsia="仿宋" w:cs="仿宋"/>
          <w:bCs/>
          <w:color w:val="auto"/>
          <w:sz w:val="24"/>
          <w:szCs w:val="24"/>
          <w:highlight w:val="none"/>
          <w:lang w:eastAsia="zh-CN"/>
        </w:rPr>
        <w:t>耗材</w:t>
      </w:r>
      <w:r>
        <w:rPr>
          <w:rFonts w:hint="eastAsia" w:ascii="仿宋" w:hAnsi="仿宋" w:eastAsia="仿宋" w:cs="仿宋"/>
          <w:bCs/>
          <w:color w:val="auto"/>
          <w:sz w:val="24"/>
          <w:szCs w:val="24"/>
          <w:highlight w:val="none"/>
        </w:rPr>
        <w:t>的备供货商。</w:t>
      </w:r>
      <w:r>
        <w:rPr>
          <w:rFonts w:hint="eastAsia" w:ascii="仿宋" w:hAnsi="仿宋" w:eastAsia="仿宋" w:cs="仿宋"/>
          <w:bCs/>
          <w:color w:val="auto"/>
          <w:sz w:val="24"/>
          <w:szCs w:val="24"/>
          <w:highlight w:val="none"/>
          <w:lang w:val="en-US" w:eastAsia="zh-CN"/>
        </w:rPr>
        <w:t xml:space="preserve">    </w:t>
      </w:r>
    </w:p>
    <w:p w14:paraId="72C0FD0A">
      <w:pPr>
        <w:keepNext w:val="0"/>
        <w:keepLines w:val="0"/>
        <w:pageBreakBefore w:val="0"/>
        <w:widowControl/>
        <w:shd w:val="clear"/>
        <w:kinsoku/>
        <w:wordWrap/>
        <w:overflowPunct/>
        <w:topLinePunct w:val="0"/>
        <w:autoSpaceDE/>
        <w:autoSpaceDN/>
        <w:bidi w:val="0"/>
        <w:adjustRightInd/>
        <w:snapToGrid/>
        <w:spacing w:line="520" w:lineRule="exact"/>
        <w:ind w:left="0" w:leftChars="0" w:firstLine="482" w:firstLineChars="2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二、资金来源：</w:t>
      </w:r>
    </w:p>
    <w:p w14:paraId="68AC1850">
      <w:pPr>
        <w:keepNext w:val="0"/>
        <w:keepLines w:val="0"/>
        <w:pageBreakBefore w:val="0"/>
        <w:widowControl/>
        <w:shd w:val="clear"/>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九龙坡区各公立医疗机构自筹资金。</w:t>
      </w:r>
    </w:p>
    <w:p w14:paraId="062FCB7A">
      <w:pPr>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color w:val="auto"/>
          <w:sz w:val="24"/>
          <w:szCs w:val="24"/>
          <w:highlight w:val="none"/>
        </w:rPr>
        <w:t>投标人邀请方式：</w:t>
      </w:r>
    </w:p>
    <w:p w14:paraId="66BE8A27">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公告方式：本次</w:t>
      </w:r>
      <w:r>
        <w:rPr>
          <w:rFonts w:hint="eastAsia" w:ascii="仿宋" w:hAnsi="仿宋" w:eastAsia="仿宋" w:cs="仿宋"/>
          <w:bCs/>
          <w:color w:val="auto"/>
          <w:sz w:val="24"/>
          <w:szCs w:val="24"/>
          <w:highlight w:val="none"/>
          <w:lang w:eastAsia="zh-CN"/>
        </w:rPr>
        <w:t>资格预审</w:t>
      </w:r>
      <w:r>
        <w:rPr>
          <w:rFonts w:hint="eastAsia" w:ascii="仿宋" w:hAnsi="仿宋" w:eastAsia="仿宋" w:cs="仿宋"/>
          <w:bCs/>
          <w:color w:val="auto"/>
          <w:sz w:val="24"/>
          <w:szCs w:val="24"/>
          <w:highlight w:val="none"/>
        </w:rPr>
        <w:t>邀请在行采家</w:t>
      </w:r>
      <w:r>
        <w:rPr>
          <w:rFonts w:hint="eastAsia" w:ascii="仿宋" w:hAnsi="仿宋" w:eastAsia="仿宋" w:cs="仿宋"/>
          <w:bCs/>
          <w:color w:val="auto"/>
          <w:sz w:val="24"/>
          <w:szCs w:val="24"/>
          <w:highlight w:val="none"/>
          <w:lang w:val="en-US" w:eastAsia="zh-CN"/>
        </w:rPr>
        <w:t>平台</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lang w:eastAsia="zh-CN"/>
        </w:rPr>
        <w:t>重庆市九龙坡区人民医院</w:t>
      </w:r>
      <w:r>
        <w:rPr>
          <w:rFonts w:hint="eastAsia" w:ascii="仿宋" w:hAnsi="仿宋" w:eastAsia="仿宋" w:cs="仿宋"/>
          <w:bCs/>
          <w:color w:val="auto"/>
          <w:sz w:val="24"/>
          <w:szCs w:val="24"/>
          <w:highlight w:val="none"/>
          <w:lang w:val="en-US" w:eastAsia="zh-CN"/>
        </w:rPr>
        <w:t>微信服务号及</w:t>
      </w:r>
      <w:r>
        <w:rPr>
          <w:rFonts w:hint="eastAsia" w:ascii="仿宋" w:hAnsi="仿宋" w:eastAsia="仿宋" w:cs="仿宋"/>
          <w:bCs/>
          <w:color w:val="auto"/>
          <w:sz w:val="24"/>
          <w:szCs w:val="24"/>
        </w:rPr>
        <w:t>中国招标投标公共服务平台</w:t>
      </w:r>
      <w:r>
        <w:rPr>
          <w:rFonts w:hint="eastAsia" w:ascii="仿宋" w:hAnsi="仿宋" w:eastAsia="仿宋" w:cs="仿宋"/>
          <w:bCs/>
          <w:color w:val="auto"/>
          <w:sz w:val="24"/>
          <w:szCs w:val="24"/>
          <w:highlight w:val="none"/>
        </w:rPr>
        <w:t>上以公告形式发布。</w:t>
      </w:r>
    </w:p>
    <w:p w14:paraId="53D983D7">
      <w:pPr>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四、投标人参加本次资格预审应具备下列条件：</w:t>
      </w:r>
    </w:p>
    <w:p w14:paraId="256EB875">
      <w:pPr>
        <w:pStyle w:val="3"/>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（一）投标人应具备下列条件：</w:t>
      </w:r>
    </w:p>
    <w:p w14:paraId="7EC02B7B">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rPr>
      </w:pPr>
      <w:bookmarkStart w:id="27" w:name="PO_供应商资格条件_1"/>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在中国境内合法注册；</w:t>
      </w:r>
    </w:p>
    <w:p w14:paraId="2A526AD7">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具有依法缴纳税收的记录；</w:t>
      </w:r>
    </w:p>
    <w:p w14:paraId="4A87F731">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具有依法缴纳社会保障资金的记录；</w:t>
      </w:r>
    </w:p>
    <w:p w14:paraId="07D52BED">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参加采购活动前三年内，在经营活动中没有重大违法记录；</w:t>
      </w:r>
    </w:p>
    <w:p w14:paraId="504580CA">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法律、行政法规规定的其他条件；</w:t>
      </w:r>
    </w:p>
    <w:p w14:paraId="4B71CF12">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根据采购项目提出的特殊条件：</w:t>
      </w:r>
    </w:p>
    <w:p w14:paraId="7178F149">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）采购产品为医疗器械的，投标人须提供书面承诺，承诺交货时提供所投产品注册/备案证明材料。</w:t>
      </w:r>
    </w:p>
    <w:p w14:paraId="469833C2">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（2）投标人为</w:t>
      </w:r>
      <w:r>
        <w:rPr>
          <w:rFonts w:hint="eastAsia" w:ascii="仿宋" w:hAnsi="仿宋" w:eastAsia="仿宋" w:cs="仿宋"/>
          <w:b/>
          <w:bCs/>
          <w:color w:val="auto"/>
          <w:sz w:val="24"/>
          <w:highlight w:val="none"/>
          <w:lang w:eastAsia="zh-CN"/>
        </w:rPr>
        <w:t>生产</w:t>
      </w:r>
      <w:r>
        <w:rPr>
          <w:rFonts w:hint="eastAsia" w:ascii="仿宋" w:hAnsi="仿宋" w:eastAsia="仿宋" w:cs="仿宋"/>
          <w:b/>
          <w:bCs/>
          <w:color w:val="auto"/>
          <w:sz w:val="24"/>
          <w:highlight w:val="none"/>
          <w:lang w:val="en-US" w:eastAsia="zh-CN"/>
        </w:rPr>
        <w:t>厂家</w:t>
      </w:r>
      <w:r>
        <w:rPr>
          <w:rFonts w:hint="eastAsia" w:ascii="仿宋" w:hAnsi="仿宋" w:eastAsia="仿宋" w:cs="仿宋"/>
          <w:color w:val="auto"/>
          <w:sz w:val="24"/>
          <w:highlight w:val="none"/>
          <w:lang w:eastAsia="zh-CN"/>
        </w:rPr>
        <w:t>，须提供医疗器械生产许可证/备案材料；</w:t>
      </w:r>
    </w:p>
    <w:p w14:paraId="599AD078">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投标人为</w:t>
      </w:r>
      <w:r>
        <w:rPr>
          <w:rFonts w:hint="eastAsia" w:ascii="仿宋" w:hAnsi="仿宋" w:eastAsia="仿宋" w:cs="仿宋"/>
          <w:b/>
          <w:bCs/>
          <w:color w:val="auto"/>
          <w:sz w:val="24"/>
          <w:highlight w:val="none"/>
          <w:lang w:eastAsia="zh-CN"/>
        </w:rPr>
        <w:t>经销商</w:t>
      </w:r>
      <w:r>
        <w:rPr>
          <w:rFonts w:hint="eastAsia" w:ascii="仿宋" w:hAnsi="仿宋" w:eastAsia="仿宋" w:cs="仿宋"/>
          <w:color w:val="auto"/>
          <w:sz w:val="24"/>
          <w:highlight w:val="none"/>
          <w:lang w:eastAsia="zh-CN"/>
        </w:rPr>
        <w:t>，须提供医疗器械经营许可证/备案材料；</w:t>
      </w:r>
    </w:p>
    <w:p w14:paraId="7642EB7A">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不在《医疗器械分类目录》内的不作强行要求。</w:t>
      </w:r>
    </w:p>
    <w:p w14:paraId="5F39AA34">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）投标人为经销商，对所投</w:t>
      </w:r>
      <w:r>
        <w:rPr>
          <w:rFonts w:hint="eastAsia" w:ascii="仿宋" w:hAnsi="仿宋" w:eastAsia="仿宋" w:cs="仿宋"/>
          <w:color w:val="auto"/>
          <w:sz w:val="24"/>
          <w:highlight w:val="none"/>
          <w:lang w:val="en-US" w:eastAsia="zh-CN"/>
        </w:rPr>
        <w:t>耗材须</w:t>
      </w:r>
      <w:r>
        <w:rPr>
          <w:rFonts w:hint="eastAsia" w:ascii="仿宋" w:hAnsi="仿宋" w:eastAsia="仿宋" w:cs="仿宋"/>
          <w:color w:val="auto"/>
          <w:sz w:val="24"/>
          <w:highlight w:val="none"/>
          <w:lang w:eastAsia="zh-CN"/>
        </w:rPr>
        <w:t>逐项提供生产厂家出具的本项目专项授权书（每品目耗材须单独提供一份（张）授权书），（例如：若投标人同时参与5个品目耗材的投标，须在资格预审申请文件中提供5份（张）授权文件）。</w:t>
      </w:r>
    </w:p>
    <w:p w14:paraId="0E2506D5">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说明：</w:t>
      </w:r>
    </w:p>
    <w:p w14:paraId="61032576">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①</w:t>
      </w:r>
      <w:r>
        <w:rPr>
          <w:rFonts w:hint="eastAsia" w:ascii="仿宋" w:hAnsi="仿宋" w:eastAsia="仿宋" w:cs="仿宋"/>
          <w:color w:val="000000" w:themeColor="text1"/>
          <w:sz w:val="24"/>
          <w:highlight w:val="none"/>
          <w:lang w:eastAsia="zh-CN"/>
          <w14:textFill>
            <w14:solidFill>
              <w14:schemeClr w14:val="tx1"/>
            </w14:solidFill>
          </w14:textFill>
        </w:rPr>
        <w:t>专项授权书须体现授权方与被授权方信息、授权范围、项目名称。（</w:t>
      </w:r>
      <w:r>
        <w:rPr>
          <w:rFonts w:hint="eastAsia" w:ascii="仿宋" w:hAnsi="仿宋" w:eastAsia="仿宋" w:cs="仿宋"/>
          <w:color w:val="000000" w:themeColor="text1"/>
          <w:sz w:val="24"/>
          <w:highlight w:val="none"/>
          <w:lang w:val="en-US" w:eastAsia="zh-CN"/>
          <w14:textFill>
            <w14:solidFill>
              <w14:schemeClr w14:val="tx1"/>
            </w14:solidFill>
          </w14:textFill>
        </w:rPr>
        <w:t>授权的服务期限应包含本项目的服务期</w:t>
      </w:r>
      <w:r>
        <w:rPr>
          <w:rFonts w:hint="eastAsia" w:ascii="仿宋" w:hAnsi="仿宋" w:eastAsia="仿宋" w:cs="仿宋"/>
          <w:color w:val="000000" w:themeColor="text1"/>
          <w:sz w:val="24"/>
          <w:highlight w:val="none"/>
          <w:lang w:eastAsia="zh-CN"/>
          <w14:textFill>
            <w14:solidFill>
              <w14:schemeClr w14:val="tx1"/>
            </w14:solidFill>
          </w14:textFill>
        </w:rPr>
        <w:t>）。</w:t>
      </w:r>
    </w:p>
    <w:p w14:paraId="2DB29990">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②各品目的生产厂家和经销商不得同时参与同一品目耗材的投标，否则均视为无效投标。</w:t>
      </w:r>
    </w:p>
    <w:p w14:paraId="6AB570C1">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default" w:ascii="仿宋" w:hAnsi="仿宋" w:eastAsia="仿宋" w:cs="仿宋"/>
          <w:color w:val="000000" w:themeColor="text1"/>
          <w:sz w:val="24"/>
          <w:highlight w:val="none"/>
          <w:lang w:val="en-US" w:eastAsia="zh-CN"/>
          <w14:textFill>
            <w14:solidFill>
              <w14:schemeClr w14:val="tx1"/>
            </w14:solidFill>
          </w14:textFill>
        </w:rPr>
        <w:t>③</w:t>
      </w:r>
      <w:r>
        <w:rPr>
          <w:rFonts w:hint="eastAsia" w:ascii="仿宋" w:hAnsi="仿宋" w:eastAsia="仿宋" w:cs="仿宋"/>
          <w:color w:val="000000" w:themeColor="text1"/>
          <w:sz w:val="24"/>
          <w:highlight w:val="none"/>
          <w:lang w:val="en-US" w:eastAsia="zh-CN"/>
          <w14:textFill>
            <w14:solidFill>
              <w14:schemeClr w14:val="tx1"/>
            </w14:solidFill>
          </w14:textFill>
        </w:rPr>
        <w:t>每个品目的同一生产厂家只能授权委托唯一一家经销商参与投标，不同品目的不受影响。</w:t>
      </w:r>
    </w:p>
    <w:p w14:paraId="3A7E1340">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如：某生产厂家X公司，可生产品目1、3、5、7耗材。</w:t>
      </w:r>
    </w:p>
    <w:p w14:paraId="2EEF76A9">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则X公司仅可授权1家公司A公司参与品目1产品的投标，不得同时授权A、B公司同时参与品目1耗材的投标，否则视A、B公司均为无效投标。</w:t>
      </w:r>
    </w:p>
    <w:p w14:paraId="69DFDFC8">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X公司可以分别授权A公司参与品目1耗材投标，授权B公司参与品目3耗材投标。</w:t>
      </w:r>
    </w:p>
    <w:p w14:paraId="458010B2">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X公司也可自身参与品目1耗材投标，同时授权B公司参与品目3耗材投标。</w:t>
      </w:r>
    </w:p>
    <w:p w14:paraId="7BC443B0">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Calibri" w:hAnsi="Calibri" w:eastAsia="仿宋" w:cs="Calibri"/>
          <w:color w:val="auto"/>
          <w:sz w:val="24"/>
          <w:highlight w:val="none"/>
          <w:lang w:val="en-US" w:eastAsia="zh-CN"/>
        </w:rPr>
      </w:pPr>
      <w:r>
        <w:rPr>
          <w:rFonts w:hint="eastAsia" w:ascii="Calibri" w:hAnsi="Calibri" w:eastAsia="仿宋" w:cs="Calibri"/>
          <w:color w:val="auto"/>
          <w:sz w:val="24"/>
          <w:highlight w:val="none"/>
          <w:lang w:val="en-US" w:eastAsia="zh-CN"/>
        </w:rPr>
        <w:t>④投标人需投标同一品目下的所有型号规格，仅投标同一品目下的部分型号规格视为无效投标（型号规格为各型号的需提供</w:t>
      </w:r>
      <w:r>
        <w:rPr>
          <w:rFonts w:hint="eastAsia" w:ascii="仿宋" w:hAnsi="仿宋" w:eastAsia="仿宋" w:cs="仿宋"/>
          <w:b/>
          <w:bCs/>
          <w:color w:val="auto"/>
          <w:sz w:val="24"/>
          <w:highlight w:val="none"/>
        </w:rPr>
        <w:t>《</w:t>
      </w:r>
      <w:r>
        <w:rPr>
          <w:rFonts w:hint="eastAsia" w:ascii="Calibri" w:hAnsi="Calibri" w:eastAsia="仿宋" w:cs="Calibri"/>
          <w:color w:val="auto"/>
          <w:sz w:val="24"/>
          <w:highlight w:val="none"/>
          <w:lang w:val="en-US" w:eastAsia="zh-CN"/>
        </w:rPr>
        <w:t>投标产品生产厂家所有符合功能参数的型号规格明细表</w:t>
      </w:r>
      <w:r>
        <w:rPr>
          <w:rFonts w:hint="eastAsia" w:ascii="仿宋" w:hAnsi="仿宋" w:eastAsia="仿宋" w:cs="仿宋"/>
          <w:b/>
          <w:bCs/>
          <w:color w:val="auto"/>
          <w:sz w:val="24"/>
          <w:highlight w:val="none"/>
        </w:rPr>
        <w:t>》</w:t>
      </w:r>
      <w:r>
        <w:rPr>
          <w:rFonts w:hint="eastAsia" w:ascii="Calibri" w:hAnsi="Calibri" w:eastAsia="仿宋" w:cs="Calibri"/>
          <w:color w:val="auto"/>
          <w:sz w:val="24"/>
          <w:highlight w:val="none"/>
          <w:lang w:val="en-US" w:eastAsia="zh-CN"/>
        </w:rPr>
        <w:t>模板详见附件）。</w:t>
      </w:r>
    </w:p>
    <w:p w14:paraId="1164BB63">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default" w:ascii="仿宋" w:hAnsi="仿宋" w:eastAsia="仿宋" w:cs="仿宋"/>
          <w:color w:val="auto"/>
          <w:sz w:val="24"/>
          <w:highlight w:val="yellow"/>
          <w:lang w:val="en-US" w:eastAsia="zh-CN"/>
        </w:rPr>
      </w:pPr>
      <w:r>
        <w:rPr>
          <w:rFonts w:hint="eastAsia" w:ascii="Calibri" w:hAnsi="Calibri" w:eastAsia="仿宋" w:cs="Calibri"/>
          <w:color w:val="auto"/>
          <w:sz w:val="24"/>
          <w:highlight w:val="none"/>
          <w:lang w:val="en-US" w:eastAsia="zh-CN"/>
        </w:rPr>
        <w:t>⑤投标人</w:t>
      </w:r>
      <w:r>
        <w:rPr>
          <w:rFonts w:hint="eastAsia" w:ascii="仿宋" w:hAnsi="仿宋" w:eastAsia="仿宋" w:cs="仿宋"/>
          <w:color w:val="auto"/>
          <w:sz w:val="24"/>
          <w:highlight w:val="none"/>
          <w:lang w:eastAsia="zh-CN"/>
        </w:rPr>
        <w:t>提供伪造、变造授权文件或虚假授权材料的，一经查实将</w:t>
      </w:r>
      <w:r>
        <w:rPr>
          <w:rFonts w:hint="eastAsia" w:ascii="仿宋" w:hAnsi="仿宋" w:eastAsia="仿宋" w:cs="仿宋"/>
          <w:color w:val="auto"/>
          <w:sz w:val="24"/>
          <w:highlight w:val="none"/>
          <w:lang w:val="en-US" w:eastAsia="zh-CN"/>
        </w:rPr>
        <w:t>扣除其投标保证金，并</w:t>
      </w:r>
      <w:r>
        <w:rPr>
          <w:rFonts w:hint="eastAsia" w:ascii="仿宋" w:hAnsi="仿宋" w:eastAsia="仿宋" w:cs="仿宋"/>
          <w:color w:val="auto"/>
          <w:sz w:val="24"/>
          <w:highlight w:val="none"/>
          <w:lang w:eastAsia="zh-CN"/>
        </w:rPr>
        <w:t>依法追究法律责任，涉嫌犯罪的，移送司法机关。</w:t>
      </w:r>
    </w:p>
    <w:p w14:paraId="7876E401">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注：投标人可以就《</w:t>
      </w:r>
      <w:r>
        <w:rPr>
          <w:rFonts w:hint="eastAsia" w:ascii="仿宋" w:hAnsi="仿宋" w:eastAsia="仿宋" w:cs="仿宋"/>
          <w:b/>
          <w:bCs/>
          <w:color w:val="auto"/>
          <w:sz w:val="24"/>
          <w:highlight w:val="none"/>
          <w:lang w:eastAsia="zh-CN"/>
        </w:rPr>
        <w:t>耗材采购清单</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中</w:t>
      </w:r>
      <w:r>
        <w:rPr>
          <w:rFonts w:hint="eastAsia" w:ascii="仿宋" w:hAnsi="仿宋" w:eastAsia="仿宋" w:cs="仿宋"/>
          <w:b/>
          <w:bCs/>
          <w:color w:val="auto"/>
          <w:sz w:val="24"/>
          <w:highlight w:val="none"/>
        </w:rPr>
        <w:t>部分</w:t>
      </w:r>
      <w:r>
        <w:rPr>
          <w:rFonts w:hint="eastAsia" w:ascii="仿宋" w:hAnsi="仿宋" w:eastAsia="仿宋" w:cs="仿宋"/>
          <w:b/>
          <w:bCs/>
          <w:color w:val="auto"/>
          <w:sz w:val="24"/>
          <w:highlight w:val="none"/>
          <w:lang w:val="en-US" w:eastAsia="zh-CN"/>
        </w:rPr>
        <w:t>品目</w:t>
      </w:r>
      <w:r>
        <w:rPr>
          <w:rFonts w:hint="eastAsia" w:ascii="仿宋" w:hAnsi="仿宋" w:eastAsia="仿宋" w:cs="仿宋"/>
          <w:b/>
          <w:bCs/>
          <w:color w:val="auto"/>
          <w:sz w:val="24"/>
          <w:highlight w:val="none"/>
        </w:rPr>
        <w:t>参与投标。</w:t>
      </w:r>
    </w:p>
    <w:p w14:paraId="35112C8A">
      <w:pPr>
        <w:pStyle w:val="246"/>
        <w:keepNext w:val="0"/>
        <w:keepLines w:val="0"/>
        <w:pageBreakBefore w:val="0"/>
        <w:numPr>
          <w:ilvl w:val="0"/>
          <w:numId w:val="0"/>
        </w:numPr>
        <w:shd w:val="clear"/>
        <w:kinsoku/>
        <w:wordWrap/>
        <w:overflowPunct/>
        <w:topLinePunct w:val="0"/>
        <w:autoSpaceDE/>
        <w:autoSpaceDN/>
        <w:bidi w:val="0"/>
        <w:adjustRightInd/>
        <w:snapToGrid/>
        <w:spacing w:line="520" w:lineRule="exact"/>
        <w:ind w:left="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szCs w:val="24"/>
          <w:highlight w:val="none"/>
          <w:lang w:val="en-US" w:eastAsia="zh-CN" w:bidi="ar-SA"/>
        </w:rPr>
        <w:t>7.重庆药品和医用耗材招采管理系统耗材挂网信息截图</w:t>
      </w:r>
      <w:r>
        <w:rPr>
          <w:rFonts w:hint="eastAsia" w:ascii="仿宋" w:hAnsi="仿宋" w:eastAsia="仿宋" w:cs="仿宋"/>
          <w:b/>
          <w:bCs/>
          <w:color w:val="auto"/>
          <w:sz w:val="24"/>
          <w:highlight w:val="none"/>
          <w:lang w:val="en-US" w:eastAsia="zh-CN"/>
        </w:rPr>
        <w:t>：</w:t>
      </w:r>
    </w:p>
    <w:p w14:paraId="59CE10BD">
      <w:pPr>
        <w:pStyle w:val="168"/>
        <w:keepNext w:val="0"/>
        <w:keepLines w:val="0"/>
        <w:pageBreakBefore w:val="0"/>
        <w:widowControl w:val="0"/>
        <w:numPr>
          <w:ilvl w:val="0"/>
          <w:numId w:val="0"/>
        </w:numPr>
        <w:shd w:val="clear"/>
        <w:kinsoku/>
        <w:wordWrap/>
        <w:overflowPunct/>
        <w:topLinePunct w:val="0"/>
        <w:autoSpaceDE/>
        <w:autoSpaceDN/>
        <w:bidi w:val="0"/>
        <w:adjustRightInd w:val="0"/>
        <w:snapToGrid/>
        <w:spacing w:line="520" w:lineRule="exact"/>
        <w:ind w:leftChars="0" w:firstLine="480" w:firstLineChars="200"/>
        <w:textAlignment w:val="baseline"/>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（1）所报品目耗材截图中体现的型号规格须与《耗材采购清单》中要求一致，且包含每品目耗材的所有型号规格；</w:t>
      </w:r>
    </w:p>
    <w:p w14:paraId="28BFEA83">
      <w:pPr>
        <w:pStyle w:val="168"/>
        <w:keepNext w:val="0"/>
        <w:keepLines w:val="0"/>
        <w:pageBreakBefore w:val="0"/>
        <w:widowControl w:val="0"/>
        <w:numPr>
          <w:ilvl w:val="0"/>
          <w:numId w:val="0"/>
        </w:numPr>
        <w:shd w:val="clear"/>
        <w:kinsoku/>
        <w:wordWrap/>
        <w:overflowPunct/>
        <w:topLinePunct w:val="0"/>
        <w:autoSpaceDE/>
        <w:autoSpaceDN/>
        <w:bidi w:val="0"/>
        <w:adjustRightInd w:val="0"/>
        <w:snapToGrid/>
        <w:spacing w:line="520" w:lineRule="exact"/>
        <w:ind w:leftChars="0" w:firstLine="480" w:firstLineChars="200"/>
        <w:textAlignment w:val="baseline"/>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（2）所报品目耗材截图中体现的生产企业须与《第一轮报价表》填写内容一致；</w:t>
      </w:r>
    </w:p>
    <w:p w14:paraId="2AD32014">
      <w:pPr>
        <w:pStyle w:val="168"/>
        <w:keepNext w:val="0"/>
        <w:keepLines w:val="0"/>
        <w:pageBreakBefore w:val="0"/>
        <w:widowControl w:val="0"/>
        <w:numPr>
          <w:ilvl w:val="0"/>
          <w:numId w:val="0"/>
        </w:numPr>
        <w:shd w:val="clear"/>
        <w:kinsoku/>
        <w:wordWrap/>
        <w:overflowPunct/>
        <w:topLinePunct w:val="0"/>
        <w:autoSpaceDE/>
        <w:autoSpaceDN/>
        <w:bidi w:val="0"/>
        <w:adjustRightInd w:val="0"/>
        <w:snapToGrid/>
        <w:spacing w:line="520" w:lineRule="exact"/>
        <w:ind w:leftChars="0" w:firstLine="480" w:firstLineChars="200"/>
        <w:textAlignment w:val="baseline"/>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（3）所报品目耗材单价报价不得超过重庆药品和医用耗材招采管理系统</w:t>
      </w:r>
      <w:r>
        <w:rPr>
          <w:rFonts w:hint="eastAsia" w:ascii="仿宋" w:hAnsi="仿宋" w:eastAsia="仿宋" w:cs="仿宋"/>
          <w:color w:val="auto"/>
          <w:sz w:val="24"/>
          <w:szCs w:val="24"/>
          <w:highlight w:val="none"/>
          <w:lang w:val="en-US" w:eastAsia="zh-CN"/>
        </w:rPr>
        <w:t>同期</w:t>
      </w:r>
      <w:r>
        <w:rPr>
          <w:rFonts w:hint="eastAsia" w:ascii="仿宋" w:hAnsi="仿宋" w:eastAsia="仿宋" w:cs="仿宋"/>
          <w:color w:val="auto"/>
          <w:sz w:val="24"/>
          <w:szCs w:val="24"/>
          <w:highlight w:val="none"/>
          <w:lang w:val="en-US" w:eastAsia="zh-CN" w:bidi="ar-SA"/>
        </w:rPr>
        <w:t>挂网价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存在多个规格统一报价的，以投标规格中最低价为最高限价）</w:t>
      </w:r>
      <w:r>
        <w:rPr>
          <w:rFonts w:hint="eastAsia" w:ascii="仿宋" w:hAnsi="仿宋" w:eastAsia="仿宋" w:cs="仿宋"/>
          <w:color w:val="auto"/>
          <w:sz w:val="24"/>
          <w:szCs w:val="24"/>
          <w:highlight w:val="none"/>
          <w:lang w:val="en-US" w:eastAsia="zh-CN" w:bidi="ar-SA"/>
        </w:rPr>
        <w:t>。</w:t>
      </w:r>
    </w:p>
    <w:p w14:paraId="130C6A74">
      <w:pPr>
        <w:pStyle w:val="168"/>
        <w:keepNext w:val="0"/>
        <w:keepLines w:val="0"/>
        <w:pageBreakBefore w:val="0"/>
        <w:widowControl w:val="0"/>
        <w:numPr>
          <w:ilvl w:val="0"/>
          <w:numId w:val="0"/>
        </w:numPr>
        <w:shd w:val="clear"/>
        <w:kinsoku/>
        <w:wordWrap/>
        <w:overflowPunct/>
        <w:topLinePunct w:val="0"/>
        <w:autoSpaceDE/>
        <w:autoSpaceDN/>
        <w:bidi w:val="0"/>
        <w:adjustRightInd w:val="0"/>
        <w:snapToGrid/>
        <w:spacing w:line="520" w:lineRule="exact"/>
        <w:ind w:leftChars="0" w:firstLine="482" w:firstLineChars="200"/>
        <w:textAlignment w:val="baseline"/>
        <w:rPr>
          <w:rFonts w:hint="default"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8.投标人应承诺在本项目服务期内</w:t>
      </w:r>
      <w:r>
        <w:rPr>
          <w:rFonts w:hint="eastAsia" w:ascii="仿宋" w:hAnsi="仿宋" w:eastAsia="仿宋" w:cs="仿宋"/>
          <w:b/>
          <w:bCs/>
          <w:color w:val="auto"/>
          <w:sz w:val="24"/>
          <w:highlight w:val="none"/>
          <w:lang w:eastAsia="zh-CN"/>
        </w:rPr>
        <w:t>医疗器械生产</w:t>
      </w:r>
      <w:r>
        <w:rPr>
          <w:rFonts w:hint="eastAsia" w:ascii="仿宋" w:hAnsi="仿宋" w:eastAsia="仿宋" w:cs="仿宋"/>
          <w:b/>
          <w:bCs/>
          <w:color w:val="auto"/>
          <w:sz w:val="24"/>
          <w:highlight w:val="none"/>
          <w:lang w:val="en-US" w:eastAsia="zh-CN"/>
        </w:rPr>
        <w:t>或经营</w:t>
      </w:r>
      <w:r>
        <w:rPr>
          <w:rFonts w:hint="eastAsia" w:ascii="仿宋" w:hAnsi="仿宋" w:eastAsia="仿宋" w:cs="仿宋"/>
          <w:b/>
          <w:bCs/>
          <w:color w:val="auto"/>
          <w:sz w:val="24"/>
          <w:highlight w:val="none"/>
          <w:lang w:eastAsia="zh-CN"/>
        </w:rPr>
        <w:t>许可证</w:t>
      </w:r>
      <w:r>
        <w:rPr>
          <w:rFonts w:hint="eastAsia" w:ascii="仿宋" w:hAnsi="仿宋" w:eastAsia="仿宋" w:cs="仿宋"/>
          <w:b/>
          <w:bCs/>
          <w:color w:val="auto"/>
          <w:sz w:val="24"/>
          <w:szCs w:val="24"/>
          <w:highlight w:val="none"/>
          <w:lang w:val="en-US" w:eastAsia="zh-CN" w:bidi="ar-SA"/>
        </w:rPr>
        <w:t>、产品注册证或备案等材料均合法有效。</w:t>
      </w:r>
      <w:bookmarkEnd w:id="27"/>
      <w:r>
        <w:rPr>
          <w:rFonts w:hint="eastAsia" w:ascii="仿宋" w:hAnsi="仿宋" w:eastAsia="仿宋" w:cs="仿宋"/>
          <w:b/>
          <w:bCs/>
          <w:color w:val="auto"/>
          <w:sz w:val="24"/>
          <w:szCs w:val="24"/>
          <w:highlight w:val="none"/>
          <w:lang w:val="en-US" w:eastAsia="zh-CN" w:bidi="ar-SA"/>
        </w:rPr>
        <w:t>（提供承诺函，格式自拟，加盖投标人公章）</w:t>
      </w:r>
    </w:p>
    <w:p w14:paraId="2807F3A5">
      <w:pPr>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五、禁止参加本次采购活动的投标人</w:t>
      </w:r>
    </w:p>
    <w:p w14:paraId="0A20A30E">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szCs w:val="24"/>
          <w:highlight w:val="none"/>
        </w:rPr>
      </w:pPr>
      <w:bookmarkStart w:id="28" w:name="PO_默认文件内容_4"/>
      <w:r>
        <w:rPr>
          <w:rFonts w:hint="eastAsia" w:ascii="仿宋" w:hAnsi="仿宋" w:eastAsia="仿宋" w:cs="仿宋"/>
          <w:color w:val="auto"/>
          <w:sz w:val="24"/>
          <w:szCs w:val="24"/>
          <w:highlight w:val="none"/>
        </w:rPr>
        <w:t>参照《关于在政府采购活动中查询及使用信用记录有关问题的通知》（财库〔2016〕125号）的要求，采购人/采购代理机构将通过“信用中国”网站（www.creditchina.gov.cn）、“中国政府采购网”网站（www.ccgp.gov.cn）等渠道查询投标人在</w:t>
      </w:r>
      <w:r>
        <w:rPr>
          <w:rFonts w:hint="eastAsia" w:ascii="仿宋" w:hAnsi="仿宋" w:eastAsia="仿宋" w:cs="仿宋"/>
          <w:color w:val="auto"/>
          <w:sz w:val="24"/>
          <w:szCs w:val="24"/>
          <w:highlight w:val="none"/>
          <w:lang w:eastAsia="zh-CN"/>
        </w:rPr>
        <w:t>资格预审</w:t>
      </w:r>
      <w:r>
        <w:rPr>
          <w:rFonts w:hint="eastAsia" w:ascii="仿宋" w:hAnsi="仿宋" w:eastAsia="仿宋" w:cs="仿宋"/>
          <w:color w:val="auto"/>
          <w:sz w:val="24"/>
          <w:szCs w:val="24"/>
          <w:highlight w:val="none"/>
        </w:rPr>
        <w:t>公告发布之日前的信用记录并保存信用记录结果网页截图，拒绝列入失信被执行人名单、重大税收违法案件当事人名单、政府采购严重违法失信行为记录名单中的投标人报名参加本项目的资格预审活动及后续采购活动。</w:t>
      </w:r>
    </w:p>
    <w:bookmarkEnd w:id="28"/>
    <w:p w14:paraId="08CEE8A4">
      <w:pPr>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六、文件获取方式、时间、地点：</w:t>
      </w:r>
    </w:p>
    <w:p w14:paraId="422D8011">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1.文件获取期限及方式</w:t>
      </w:r>
    </w:p>
    <w:p w14:paraId="10FFE5F6">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）文件获取期限：2025年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日1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:00。</w:t>
      </w:r>
    </w:p>
    <w:p w14:paraId="1E9E52B9">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获取方式：在文件获取期限内，</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将《</w:t>
      </w:r>
      <w:r>
        <w:rPr>
          <w:rFonts w:hint="eastAsia" w:ascii="仿宋" w:hAnsi="仿宋" w:eastAsia="仿宋" w:cs="仿宋"/>
          <w:color w:val="auto"/>
          <w:sz w:val="24"/>
          <w:szCs w:val="24"/>
          <w:highlight w:val="none"/>
          <w:lang w:val="en-US" w:eastAsia="zh-CN"/>
        </w:rPr>
        <w:t>遴选报名</w:t>
      </w:r>
      <w:r>
        <w:rPr>
          <w:rFonts w:hint="eastAsia" w:ascii="仿宋" w:hAnsi="仿宋" w:eastAsia="仿宋" w:cs="仿宋"/>
          <w:color w:val="auto"/>
          <w:sz w:val="24"/>
          <w:szCs w:val="24"/>
          <w:highlight w:val="none"/>
        </w:rPr>
        <w:t>登记表》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见附件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加盖</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公章扫描后发送</w:t>
      </w:r>
      <w:r>
        <w:rPr>
          <w:rFonts w:hint="eastAsia" w:ascii="仿宋" w:hAnsi="仿宋" w:eastAsia="仿宋" w:cs="仿宋"/>
          <w:color w:val="auto"/>
          <w:sz w:val="24"/>
          <w:szCs w:val="24"/>
          <w:highlight w:val="none"/>
          <w:lang w:val="en-US" w:eastAsia="zh-CN"/>
        </w:rPr>
        <w:t>至电子</w:t>
      </w:r>
      <w:r>
        <w:rPr>
          <w:rFonts w:hint="eastAsia" w:ascii="仿宋" w:hAnsi="仿宋" w:eastAsia="仿宋" w:cs="仿宋"/>
          <w:color w:val="auto"/>
          <w:sz w:val="24"/>
          <w:szCs w:val="24"/>
          <w:highlight w:val="none"/>
        </w:rPr>
        <w:t>邮箱40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@yiji023.com（邮箱截止时间按邮箱显示邮件到达时间为准）。</w:t>
      </w:r>
    </w:p>
    <w:p w14:paraId="062D3EEA">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在获取</w:t>
      </w:r>
      <w:r>
        <w:rPr>
          <w:rFonts w:hint="eastAsia" w:ascii="仿宋" w:hAnsi="仿宋" w:eastAsia="仿宋" w:cs="仿宋"/>
          <w:color w:val="auto"/>
          <w:sz w:val="24"/>
          <w:szCs w:val="24"/>
          <w:highlight w:val="none"/>
          <w:lang w:val="en-US" w:eastAsia="zh-CN"/>
        </w:rPr>
        <w:t>期限</w:t>
      </w:r>
      <w:r>
        <w:rPr>
          <w:rFonts w:hint="eastAsia" w:ascii="仿宋" w:hAnsi="仿宋" w:eastAsia="仿宋" w:cs="仿宋"/>
          <w:color w:val="auto"/>
          <w:sz w:val="24"/>
          <w:szCs w:val="24"/>
          <w:highlight w:val="none"/>
        </w:rPr>
        <w:t>内，按要求</w:t>
      </w:r>
      <w:r>
        <w:rPr>
          <w:rFonts w:hint="eastAsia" w:ascii="仿宋" w:hAnsi="仿宋" w:eastAsia="仿宋" w:cs="仿宋"/>
          <w:color w:val="auto"/>
          <w:sz w:val="24"/>
          <w:szCs w:val="24"/>
          <w:highlight w:val="none"/>
          <w:lang w:val="en-US" w:eastAsia="zh-CN"/>
        </w:rPr>
        <w:t>发送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遴选报名</w:t>
      </w:r>
      <w:r>
        <w:rPr>
          <w:rFonts w:hint="eastAsia" w:ascii="仿宋" w:hAnsi="仿宋" w:eastAsia="仿宋" w:cs="仿宋"/>
          <w:color w:val="auto"/>
          <w:sz w:val="24"/>
          <w:szCs w:val="24"/>
          <w:highlight w:val="none"/>
        </w:rPr>
        <w:t>登记表》至指定邮箱的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，其报名和</w:t>
      </w:r>
      <w:r>
        <w:rPr>
          <w:rFonts w:hint="eastAsia" w:ascii="仿宋" w:hAnsi="仿宋" w:eastAsia="仿宋" w:cs="仿宋"/>
          <w:color w:val="auto"/>
          <w:sz w:val="24"/>
          <w:szCs w:val="24"/>
          <w:highlight w:val="none"/>
          <w:lang w:val="en-US" w:eastAsia="zh-CN"/>
        </w:rPr>
        <w:t>申请</w:t>
      </w:r>
      <w:r>
        <w:rPr>
          <w:rFonts w:hint="eastAsia" w:ascii="仿宋" w:hAnsi="仿宋" w:eastAsia="仿宋" w:cs="仿宋"/>
          <w:color w:val="auto"/>
          <w:sz w:val="24"/>
          <w:szCs w:val="24"/>
          <w:highlight w:val="none"/>
        </w:rPr>
        <w:t>文件才能被接收。（提示：采购代理机构对报名的潜在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信用记录进行查询）</w:t>
      </w:r>
    </w:p>
    <w:p w14:paraId="5317F07C">
      <w:pPr>
        <w:keepNext w:val="0"/>
        <w:keepLines w:val="0"/>
        <w:pageBreakBefore w:val="0"/>
        <w:widowControl/>
        <w:shd w:val="clear"/>
        <w:kinsoku/>
        <w:wordWrap/>
        <w:overflowPunct/>
        <w:topLinePunct w:val="0"/>
        <w:autoSpaceDE/>
        <w:autoSpaceDN/>
        <w:bidi w:val="0"/>
        <w:adjustRightInd/>
        <w:snapToGrid/>
        <w:spacing w:line="520" w:lineRule="exact"/>
        <w:ind w:left="0" w:lef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本项目文件免费获取（申请资格不得转让）。</w:t>
      </w:r>
    </w:p>
    <w:p w14:paraId="048FA099">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有关本次</w:t>
      </w:r>
      <w:r>
        <w:rPr>
          <w:rFonts w:hint="eastAsia" w:ascii="仿宋" w:hAnsi="仿宋" w:eastAsia="仿宋" w:cs="仿宋"/>
          <w:color w:val="auto"/>
          <w:sz w:val="24"/>
          <w:szCs w:val="24"/>
          <w:highlight w:val="none"/>
          <w:lang w:eastAsia="zh-CN"/>
        </w:rPr>
        <w:t>资格预审</w:t>
      </w:r>
      <w:r>
        <w:rPr>
          <w:rFonts w:hint="eastAsia" w:ascii="仿宋" w:hAnsi="仿宋" w:eastAsia="仿宋" w:cs="仿宋"/>
          <w:color w:val="auto"/>
          <w:sz w:val="24"/>
          <w:szCs w:val="24"/>
          <w:highlight w:val="none"/>
        </w:rPr>
        <w:t>的事项若存在变动或修改，敬请及时关注</w:t>
      </w:r>
      <w:r>
        <w:rPr>
          <w:rFonts w:hint="eastAsia" w:ascii="仿宋" w:hAnsi="仿宋" w:eastAsia="仿宋" w:cs="仿宋"/>
          <w:bCs/>
          <w:color w:val="auto"/>
          <w:sz w:val="24"/>
          <w:szCs w:val="24"/>
          <w:highlight w:val="none"/>
        </w:rPr>
        <w:t>行采家</w:t>
      </w:r>
      <w:r>
        <w:rPr>
          <w:rFonts w:hint="eastAsia" w:ascii="仿宋" w:hAnsi="仿宋" w:eastAsia="仿宋" w:cs="仿宋"/>
          <w:bCs/>
          <w:color w:val="auto"/>
          <w:sz w:val="24"/>
          <w:szCs w:val="24"/>
          <w:highlight w:val="none"/>
          <w:lang w:val="en-US" w:eastAsia="zh-CN"/>
        </w:rPr>
        <w:t>平台</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lang w:eastAsia="zh-CN"/>
        </w:rPr>
        <w:t>重庆市九龙坡区人民医院</w:t>
      </w:r>
      <w:r>
        <w:rPr>
          <w:rFonts w:hint="eastAsia" w:ascii="仿宋" w:hAnsi="仿宋" w:eastAsia="仿宋" w:cs="仿宋"/>
          <w:bCs/>
          <w:color w:val="auto"/>
          <w:sz w:val="24"/>
          <w:szCs w:val="24"/>
          <w:highlight w:val="none"/>
          <w:lang w:val="en-US" w:eastAsia="zh-CN"/>
        </w:rPr>
        <w:t>微信服务号及</w:t>
      </w:r>
      <w:r>
        <w:rPr>
          <w:rFonts w:hint="eastAsia" w:ascii="仿宋" w:hAnsi="仿宋" w:eastAsia="仿宋" w:cs="仿宋"/>
          <w:bCs/>
          <w:color w:val="auto"/>
          <w:sz w:val="24"/>
          <w:szCs w:val="24"/>
        </w:rPr>
        <w:t>中国招标投标公共服务平台</w:t>
      </w:r>
      <w:r>
        <w:rPr>
          <w:rFonts w:hint="eastAsia" w:ascii="仿宋" w:hAnsi="仿宋" w:eastAsia="仿宋" w:cs="仿宋"/>
          <w:bCs/>
          <w:color w:val="auto"/>
          <w:sz w:val="24"/>
          <w:szCs w:val="24"/>
          <w:highlight w:val="none"/>
        </w:rPr>
        <w:t>上</w:t>
      </w:r>
      <w:r>
        <w:rPr>
          <w:rFonts w:hint="eastAsia" w:ascii="仿宋" w:hAnsi="仿宋" w:eastAsia="仿宋" w:cs="仿宋"/>
          <w:color w:val="auto"/>
          <w:sz w:val="24"/>
          <w:szCs w:val="24"/>
          <w:highlight w:val="none"/>
        </w:rPr>
        <w:t>发布的信息更正公告。</w:t>
      </w:r>
    </w:p>
    <w:p w14:paraId="72BB0971">
      <w:pPr>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outlineLvl w:val="1"/>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七、投标保证金</w:t>
      </w:r>
    </w:p>
    <w:p w14:paraId="71A6FD84">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（一）投标保证金递交</w:t>
      </w:r>
    </w:p>
    <w:p w14:paraId="1DBBC98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1.转账方式</w:t>
      </w:r>
    </w:p>
    <w:p w14:paraId="0FF2353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（1）投标人应足额交纳投标保证金（金额：10,000元）</w:t>
      </w:r>
      <w:r>
        <w:rPr>
          <w:rFonts w:hint="eastAsia" w:ascii="方正仿宋_GBK" w:hAnsi="方正仿宋_GBK" w:eastAsia="方正仿宋_GBK" w:cs="方正仿宋_GBK"/>
          <w:color w:val="auto"/>
          <w:sz w:val="24"/>
          <w:szCs w:val="24"/>
          <w:highlight w:val="none"/>
        </w:rPr>
        <w:t>，并汇至以下账户</w:t>
      </w:r>
      <w:r>
        <w:rPr>
          <w:rFonts w:hint="eastAsia" w:ascii="仿宋" w:hAnsi="仿宋" w:eastAsia="仿宋" w:cs="仿宋"/>
          <w:bCs/>
          <w:color w:val="auto"/>
          <w:sz w:val="24"/>
          <w:szCs w:val="24"/>
          <w:highlight w:val="none"/>
          <w:lang w:val="en-US" w:eastAsia="zh-CN"/>
        </w:rPr>
        <w:t>，投标保证金的到账截止时间为：2025年12月</w:t>
      </w:r>
      <w:r>
        <w:rPr>
          <w:rFonts w:hint="eastAsia" w:hAnsi="宋体" w:cs="宋体"/>
          <w:color w:val="auto"/>
          <w:sz w:val="24"/>
          <w:szCs w:val="24"/>
          <w:highlight w:val="none"/>
          <w:lang w:val="en-US" w:eastAsia="zh-CN"/>
        </w:rPr>
        <w:t>28</w:t>
      </w:r>
      <w:r>
        <w:rPr>
          <w:rFonts w:hint="eastAsia" w:ascii="仿宋" w:hAnsi="仿宋" w:eastAsia="仿宋" w:cs="仿宋"/>
          <w:bCs/>
          <w:color w:val="auto"/>
          <w:sz w:val="24"/>
          <w:szCs w:val="24"/>
          <w:highlight w:val="none"/>
          <w:lang w:val="en-US" w:eastAsia="zh-CN"/>
        </w:rPr>
        <w:t>日北京时间17:00。</w:t>
      </w:r>
    </w:p>
    <w:p w14:paraId="65F394C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投标保证金账户：</w:t>
      </w:r>
    </w:p>
    <w:p w14:paraId="63E0809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户  名：</w:t>
      </w:r>
      <w:r>
        <w:rPr>
          <w:rFonts w:hint="eastAsia" w:ascii="仿宋" w:hAnsi="仿宋" w:eastAsia="仿宋" w:cs="仿宋"/>
          <w:color w:val="auto"/>
          <w:sz w:val="24"/>
          <w:szCs w:val="24"/>
          <w:highlight w:val="none"/>
          <w:lang w:eastAsia="zh-CN"/>
        </w:rPr>
        <w:t>重庆亿集招标代理有限公</w:t>
      </w:r>
    </w:p>
    <w:p w14:paraId="31E222B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开户行：招商银行重庆杨家坪支行</w:t>
      </w:r>
    </w:p>
    <w:p w14:paraId="0A65BC7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账  号：123915376210202</w:t>
      </w:r>
    </w:p>
    <w:p w14:paraId="3285A9B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bidi="ar-SA"/>
        </w:rPr>
        <w:t>（2）</w:t>
      </w:r>
      <w:r>
        <w:rPr>
          <w:rFonts w:hint="eastAsia" w:ascii="仿宋" w:hAnsi="仿宋" w:eastAsia="仿宋" w:cs="仿宋"/>
          <w:bCs/>
          <w:color w:val="auto"/>
          <w:sz w:val="24"/>
          <w:szCs w:val="24"/>
          <w:highlight w:val="none"/>
          <w:lang w:val="en-US" w:eastAsia="zh-CN"/>
        </w:rPr>
        <w:t>各投标人在银行转账（电汇）时，须充分考虑银行转账（电汇）的时间差风险，如同城转账、异地转账或汇款、跨行转账或电汇的时间要求。</w:t>
      </w:r>
    </w:p>
    <w:p w14:paraId="208DAE0F">
      <w:pPr>
        <w:pStyle w:val="3"/>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（3）若投标人参与投标多个品目耗材，只需缴纳</w:t>
      </w:r>
      <w:r>
        <w:rPr>
          <w:rFonts w:hint="eastAsia" w:ascii="仿宋" w:hAnsi="仿宋" w:eastAsia="仿宋" w:cs="仿宋"/>
          <w:bCs/>
          <w:color w:val="auto"/>
          <w:sz w:val="24"/>
          <w:szCs w:val="24"/>
          <w:highlight w:val="none"/>
          <w:lang w:val="en-US" w:eastAsia="zh-CN"/>
        </w:rPr>
        <w:t>10,000元</w:t>
      </w:r>
      <w:r>
        <w:rPr>
          <w:rFonts w:hint="eastAsia" w:ascii="仿宋" w:hAnsi="仿宋" w:eastAsia="仿宋" w:cs="仿宋"/>
          <w:bCs/>
          <w:color w:val="auto"/>
          <w:sz w:val="24"/>
          <w:szCs w:val="24"/>
          <w:highlight w:val="none"/>
          <w:lang w:val="en-US" w:eastAsia="zh-CN" w:bidi="ar-SA"/>
        </w:rPr>
        <w:t>投标保证金。</w:t>
      </w:r>
    </w:p>
    <w:p w14:paraId="5879E9F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（二）保证金退还方式</w:t>
      </w:r>
    </w:p>
    <w:p w14:paraId="2AA057D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1.未中标人的投标保证金，采购代理机构在第二轮报价的结果公告发布后5个工作日内按资金来款渠道退还；中标人的投标保证金，采购代理机构在采购合同签订后5个工作日内按资金来款渠道退还。</w:t>
      </w:r>
    </w:p>
    <w:p w14:paraId="0E811D8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2.不予退还情形：</w:t>
      </w:r>
    </w:p>
    <w:p w14:paraId="7FC9AE5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（1）单品目耗材报价最低的投标人未参与第二轮报价；</w:t>
      </w:r>
    </w:p>
    <w:p w14:paraId="00D4F39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2" w:firstLineChars="200"/>
        <w:textAlignment w:val="auto"/>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（2）同一品目耗材的品目总价第二轮报价高于资格预审时的报价；</w:t>
      </w:r>
    </w:p>
    <w:p w14:paraId="795EC76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（3）中标人无正当理由不与采购人订立合同或在签订合同时向采购人提出附加条件。</w:t>
      </w:r>
    </w:p>
    <w:p w14:paraId="3CE55A30">
      <w:pPr>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递交</w:t>
      </w:r>
      <w:r>
        <w:rPr>
          <w:rFonts w:hint="eastAsia" w:ascii="仿宋" w:hAnsi="仿宋" w:eastAsia="仿宋" w:cs="仿宋"/>
          <w:b/>
          <w:color w:val="auto"/>
          <w:sz w:val="24"/>
          <w:szCs w:val="24"/>
          <w:highlight w:val="none"/>
          <w:lang w:val="en-US" w:eastAsia="zh-CN"/>
        </w:rPr>
        <w:t>样品及</w:t>
      </w:r>
      <w:r>
        <w:rPr>
          <w:rFonts w:hint="eastAsia" w:ascii="仿宋" w:hAnsi="仿宋" w:eastAsia="仿宋" w:cs="仿宋"/>
          <w:b/>
          <w:color w:val="auto"/>
          <w:sz w:val="24"/>
          <w:szCs w:val="24"/>
          <w:highlight w:val="none"/>
        </w:rPr>
        <w:t>资格预审申请文件的开始及截止时间：</w:t>
      </w:r>
    </w:p>
    <w:p w14:paraId="67548CE9">
      <w:pPr>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202</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1月</w:t>
      </w:r>
      <w:r>
        <w:rPr>
          <w:rFonts w:hint="eastAsia" w:hAnsi="宋体" w:cs="宋体"/>
          <w:color w:val="auto"/>
          <w:sz w:val="24"/>
          <w:szCs w:val="24"/>
          <w:highlight w:val="none"/>
          <w:lang w:val="en-US" w:eastAsia="zh-CN"/>
        </w:rPr>
        <w:t>4</w:t>
      </w:r>
      <w:r>
        <w:rPr>
          <w:rFonts w:hint="eastAsia" w:ascii="仿宋" w:hAnsi="仿宋" w:eastAsia="仿宋" w:cs="仿宋"/>
          <w:color w:val="auto"/>
          <w:sz w:val="24"/>
          <w:szCs w:val="24"/>
          <w:highlight w:val="none"/>
        </w:rPr>
        <w:t>日9:00-</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:00</w:t>
      </w:r>
      <w:r>
        <w:rPr>
          <w:rFonts w:hint="eastAsia" w:ascii="仿宋" w:hAnsi="仿宋" w:eastAsia="仿宋" w:cs="仿宋"/>
          <w:bCs/>
          <w:color w:val="auto"/>
          <w:sz w:val="24"/>
          <w:szCs w:val="24"/>
          <w:highlight w:val="none"/>
        </w:rPr>
        <w:t>（北京时间）。</w:t>
      </w:r>
    </w:p>
    <w:p w14:paraId="297FCB17">
      <w:pPr>
        <w:keepNext w:val="0"/>
        <w:keepLines w:val="0"/>
        <w:pageBreakBefore w:val="0"/>
        <w:numPr>
          <w:ilvl w:val="0"/>
          <w:numId w:val="0"/>
        </w:numPr>
        <w:shd w:val="clear"/>
        <w:kinsoku/>
        <w:wordWrap/>
        <w:overflowPunct/>
        <w:topLinePunct w:val="0"/>
        <w:autoSpaceDE/>
        <w:autoSpaceDN/>
        <w:bidi w:val="0"/>
        <w:adjustRightInd/>
        <w:snapToGrid/>
        <w:spacing w:line="520" w:lineRule="exact"/>
        <w:ind w:left="0" w:leftChars="0" w:firstLine="482" w:firstLineChars="200"/>
        <w:textAlignment w:val="auto"/>
        <w:outlineLvl w:val="1"/>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bidi="ar-SA"/>
        </w:rPr>
        <w:t>九、</w:t>
      </w:r>
      <w:r>
        <w:rPr>
          <w:rFonts w:hint="eastAsia" w:ascii="仿宋" w:hAnsi="仿宋" w:eastAsia="仿宋" w:cs="仿宋"/>
          <w:b/>
          <w:color w:val="auto"/>
          <w:sz w:val="24"/>
          <w:szCs w:val="24"/>
          <w:highlight w:val="none"/>
          <w:lang w:val="en-US" w:eastAsia="zh-CN"/>
        </w:rPr>
        <w:t>样品及</w:t>
      </w:r>
      <w:r>
        <w:rPr>
          <w:rFonts w:hint="eastAsia" w:ascii="仿宋" w:hAnsi="仿宋" w:eastAsia="仿宋" w:cs="仿宋"/>
          <w:b/>
          <w:color w:val="auto"/>
          <w:sz w:val="24"/>
          <w:szCs w:val="24"/>
          <w:highlight w:val="none"/>
          <w:lang w:val="en-US" w:eastAsia="zh-CN" w:bidi="ar-SA"/>
        </w:rPr>
        <w:t>资格预审申请文件</w:t>
      </w:r>
      <w:r>
        <w:rPr>
          <w:rFonts w:ascii="仿宋" w:hAnsi="仿宋" w:eastAsia="仿宋" w:cs="仿宋"/>
          <w:b/>
          <w:color w:val="auto"/>
          <w:sz w:val="24"/>
          <w:szCs w:val="24"/>
          <w:highlight w:val="none"/>
        </w:rPr>
        <w:t>递交地点：</w:t>
      </w:r>
    </w:p>
    <w:p w14:paraId="4A62F770">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left="0" w:leftChars="0" w:firstLine="480" w:firstLineChars="200"/>
        <w:textAlignment w:val="auto"/>
        <w:outlineLvl w:val="9"/>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重庆市九龙坡区启迪科技园13幢1楼会议室</w:t>
      </w:r>
    </w:p>
    <w:p w14:paraId="322B3A87">
      <w:pPr>
        <w:keepNext w:val="0"/>
        <w:keepLines w:val="0"/>
        <w:pageBreakBefore w:val="0"/>
        <w:numPr>
          <w:ilvl w:val="0"/>
          <w:numId w:val="0"/>
        </w:numPr>
        <w:shd w:val="clear"/>
        <w:kinsoku/>
        <w:wordWrap/>
        <w:overflowPunct/>
        <w:topLinePunct w:val="0"/>
        <w:autoSpaceDE/>
        <w:autoSpaceDN/>
        <w:bidi w:val="0"/>
        <w:adjustRightInd/>
        <w:snapToGrid/>
        <w:spacing w:line="520" w:lineRule="exact"/>
        <w:ind w:left="0" w:leftChars="0" w:firstLine="482" w:firstLineChars="200"/>
        <w:textAlignment w:val="auto"/>
        <w:outlineLvl w:val="1"/>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bidi="ar-SA"/>
        </w:rPr>
        <w:t>十、</w:t>
      </w:r>
      <w:r>
        <w:rPr>
          <w:rFonts w:hint="eastAsia" w:ascii="仿宋" w:hAnsi="仿宋" w:eastAsia="仿宋" w:cs="仿宋"/>
          <w:b/>
          <w:color w:val="auto"/>
          <w:sz w:val="24"/>
          <w:szCs w:val="24"/>
          <w:highlight w:val="none"/>
          <w:lang w:val="en-US" w:eastAsia="zh-CN"/>
        </w:rPr>
        <w:t>样品要求：</w:t>
      </w:r>
    </w:p>
    <w:p w14:paraId="43B78E3F">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left="0" w:leftChars="0" w:firstLine="480" w:firstLineChars="200"/>
        <w:textAlignment w:val="auto"/>
        <w:outlineLvl w:val="9"/>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详见第二章 资格预审申请须知－六、样品、资质审查及后续环节要求中第15.3条</w:t>
      </w:r>
    </w:p>
    <w:p w14:paraId="181D8AD2">
      <w:pPr>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outlineLvl w:val="1"/>
        <w:rPr>
          <w:rFonts w:ascii="仿宋" w:hAnsi="仿宋" w:eastAsia="仿宋" w:cs="仿宋"/>
          <w:b/>
          <w:color w:val="auto"/>
          <w:sz w:val="24"/>
          <w:szCs w:val="24"/>
          <w:highlight w:val="none"/>
        </w:rPr>
      </w:pPr>
      <w:r>
        <w:rPr>
          <w:rFonts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样品及</w:t>
      </w:r>
      <w:r>
        <w:rPr>
          <w:rFonts w:hint="eastAsia" w:ascii="仿宋" w:hAnsi="仿宋" w:eastAsia="仿宋" w:cs="仿宋"/>
          <w:b/>
          <w:color w:val="auto"/>
          <w:sz w:val="24"/>
          <w:szCs w:val="24"/>
          <w:highlight w:val="none"/>
        </w:rPr>
        <w:t>资格预审时间：</w:t>
      </w:r>
    </w:p>
    <w:p w14:paraId="4196DDE8">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1月</w:t>
      </w:r>
      <w:r>
        <w:rPr>
          <w:rFonts w:hint="eastAsia" w:hAnsi="宋体" w:cs="宋体"/>
          <w:color w:val="auto"/>
          <w:sz w:val="24"/>
          <w:szCs w:val="24"/>
          <w:highlight w:val="none"/>
          <w:lang w:val="en-US" w:eastAsia="zh-CN"/>
        </w:rPr>
        <w:t>4</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 xml:space="preserve"> 14:00</w:t>
      </w:r>
      <w:r>
        <w:rPr>
          <w:rFonts w:hint="eastAsia" w:ascii="仿宋" w:hAnsi="仿宋" w:eastAsia="仿宋" w:cs="仿宋"/>
          <w:bCs/>
          <w:color w:val="auto"/>
          <w:sz w:val="24"/>
          <w:szCs w:val="24"/>
          <w:highlight w:val="none"/>
          <w:lang w:val="zh-CN"/>
        </w:rPr>
        <w:t>（北京时间）。</w:t>
      </w:r>
    </w:p>
    <w:p w14:paraId="28261FE5">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482" w:firstLineChars="200"/>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注：采购代理机构发出通知（</w:t>
      </w:r>
      <w:r>
        <w:rPr>
          <w:rFonts w:hint="eastAsia" w:ascii="仿宋" w:hAnsi="仿宋" w:eastAsia="仿宋" w:cs="仿宋"/>
          <w:b/>
          <w:color w:val="auto"/>
          <w:sz w:val="24"/>
          <w:szCs w:val="24"/>
          <w:highlight w:val="none"/>
          <w:lang w:eastAsia="zh-CN"/>
        </w:rPr>
        <w:t>资格预审合格</w:t>
      </w:r>
      <w:r>
        <w:rPr>
          <w:rFonts w:hint="eastAsia" w:ascii="仿宋" w:hAnsi="仿宋" w:eastAsia="仿宋" w:cs="仿宋"/>
          <w:b/>
          <w:color w:val="auto"/>
          <w:sz w:val="24"/>
          <w:szCs w:val="24"/>
          <w:highlight w:val="none"/>
        </w:rPr>
        <w:t>、第二轮报价投标邀请）后，投标人自行关注相关通知信息，由于未及时关注采购代理机构通知的信息造成的后果，其责任由投标人自行承担。</w:t>
      </w:r>
    </w:p>
    <w:p w14:paraId="4294A508">
      <w:pPr>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outlineLvl w:val="1"/>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、本项目资格预审公告期限：</w:t>
      </w:r>
      <w:r>
        <w:rPr>
          <w:rFonts w:hint="eastAsia" w:ascii="仿宋" w:hAnsi="仿宋" w:eastAsia="仿宋" w:cs="仿宋"/>
          <w:bCs/>
          <w:color w:val="auto"/>
          <w:sz w:val="24"/>
          <w:szCs w:val="24"/>
          <w:highlight w:val="none"/>
        </w:rPr>
        <w:t>自本公告发布之日起</w:t>
      </w:r>
      <w:r>
        <w:rPr>
          <w:rFonts w:hint="eastAsia" w:ascii="仿宋" w:hAnsi="仿宋" w:eastAsia="仿宋" w:cs="仿宋"/>
          <w:bCs/>
          <w:color w:val="auto"/>
          <w:sz w:val="24"/>
          <w:szCs w:val="24"/>
          <w:highlight w:val="none"/>
          <w:lang w:val="en-US" w:eastAsia="zh-CN"/>
        </w:rPr>
        <w:t>5个工作日</w:t>
      </w:r>
      <w:r>
        <w:rPr>
          <w:rFonts w:hint="eastAsia" w:ascii="仿宋" w:hAnsi="仿宋" w:eastAsia="仿宋" w:cs="仿宋"/>
          <w:bCs/>
          <w:color w:val="auto"/>
          <w:sz w:val="24"/>
          <w:szCs w:val="24"/>
          <w:highlight w:val="none"/>
        </w:rPr>
        <w:t>。</w:t>
      </w:r>
    </w:p>
    <w:p w14:paraId="672AF70A">
      <w:pPr>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、凡对本次资格预审提出询问，请按以下方式联系</w:t>
      </w:r>
    </w:p>
    <w:p w14:paraId="28BC7A7E">
      <w:pPr>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采购人：</w:t>
      </w:r>
      <w:r>
        <w:rPr>
          <w:rFonts w:hint="eastAsia" w:ascii="仿宋" w:hAnsi="仿宋" w:eastAsia="仿宋" w:cs="仿宋"/>
          <w:b/>
          <w:bCs/>
          <w:color w:val="auto"/>
          <w:sz w:val="24"/>
          <w:szCs w:val="24"/>
          <w:highlight w:val="none"/>
          <w:lang w:eastAsia="zh-CN"/>
        </w:rPr>
        <w:t>重庆市九龙坡区人民医院</w:t>
      </w:r>
    </w:p>
    <w:p w14:paraId="7857B5CE">
      <w:pPr>
        <w:keepNext w:val="0"/>
        <w:keepLines w:val="0"/>
        <w:pageBreakBefore w:val="0"/>
        <w:shd w:val="clear"/>
        <w:tabs>
          <w:tab w:val="left" w:pos="7665"/>
        </w:tabs>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通讯地址：重庆市九龙坡区滩子口118号五洲世纪文化创意中心18楼</w:t>
      </w:r>
    </w:p>
    <w:p w14:paraId="77DBD5E2">
      <w:pPr>
        <w:keepNext w:val="0"/>
        <w:keepLines w:val="0"/>
        <w:pageBreakBefore w:val="0"/>
        <w:shd w:val="clear"/>
        <w:tabs>
          <w:tab w:val="left" w:pos="7665"/>
        </w:tabs>
        <w:kinsoku/>
        <w:wordWrap/>
        <w:overflowPunct/>
        <w:topLinePunct w:val="0"/>
        <w:autoSpaceDE/>
        <w:autoSpaceDN/>
        <w:bidi w:val="0"/>
        <w:adjustRightInd/>
        <w:snapToGrid/>
        <w:spacing w:line="520" w:lineRule="exact"/>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曾</w:t>
      </w:r>
      <w:r>
        <w:rPr>
          <w:rFonts w:hint="eastAsia" w:ascii="仿宋" w:hAnsi="仿宋" w:eastAsia="仿宋" w:cs="仿宋"/>
          <w:color w:val="auto"/>
          <w:sz w:val="24"/>
          <w:szCs w:val="24"/>
          <w:highlight w:val="none"/>
        </w:rPr>
        <w:t>老师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023-68781680</w:t>
      </w:r>
    </w:p>
    <w:p w14:paraId="23623800">
      <w:pPr>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采购代理机构：</w:t>
      </w:r>
      <w:r>
        <w:rPr>
          <w:rFonts w:hint="eastAsia" w:ascii="仿宋" w:hAnsi="仿宋" w:eastAsia="仿宋" w:cs="仿宋"/>
          <w:b/>
          <w:bCs/>
          <w:color w:val="auto"/>
          <w:sz w:val="24"/>
          <w:szCs w:val="24"/>
          <w:highlight w:val="none"/>
          <w:lang w:eastAsia="zh-CN"/>
        </w:rPr>
        <w:t>重庆亿集招标代理有限公司</w:t>
      </w:r>
    </w:p>
    <w:p w14:paraId="0F11C12F">
      <w:pPr>
        <w:keepNext w:val="0"/>
        <w:keepLines w:val="0"/>
        <w:pageBreakBefore w:val="0"/>
        <w:shd w:val="clear"/>
        <w:tabs>
          <w:tab w:val="left" w:pos="7665"/>
        </w:tabs>
        <w:kinsoku/>
        <w:wordWrap/>
        <w:overflowPunct/>
        <w:topLinePunct w:val="0"/>
        <w:autoSpaceDE/>
        <w:autoSpaceDN/>
        <w:bidi w:val="0"/>
        <w:adjustRightInd/>
        <w:snapToGrid/>
        <w:spacing w:line="520" w:lineRule="exact"/>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通讯地址：重庆市九龙坡区</w:t>
      </w:r>
      <w:r>
        <w:rPr>
          <w:rFonts w:hint="eastAsia" w:ascii="仿宋" w:hAnsi="仿宋" w:eastAsia="仿宋" w:cs="仿宋"/>
          <w:color w:val="auto"/>
          <w:sz w:val="24"/>
          <w:szCs w:val="24"/>
          <w:highlight w:val="none"/>
          <w:lang w:val="en-US" w:eastAsia="zh-CN"/>
        </w:rPr>
        <w:t>启迪科技园2幢405、406室</w:t>
      </w:r>
    </w:p>
    <w:p w14:paraId="3959A596">
      <w:pPr>
        <w:keepNext w:val="0"/>
        <w:keepLines w:val="0"/>
        <w:pageBreakBefore w:val="0"/>
        <w:shd w:val="clear"/>
        <w:tabs>
          <w:tab w:val="left" w:pos="7665"/>
        </w:tabs>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曹老师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甘老师</w:t>
      </w:r>
    </w:p>
    <w:p w14:paraId="71B0F680">
      <w:pPr>
        <w:keepNext w:val="0"/>
        <w:keepLines w:val="0"/>
        <w:pageBreakBefore w:val="0"/>
        <w:shd w:val="clear"/>
        <w:tabs>
          <w:tab w:val="left" w:pos="7665"/>
        </w:tabs>
        <w:kinsoku/>
        <w:wordWrap/>
        <w:overflowPunct/>
        <w:topLinePunct w:val="0"/>
        <w:autoSpaceDE/>
        <w:autoSpaceDN/>
        <w:bidi w:val="0"/>
        <w:adjustRightInd/>
        <w:snapToGrid/>
        <w:spacing w:line="520" w:lineRule="exact"/>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联系电话：023-</w:t>
      </w:r>
      <w:r>
        <w:rPr>
          <w:rFonts w:hint="eastAsia" w:ascii="仿宋" w:hAnsi="仿宋" w:eastAsia="仿宋" w:cs="仿宋"/>
          <w:color w:val="auto"/>
          <w:sz w:val="24"/>
          <w:szCs w:val="24"/>
          <w:highlight w:val="none"/>
          <w:lang w:val="en-US" w:eastAsia="zh-CN"/>
        </w:rPr>
        <w:t>88251516</w:t>
      </w:r>
    </w:p>
    <w:p w14:paraId="4C695B4D">
      <w:pPr>
        <w:keepNext w:val="0"/>
        <w:keepLines w:val="0"/>
        <w:pageBreakBefore w:val="0"/>
        <w:shd w:val="clear"/>
        <w:tabs>
          <w:tab w:val="left" w:pos="7665"/>
        </w:tabs>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邮箱：405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yiji023</w:t>
      </w:r>
      <w:r>
        <w:rPr>
          <w:rFonts w:hint="eastAsia" w:ascii="仿宋" w:hAnsi="仿宋" w:eastAsia="仿宋" w:cs="仿宋"/>
          <w:color w:val="auto"/>
          <w:sz w:val="24"/>
          <w:szCs w:val="24"/>
          <w:highlight w:val="none"/>
        </w:rPr>
        <w:t>.com</w:t>
      </w:r>
    </w:p>
    <w:bookmarkEnd w:id="26"/>
    <w:p w14:paraId="03AD7BB8">
      <w:pPr>
        <w:pStyle w:val="5"/>
        <w:shd w:val="clear"/>
        <w:bidi w:val="0"/>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bookmarkStart w:id="29" w:name="_Toc371"/>
      <w:bookmarkStart w:id="30" w:name="_Toc5521"/>
      <w:bookmarkStart w:id="31" w:name="_Toc14526"/>
      <w:r>
        <w:rPr>
          <w:rStyle w:val="62"/>
          <w:rFonts w:hint="eastAsia" w:ascii="仿宋" w:hAnsi="仿宋" w:eastAsia="仿宋"/>
          <w:b/>
          <w:bCs/>
          <w:color w:val="auto"/>
          <w:sz w:val="32"/>
          <w:szCs w:val="32"/>
          <w:highlight w:val="none"/>
        </w:rPr>
        <w:t>第二章  资格预审申请须知</w:t>
      </w:r>
      <w:bookmarkEnd w:id="29"/>
      <w:bookmarkEnd w:id="30"/>
      <w:bookmarkEnd w:id="31"/>
    </w:p>
    <w:p w14:paraId="05DCAC8C">
      <w:pPr>
        <w:pStyle w:val="6"/>
        <w:keepNext w:val="0"/>
        <w:keepLines w:val="0"/>
        <w:shd w:val="clear"/>
        <w:spacing w:before="0" w:after="0" w:line="520" w:lineRule="exact"/>
        <w:jc w:val="center"/>
        <w:rPr>
          <w:rFonts w:hint="eastAsia" w:ascii="仿宋" w:hAnsi="仿宋" w:eastAsia="仿宋" w:cs="仿宋"/>
          <w:bCs w:val="0"/>
          <w:color w:val="auto"/>
          <w:sz w:val="28"/>
          <w:szCs w:val="28"/>
          <w:highlight w:val="none"/>
        </w:rPr>
      </w:pPr>
      <w:bookmarkStart w:id="32" w:name="_Toc2574"/>
      <w:bookmarkStart w:id="33" w:name="_Toc22666"/>
      <w:bookmarkStart w:id="34" w:name="_Toc10041"/>
      <w:r>
        <w:rPr>
          <w:rFonts w:hint="eastAsia" w:ascii="仿宋" w:hAnsi="仿宋" w:eastAsia="仿宋" w:cs="仿宋"/>
          <w:bCs w:val="0"/>
          <w:color w:val="auto"/>
          <w:sz w:val="28"/>
          <w:szCs w:val="28"/>
          <w:highlight w:val="none"/>
        </w:rPr>
        <w:t>一、</w:t>
      </w:r>
      <w:r>
        <w:rPr>
          <w:rFonts w:hint="eastAsia" w:ascii="仿宋" w:hAnsi="仿宋" w:eastAsia="仿宋" w:cs="仿宋"/>
          <w:color w:val="auto"/>
          <w:sz w:val="28"/>
          <w:szCs w:val="28"/>
          <w:highlight w:val="none"/>
        </w:rPr>
        <w:t>投标人须</w:t>
      </w:r>
      <w:r>
        <w:rPr>
          <w:rFonts w:hint="eastAsia" w:ascii="仿宋" w:hAnsi="仿宋" w:eastAsia="仿宋" w:cs="仿宋"/>
          <w:bCs w:val="0"/>
          <w:color w:val="auto"/>
          <w:sz w:val="28"/>
          <w:szCs w:val="28"/>
          <w:highlight w:val="none"/>
        </w:rPr>
        <w:t>知附表</w:t>
      </w:r>
      <w:bookmarkEnd w:id="32"/>
      <w:bookmarkEnd w:id="33"/>
      <w:bookmarkEnd w:id="34"/>
    </w:p>
    <w:tbl>
      <w:tblPr>
        <w:tblStyle w:val="47"/>
        <w:tblW w:w="10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825"/>
        <w:gridCol w:w="7564"/>
      </w:tblGrid>
      <w:tr w14:paraId="6853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center"/>
          </w:tcPr>
          <w:p w14:paraId="759C8491">
            <w:pPr>
              <w:pStyle w:val="191"/>
              <w:shd w:val="clear"/>
              <w:spacing w:line="520" w:lineRule="exact"/>
              <w:ind w:left="9"/>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2"/>
                <w:sz w:val="21"/>
                <w:szCs w:val="21"/>
                <w:highlight w:val="none"/>
              </w:rPr>
              <w:t>序号</w:t>
            </w:r>
          </w:p>
        </w:tc>
        <w:tc>
          <w:tcPr>
            <w:tcW w:w="1825" w:type="dxa"/>
            <w:noWrap w:val="0"/>
            <w:vAlign w:val="center"/>
          </w:tcPr>
          <w:p w14:paraId="0D5EFE2E">
            <w:pPr>
              <w:pStyle w:val="191"/>
              <w:shd w:val="clear"/>
              <w:spacing w:line="520" w:lineRule="exact"/>
              <w:ind w:left="38"/>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2"/>
                <w:sz w:val="21"/>
                <w:szCs w:val="21"/>
                <w:highlight w:val="none"/>
              </w:rPr>
              <w:t>条款名称</w:t>
            </w:r>
          </w:p>
        </w:tc>
        <w:tc>
          <w:tcPr>
            <w:tcW w:w="7564" w:type="dxa"/>
            <w:noWrap w:val="0"/>
            <w:vAlign w:val="center"/>
          </w:tcPr>
          <w:p w14:paraId="490D3A14">
            <w:pPr>
              <w:pStyle w:val="191"/>
              <w:shd w:val="clear"/>
              <w:spacing w:line="52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2"/>
                <w:sz w:val="21"/>
                <w:szCs w:val="21"/>
                <w:highlight w:val="none"/>
              </w:rPr>
              <w:t>说明和要求</w:t>
            </w:r>
          </w:p>
        </w:tc>
      </w:tr>
      <w:tr w14:paraId="28E7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center"/>
          </w:tcPr>
          <w:p w14:paraId="4105D7A1">
            <w:pPr>
              <w:shd w:val="clear"/>
              <w:spacing w:line="520" w:lineRule="exact"/>
              <w:jc w:val="cente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1</w:t>
            </w:r>
          </w:p>
        </w:tc>
        <w:tc>
          <w:tcPr>
            <w:tcW w:w="1825" w:type="dxa"/>
            <w:noWrap w:val="0"/>
            <w:vAlign w:val="center"/>
          </w:tcPr>
          <w:p w14:paraId="44E115E7">
            <w:pPr>
              <w:pStyle w:val="191"/>
              <w:shd w:val="clear"/>
              <w:spacing w:line="520" w:lineRule="exact"/>
              <w:ind w:left="38"/>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资格预审合格的</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val="zh-CN"/>
              </w:rPr>
              <w:t>投标人在评审阶段资格发生变化</w:t>
            </w:r>
          </w:p>
        </w:tc>
        <w:tc>
          <w:tcPr>
            <w:tcW w:w="7564" w:type="dxa"/>
            <w:noWrap w:val="0"/>
            <w:vAlign w:val="center"/>
          </w:tcPr>
          <w:p w14:paraId="3E7975B1">
            <w:pPr>
              <w:pStyle w:val="191"/>
              <w:shd w:val="clear"/>
              <w:spacing w:line="520" w:lineRule="exact"/>
              <w:ind w:left="38"/>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资格预审合格的投标人在评审阶段</w:t>
            </w:r>
            <w:r>
              <w:rPr>
                <w:rFonts w:hint="eastAsia" w:ascii="仿宋" w:hAnsi="仿宋" w:eastAsia="仿宋" w:cs="仿宋"/>
                <w:color w:val="auto"/>
                <w:sz w:val="21"/>
                <w:szCs w:val="21"/>
                <w:highlight w:val="none"/>
                <w:lang w:val="en-US" w:eastAsia="zh-CN"/>
              </w:rPr>
              <w:t>样品、</w:t>
            </w:r>
            <w:r>
              <w:rPr>
                <w:rFonts w:hint="eastAsia" w:ascii="仿宋" w:hAnsi="仿宋" w:eastAsia="仿宋" w:cs="仿宋"/>
                <w:color w:val="auto"/>
                <w:sz w:val="21"/>
                <w:szCs w:val="21"/>
                <w:highlight w:val="none"/>
                <w:lang w:val="zh-CN"/>
              </w:rPr>
              <w:t>资格发生变化的，投标人应书面通知采购人和采购代理机构，并按资格预审文件要求另行提供资格预审申请文件，经采购人审查后，若不能满足本项目资格要求的，其</w:t>
            </w:r>
            <w:r>
              <w:rPr>
                <w:rFonts w:hint="eastAsia" w:ascii="仿宋" w:hAnsi="仿宋" w:eastAsia="仿宋" w:cs="仿宋"/>
                <w:color w:val="auto"/>
                <w:sz w:val="21"/>
                <w:szCs w:val="21"/>
                <w:highlight w:val="none"/>
              </w:rPr>
              <w:t>资格申请文件</w:t>
            </w:r>
            <w:r>
              <w:rPr>
                <w:rFonts w:hint="eastAsia" w:ascii="仿宋" w:hAnsi="仿宋" w:eastAsia="仿宋" w:cs="仿宋"/>
                <w:color w:val="auto"/>
                <w:sz w:val="21"/>
                <w:szCs w:val="21"/>
                <w:highlight w:val="none"/>
                <w:lang w:val="zh-CN"/>
              </w:rPr>
              <w:t>均做无效处理。</w:t>
            </w:r>
          </w:p>
        </w:tc>
      </w:tr>
      <w:tr w14:paraId="7191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noWrap w:val="0"/>
            <w:vAlign w:val="center"/>
          </w:tcPr>
          <w:p w14:paraId="1039923B">
            <w:pPr>
              <w:shd w:val="clear"/>
              <w:spacing w:line="5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825" w:type="dxa"/>
            <w:noWrap w:val="0"/>
            <w:vAlign w:val="center"/>
          </w:tcPr>
          <w:p w14:paraId="63BF1FCA">
            <w:pPr>
              <w:pStyle w:val="191"/>
              <w:shd w:val="clear"/>
              <w:spacing w:line="5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资格预审实施、冲突的解决及优先适用次序</w:t>
            </w:r>
          </w:p>
        </w:tc>
        <w:tc>
          <w:tcPr>
            <w:tcW w:w="7564" w:type="dxa"/>
            <w:noWrap w:val="0"/>
            <w:vAlign w:val="center"/>
          </w:tcPr>
          <w:p w14:paraId="78009115">
            <w:pPr>
              <w:shd w:val="clear"/>
              <w:spacing w:line="520" w:lineRule="exact"/>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1.本项目资格预审包括：①样品评审；</w:t>
            </w:r>
            <w:r>
              <w:rPr>
                <w:rFonts w:hint="eastAsia" w:ascii="仿宋" w:hAnsi="仿宋" w:eastAsia="仿宋" w:cs="仿宋"/>
                <w:color w:val="auto"/>
                <w:sz w:val="21"/>
                <w:szCs w:val="21"/>
                <w:highlight w:val="none"/>
                <w:lang w:val="en-US" w:eastAsia="zh-CN"/>
              </w:rPr>
              <w:t>②</w:t>
            </w:r>
            <w:r>
              <w:rPr>
                <w:rFonts w:hint="eastAsia" w:ascii="仿宋" w:hAnsi="仿宋" w:eastAsia="仿宋" w:cs="仿宋"/>
                <w:color w:val="auto"/>
                <w:sz w:val="21"/>
                <w:szCs w:val="21"/>
                <w:highlight w:val="none"/>
                <w:lang w:val="zh-CN"/>
              </w:rPr>
              <w:t>资质审查；</w:t>
            </w:r>
            <w:r>
              <w:rPr>
                <w:rFonts w:hint="eastAsia" w:ascii="仿宋" w:hAnsi="仿宋" w:eastAsia="仿宋" w:cs="仿宋"/>
                <w:color w:val="auto"/>
                <w:sz w:val="21"/>
                <w:szCs w:val="21"/>
                <w:highlight w:val="none"/>
                <w:lang w:val="en-US" w:eastAsia="zh-CN"/>
              </w:rPr>
              <w:t>③</w:t>
            </w:r>
            <w:r>
              <w:rPr>
                <w:rFonts w:hint="eastAsia" w:ascii="仿宋" w:hAnsi="仿宋" w:eastAsia="仿宋" w:cs="仿宋"/>
                <w:color w:val="auto"/>
                <w:sz w:val="21"/>
                <w:szCs w:val="21"/>
                <w:highlight w:val="none"/>
              </w:rPr>
              <w:t>第一轮报价</w:t>
            </w:r>
            <w:r>
              <w:rPr>
                <w:rFonts w:hint="eastAsia" w:ascii="仿宋" w:hAnsi="仿宋" w:eastAsia="仿宋" w:cs="仿宋"/>
                <w:color w:val="auto"/>
                <w:sz w:val="21"/>
                <w:szCs w:val="21"/>
                <w:highlight w:val="none"/>
                <w:lang w:val="zh-CN"/>
              </w:rPr>
              <w:t>；</w:t>
            </w:r>
          </w:p>
          <w:p w14:paraId="30A025E0">
            <w:pPr>
              <w:shd w:val="clear"/>
              <w:spacing w:line="520" w:lineRule="exact"/>
              <w:rPr>
                <w:rFonts w:ascii="仿宋" w:hAnsi="仿宋" w:eastAsia="仿宋" w:cs="仿宋"/>
                <w:color w:val="auto"/>
                <w:sz w:val="21"/>
                <w:szCs w:val="21"/>
                <w:highlight w:val="none"/>
                <w:lang w:val="zh-CN"/>
              </w:rPr>
            </w:pPr>
            <w:r>
              <w:rPr>
                <w:rFonts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lang w:val="en-US" w:eastAsia="zh-CN"/>
              </w:rPr>
              <w:t>资格预审</w:t>
            </w:r>
            <w:r>
              <w:rPr>
                <w:rFonts w:hint="eastAsia" w:ascii="仿宋" w:hAnsi="仿宋" w:eastAsia="仿宋" w:cs="仿宋"/>
                <w:color w:val="auto"/>
                <w:sz w:val="21"/>
                <w:szCs w:val="21"/>
                <w:highlight w:val="none"/>
                <w:lang w:val="zh-CN"/>
              </w:rPr>
              <w:t>文件（包括修改、澄清或补遗文件）作为资格预审的依据。</w:t>
            </w:r>
            <w:r>
              <w:rPr>
                <w:rFonts w:ascii="仿宋" w:hAnsi="仿宋" w:eastAsia="仿宋" w:cs="仿宋"/>
                <w:color w:val="auto"/>
                <w:sz w:val="21"/>
                <w:szCs w:val="21"/>
                <w:highlight w:val="none"/>
                <w:lang w:val="zh-CN"/>
              </w:rPr>
              <w:t>在正式开始预审后，不再接受修改、澄清或补遗文件。</w:t>
            </w:r>
          </w:p>
          <w:p w14:paraId="14108057">
            <w:pPr>
              <w:shd w:val="clear"/>
              <w:spacing w:line="52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w:t>
            </w:r>
            <w:r>
              <w:rPr>
                <w:rFonts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zh-CN"/>
              </w:rPr>
              <w:t>资格预审文件中编制的内容前后有矛盾或不一致时，有时间先后顺序的，以时间在后的修改、澄清或补正文件为准；没有时间先后顺序的，以投标人须知附表为准，如附表中无相关内容，在保证国家、集体和采购人利益不受损害的情况下以有利于</w:t>
            </w: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val="zh-CN"/>
              </w:rPr>
              <w:t>的原则进行处理；必要时，可以暂停本次采购活动，待修改完善后重新组织资格预审。</w:t>
            </w:r>
          </w:p>
        </w:tc>
      </w:tr>
      <w:tr w14:paraId="4C9E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noWrap w:val="0"/>
            <w:vAlign w:val="center"/>
          </w:tcPr>
          <w:p w14:paraId="0669D9C1">
            <w:pPr>
              <w:shd w:val="clear"/>
              <w:spacing w:line="5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825" w:type="dxa"/>
            <w:noWrap w:val="0"/>
            <w:vAlign w:val="center"/>
          </w:tcPr>
          <w:p w14:paraId="2A301C80">
            <w:pPr>
              <w:pStyle w:val="191"/>
              <w:shd w:val="clear"/>
              <w:spacing w:line="5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评委组成</w:t>
            </w:r>
          </w:p>
        </w:tc>
        <w:tc>
          <w:tcPr>
            <w:tcW w:w="7564" w:type="dxa"/>
            <w:noWrap w:val="0"/>
            <w:vAlign w:val="center"/>
          </w:tcPr>
          <w:p w14:paraId="703D0A06">
            <w:pPr>
              <w:shd w:val="clear"/>
              <w:spacing w:line="520" w:lineRule="exac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1.样品评审小组</w:t>
            </w:r>
            <w:r>
              <w:rPr>
                <w:rFonts w:hint="eastAsia" w:ascii="仿宋" w:hAnsi="仿宋" w:eastAsia="仿宋" w:cs="仿宋"/>
                <w:color w:val="auto"/>
                <w:sz w:val="21"/>
                <w:szCs w:val="21"/>
                <w:highlight w:val="none"/>
                <w:lang w:val="zh-CN"/>
              </w:rPr>
              <w:t>的组建由</w:t>
            </w:r>
            <w:r>
              <w:rPr>
                <w:rFonts w:hint="eastAsia" w:ascii="仿宋" w:hAnsi="仿宋" w:eastAsia="仿宋" w:cs="仿宋"/>
                <w:color w:val="auto"/>
                <w:sz w:val="21"/>
                <w:szCs w:val="21"/>
                <w:highlight w:val="none"/>
                <w:lang w:val="en-US" w:eastAsia="zh-CN"/>
              </w:rPr>
              <w:t>随机抽取的专家</w:t>
            </w:r>
            <w:r>
              <w:rPr>
                <w:rFonts w:hint="eastAsia" w:ascii="仿宋" w:hAnsi="仿宋" w:eastAsia="仿宋" w:cs="仿宋"/>
                <w:color w:val="auto"/>
                <w:sz w:val="21"/>
                <w:szCs w:val="21"/>
                <w:highlight w:val="none"/>
                <w:lang w:val="zh-CN"/>
              </w:rPr>
              <w:t>组成；</w:t>
            </w:r>
          </w:p>
          <w:p w14:paraId="60EA3733">
            <w:pPr>
              <w:shd w:val="clear"/>
              <w:spacing w:line="52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zh-CN"/>
              </w:rPr>
              <w:t>资质审查小组的组建由本次采购人的业主专家</w:t>
            </w:r>
            <w:r>
              <w:rPr>
                <w:rFonts w:hint="eastAsia" w:ascii="仿宋" w:hAnsi="仿宋" w:eastAsia="仿宋" w:cs="仿宋"/>
                <w:color w:val="auto"/>
                <w:sz w:val="21"/>
                <w:szCs w:val="21"/>
                <w:highlight w:val="none"/>
              </w:rPr>
              <w:t>和随机抽取专家</w:t>
            </w:r>
            <w:r>
              <w:rPr>
                <w:rFonts w:hint="eastAsia" w:ascii="仿宋" w:hAnsi="仿宋" w:eastAsia="仿宋" w:cs="仿宋"/>
                <w:color w:val="auto"/>
                <w:sz w:val="21"/>
                <w:szCs w:val="21"/>
                <w:highlight w:val="none"/>
                <w:lang w:val="zh-CN"/>
              </w:rPr>
              <w:t>组成。</w:t>
            </w:r>
          </w:p>
        </w:tc>
      </w:tr>
      <w:tr w14:paraId="4B03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2" w:type="dxa"/>
            <w:gridSpan w:val="3"/>
            <w:noWrap w:val="0"/>
            <w:vAlign w:val="center"/>
          </w:tcPr>
          <w:p w14:paraId="1A7DF6C1">
            <w:pPr>
              <w:shd w:val="clea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注：1.自领取</w:t>
            </w:r>
            <w:r>
              <w:rPr>
                <w:rFonts w:hint="eastAsia" w:ascii="仿宋" w:hAnsi="仿宋" w:eastAsia="仿宋" w:cs="仿宋"/>
                <w:color w:val="auto"/>
                <w:sz w:val="21"/>
                <w:szCs w:val="21"/>
                <w:highlight w:val="none"/>
                <w:lang w:eastAsia="zh-CN"/>
              </w:rPr>
              <w:t>资格预审文件</w:t>
            </w:r>
            <w:r>
              <w:rPr>
                <w:rFonts w:hint="eastAsia" w:ascii="仿宋" w:hAnsi="仿宋" w:eastAsia="仿宋" w:cs="仿宋"/>
                <w:color w:val="auto"/>
                <w:sz w:val="21"/>
                <w:szCs w:val="21"/>
                <w:highlight w:val="none"/>
              </w:rPr>
              <w:t>之日起，投标人应保证其提供的联系方式（电话、传真、电子邮件等）一直有效，以保证往来函件（</w:t>
            </w:r>
            <w:r>
              <w:rPr>
                <w:rFonts w:hint="eastAsia" w:ascii="仿宋" w:hAnsi="仿宋" w:eastAsia="仿宋" w:cs="仿宋"/>
                <w:color w:val="auto"/>
                <w:sz w:val="21"/>
                <w:szCs w:val="21"/>
                <w:highlight w:val="none"/>
                <w:lang w:eastAsia="zh-CN"/>
              </w:rPr>
              <w:t>资格预审文件</w:t>
            </w:r>
            <w:r>
              <w:rPr>
                <w:rFonts w:hint="eastAsia" w:ascii="仿宋" w:hAnsi="仿宋" w:eastAsia="仿宋" w:cs="仿宋"/>
                <w:color w:val="auto"/>
                <w:sz w:val="21"/>
                <w:szCs w:val="21"/>
                <w:highlight w:val="none"/>
              </w:rPr>
              <w:t>的澄清、修改等）能及时通知投标人，并能及时反馈信息，否则采购人及采购代理机构不承担由此引起的一切后果。</w:t>
            </w:r>
          </w:p>
        </w:tc>
      </w:tr>
      <w:tr w14:paraId="47F0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082" w:type="dxa"/>
            <w:gridSpan w:val="3"/>
            <w:noWrap w:val="0"/>
            <w:vAlign w:val="center"/>
          </w:tcPr>
          <w:p w14:paraId="529B62BE">
            <w:pPr>
              <w:shd w:val="clea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2.投标人提交的资格预审申请文件将作为本项目合同文件的组成部分。</w:t>
            </w:r>
          </w:p>
        </w:tc>
      </w:tr>
      <w:tr w14:paraId="5540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2" w:type="dxa"/>
            <w:gridSpan w:val="3"/>
            <w:noWrap w:val="0"/>
            <w:vAlign w:val="center"/>
          </w:tcPr>
          <w:p w14:paraId="7115C3BC">
            <w:pPr>
              <w:shd w:val="clea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3.采购人或采购代理机构有对资格预审申请文件进行核实的权利，若采购人或采购代理机构在资格审查时或必要的调查过程中发现投标人有弄虚作假行为，将取消其资格预审资格，并承担相应的法律责任。</w:t>
            </w:r>
          </w:p>
        </w:tc>
      </w:tr>
      <w:tr w14:paraId="2845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82" w:type="dxa"/>
            <w:gridSpan w:val="3"/>
            <w:noWrap w:val="0"/>
            <w:vAlign w:val="center"/>
          </w:tcPr>
          <w:p w14:paraId="25DB232D">
            <w:pPr>
              <w:shd w:val="clea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4.本次资格预审活动以及相关当事人应当接受本项目</w:t>
            </w:r>
            <w:r>
              <w:rPr>
                <w:rFonts w:hint="eastAsia" w:ascii="仿宋" w:hAnsi="仿宋" w:eastAsia="仿宋" w:cs="仿宋"/>
                <w:color w:val="auto"/>
                <w:sz w:val="21"/>
                <w:szCs w:val="21"/>
                <w:highlight w:val="none"/>
                <w:lang w:val="en-US" w:eastAsia="zh-CN"/>
              </w:rPr>
              <w:t>相关</w:t>
            </w:r>
            <w:r>
              <w:rPr>
                <w:rFonts w:hint="eastAsia" w:ascii="仿宋" w:hAnsi="仿宋" w:eastAsia="仿宋" w:cs="仿宋"/>
                <w:color w:val="auto"/>
                <w:sz w:val="21"/>
                <w:szCs w:val="21"/>
                <w:highlight w:val="none"/>
              </w:rPr>
              <w:t>部门依法实施的监督。</w:t>
            </w:r>
          </w:p>
        </w:tc>
      </w:tr>
      <w:tr w14:paraId="02B2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082" w:type="dxa"/>
            <w:gridSpan w:val="3"/>
            <w:noWrap w:val="0"/>
            <w:vAlign w:val="center"/>
          </w:tcPr>
          <w:p w14:paraId="3FAC2A02">
            <w:pPr>
              <w:shd w:val="clea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5.本附表以外的相关内容是对投标人须知附表的具体补充，如有矛盾，以本附表为准。</w:t>
            </w:r>
          </w:p>
        </w:tc>
      </w:tr>
    </w:tbl>
    <w:p w14:paraId="30305B43">
      <w:pPr>
        <w:pStyle w:val="6"/>
        <w:keepNext w:val="0"/>
        <w:keepLines w:val="0"/>
        <w:shd w:val="clear"/>
        <w:spacing w:before="0" w:after="0" w:line="520" w:lineRule="exact"/>
        <w:jc w:val="center"/>
        <w:rPr>
          <w:rFonts w:hint="eastAsia" w:ascii="仿宋" w:hAnsi="仿宋" w:eastAsia="仿宋" w:cs="仿宋"/>
          <w:bCs w:val="0"/>
          <w:color w:val="auto"/>
          <w:sz w:val="28"/>
          <w:szCs w:val="28"/>
          <w:highlight w:val="none"/>
        </w:rPr>
      </w:pPr>
      <w:bookmarkStart w:id="35" w:name="_Toc23714"/>
      <w:bookmarkStart w:id="36" w:name="_Toc19865"/>
      <w:bookmarkStart w:id="37" w:name="_Toc23673"/>
      <w:r>
        <w:rPr>
          <w:rFonts w:hint="eastAsia" w:ascii="仿宋" w:hAnsi="仿宋" w:eastAsia="仿宋" w:cs="仿宋"/>
          <w:bCs w:val="0"/>
          <w:color w:val="auto"/>
          <w:sz w:val="28"/>
          <w:szCs w:val="28"/>
          <w:highlight w:val="none"/>
        </w:rPr>
        <w:br w:type="page"/>
      </w:r>
      <w:r>
        <w:rPr>
          <w:rFonts w:hint="eastAsia" w:ascii="仿宋" w:hAnsi="仿宋" w:eastAsia="仿宋" w:cs="仿宋"/>
          <w:bCs w:val="0"/>
          <w:color w:val="auto"/>
          <w:sz w:val="28"/>
          <w:szCs w:val="28"/>
          <w:highlight w:val="none"/>
        </w:rPr>
        <w:t>二、总则</w:t>
      </w:r>
      <w:bookmarkEnd w:id="35"/>
      <w:bookmarkEnd w:id="36"/>
      <w:bookmarkEnd w:id="37"/>
    </w:p>
    <w:p w14:paraId="13DB50AC">
      <w:pPr>
        <w:shd w:val="clear"/>
        <w:spacing w:line="52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1.适用范围：</w:t>
      </w:r>
    </w:p>
    <w:p w14:paraId="77D8A975">
      <w:pPr>
        <w:shd w:val="clear"/>
        <w:tabs>
          <w:tab w:val="left" w:pos="7665"/>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仅适用于本次</w:t>
      </w:r>
      <w:r>
        <w:rPr>
          <w:rFonts w:hint="eastAsia" w:ascii="仿宋" w:hAnsi="仿宋" w:eastAsia="仿宋" w:cs="仿宋"/>
          <w:color w:val="auto"/>
          <w:sz w:val="24"/>
          <w:szCs w:val="24"/>
          <w:highlight w:val="none"/>
          <w:lang w:eastAsia="zh-CN"/>
        </w:rPr>
        <w:t>资格预审</w:t>
      </w:r>
      <w:r>
        <w:rPr>
          <w:rFonts w:hint="eastAsia" w:ascii="仿宋" w:hAnsi="仿宋" w:eastAsia="仿宋" w:cs="仿宋"/>
          <w:color w:val="auto"/>
          <w:sz w:val="24"/>
          <w:szCs w:val="24"/>
          <w:highlight w:val="none"/>
        </w:rPr>
        <w:t>所叙述的项目采购。</w:t>
      </w:r>
    </w:p>
    <w:p w14:paraId="38FBE6FD">
      <w:pPr>
        <w:shd w:val="clear"/>
        <w:spacing w:line="52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1.2本</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的解释权归采购人和采购代理机构所有。</w:t>
      </w:r>
    </w:p>
    <w:p w14:paraId="3A09A91F">
      <w:pPr>
        <w:shd w:val="clear"/>
        <w:spacing w:line="52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2.定义：</w:t>
      </w:r>
    </w:p>
    <w:p w14:paraId="526DD6E2">
      <w:pPr>
        <w:shd w:val="clear"/>
        <w:tabs>
          <w:tab w:val="left" w:pos="7665"/>
        </w:tabs>
        <w:spacing w:line="52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2.1本次采购项目的采购人是</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eastAsia="zh-CN"/>
        </w:rPr>
        <w:t>重庆市九龙坡区人民医院</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w:t>
      </w:r>
    </w:p>
    <w:p w14:paraId="07E9EECA">
      <w:pPr>
        <w:shd w:val="clear"/>
        <w:tabs>
          <w:tab w:val="left" w:pos="7665"/>
        </w:tabs>
        <w:spacing w:line="52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本次采购项目的采购代理机构是</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eastAsia="zh-CN"/>
        </w:rPr>
        <w:t>重庆亿集招标代理有限公司</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w:t>
      </w:r>
    </w:p>
    <w:p w14:paraId="608FCA78">
      <w:pPr>
        <w:shd w:val="clear"/>
        <w:tabs>
          <w:tab w:val="left" w:pos="7665"/>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2.3“投标人”系指按要求报名成功拟参加</w:t>
      </w:r>
      <w:r>
        <w:rPr>
          <w:rFonts w:hint="eastAsia" w:ascii="仿宋" w:hAnsi="仿宋" w:eastAsia="仿宋" w:cs="仿宋"/>
          <w:color w:val="auto"/>
          <w:sz w:val="24"/>
          <w:szCs w:val="24"/>
          <w:highlight w:val="none"/>
          <w:lang w:eastAsia="zh-CN"/>
        </w:rPr>
        <w:t>资格预审</w:t>
      </w:r>
      <w:r>
        <w:rPr>
          <w:rFonts w:hint="eastAsia" w:ascii="仿宋" w:hAnsi="仿宋" w:eastAsia="仿宋" w:cs="仿宋"/>
          <w:color w:val="auto"/>
          <w:sz w:val="24"/>
          <w:szCs w:val="24"/>
          <w:highlight w:val="none"/>
        </w:rPr>
        <w:t>申请的法人、其他组织或者自然人。</w:t>
      </w:r>
    </w:p>
    <w:p w14:paraId="1F2440BC">
      <w:pPr>
        <w:shd w:val="clear"/>
        <w:tabs>
          <w:tab w:val="left" w:pos="7665"/>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2.4本</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要求投标人提交的原件，是指原始件（即：资料生成时的原始形态，包括所加盖的印章、相关人员签字笔迹等均是原始印痕、印迹和笔迹。）</w:t>
      </w:r>
    </w:p>
    <w:p w14:paraId="2FB8BAC6">
      <w:pPr>
        <w:shd w:val="clear"/>
        <w:spacing w:line="52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3.合格的投标人应具备下列资格条件</w:t>
      </w:r>
    </w:p>
    <w:p w14:paraId="73F9122E">
      <w:pPr>
        <w:shd w:val="clear"/>
        <w:tabs>
          <w:tab w:val="left" w:pos="7665"/>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3.1具备法律法规和本采购文件规定的资格条件；</w:t>
      </w:r>
    </w:p>
    <w:p w14:paraId="0DE93C75">
      <w:pPr>
        <w:shd w:val="clear"/>
        <w:tabs>
          <w:tab w:val="left" w:pos="7665"/>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3.2不属于禁止参加本项目采购活动的投标人；</w:t>
      </w:r>
    </w:p>
    <w:p w14:paraId="625271B9">
      <w:pPr>
        <w:shd w:val="clear"/>
        <w:tabs>
          <w:tab w:val="left" w:pos="7665"/>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3.3按规定获取了</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lang w:val="en-US" w:eastAsia="zh-CN"/>
        </w:rPr>
        <w:t>并按时、足额交纳了投标保证金</w:t>
      </w:r>
      <w:r>
        <w:rPr>
          <w:rFonts w:hint="eastAsia" w:ascii="仿宋" w:hAnsi="仿宋" w:eastAsia="仿宋" w:cs="仿宋"/>
          <w:color w:val="auto"/>
          <w:sz w:val="24"/>
          <w:szCs w:val="24"/>
          <w:highlight w:val="none"/>
        </w:rPr>
        <w:t>，属于实质性参加本次采购活动的投标人。</w:t>
      </w:r>
      <w:bookmarkStart w:id="38" w:name="_Toc12906"/>
    </w:p>
    <w:p w14:paraId="40912749">
      <w:pPr>
        <w:shd w:val="clear"/>
        <w:tabs>
          <w:tab w:val="left" w:pos="7665"/>
        </w:tabs>
        <w:spacing w:line="5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3.4递交的样品通过样品评审。</w:t>
      </w:r>
    </w:p>
    <w:bookmarkEnd w:id="38"/>
    <w:p w14:paraId="698BF6FF">
      <w:pPr>
        <w:shd w:val="clear"/>
        <w:spacing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4.资格预审费用</w:t>
      </w:r>
    </w:p>
    <w:p w14:paraId="10BA7EFC">
      <w:pPr>
        <w:shd w:val="clear"/>
        <w:tabs>
          <w:tab w:val="left" w:pos="7665"/>
        </w:tabs>
        <w:spacing w:line="52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highlight w:val="none"/>
        </w:rPr>
        <w:t>投标人准备和参加本次资格预审所发生的费用由投标人自行承担。</w:t>
      </w:r>
    </w:p>
    <w:p w14:paraId="7E4BB0F3">
      <w:pPr>
        <w:pStyle w:val="168"/>
        <w:shd w:val="clear"/>
        <w:spacing w:line="520" w:lineRule="exact"/>
        <w:ind w:left="1"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5.充分、公平竞争保障措施</w:t>
      </w:r>
    </w:p>
    <w:p w14:paraId="21A58427">
      <w:pPr>
        <w:pStyle w:val="168"/>
        <w:shd w:val="clear"/>
        <w:spacing w:line="520" w:lineRule="exact"/>
        <w:ind w:left="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5.1利害关系投标人处理。单位负责人为同一人或者存在直接控股、管理关系的不同投标人不得参加同一品规耗材的采购活动。</w:t>
      </w:r>
    </w:p>
    <w:p w14:paraId="6B5CE703">
      <w:pPr>
        <w:pStyle w:val="168"/>
        <w:shd w:val="clear"/>
        <w:spacing w:line="520" w:lineRule="exact"/>
        <w:ind w:left="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前期参与投标人处理。为采购项目提供整体设计、规范编制或者项目管理、监理、检测等服务的投标人，不得再参加该采购项目的其他采购活动。投标人为采购人、采购代理机构在确定采购需求、编制采购文件过程中提供咨询论证，其提供的咨询论证意见成为采购文件中规定的投标人资格条件、技术服务商务要求、评标因素和标准、采购合同等实质性内容条款的，视同为采购项目提供规范编制。</w:t>
      </w:r>
    </w:p>
    <w:p w14:paraId="02DA94BD">
      <w:pPr>
        <w:pStyle w:val="168"/>
        <w:shd w:val="clear"/>
        <w:spacing w:line="520" w:lineRule="exact"/>
        <w:ind w:left="1"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rPr>
        <w:t>5.3利害关系代理人处理。</w:t>
      </w:r>
      <w:r>
        <w:rPr>
          <w:rFonts w:hint="eastAsia" w:ascii="仿宋" w:hAnsi="仿宋" w:eastAsia="仿宋" w:cs="仿宋"/>
          <w:color w:val="000000" w:themeColor="text1"/>
          <w:sz w:val="24"/>
          <w:szCs w:val="24"/>
          <w:highlight w:val="none"/>
          <w14:textFill>
            <w14:solidFill>
              <w14:schemeClr w14:val="tx1"/>
            </w14:solidFill>
          </w14:textFill>
        </w:rPr>
        <w:t>2家以上的投标人不得在同一品规耗材的采购项目中，同时委托同一个自然人、同一家庭的人员、同一单位的人员作为其代理人，否则，其投标文件作为无效处理。</w:t>
      </w:r>
    </w:p>
    <w:p w14:paraId="678CBC5E">
      <w:pPr>
        <w:pStyle w:val="168"/>
        <w:shd w:val="clear"/>
        <w:spacing w:line="520" w:lineRule="exact"/>
        <w:ind w:left="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5.4 采购活动中，采购人员及相关人员与投标人有下列利害关系之一的，应当回避： </w:t>
      </w:r>
    </w:p>
    <w:p w14:paraId="28D6D220">
      <w:pPr>
        <w:pStyle w:val="168"/>
        <w:shd w:val="clear"/>
        <w:spacing w:line="520" w:lineRule="exact"/>
        <w:ind w:left="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5.4.1 参加采购活动前3年内与投标人存在劳动关系；</w:t>
      </w:r>
    </w:p>
    <w:p w14:paraId="4500FCAD">
      <w:pPr>
        <w:pStyle w:val="168"/>
        <w:shd w:val="clear"/>
        <w:spacing w:line="520" w:lineRule="exact"/>
        <w:ind w:left="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5.4.2 参加采购活动前3年内担任投标人的董事、监事；</w:t>
      </w:r>
    </w:p>
    <w:p w14:paraId="3A8EF620">
      <w:pPr>
        <w:pStyle w:val="168"/>
        <w:shd w:val="clear"/>
        <w:spacing w:line="520" w:lineRule="exact"/>
        <w:ind w:left="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5.4.3 参加采购活动前3年内是投标人的控股股东或者实际控制人；</w:t>
      </w:r>
    </w:p>
    <w:p w14:paraId="5D771BB3">
      <w:pPr>
        <w:pStyle w:val="168"/>
        <w:shd w:val="clear"/>
        <w:spacing w:line="520" w:lineRule="exact"/>
        <w:ind w:left="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5.4.4 与投标人的法定代表人或者负责人有夫妻、直系血亲、三代以内旁系血亲或者近嫡亲关系；</w:t>
      </w:r>
    </w:p>
    <w:p w14:paraId="598840E3">
      <w:pPr>
        <w:pStyle w:val="168"/>
        <w:shd w:val="clear"/>
        <w:spacing w:line="520" w:lineRule="exact"/>
        <w:ind w:left="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5.4.5 与投标人有其他可能影响采购活动公平、公正进行的关系。</w:t>
      </w:r>
    </w:p>
    <w:p w14:paraId="0258DE4E">
      <w:pPr>
        <w:pStyle w:val="168"/>
        <w:shd w:val="clear"/>
        <w:spacing w:line="520" w:lineRule="exact"/>
        <w:ind w:left="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如有上述情况的，应当主动披露并回避；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25AB8FB0">
      <w:pPr>
        <w:pStyle w:val="6"/>
        <w:keepNext w:val="0"/>
        <w:keepLines w:val="0"/>
        <w:shd w:val="clear"/>
        <w:spacing w:before="0" w:after="0" w:line="520" w:lineRule="exact"/>
        <w:jc w:val="center"/>
        <w:rPr>
          <w:rFonts w:hint="eastAsia" w:ascii="仿宋" w:hAnsi="仿宋" w:eastAsia="仿宋" w:cs="仿宋"/>
          <w:color w:val="auto"/>
          <w:sz w:val="24"/>
          <w:highlight w:val="none"/>
          <w:lang w:eastAsia="zh-CN"/>
        </w:rPr>
      </w:pPr>
      <w:bookmarkStart w:id="39" w:name="_Toc17057"/>
      <w:bookmarkStart w:id="40" w:name="_Toc9971"/>
      <w:bookmarkStart w:id="41" w:name="_Toc28611"/>
      <w:r>
        <w:rPr>
          <w:rFonts w:hint="eastAsia" w:ascii="仿宋" w:hAnsi="仿宋" w:eastAsia="仿宋" w:cs="仿宋"/>
          <w:bCs w:val="0"/>
          <w:color w:val="auto"/>
          <w:sz w:val="28"/>
          <w:szCs w:val="28"/>
          <w:highlight w:val="none"/>
        </w:rPr>
        <w:t>三、</w:t>
      </w:r>
      <w:bookmarkEnd w:id="39"/>
      <w:bookmarkEnd w:id="40"/>
      <w:bookmarkEnd w:id="41"/>
      <w:bookmarkStart w:id="42" w:name="_Toc217446039"/>
      <w:bookmarkStart w:id="43" w:name="_Toc183582210"/>
      <w:bookmarkStart w:id="44" w:name="_Toc183682347"/>
      <w:r>
        <w:rPr>
          <w:rFonts w:hint="eastAsia" w:ascii="仿宋" w:hAnsi="仿宋" w:eastAsia="仿宋" w:cs="仿宋"/>
          <w:bCs w:val="0"/>
          <w:color w:val="auto"/>
          <w:sz w:val="28"/>
          <w:szCs w:val="28"/>
          <w:highlight w:val="none"/>
          <w:lang w:eastAsia="zh-CN"/>
        </w:rPr>
        <w:t>资格预审文件</w:t>
      </w:r>
    </w:p>
    <w:p w14:paraId="5C902975">
      <w:pPr>
        <w:shd w:val="clear"/>
        <w:spacing w:line="520" w:lineRule="exact"/>
        <w:ind w:firstLine="480" w:firstLineChars="200"/>
        <w:rPr>
          <w:rFonts w:hint="eastAsia" w:ascii="仿宋" w:hAnsi="仿宋" w:eastAsia="仿宋" w:cs="仿宋"/>
          <w:color w:val="auto"/>
          <w:sz w:val="24"/>
          <w:szCs w:val="24"/>
          <w:highlight w:val="none"/>
        </w:rPr>
      </w:pPr>
      <w:bookmarkStart w:id="45" w:name="_Toc2348"/>
      <w:bookmarkStart w:id="46" w:name="_Toc26675"/>
      <w:bookmarkStart w:id="47" w:name="_Toc26714"/>
      <w:bookmarkStart w:id="48" w:name="_Toc11300"/>
      <w:bookmarkStart w:id="49" w:name="_Toc31880"/>
      <w:bookmarkStart w:id="50" w:name="_Toc13678"/>
      <w:bookmarkStart w:id="51" w:name="_Toc9557"/>
      <w:bookmarkStart w:id="52" w:name="_Toc14241"/>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的构成</w:t>
      </w:r>
      <w:bookmarkEnd w:id="42"/>
      <w:bookmarkEnd w:id="43"/>
      <w:bookmarkEnd w:id="44"/>
      <w:bookmarkEnd w:id="45"/>
      <w:bookmarkEnd w:id="46"/>
      <w:bookmarkEnd w:id="47"/>
      <w:bookmarkEnd w:id="48"/>
      <w:bookmarkEnd w:id="49"/>
      <w:bookmarkEnd w:id="50"/>
      <w:bookmarkEnd w:id="51"/>
      <w:bookmarkEnd w:id="52"/>
    </w:p>
    <w:p w14:paraId="7596FBE8">
      <w:pPr>
        <w:shd w:val="clear"/>
        <w:tabs>
          <w:tab w:val="left" w:pos="720"/>
        </w:tabs>
        <w:spacing w:line="520" w:lineRule="exact"/>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是投标人准备</w:t>
      </w:r>
      <w:r>
        <w:rPr>
          <w:rFonts w:hint="eastAsia" w:ascii="仿宋" w:hAnsi="仿宋" w:eastAsia="仿宋" w:cs="仿宋"/>
          <w:color w:val="auto"/>
          <w:sz w:val="24"/>
          <w:szCs w:val="24"/>
          <w:highlight w:val="none"/>
          <w:lang w:val="en-US" w:eastAsia="zh-CN"/>
        </w:rPr>
        <w:t>样品、</w:t>
      </w:r>
      <w:r>
        <w:rPr>
          <w:rFonts w:hint="eastAsia" w:ascii="仿宋" w:hAnsi="仿宋" w:eastAsia="仿宋" w:cs="仿宋"/>
          <w:color w:val="auto"/>
          <w:sz w:val="24"/>
          <w:szCs w:val="24"/>
          <w:highlight w:val="none"/>
        </w:rPr>
        <w:t>申请文件和参加资格预审的依据，同时也是资格预审的重要依据。</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用以阐明</w:t>
      </w:r>
      <w:r>
        <w:rPr>
          <w:rFonts w:hint="eastAsia" w:ascii="仿宋" w:hAnsi="仿宋" w:eastAsia="仿宋" w:cs="仿宋"/>
          <w:color w:val="auto"/>
          <w:sz w:val="24"/>
          <w:szCs w:val="24"/>
          <w:highlight w:val="none"/>
          <w:lang w:eastAsia="zh-CN"/>
        </w:rPr>
        <w:t>资格预审</w:t>
      </w:r>
      <w:r>
        <w:rPr>
          <w:rFonts w:hint="eastAsia" w:ascii="仿宋" w:hAnsi="仿宋" w:eastAsia="仿宋" w:cs="仿宋"/>
          <w:color w:val="auto"/>
          <w:sz w:val="24"/>
          <w:szCs w:val="24"/>
          <w:highlight w:val="none"/>
        </w:rPr>
        <w:t>项目所需的资质、项目需求等要求。</w:t>
      </w:r>
    </w:p>
    <w:p w14:paraId="36C8F16D">
      <w:pPr>
        <w:shd w:val="clear"/>
        <w:spacing w:line="520" w:lineRule="exact"/>
        <w:ind w:firstLine="460" w:firstLineChars="192"/>
        <w:rPr>
          <w:rFonts w:ascii="仿宋" w:hAnsi="仿宋" w:eastAsia="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根据采购项目的特点和采购需求编制。</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包括以下主要内容：</w:t>
      </w:r>
    </w:p>
    <w:p w14:paraId="49EB5CDE">
      <w:pPr>
        <w:shd w:val="clear"/>
        <w:spacing w:line="520" w:lineRule="exact"/>
        <w:ind w:firstLine="460" w:firstLineChars="192"/>
        <w:rPr>
          <w:rFonts w:ascii="仿宋" w:hAnsi="仿宋" w:eastAsia="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资格预审</w:t>
      </w:r>
      <w:r>
        <w:rPr>
          <w:rFonts w:hint="eastAsia" w:ascii="仿宋" w:hAnsi="仿宋" w:eastAsia="仿宋" w:cs="仿宋"/>
          <w:color w:val="auto"/>
          <w:sz w:val="24"/>
          <w:szCs w:val="24"/>
          <w:highlight w:val="none"/>
        </w:rPr>
        <w:t>邀请；</w:t>
      </w:r>
    </w:p>
    <w:p w14:paraId="33E228E1">
      <w:pPr>
        <w:shd w:val="clear"/>
        <w:spacing w:line="520" w:lineRule="exact"/>
        <w:ind w:firstLine="460" w:firstLineChars="192"/>
        <w:rPr>
          <w:rFonts w:ascii="仿宋" w:hAnsi="仿宋" w:eastAsia="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资格预审</w:t>
      </w:r>
      <w:r>
        <w:rPr>
          <w:rFonts w:hint="eastAsia" w:ascii="仿宋" w:hAnsi="仿宋" w:eastAsia="仿宋" w:cs="仿宋"/>
          <w:color w:val="auto"/>
          <w:sz w:val="24"/>
          <w:szCs w:val="24"/>
          <w:highlight w:val="none"/>
        </w:rPr>
        <w:t>申请须知；</w:t>
      </w:r>
    </w:p>
    <w:p w14:paraId="46527A9B">
      <w:pPr>
        <w:shd w:val="clear"/>
        <w:spacing w:line="520" w:lineRule="exact"/>
        <w:ind w:firstLine="460" w:firstLineChars="192"/>
        <w:rPr>
          <w:rFonts w:ascii="仿宋" w:hAnsi="仿宋" w:eastAsia="仿宋"/>
          <w:color w:val="auto"/>
          <w:sz w:val="24"/>
          <w:szCs w:val="24"/>
          <w:highlight w:val="none"/>
        </w:rPr>
      </w:pPr>
      <w:r>
        <w:rPr>
          <w:rFonts w:hint="eastAsia" w:ascii="仿宋" w:hAnsi="仿宋" w:eastAsia="仿宋" w:cs="仿宋"/>
          <w:color w:val="auto"/>
          <w:sz w:val="24"/>
          <w:szCs w:val="24"/>
          <w:highlight w:val="none"/>
        </w:rPr>
        <w:t>（3）投标人应当</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eastAsia="zh-CN"/>
        </w:rPr>
        <w:t>资质</w:t>
      </w:r>
      <w:r>
        <w:rPr>
          <w:rFonts w:hint="eastAsia" w:ascii="仿宋" w:hAnsi="仿宋" w:eastAsia="仿宋" w:cs="仿宋"/>
          <w:color w:val="auto"/>
          <w:sz w:val="24"/>
          <w:szCs w:val="24"/>
          <w:highlight w:val="none"/>
        </w:rPr>
        <w:t>及其他类似效力要求的相关证明材料；</w:t>
      </w:r>
    </w:p>
    <w:p w14:paraId="15E5A079">
      <w:pPr>
        <w:shd w:val="clear"/>
        <w:spacing w:line="520" w:lineRule="exact"/>
        <w:ind w:firstLine="460" w:firstLineChars="192"/>
        <w:rPr>
          <w:rFonts w:ascii="仿宋" w:hAnsi="仿宋" w:eastAsia="仿宋"/>
          <w:color w:val="auto"/>
          <w:sz w:val="24"/>
          <w:szCs w:val="24"/>
          <w:highlight w:val="none"/>
        </w:rPr>
      </w:pPr>
      <w:r>
        <w:rPr>
          <w:rFonts w:hint="eastAsia" w:ascii="仿宋" w:hAnsi="仿宋" w:eastAsia="仿宋" w:cs="仿宋"/>
          <w:color w:val="auto"/>
          <w:sz w:val="24"/>
          <w:szCs w:val="24"/>
          <w:highlight w:val="none"/>
        </w:rPr>
        <w:t>（4）投标人应当提供的资格预审申请文件的内容和格式；</w:t>
      </w:r>
    </w:p>
    <w:p w14:paraId="6C2DF355">
      <w:pPr>
        <w:shd w:val="clear"/>
        <w:spacing w:line="520" w:lineRule="exact"/>
        <w:ind w:firstLine="460" w:firstLineChars="192"/>
        <w:rPr>
          <w:rFonts w:ascii="仿宋" w:hAnsi="仿宋" w:eastAsia="仿宋"/>
          <w:color w:val="auto"/>
          <w:sz w:val="24"/>
          <w:szCs w:val="24"/>
          <w:highlight w:val="none"/>
        </w:rPr>
      </w:pPr>
      <w:r>
        <w:rPr>
          <w:rFonts w:hint="eastAsia" w:ascii="仿宋" w:hAnsi="仿宋" w:eastAsia="仿宋" w:cs="仿宋"/>
          <w:color w:val="auto"/>
          <w:sz w:val="24"/>
          <w:szCs w:val="24"/>
          <w:highlight w:val="none"/>
        </w:rPr>
        <w:t>（5）采购项目介绍；</w:t>
      </w:r>
    </w:p>
    <w:p w14:paraId="72DD5F74">
      <w:pPr>
        <w:shd w:val="clear"/>
        <w:spacing w:line="520" w:lineRule="exact"/>
        <w:ind w:firstLine="460" w:firstLineChars="192"/>
        <w:rPr>
          <w:rFonts w:ascii="仿宋" w:hAnsi="仿宋" w:eastAsia="仿宋"/>
          <w:color w:val="auto"/>
          <w:sz w:val="24"/>
          <w:szCs w:val="24"/>
          <w:highlight w:val="none"/>
        </w:rPr>
      </w:pPr>
      <w:r>
        <w:rPr>
          <w:rFonts w:hint="eastAsia" w:ascii="仿宋" w:hAnsi="仿宋" w:eastAsia="仿宋" w:cs="仿宋"/>
          <w:color w:val="auto"/>
          <w:sz w:val="24"/>
          <w:szCs w:val="24"/>
          <w:highlight w:val="none"/>
        </w:rPr>
        <w:t>（6）审核标准和方法；</w:t>
      </w:r>
    </w:p>
    <w:p w14:paraId="3C0C864D">
      <w:pPr>
        <w:shd w:val="clear"/>
        <w:spacing w:line="52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（7）投标人信用信息查询渠道及截止时点、信用信息查询记录和证据留存的具体方式、信用信息的使用规则等内容</w:t>
      </w:r>
      <w:r>
        <w:rPr>
          <w:rFonts w:hint="eastAsia" w:ascii="仿宋" w:hAnsi="仿宋" w:eastAsia="仿宋" w:cs="仿宋"/>
          <w:color w:val="auto"/>
          <w:sz w:val="24"/>
          <w:szCs w:val="24"/>
          <w:highlight w:val="none"/>
          <w:lang w:eastAsia="zh-CN"/>
        </w:rPr>
        <w:t>。</w:t>
      </w:r>
    </w:p>
    <w:p w14:paraId="116DAB21">
      <w:pPr>
        <w:shd w:val="clear"/>
        <w:tabs>
          <w:tab w:val="left" w:pos="7665"/>
        </w:tabs>
        <w:spacing w:line="520" w:lineRule="exact"/>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3投标人应认真阅读和充分理解</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中所有的事项、格式条款和规范要求。投标人应详细阅读</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的全部内容，按照</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的要求提供</w:t>
      </w:r>
      <w:r>
        <w:rPr>
          <w:rFonts w:hint="eastAsia" w:ascii="仿宋" w:hAnsi="仿宋" w:eastAsia="仿宋" w:cs="仿宋"/>
          <w:color w:val="auto"/>
          <w:sz w:val="24"/>
          <w:szCs w:val="24"/>
          <w:highlight w:val="none"/>
          <w:lang w:val="en-US" w:eastAsia="zh-CN"/>
        </w:rPr>
        <w:t>样品、</w:t>
      </w:r>
      <w:r>
        <w:rPr>
          <w:rFonts w:hint="eastAsia" w:ascii="仿宋" w:hAnsi="仿宋" w:eastAsia="仿宋" w:cs="仿宋"/>
          <w:color w:val="auto"/>
          <w:sz w:val="24"/>
          <w:szCs w:val="24"/>
          <w:highlight w:val="none"/>
        </w:rPr>
        <w:t>申请文件，并保证所提供的全部资料的真实性和有效性，一经发现有虚假行为的，将取消其参加</w:t>
      </w:r>
      <w:r>
        <w:rPr>
          <w:rFonts w:hint="eastAsia" w:ascii="仿宋" w:hAnsi="仿宋" w:eastAsia="仿宋" w:cs="仿宋"/>
          <w:color w:val="auto"/>
          <w:sz w:val="24"/>
          <w:szCs w:val="24"/>
          <w:highlight w:val="none"/>
          <w:lang w:val="en-US" w:eastAsia="zh-CN"/>
        </w:rPr>
        <w:t>样品评审或</w:t>
      </w:r>
      <w:r>
        <w:rPr>
          <w:rFonts w:hint="eastAsia" w:ascii="仿宋" w:hAnsi="仿宋" w:eastAsia="仿宋" w:cs="仿宋"/>
          <w:color w:val="auto"/>
          <w:sz w:val="24"/>
          <w:szCs w:val="24"/>
          <w:highlight w:val="none"/>
        </w:rPr>
        <w:t>资格预审</w:t>
      </w:r>
      <w:r>
        <w:rPr>
          <w:rFonts w:hint="eastAsia" w:ascii="仿宋" w:hAnsi="仿宋" w:eastAsia="仿宋" w:cs="仿宋"/>
          <w:color w:val="auto"/>
          <w:spacing w:val="-1"/>
          <w:sz w:val="24"/>
          <w:highlight w:val="none"/>
        </w:rPr>
        <w:t>或后</w:t>
      </w:r>
      <w:r>
        <w:rPr>
          <w:rFonts w:hint="eastAsia" w:ascii="仿宋" w:hAnsi="仿宋" w:eastAsia="仿宋" w:cs="仿宋"/>
          <w:color w:val="auto"/>
          <w:sz w:val="24"/>
          <w:highlight w:val="none"/>
        </w:rPr>
        <w:t>续采购活动的资格，并承担相应的法律责任</w:t>
      </w:r>
      <w:r>
        <w:rPr>
          <w:rFonts w:hint="eastAsia" w:ascii="仿宋" w:hAnsi="仿宋" w:eastAsia="仿宋" w:cs="仿宋"/>
          <w:color w:val="auto"/>
          <w:sz w:val="24"/>
          <w:szCs w:val="24"/>
          <w:highlight w:val="none"/>
        </w:rPr>
        <w:t>。</w:t>
      </w:r>
      <w:bookmarkStart w:id="53" w:name="_Toc183682348"/>
      <w:bookmarkStart w:id="54" w:name="_Toc183582211"/>
      <w:bookmarkStart w:id="55" w:name="_Toc217446040"/>
    </w:p>
    <w:p w14:paraId="3F9E462F">
      <w:pPr>
        <w:shd w:val="clear"/>
        <w:spacing w:line="520" w:lineRule="exact"/>
        <w:ind w:firstLine="480" w:firstLineChars="200"/>
        <w:rPr>
          <w:rFonts w:hint="eastAsia" w:ascii="仿宋" w:hAnsi="仿宋" w:eastAsia="仿宋" w:cs="仿宋"/>
          <w:color w:val="auto"/>
          <w:sz w:val="24"/>
          <w:szCs w:val="24"/>
          <w:highlight w:val="none"/>
        </w:rPr>
      </w:pPr>
      <w:bookmarkStart w:id="56" w:name="_Toc2110"/>
      <w:bookmarkStart w:id="57" w:name="_Toc12845"/>
      <w:bookmarkStart w:id="58" w:name="_Toc30805"/>
      <w:bookmarkStart w:id="59" w:name="_Toc2368"/>
      <w:bookmarkStart w:id="60" w:name="_Toc19721"/>
      <w:bookmarkStart w:id="61" w:name="_Toc3058"/>
      <w:bookmarkStart w:id="62" w:name="_Toc16223"/>
      <w:bookmarkStart w:id="63" w:name="_Toc20357"/>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的澄清</w:t>
      </w:r>
      <w:bookmarkEnd w:id="53"/>
      <w:bookmarkEnd w:id="54"/>
      <w:r>
        <w:rPr>
          <w:rFonts w:hint="eastAsia" w:ascii="仿宋" w:hAnsi="仿宋" w:eastAsia="仿宋" w:cs="仿宋"/>
          <w:color w:val="auto"/>
          <w:sz w:val="24"/>
          <w:szCs w:val="24"/>
          <w:highlight w:val="none"/>
        </w:rPr>
        <w:t>和修改</w:t>
      </w:r>
      <w:bookmarkEnd w:id="55"/>
      <w:bookmarkEnd w:id="56"/>
      <w:bookmarkEnd w:id="57"/>
      <w:bookmarkEnd w:id="58"/>
      <w:bookmarkEnd w:id="59"/>
      <w:bookmarkEnd w:id="60"/>
      <w:bookmarkEnd w:id="61"/>
      <w:bookmarkEnd w:id="62"/>
      <w:bookmarkEnd w:id="63"/>
    </w:p>
    <w:p w14:paraId="14E0AA24">
      <w:pPr>
        <w:shd w:val="clear"/>
        <w:tabs>
          <w:tab w:val="left" w:pos="720"/>
        </w:tabs>
        <w:spacing w:line="520" w:lineRule="exact"/>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.1在递交申请文件截止时间前，采购人、采购代理机构可以对</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进行澄清或者修改。</w:t>
      </w:r>
    </w:p>
    <w:p w14:paraId="0A5C5CE5">
      <w:pPr>
        <w:shd w:val="clear"/>
        <w:tabs>
          <w:tab w:val="left" w:pos="720"/>
        </w:tabs>
        <w:spacing w:line="52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采购代理机构对已发出的</w:t>
      </w:r>
      <w:r>
        <w:rPr>
          <w:rFonts w:hint="eastAsia" w:ascii="仿宋" w:hAnsi="仿宋" w:eastAsia="仿宋" w:cs="仿宋"/>
          <w:color w:val="auto"/>
          <w:sz w:val="24"/>
          <w:highlight w:val="none"/>
          <w:lang w:eastAsia="zh-CN"/>
        </w:rPr>
        <w:t>资格预审文件</w:t>
      </w:r>
      <w:r>
        <w:rPr>
          <w:rFonts w:hint="eastAsia" w:ascii="仿宋" w:hAnsi="仿宋" w:eastAsia="仿宋" w:cs="仿宋"/>
          <w:color w:val="auto"/>
          <w:sz w:val="24"/>
          <w:highlight w:val="none"/>
        </w:rPr>
        <w:t>进行澄清或者修改，应当以书面形式将澄清或者修改的内容通知所有获取了</w:t>
      </w:r>
      <w:r>
        <w:rPr>
          <w:rFonts w:hint="eastAsia" w:ascii="仿宋" w:hAnsi="仿宋" w:eastAsia="仿宋" w:cs="仿宋"/>
          <w:color w:val="auto"/>
          <w:sz w:val="24"/>
          <w:highlight w:val="none"/>
          <w:lang w:eastAsia="zh-CN"/>
        </w:rPr>
        <w:t>资格预审文件</w:t>
      </w:r>
      <w:r>
        <w:rPr>
          <w:rFonts w:hint="eastAsia" w:ascii="仿宋" w:hAnsi="仿宋" w:eastAsia="仿宋" w:cs="仿宋"/>
          <w:color w:val="auto"/>
          <w:sz w:val="24"/>
          <w:highlight w:val="none"/>
        </w:rPr>
        <w:t>的投标人。澄清或者修改的内容可能影响资格预审</w:t>
      </w:r>
      <w:r>
        <w:rPr>
          <w:rFonts w:hint="eastAsia" w:ascii="仿宋" w:hAnsi="仿宋" w:eastAsia="仿宋" w:cs="仿宋"/>
          <w:color w:val="auto"/>
          <w:spacing w:val="-12"/>
          <w:sz w:val="24"/>
          <w:highlight w:val="none"/>
        </w:rPr>
        <w:t>申请文件编制的，采购人或者采购代理机构应当在提交资格预审申请文件截止时间至少3</w:t>
      </w:r>
      <w:r>
        <w:rPr>
          <w:rFonts w:hint="eastAsia" w:ascii="仿宋" w:hAnsi="仿宋" w:eastAsia="仿宋" w:cs="仿宋"/>
          <w:color w:val="auto"/>
          <w:spacing w:val="-20"/>
          <w:sz w:val="24"/>
          <w:highlight w:val="none"/>
        </w:rPr>
        <w:t>日前，</w:t>
      </w:r>
      <w:r>
        <w:rPr>
          <w:rFonts w:hint="eastAsia" w:ascii="仿宋" w:hAnsi="仿宋" w:eastAsia="仿宋" w:cs="仿宋"/>
          <w:color w:val="auto"/>
          <w:spacing w:val="-3"/>
          <w:sz w:val="24"/>
          <w:highlight w:val="none"/>
        </w:rPr>
        <w:t>以书面形式通知所有获取</w:t>
      </w:r>
      <w:r>
        <w:rPr>
          <w:rFonts w:hint="eastAsia" w:ascii="仿宋" w:hAnsi="仿宋" w:eastAsia="仿宋" w:cs="仿宋"/>
          <w:color w:val="auto"/>
          <w:spacing w:val="-3"/>
          <w:sz w:val="24"/>
          <w:highlight w:val="none"/>
          <w:lang w:eastAsia="zh-CN"/>
        </w:rPr>
        <w:t>资格预审文件</w:t>
      </w:r>
      <w:r>
        <w:rPr>
          <w:rFonts w:hint="eastAsia" w:ascii="仿宋" w:hAnsi="仿宋" w:eastAsia="仿宋" w:cs="仿宋"/>
          <w:color w:val="auto"/>
          <w:spacing w:val="-3"/>
          <w:sz w:val="24"/>
          <w:highlight w:val="none"/>
        </w:rPr>
        <w:t>的潜在投标人；不足</w:t>
      </w:r>
      <w:r>
        <w:rPr>
          <w:rFonts w:hint="eastAsia" w:ascii="仿宋" w:hAnsi="仿宋" w:eastAsia="仿宋" w:cs="仿宋"/>
          <w:color w:val="auto"/>
          <w:sz w:val="24"/>
          <w:highlight w:val="none"/>
        </w:rPr>
        <w:t>5</w:t>
      </w:r>
      <w:r>
        <w:rPr>
          <w:rFonts w:hint="eastAsia" w:ascii="仿宋" w:hAnsi="仿宋" w:eastAsia="仿宋" w:cs="仿宋"/>
          <w:color w:val="auto"/>
          <w:spacing w:val="-8"/>
          <w:sz w:val="24"/>
          <w:highlight w:val="none"/>
        </w:rPr>
        <w:t>日的，采购人或者采购代理机构应当顺延提交资格预审申请文件的截止时间</w:t>
      </w:r>
      <w:r>
        <w:rPr>
          <w:rFonts w:hint="eastAsia" w:ascii="仿宋" w:hAnsi="仿宋" w:eastAsia="仿宋" w:cs="仿宋"/>
          <w:color w:val="auto"/>
          <w:sz w:val="24"/>
          <w:szCs w:val="24"/>
          <w:highlight w:val="none"/>
        </w:rPr>
        <w:t>。</w:t>
      </w:r>
    </w:p>
    <w:p w14:paraId="25CC5E01">
      <w:pPr>
        <w:pStyle w:val="6"/>
        <w:keepNext w:val="0"/>
        <w:keepLines w:val="0"/>
        <w:shd w:val="clear"/>
        <w:spacing w:before="0" w:after="0" w:line="520" w:lineRule="exact"/>
        <w:jc w:val="center"/>
        <w:rPr>
          <w:rFonts w:hint="eastAsia" w:ascii="仿宋" w:hAnsi="仿宋" w:eastAsia="仿宋" w:cs="仿宋"/>
          <w:bCs w:val="0"/>
          <w:color w:val="auto"/>
          <w:sz w:val="24"/>
          <w:highlight w:val="none"/>
        </w:rPr>
      </w:pPr>
      <w:bookmarkStart w:id="64" w:name="_Toc9319"/>
      <w:bookmarkStart w:id="65" w:name="_Toc89075876"/>
      <w:bookmarkStart w:id="66" w:name="_Toc217446042"/>
      <w:bookmarkStart w:id="67" w:name="_Toc9181"/>
      <w:bookmarkStart w:id="68" w:name="_Toc77400780"/>
      <w:bookmarkStart w:id="69" w:name="_Toc183582214"/>
      <w:bookmarkStart w:id="70" w:name="_Toc183682351"/>
      <w:bookmarkStart w:id="71" w:name="_Toc10215"/>
      <w:r>
        <w:rPr>
          <w:rFonts w:hint="eastAsia" w:ascii="仿宋" w:hAnsi="仿宋" w:eastAsia="仿宋" w:cs="仿宋"/>
          <w:bCs w:val="0"/>
          <w:color w:val="auto"/>
          <w:sz w:val="28"/>
          <w:szCs w:val="28"/>
          <w:highlight w:val="none"/>
        </w:rPr>
        <w:t>四、</w:t>
      </w:r>
      <w:bookmarkEnd w:id="64"/>
      <w:bookmarkEnd w:id="65"/>
      <w:bookmarkEnd w:id="66"/>
      <w:bookmarkEnd w:id="67"/>
      <w:bookmarkEnd w:id="68"/>
      <w:bookmarkEnd w:id="69"/>
      <w:bookmarkEnd w:id="70"/>
      <w:bookmarkStart w:id="72" w:name="_Toc183582215"/>
      <w:bookmarkStart w:id="73" w:name="_Toc183682352"/>
      <w:bookmarkStart w:id="74" w:name="_Toc217446043"/>
      <w:r>
        <w:rPr>
          <w:rFonts w:hint="eastAsia" w:ascii="仿宋" w:hAnsi="仿宋" w:eastAsia="仿宋" w:cs="仿宋"/>
          <w:bCs w:val="0"/>
          <w:color w:val="auto"/>
          <w:sz w:val="28"/>
          <w:szCs w:val="28"/>
          <w:highlight w:val="none"/>
        </w:rPr>
        <w:t>资格预审申请文件</w:t>
      </w:r>
      <w:bookmarkEnd w:id="71"/>
    </w:p>
    <w:p w14:paraId="24948C5E">
      <w:pPr>
        <w:shd w:val="clear"/>
        <w:spacing w:line="520" w:lineRule="exact"/>
        <w:ind w:firstLine="480" w:firstLineChars="200"/>
        <w:rPr>
          <w:rFonts w:hint="eastAsia" w:ascii="仿宋" w:hAnsi="仿宋" w:eastAsia="仿宋" w:cs="仿宋"/>
          <w:color w:val="auto"/>
          <w:sz w:val="24"/>
          <w:highlight w:val="none"/>
        </w:rPr>
      </w:pPr>
      <w:bookmarkStart w:id="75" w:name="_Toc17890"/>
      <w:bookmarkStart w:id="76" w:name="_Toc12947"/>
      <w:bookmarkStart w:id="77" w:name="_Toc1025"/>
      <w:bookmarkStart w:id="78" w:name="_Toc9838"/>
      <w:bookmarkStart w:id="79" w:name="_Toc14356"/>
      <w:bookmarkStart w:id="80" w:name="_Toc10693"/>
      <w:bookmarkStart w:id="81" w:name="_Toc6576"/>
      <w:bookmarkStart w:id="82" w:name="_Toc10495"/>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.资格预审申请文件的组成</w:t>
      </w:r>
      <w:bookmarkEnd w:id="75"/>
      <w:bookmarkEnd w:id="76"/>
      <w:bookmarkEnd w:id="77"/>
      <w:bookmarkEnd w:id="78"/>
      <w:bookmarkEnd w:id="79"/>
      <w:bookmarkEnd w:id="80"/>
      <w:bookmarkEnd w:id="81"/>
      <w:bookmarkEnd w:id="82"/>
    </w:p>
    <w:p w14:paraId="7FBF39D6">
      <w:pPr>
        <w:shd w:val="clear"/>
        <w:spacing w:line="520" w:lineRule="exact"/>
        <w:ind w:firstLine="480" w:firstLineChars="200"/>
        <w:rPr>
          <w:rFonts w:ascii="仿宋" w:hAnsi="仿宋" w:eastAsia="仿宋" w:cs="仿宋"/>
          <w:color w:val="auto"/>
          <w:sz w:val="24"/>
          <w:highlight w:val="none"/>
        </w:rPr>
      </w:pPr>
      <w:bookmarkStart w:id="83" w:name="_Toc26134"/>
      <w:bookmarkStart w:id="84" w:name="_Toc25771"/>
      <w:bookmarkStart w:id="85" w:name="_Toc14103"/>
      <w:bookmarkStart w:id="86" w:name="_Toc9963"/>
      <w:bookmarkStart w:id="87" w:name="_Toc5485"/>
      <w:bookmarkStart w:id="88" w:name="_Toc4"/>
      <w:bookmarkStart w:id="89" w:name="_Toc4339"/>
      <w:bookmarkStart w:id="90" w:name="_Toc28894"/>
      <w:r>
        <w:rPr>
          <w:rFonts w:hint="eastAsia" w:ascii="仿宋" w:hAnsi="仿宋" w:eastAsia="仿宋" w:cs="仿宋"/>
          <w:color w:val="auto"/>
          <w:sz w:val="24"/>
          <w:highlight w:val="none"/>
        </w:rPr>
        <w:t>投标人应提交资格预审申请文件正本一份、副本一份和电子文档一份。</w:t>
      </w:r>
      <w:bookmarkEnd w:id="83"/>
      <w:bookmarkEnd w:id="84"/>
      <w:bookmarkEnd w:id="85"/>
      <w:bookmarkEnd w:id="86"/>
    </w:p>
    <w:bookmarkEnd w:id="87"/>
    <w:bookmarkEnd w:id="88"/>
    <w:bookmarkEnd w:id="89"/>
    <w:bookmarkEnd w:id="90"/>
    <w:p w14:paraId="53491330">
      <w:pPr>
        <w:shd w:val="clear"/>
        <w:spacing w:line="520" w:lineRule="exact"/>
        <w:ind w:firstLine="480" w:firstLineChars="200"/>
        <w:rPr>
          <w:rFonts w:hint="eastAsia" w:ascii="仿宋" w:hAnsi="仿宋" w:eastAsia="仿宋" w:cs="仿宋"/>
          <w:bCs/>
          <w:color w:val="auto"/>
          <w:sz w:val="24"/>
          <w:highlight w:val="none"/>
        </w:rPr>
      </w:pPr>
      <w:bookmarkStart w:id="91" w:name="_Toc5608"/>
      <w:bookmarkStart w:id="92" w:name="_Toc1488"/>
      <w:bookmarkStart w:id="93" w:name="_Toc30342"/>
      <w:bookmarkStart w:id="94" w:name="_Toc29982"/>
      <w:bookmarkStart w:id="95" w:name="_Toc10372"/>
      <w:bookmarkStart w:id="96" w:name="_Toc3225"/>
      <w:bookmarkStart w:id="97" w:name="_Toc15102"/>
      <w:bookmarkStart w:id="98" w:name="_Toc31402"/>
      <w:r>
        <w:rPr>
          <w:rFonts w:hint="eastAsia"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资格预审申请文件的语言</w:t>
      </w:r>
      <w:bookmarkEnd w:id="72"/>
      <w:bookmarkEnd w:id="73"/>
      <w:bookmarkEnd w:id="74"/>
      <w:bookmarkEnd w:id="91"/>
      <w:bookmarkEnd w:id="92"/>
      <w:bookmarkEnd w:id="93"/>
      <w:bookmarkEnd w:id="94"/>
      <w:bookmarkEnd w:id="95"/>
      <w:bookmarkEnd w:id="96"/>
      <w:bookmarkEnd w:id="97"/>
      <w:bookmarkEnd w:id="98"/>
    </w:p>
    <w:p w14:paraId="506D52CB">
      <w:pPr>
        <w:shd w:val="clear"/>
        <w:spacing w:line="52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投标人提交的申请文件以及投标人与采购人、采购代理机构</w:t>
      </w:r>
      <w:r>
        <w:rPr>
          <w:rFonts w:hint="eastAsia" w:ascii="仿宋" w:hAnsi="仿宋" w:eastAsia="仿宋" w:cs="仿宋"/>
          <w:color w:val="auto"/>
          <w:sz w:val="24"/>
          <w:szCs w:val="22"/>
          <w:highlight w:val="none"/>
        </w:rPr>
        <w:t>就有关资格预审的所有来往书面文件均须使用中文。申请文件中如附有外文资料，必须逐一对应翻译成中文并加盖投标人公章后附在相关外文资料后面，否则，投标人的申请文件</w:t>
      </w:r>
      <w:r>
        <w:rPr>
          <w:rFonts w:hint="eastAsia" w:ascii="仿宋" w:hAnsi="仿宋" w:eastAsia="仿宋" w:cs="仿宋"/>
          <w:color w:val="auto"/>
          <w:sz w:val="24"/>
          <w:highlight w:val="none"/>
        </w:rPr>
        <w:t>将作为无效处理。</w:t>
      </w:r>
    </w:p>
    <w:p w14:paraId="2BC811B5">
      <w:pPr>
        <w:shd w:val="clear"/>
        <w:spacing w:line="520" w:lineRule="exact"/>
        <w:ind w:left="3" w:leftChars="1"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10</w:t>
      </w:r>
      <w:r>
        <w:rPr>
          <w:rFonts w:hint="eastAsia" w:ascii="仿宋" w:hAnsi="仿宋" w:eastAsia="仿宋" w:cs="仿宋"/>
          <w:b/>
          <w:color w:val="auto"/>
          <w:sz w:val="24"/>
          <w:highlight w:val="none"/>
        </w:rPr>
        <w:t>.资格预审申请文件格式</w:t>
      </w:r>
    </w:p>
    <w:p w14:paraId="303E446D">
      <w:pPr>
        <w:shd w:val="clear"/>
        <w:spacing w:line="520" w:lineRule="exact"/>
        <w:ind w:left="3" w:leftChars="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.1投标人应执行</w:t>
      </w:r>
      <w:r>
        <w:rPr>
          <w:rFonts w:hint="eastAsia" w:ascii="仿宋" w:hAnsi="仿宋" w:eastAsia="仿宋" w:cs="仿宋"/>
          <w:color w:val="auto"/>
          <w:sz w:val="24"/>
          <w:highlight w:val="none"/>
          <w:lang w:eastAsia="zh-CN"/>
        </w:rPr>
        <w:t>资格预审文件</w:t>
      </w:r>
      <w:r>
        <w:rPr>
          <w:rFonts w:hint="eastAsia" w:ascii="仿宋" w:hAnsi="仿宋" w:eastAsia="仿宋" w:cs="仿宋"/>
          <w:color w:val="auto"/>
          <w:sz w:val="24"/>
          <w:highlight w:val="none"/>
        </w:rPr>
        <w:t>的规定要求。</w:t>
      </w:r>
    </w:p>
    <w:p w14:paraId="6D337EED">
      <w:pPr>
        <w:shd w:val="clear"/>
        <w:spacing w:line="520" w:lineRule="exact"/>
        <w:ind w:left="3" w:leftChars="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.2对于没有格式要求的</w:t>
      </w:r>
      <w:r>
        <w:rPr>
          <w:rFonts w:hint="eastAsia" w:ascii="仿宋" w:hAnsi="仿宋" w:eastAsia="仿宋" w:cs="仿宋"/>
          <w:color w:val="auto"/>
          <w:sz w:val="24"/>
          <w:highlight w:val="none"/>
          <w:lang w:eastAsia="zh-CN"/>
        </w:rPr>
        <w:t>资格预审文件</w:t>
      </w:r>
      <w:r>
        <w:rPr>
          <w:rFonts w:hint="eastAsia" w:ascii="仿宋" w:hAnsi="仿宋" w:eastAsia="仿宋" w:cs="仿宋"/>
          <w:color w:val="auto"/>
          <w:sz w:val="24"/>
          <w:highlight w:val="none"/>
        </w:rPr>
        <w:t>由投标人自行编写。</w:t>
      </w:r>
      <w:bookmarkStart w:id="99" w:name="_Toc217446051"/>
      <w:bookmarkStart w:id="100" w:name="_Toc183682361"/>
      <w:bookmarkStart w:id="101" w:name="_Toc183582224"/>
    </w:p>
    <w:p w14:paraId="0531C720">
      <w:pPr>
        <w:shd w:val="clear"/>
        <w:spacing w:line="520" w:lineRule="exact"/>
        <w:ind w:firstLine="472" w:firstLineChars="196"/>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11</w:t>
      </w:r>
      <w:r>
        <w:rPr>
          <w:rFonts w:hint="eastAsia" w:ascii="仿宋" w:hAnsi="仿宋" w:eastAsia="仿宋" w:cs="仿宋"/>
          <w:b/>
          <w:color w:val="auto"/>
          <w:sz w:val="24"/>
          <w:highlight w:val="none"/>
        </w:rPr>
        <w:t>.</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资格预审申请文件的编制和签署</w:t>
      </w:r>
    </w:p>
    <w:bookmarkEnd w:id="99"/>
    <w:bookmarkEnd w:id="100"/>
    <w:bookmarkEnd w:id="101"/>
    <w:p w14:paraId="6FD65FF4">
      <w:pPr>
        <w:shd w:val="clear"/>
        <w:spacing w:line="520" w:lineRule="exact"/>
        <w:ind w:firstLine="470" w:firstLineChars="19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11</w:t>
      </w:r>
      <w:r>
        <w:rPr>
          <w:rFonts w:hint="eastAsia" w:ascii="仿宋" w:hAnsi="仿宋" w:eastAsia="仿宋" w:cs="仿宋"/>
          <w:b/>
          <w:bCs/>
          <w:color w:val="auto"/>
          <w:sz w:val="24"/>
          <w:highlight w:val="none"/>
        </w:rPr>
        <w:t>.1资格预审申请文件至少按本项目</w:t>
      </w:r>
      <w:r>
        <w:rPr>
          <w:rFonts w:hint="eastAsia" w:ascii="仿宋" w:hAnsi="仿宋" w:eastAsia="仿宋" w:cs="仿宋"/>
          <w:b/>
          <w:bCs/>
          <w:color w:val="auto"/>
          <w:sz w:val="24"/>
          <w:highlight w:val="none"/>
          <w:lang w:eastAsia="zh-CN"/>
        </w:rPr>
        <w:t>资格预审文件</w:t>
      </w:r>
      <w:r>
        <w:rPr>
          <w:rFonts w:hint="eastAsia" w:ascii="仿宋" w:hAnsi="仿宋" w:eastAsia="仿宋" w:cs="仿宋"/>
          <w:b/>
          <w:bCs/>
          <w:color w:val="auto"/>
          <w:sz w:val="24"/>
          <w:highlight w:val="none"/>
        </w:rPr>
        <w:t>提交正本一份、副本一份、电子文档一份（电子文档内容应与投标文件正本一致，</w:t>
      </w:r>
      <w:r>
        <w:rPr>
          <w:rFonts w:hint="eastAsia" w:ascii="仿宋" w:hAnsi="仿宋" w:eastAsia="仿宋" w:cs="仿宋"/>
          <w:b/>
          <w:bCs/>
          <w:color w:val="auto"/>
          <w:sz w:val="24"/>
          <w:highlight w:val="none"/>
          <w:lang w:eastAsia="zh-CN"/>
        </w:rPr>
        <w:t>如不一致以投标文件正本为准，</w:t>
      </w:r>
      <w:r>
        <w:rPr>
          <w:rFonts w:hint="eastAsia" w:ascii="仿宋" w:hAnsi="仿宋" w:eastAsia="仿宋" w:cs="仿宋"/>
          <w:b/>
          <w:bCs/>
          <w:color w:val="auto"/>
          <w:sz w:val="24"/>
          <w:highlight w:val="none"/>
          <w:lang w:val="en-US" w:eastAsia="zh-CN"/>
        </w:rPr>
        <w:t>采用</w:t>
      </w:r>
      <w:r>
        <w:rPr>
          <w:rFonts w:hint="eastAsia" w:ascii="仿宋" w:hAnsi="仿宋" w:eastAsia="仿宋" w:cs="仿宋"/>
          <w:b/>
          <w:bCs/>
          <w:color w:val="auto"/>
          <w:sz w:val="24"/>
          <w:highlight w:val="none"/>
        </w:rPr>
        <w:t>U盘为文件载体）。</w:t>
      </w:r>
    </w:p>
    <w:p w14:paraId="561D544F">
      <w:pPr>
        <w:shd w:val="clear"/>
        <w:snapToGrid w:val="0"/>
        <w:spacing w:line="520" w:lineRule="exact"/>
        <w:ind w:firstLine="47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.2资格预审申请文件正本和副本均需打印或用不褪色、不变质的墨水书写，并在规定签章处签字和盖章。申请文件副本可采用正本的复印件，若正本和副本有不一致的内容，以正本书面申请文件为准。</w:t>
      </w:r>
    </w:p>
    <w:p w14:paraId="504CF246">
      <w:pPr>
        <w:shd w:val="clear"/>
        <w:tabs>
          <w:tab w:val="left" w:pos="1095"/>
        </w:tabs>
        <w:snapToGrid w:val="0"/>
        <w:spacing w:line="520" w:lineRule="exact"/>
        <w:ind w:firstLine="46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.3资格预审申请文件的打印和书写应清楚工整，任何行间插字、涂改或增删，必须由投标人的法定代表人/单位负责人或其授权代表签字</w:t>
      </w:r>
      <w:r>
        <w:rPr>
          <w:rFonts w:hint="eastAsia" w:ascii="仿宋" w:hAnsi="仿宋" w:eastAsia="仿宋" w:cs="仿宋"/>
          <w:color w:val="auto"/>
          <w:sz w:val="24"/>
          <w:highlight w:val="none"/>
          <w:lang w:eastAsia="zh-CN"/>
        </w:rPr>
        <w:t>并加</w:t>
      </w:r>
      <w:r>
        <w:rPr>
          <w:rFonts w:hint="eastAsia" w:ascii="仿宋" w:hAnsi="仿宋" w:eastAsia="仿宋" w:cs="仿宋"/>
          <w:color w:val="auto"/>
          <w:sz w:val="24"/>
          <w:highlight w:val="none"/>
        </w:rPr>
        <w:t>盖投标人公章。</w:t>
      </w:r>
    </w:p>
    <w:p w14:paraId="41AD7647">
      <w:pPr>
        <w:shd w:val="clear"/>
        <w:tabs>
          <w:tab w:val="left" w:pos="1080"/>
        </w:tabs>
        <w:snapToGrid w:val="0"/>
        <w:spacing w:line="520" w:lineRule="exact"/>
        <w:ind w:firstLine="46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.4资格预审申请文件应由投标人法定代表人/主要负责人/本人或其授权代</w:t>
      </w:r>
      <w:r>
        <w:rPr>
          <w:rFonts w:hint="eastAsia" w:ascii="仿宋" w:hAnsi="仿宋" w:eastAsia="仿宋" w:cs="仿宋"/>
          <w:color w:val="auto"/>
          <w:sz w:val="24"/>
          <w:highlight w:val="none"/>
          <w:lang w:eastAsia="zh-CN"/>
        </w:rPr>
        <w:t>表人</w:t>
      </w:r>
      <w:r>
        <w:rPr>
          <w:rFonts w:hint="eastAsia" w:ascii="仿宋" w:hAnsi="仿宋" w:eastAsia="仿宋" w:cs="仿宋"/>
          <w:color w:val="auto"/>
          <w:sz w:val="24"/>
          <w:highlight w:val="none"/>
        </w:rPr>
        <w:t>在申请文件要求的地方签字（或加盖法定代表人私人印章）</w:t>
      </w:r>
      <w:r>
        <w:rPr>
          <w:rFonts w:hint="eastAsia" w:ascii="仿宋" w:hAnsi="仿宋" w:eastAsia="仿宋" w:cs="仿宋"/>
          <w:color w:val="auto"/>
          <w:sz w:val="24"/>
          <w:highlight w:val="none"/>
          <w:lang w:eastAsia="zh-CN"/>
        </w:rPr>
        <w:t>，在</w:t>
      </w:r>
      <w:r>
        <w:rPr>
          <w:rFonts w:hint="eastAsia" w:ascii="仿宋" w:hAnsi="仿宋" w:eastAsia="仿宋" w:cs="仿宋"/>
          <w:color w:val="auto"/>
          <w:sz w:val="24"/>
          <w:highlight w:val="none"/>
        </w:rPr>
        <w:t>要求加盖公章的地方加盖单位公章，不得使用专用章（如经济合同章、投标专用章等）或下属单位印章代替。</w:t>
      </w:r>
    </w:p>
    <w:p w14:paraId="78C0AC48">
      <w:pPr>
        <w:shd w:val="clear"/>
        <w:tabs>
          <w:tab w:val="left" w:pos="1080"/>
        </w:tabs>
        <w:snapToGrid w:val="0"/>
        <w:spacing w:line="520" w:lineRule="exact"/>
        <w:ind w:firstLine="46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.5资格预审申请文件应根据</w:t>
      </w:r>
      <w:r>
        <w:rPr>
          <w:rFonts w:hint="eastAsia" w:ascii="仿宋" w:hAnsi="仿宋" w:eastAsia="仿宋" w:cs="仿宋"/>
          <w:color w:val="auto"/>
          <w:sz w:val="24"/>
          <w:highlight w:val="none"/>
          <w:lang w:eastAsia="zh-CN"/>
        </w:rPr>
        <w:t>资格预审文件</w:t>
      </w:r>
      <w:r>
        <w:rPr>
          <w:rFonts w:hint="eastAsia" w:ascii="仿宋" w:hAnsi="仿宋" w:eastAsia="仿宋" w:cs="仿宋"/>
          <w:color w:val="auto"/>
          <w:sz w:val="24"/>
          <w:highlight w:val="none"/>
        </w:rPr>
        <w:t>的要求制作，签署、盖章。</w:t>
      </w:r>
    </w:p>
    <w:p w14:paraId="32DDEDAA">
      <w:pPr>
        <w:shd w:val="clear"/>
        <w:tabs>
          <w:tab w:val="left" w:pos="1080"/>
        </w:tabs>
        <w:spacing w:line="520" w:lineRule="exact"/>
        <w:ind w:firstLine="463" w:firstLineChars="192"/>
        <w:rPr>
          <w:rFonts w:hint="default" w:ascii="仿宋" w:hAnsi="仿宋" w:eastAsia="仿宋" w:cs="仿宋"/>
          <w:b/>
          <w:color w:val="auto"/>
          <w:sz w:val="24"/>
          <w:highlight w:val="none"/>
          <w:lang w:val="en-US" w:eastAsia="zh-CN"/>
        </w:rPr>
      </w:pPr>
      <w:bookmarkStart w:id="102" w:name="_Toc89075877"/>
      <w:bookmarkStart w:id="103" w:name="_Toc77400781"/>
      <w:bookmarkStart w:id="104" w:name="_Toc183682363"/>
      <w:bookmarkStart w:id="105" w:name="_Toc183582226"/>
      <w:bookmarkStart w:id="106" w:name="_Toc217446053"/>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资格预审申请文件的密封</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标注</w:t>
      </w:r>
      <w:r>
        <w:rPr>
          <w:rFonts w:hint="eastAsia" w:ascii="仿宋" w:hAnsi="仿宋" w:eastAsia="仿宋" w:cs="仿宋"/>
          <w:b/>
          <w:color w:val="auto"/>
          <w:sz w:val="24"/>
          <w:highlight w:val="none"/>
          <w:lang w:val="en-US" w:eastAsia="zh-CN"/>
        </w:rPr>
        <w:t>及装订</w:t>
      </w:r>
    </w:p>
    <w:p w14:paraId="728D8118">
      <w:pPr>
        <w:shd w:val="clear"/>
        <w:tabs>
          <w:tab w:val="left" w:pos="1080"/>
        </w:tabs>
        <w:spacing w:line="520" w:lineRule="exact"/>
        <w:ind w:firstLine="482" w:firstLineChars="200"/>
        <w:rPr>
          <w:rFonts w:hint="eastAsia" w:ascii="仿宋" w:hAnsi="仿宋" w:eastAsia="仿宋" w:cs="仿宋"/>
          <w:b/>
          <w:color w:val="auto"/>
          <w:sz w:val="24"/>
          <w:szCs w:val="22"/>
          <w:highlight w:val="none"/>
          <w:lang w:val="en-US" w:eastAsia="zh-CN"/>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.1</w:t>
      </w:r>
      <w:r>
        <w:rPr>
          <w:rFonts w:hint="eastAsia" w:ascii="方正仿宋_GBK" w:hAnsi="宋体" w:eastAsia="方正仿宋_GBK"/>
          <w:b/>
          <w:bCs/>
          <w:color w:val="auto"/>
          <w:sz w:val="24"/>
          <w:szCs w:val="24"/>
          <w:highlight w:val="none"/>
          <w:lang w:val="en-US" w:eastAsia="zh-CN"/>
        </w:rPr>
        <w:t>投标人</w:t>
      </w:r>
      <w:r>
        <w:rPr>
          <w:rFonts w:hint="eastAsia" w:ascii="方正仿宋_GBK" w:hAnsi="宋体" w:eastAsia="方正仿宋_GBK"/>
          <w:b/>
          <w:bCs/>
          <w:color w:val="auto"/>
          <w:sz w:val="24"/>
          <w:szCs w:val="24"/>
          <w:highlight w:val="none"/>
        </w:rPr>
        <w:t>应按照“第四章 投标人应当提供的资格预审申请文件的内容和格式”规定的顺序组织编写和装订资格预审申请文件，</w:t>
      </w:r>
      <w:r>
        <w:rPr>
          <w:rFonts w:hint="eastAsia" w:ascii="仿宋" w:hAnsi="仿宋" w:eastAsia="仿宋" w:cs="仿宋"/>
          <w:b/>
          <w:bCs/>
          <w:color w:val="auto"/>
          <w:sz w:val="24"/>
          <w:szCs w:val="22"/>
          <w:highlight w:val="none"/>
          <w:lang w:val="en-US" w:eastAsia="zh-CN"/>
        </w:rPr>
        <w:t>密封完整后递交。</w:t>
      </w:r>
    </w:p>
    <w:p w14:paraId="1690F6EA">
      <w:pPr>
        <w:shd w:val="clear"/>
        <w:tabs>
          <w:tab w:val="left" w:pos="1080"/>
        </w:tabs>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w:t>
      </w:r>
      <w:r>
        <w:rPr>
          <w:rFonts w:hint="eastAsia" w:ascii="仿宋" w:hAnsi="仿宋" w:eastAsia="仿宋" w:cs="仿宋"/>
          <w:b/>
          <w:bCs/>
          <w:color w:val="auto"/>
          <w:sz w:val="24"/>
          <w:highlight w:val="none"/>
        </w:rPr>
        <w:t>提</w:t>
      </w:r>
      <w:r>
        <w:rPr>
          <w:rFonts w:hint="eastAsia" w:ascii="仿宋" w:hAnsi="仿宋" w:eastAsia="仿宋" w:cs="仿宋"/>
          <w:b/>
          <w:color w:val="auto"/>
          <w:sz w:val="24"/>
          <w:szCs w:val="22"/>
          <w:highlight w:val="none"/>
        </w:rPr>
        <w:t>交的资格预审申请文件正本、副本、电子文档</w:t>
      </w:r>
      <w:r>
        <w:rPr>
          <w:rFonts w:hint="eastAsia" w:ascii="仿宋" w:hAnsi="仿宋" w:eastAsia="仿宋" w:cs="仿宋"/>
          <w:b/>
          <w:color w:val="auto"/>
          <w:sz w:val="24"/>
          <w:szCs w:val="22"/>
          <w:highlight w:val="none"/>
          <w:lang w:val="en-US" w:eastAsia="zh-CN"/>
        </w:rPr>
        <w:t>都须</w:t>
      </w:r>
      <w:r>
        <w:rPr>
          <w:rFonts w:hint="eastAsia" w:ascii="仿宋" w:hAnsi="仿宋" w:eastAsia="仿宋" w:cs="仿宋"/>
          <w:b/>
          <w:color w:val="auto"/>
          <w:sz w:val="24"/>
          <w:szCs w:val="22"/>
          <w:highlight w:val="none"/>
        </w:rPr>
        <w:t>单独密封包装，密封袋最外层应清楚地标明采购项目名称、采购项目编号、投标人名称、</w:t>
      </w:r>
      <w:r>
        <w:rPr>
          <w:rFonts w:hint="eastAsia" w:ascii="仿宋" w:hAnsi="仿宋" w:eastAsia="仿宋" w:cs="仿宋"/>
          <w:b/>
          <w:color w:val="auto"/>
          <w:sz w:val="24"/>
          <w:szCs w:val="22"/>
          <w:highlight w:val="none"/>
          <w:lang w:val="en-US" w:eastAsia="zh-CN"/>
        </w:rPr>
        <w:t>所有投标品目的序号、品目名称</w:t>
      </w:r>
      <w:r>
        <w:rPr>
          <w:rFonts w:hint="eastAsia" w:ascii="仿宋" w:hAnsi="仿宋" w:eastAsia="仿宋" w:cs="仿宋"/>
          <w:b/>
          <w:color w:val="auto"/>
          <w:sz w:val="24"/>
          <w:szCs w:val="22"/>
          <w:highlight w:val="none"/>
        </w:rPr>
        <w:t>、资格预审申</w:t>
      </w:r>
      <w:r>
        <w:rPr>
          <w:rFonts w:hint="eastAsia" w:ascii="仿宋" w:hAnsi="仿宋" w:eastAsia="仿宋" w:cs="仿宋"/>
          <w:b/>
          <w:color w:val="auto"/>
          <w:sz w:val="24"/>
          <w:highlight w:val="none"/>
        </w:rPr>
        <w:t>请文件</w:t>
      </w:r>
      <w:r>
        <w:rPr>
          <w:rFonts w:hint="eastAsia" w:ascii="仿宋" w:hAnsi="仿宋" w:eastAsia="仿宋" w:cs="仿宋"/>
          <w:b/>
          <w:color w:val="auto"/>
          <w:sz w:val="24"/>
          <w:highlight w:val="none"/>
          <w:lang w:val="en-US" w:eastAsia="zh-CN"/>
        </w:rPr>
        <w:t>正本/副本/电子文档</w:t>
      </w:r>
      <w:r>
        <w:rPr>
          <w:rFonts w:hint="eastAsia" w:ascii="仿宋" w:hAnsi="仿宋" w:eastAsia="仿宋" w:cs="仿宋"/>
          <w:b/>
          <w:color w:val="auto"/>
          <w:sz w:val="24"/>
          <w:highlight w:val="none"/>
        </w:rPr>
        <w:t>字样。</w:t>
      </w:r>
    </w:p>
    <w:p w14:paraId="5EC7234A">
      <w:pPr>
        <w:shd w:val="clear"/>
        <w:tabs>
          <w:tab w:val="left" w:pos="1080"/>
        </w:tabs>
        <w:spacing w:line="520" w:lineRule="exact"/>
        <w:ind w:firstLine="460" w:firstLineChars="192"/>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.2 所有外层密封袋的封口处应粘贴牢固。</w:t>
      </w:r>
    </w:p>
    <w:bookmarkEnd w:id="102"/>
    <w:bookmarkEnd w:id="103"/>
    <w:bookmarkEnd w:id="104"/>
    <w:bookmarkEnd w:id="105"/>
    <w:bookmarkEnd w:id="106"/>
    <w:p w14:paraId="7C1781ED">
      <w:pPr>
        <w:shd w:val="clear"/>
        <w:tabs>
          <w:tab w:val="left" w:pos="1080"/>
        </w:tabs>
        <w:spacing w:line="520" w:lineRule="exact"/>
        <w:ind w:firstLine="463" w:firstLineChars="192"/>
        <w:rPr>
          <w:rFonts w:hint="eastAsia" w:ascii="仿宋" w:hAnsi="仿宋" w:eastAsia="仿宋" w:cs="仿宋"/>
          <w:b/>
          <w:color w:val="auto"/>
          <w:sz w:val="24"/>
          <w:highlight w:val="none"/>
        </w:rPr>
      </w:pPr>
      <w:bookmarkStart w:id="107" w:name="_Toc183682365"/>
      <w:bookmarkStart w:id="108" w:name="_Toc183582228"/>
      <w:bookmarkStart w:id="109" w:name="_Toc217446055"/>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 资格预审申请文件的修改和撤回（补充、修改申请文件的密封和标注按照本章“</w:t>
      </w:r>
      <w:r>
        <w:rPr>
          <w:rFonts w:hint="eastAsia" w:ascii="仿宋" w:hAnsi="仿宋" w:eastAsia="仿宋" w:cs="仿宋"/>
          <w:b/>
          <w:color w:val="auto"/>
          <w:sz w:val="24"/>
          <w:highlight w:val="none"/>
          <w:lang w:val="en-US" w:eastAsia="zh-CN"/>
        </w:rPr>
        <w:t>12</w:t>
      </w:r>
      <w:r>
        <w:rPr>
          <w:rFonts w:hint="eastAsia" w:ascii="仿宋" w:hAnsi="仿宋" w:eastAsia="仿宋" w:cs="仿宋"/>
          <w:b/>
          <w:color w:val="auto"/>
          <w:sz w:val="24"/>
          <w:highlight w:val="none"/>
        </w:rPr>
        <w:t>.申请文件的密封、标注及装订”规定处理）</w:t>
      </w:r>
    </w:p>
    <w:p w14:paraId="7C4B887A">
      <w:pPr>
        <w:pStyle w:val="143"/>
        <w:shd w:val="clear"/>
        <w:tabs>
          <w:tab w:val="left" w:pos="1140"/>
        </w:tabs>
        <w:spacing w:line="520" w:lineRule="exact"/>
        <w:ind w:right="236" w:firstLine="472"/>
        <w:jc w:val="left"/>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1</w:t>
      </w:r>
      <w:r>
        <w:rPr>
          <w:rFonts w:hint="eastAsia" w:ascii="仿宋" w:hAnsi="仿宋" w:eastAsia="仿宋" w:cs="仿宋"/>
          <w:color w:val="auto"/>
          <w:spacing w:val="-2"/>
          <w:sz w:val="24"/>
          <w:highlight w:val="none"/>
          <w:lang w:val="en-US" w:eastAsia="zh-CN"/>
        </w:rPr>
        <w:t>3</w:t>
      </w:r>
      <w:r>
        <w:rPr>
          <w:rFonts w:hint="eastAsia" w:ascii="仿宋" w:hAnsi="仿宋" w:eastAsia="仿宋" w:cs="仿宋"/>
          <w:color w:val="auto"/>
          <w:spacing w:val="-2"/>
          <w:sz w:val="24"/>
          <w:highlight w:val="none"/>
        </w:rPr>
        <w:t>.1</w:t>
      </w:r>
      <w:r>
        <w:rPr>
          <w:rFonts w:hint="eastAsia" w:ascii="仿宋" w:hAnsi="仿宋" w:eastAsia="仿宋" w:cs="仿宋"/>
          <w:color w:val="auto"/>
          <w:spacing w:val="-3"/>
          <w:sz w:val="24"/>
          <w:highlight w:val="none"/>
        </w:rPr>
        <w:t>投标人在提交</w:t>
      </w:r>
      <w:r>
        <w:rPr>
          <w:rFonts w:hint="eastAsia" w:ascii="仿宋" w:hAnsi="仿宋" w:eastAsia="仿宋" w:cs="仿宋"/>
          <w:color w:val="auto"/>
          <w:spacing w:val="-2"/>
          <w:sz w:val="24"/>
          <w:highlight w:val="none"/>
        </w:rPr>
        <w:t>申请文件后可对其申请文件进行修改或撤回，但该修改或撤回的书面通</w:t>
      </w:r>
      <w:r>
        <w:rPr>
          <w:rFonts w:hint="eastAsia" w:ascii="仿宋" w:hAnsi="仿宋" w:eastAsia="仿宋" w:cs="仿宋"/>
          <w:color w:val="auto"/>
          <w:spacing w:val="-3"/>
          <w:sz w:val="24"/>
          <w:highlight w:val="none"/>
        </w:rPr>
        <w:t>知须在递交截止时间之前送达采购代理机构，补充、修改的内容作为申请文件的组成部分</w:t>
      </w:r>
      <w:r>
        <w:rPr>
          <w:rFonts w:hint="eastAsia" w:ascii="仿宋" w:hAnsi="仿宋" w:eastAsia="仿宋" w:cs="仿宋"/>
          <w:color w:val="auto"/>
          <w:spacing w:val="-3"/>
          <w:sz w:val="24"/>
          <w:highlight w:val="none"/>
          <w:lang w:eastAsia="zh-CN"/>
        </w:rPr>
        <w:t>，</w:t>
      </w:r>
      <w:r>
        <w:rPr>
          <w:rFonts w:hint="eastAsia" w:ascii="仿宋" w:hAnsi="仿宋" w:eastAsia="仿宋" w:cs="仿宋"/>
          <w:color w:val="auto"/>
          <w:spacing w:val="-3"/>
          <w:sz w:val="24"/>
          <w:highlight w:val="none"/>
        </w:rPr>
        <w:t>且该通知需经正式授权的投标人代表签字或加盖单位公章方为有效</w:t>
      </w:r>
      <w:r>
        <w:rPr>
          <w:rFonts w:hint="eastAsia" w:ascii="仿宋" w:hAnsi="仿宋" w:eastAsia="仿宋" w:cs="仿宋"/>
          <w:color w:val="auto"/>
          <w:spacing w:val="-7"/>
          <w:sz w:val="24"/>
          <w:highlight w:val="none"/>
        </w:rPr>
        <w:t>。投标人在提交申请文件截止时间前，可以对</w:t>
      </w:r>
      <w:r>
        <w:rPr>
          <w:rFonts w:hint="eastAsia" w:ascii="仿宋" w:hAnsi="仿宋" w:eastAsia="仿宋" w:cs="仿宋"/>
          <w:color w:val="auto"/>
          <w:spacing w:val="-13"/>
          <w:sz w:val="24"/>
          <w:highlight w:val="none"/>
        </w:rPr>
        <w:t>所提交的申请文件进行补充、修改或者撤回，补充、修改的内容与申请文件不一致的，以补充、</w:t>
      </w:r>
      <w:r>
        <w:rPr>
          <w:rFonts w:hint="eastAsia" w:ascii="仿宋" w:hAnsi="仿宋" w:eastAsia="仿宋" w:cs="仿宋"/>
          <w:color w:val="auto"/>
          <w:sz w:val="24"/>
          <w:highlight w:val="none"/>
        </w:rPr>
        <w:t>修改的内容为准。</w:t>
      </w:r>
    </w:p>
    <w:p w14:paraId="4886B4F5">
      <w:pPr>
        <w:pStyle w:val="143"/>
        <w:shd w:val="clear"/>
        <w:tabs>
          <w:tab w:val="left" w:pos="1140"/>
        </w:tabs>
        <w:spacing w:line="520" w:lineRule="exact"/>
        <w:ind w:right="356" w:firstLine="468"/>
        <w:jc w:val="left"/>
        <w:rPr>
          <w:rFonts w:hint="eastAsia" w:ascii="仿宋" w:hAnsi="仿宋" w:eastAsia="仿宋" w:cs="仿宋"/>
          <w:color w:val="auto"/>
          <w:sz w:val="24"/>
          <w:highlight w:val="none"/>
        </w:rPr>
      </w:pPr>
      <w:r>
        <w:rPr>
          <w:rFonts w:hint="eastAsia" w:ascii="仿宋" w:hAnsi="仿宋" w:eastAsia="仿宋" w:cs="仿宋"/>
          <w:color w:val="auto"/>
          <w:spacing w:val="-3"/>
          <w:sz w:val="24"/>
          <w:highlight w:val="none"/>
        </w:rPr>
        <w:t>1</w:t>
      </w:r>
      <w:r>
        <w:rPr>
          <w:rFonts w:hint="eastAsia" w:ascii="仿宋" w:hAnsi="仿宋" w:eastAsia="仿宋" w:cs="仿宋"/>
          <w:color w:val="auto"/>
          <w:spacing w:val="-3"/>
          <w:sz w:val="24"/>
          <w:highlight w:val="none"/>
          <w:lang w:val="en-US" w:eastAsia="zh-CN"/>
        </w:rPr>
        <w:t>3</w:t>
      </w:r>
      <w:r>
        <w:rPr>
          <w:rFonts w:hint="eastAsia" w:ascii="仿宋" w:hAnsi="仿宋" w:eastAsia="仿宋" w:cs="仿宋"/>
          <w:color w:val="auto"/>
          <w:spacing w:val="-3"/>
          <w:sz w:val="24"/>
          <w:highlight w:val="none"/>
        </w:rPr>
        <w:t>.2投标人对申请文件修改的书面材料或撤回的通知应该按规定进行编写、密封、标注和</w:t>
      </w:r>
      <w:r>
        <w:rPr>
          <w:rFonts w:hint="eastAsia" w:ascii="仿宋" w:hAnsi="仿宋" w:eastAsia="仿宋" w:cs="仿宋"/>
          <w:color w:val="auto"/>
          <w:sz w:val="24"/>
          <w:highlight w:val="none"/>
        </w:rPr>
        <w:t>递送，并注明“修改申请文件”字样。</w:t>
      </w:r>
    </w:p>
    <w:p w14:paraId="5721AF68">
      <w:pPr>
        <w:shd w:val="clear"/>
        <w:spacing w:line="520" w:lineRule="exact"/>
        <w:ind w:firstLine="480"/>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.3</w:t>
      </w:r>
      <w:r>
        <w:rPr>
          <w:rFonts w:hint="eastAsia" w:ascii="仿宋" w:hAnsi="仿宋" w:eastAsia="仿宋" w:cs="仿宋"/>
          <w:color w:val="auto"/>
          <w:spacing w:val="-3"/>
          <w:sz w:val="24"/>
          <w:highlight w:val="none"/>
        </w:rPr>
        <w:t>投标人</w:t>
      </w:r>
      <w:r>
        <w:rPr>
          <w:rFonts w:hint="eastAsia" w:ascii="仿宋" w:hAnsi="仿宋" w:eastAsia="仿宋" w:cs="仿宋"/>
          <w:color w:val="auto"/>
          <w:sz w:val="24"/>
          <w:highlight w:val="none"/>
        </w:rPr>
        <w:t>对其提交的申请文件的真实性、合法性承担法律责任。</w:t>
      </w:r>
      <w:bookmarkEnd w:id="107"/>
      <w:bookmarkEnd w:id="108"/>
      <w:bookmarkEnd w:id="109"/>
    </w:p>
    <w:p w14:paraId="4C01ED58">
      <w:pPr>
        <w:pStyle w:val="6"/>
        <w:keepNext w:val="0"/>
        <w:keepLines w:val="0"/>
        <w:shd w:val="clear"/>
        <w:spacing w:before="0" w:after="0" w:line="520" w:lineRule="exact"/>
        <w:jc w:val="center"/>
        <w:rPr>
          <w:rFonts w:hint="eastAsia" w:ascii="仿宋" w:hAnsi="仿宋" w:eastAsia="仿宋" w:cs="仿宋"/>
          <w:color w:val="auto"/>
          <w:sz w:val="28"/>
          <w:szCs w:val="28"/>
          <w:highlight w:val="none"/>
        </w:rPr>
      </w:pPr>
      <w:bookmarkStart w:id="110" w:name="_Toc28640"/>
      <w:bookmarkStart w:id="111" w:name="_Toc31930"/>
      <w:bookmarkStart w:id="112" w:name="_Toc25355"/>
      <w:r>
        <w:rPr>
          <w:rFonts w:hint="eastAsia" w:ascii="仿宋" w:hAnsi="仿宋" w:eastAsia="仿宋" w:cs="仿宋"/>
          <w:color w:val="auto"/>
          <w:sz w:val="28"/>
          <w:szCs w:val="28"/>
          <w:highlight w:val="none"/>
        </w:rPr>
        <w:t>五、评审</w:t>
      </w:r>
      <w:bookmarkEnd w:id="110"/>
      <w:bookmarkEnd w:id="111"/>
      <w:bookmarkEnd w:id="112"/>
    </w:p>
    <w:p w14:paraId="1C066488">
      <w:pPr>
        <w:shd w:val="clear"/>
        <w:spacing w:line="520" w:lineRule="exact"/>
        <w:ind w:firstLine="468" w:firstLineChars="200"/>
        <w:rPr>
          <w:rFonts w:hint="eastAsia" w:ascii="仿宋" w:hAnsi="仿宋" w:eastAsia="仿宋" w:cs="仿宋"/>
          <w:color w:val="auto"/>
          <w:spacing w:val="-3"/>
          <w:sz w:val="24"/>
          <w:highlight w:val="none"/>
          <w:lang w:val="en-US" w:eastAsia="zh-CN" w:bidi="ar-SA"/>
        </w:rPr>
      </w:pPr>
      <w:bookmarkStart w:id="113" w:name="_Toc560"/>
      <w:bookmarkStart w:id="114" w:name="_Toc21570"/>
      <w:bookmarkStart w:id="115" w:name="_Toc5618"/>
      <w:bookmarkStart w:id="116" w:name="_Toc16937"/>
      <w:bookmarkStart w:id="117" w:name="_Toc19371"/>
      <w:bookmarkStart w:id="118" w:name="_Toc17761"/>
      <w:bookmarkStart w:id="119" w:name="_Toc21105"/>
      <w:bookmarkStart w:id="120" w:name="_Toc3321"/>
      <w:r>
        <w:rPr>
          <w:rFonts w:hint="eastAsia" w:ascii="仿宋" w:hAnsi="仿宋" w:eastAsia="仿宋" w:cs="仿宋"/>
          <w:color w:val="auto"/>
          <w:spacing w:val="-3"/>
          <w:sz w:val="24"/>
          <w:highlight w:val="none"/>
          <w:lang w:val="en-US" w:eastAsia="zh-CN" w:bidi="ar-SA"/>
        </w:rPr>
        <w:t>14.</w:t>
      </w:r>
      <w:bookmarkEnd w:id="113"/>
      <w:bookmarkEnd w:id="114"/>
      <w:bookmarkEnd w:id="115"/>
      <w:bookmarkEnd w:id="116"/>
      <w:bookmarkEnd w:id="117"/>
      <w:bookmarkEnd w:id="118"/>
      <w:bookmarkEnd w:id="119"/>
      <w:bookmarkEnd w:id="120"/>
      <w:r>
        <w:rPr>
          <w:rFonts w:hint="eastAsia" w:ascii="仿宋" w:hAnsi="仿宋" w:eastAsia="仿宋" w:cs="仿宋"/>
          <w:color w:val="auto"/>
          <w:spacing w:val="-3"/>
          <w:sz w:val="24"/>
          <w:highlight w:val="none"/>
          <w:lang w:val="en-US" w:eastAsia="zh-CN" w:bidi="ar-SA"/>
        </w:rPr>
        <w:t>审查小组：</w:t>
      </w:r>
    </w:p>
    <w:p w14:paraId="220F87BC">
      <w:pPr>
        <w:shd w:val="clear"/>
        <w:spacing w:line="520" w:lineRule="exact"/>
        <w:ind w:firstLine="468" w:firstLineChars="200"/>
        <w:rPr>
          <w:rFonts w:hint="eastAsia" w:ascii="仿宋" w:hAnsi="仿宋" w:eastAsia="仿宋" w:cs="仿宋"/>
          <w:color w:val="auto"/>
          <w:spacing w:val="-3"/>
          <w:sz w:val="24"/>
          <w:highlight w:val="none"/>
          <w:lang w:val="en-US" w:eastAsia="zh-CN" w:bidi="ar-SA"/>
        </w:rPr>
      </w:pPr>
      <w:r>
        <w:rPr>
          <w:rFonts w:hint="eastAsia" w:ascii="仿宋" w:hAnsi="仿宋" w:eastAsia="仿宋" w:cs="仿宋"/>
          <w:color w:val="auto"/>
          <w:spacing w:val="-3"/>
          <w:sz w:val="24"/>
          <w:highlight w:val="none"/>
          <w:lang w:val="en-US" w:eastAsia="zh-CN" w:bidi="ar-SA"/>
        </w:rPr>
        <w:t>14.1样品评审小组的组建由随机抽取的专家组成；</w:t>
      </w:r>
    </w:p>
    <w:p w14:paraId="533B924D">
      <w:pPr>
        <w:shd w:val="clear"/>
        <w:spacing w:line="520" w:lineRule="exact"/>
        <w:ind w:firstLine="468" w:firstLineChars="200"/>
        <w:rPr>
          <w:rFonts w:hint="eastAsia" w:ascii="仿宋" w:hAnsi="仿宋" w:eastAsia="仿宋" w:cs="仿宋"/>
          <w:color w:val="auto"/>
          <w:spacing w:val="-3"/>
          <w:sz w:val="24"/>
          <w:highlight w:val="none"/>
          <w:lang w:val="en-US" w:eastAsia="zh-CN" w:bidi="ar-SA"/>
        </w:rPr>
      </w:pPr>
      <w:r>
        <w:rPr>
          <w:rFonts w:hint="eastAsia" w:ascii="仿宋" w:hAnsi="仿宋" w:eastAsia="仿宋" w:cs="仿宋"/>
          <w:color w:val="auto"/>
          <w:spacing w:val="-3"/>
          <w:sz w:val="24"/>
          <w:highlight w:val="none"/>
          <w:lang w:val="en-US" w:eastAsia="zh-CN" w:bidi="ar-SA"/>
        </w:rPr>
        <w:t>14.2资质审查小组的组建由本次采购人的业主专家和随机抽取专家组成。</w:t>
      </w:r>
    </w:p>
    <w:p w14:paraId="73C99E5E">
      <w:pPr>
        <w:pStyle w:val="6"/>
        <w:keepNext w:val="0"/>
        <w:keepLines w:val="0"/>
        <w:shd w:val="clear"/>
        <w:spacing w:before="0" w:after="0" w:line="520" w:lineRule="exact"/>
        <w:jc w:val="center"/>
        <w:rPr>
          <w:rFonts w:hint="eastAsia" w:ascii="仿宋" w:hAnsi="仿宋" w:eastAsia="仿宋" w:cs="仿宋"/>
          <w:color w:val="auto"/>
          <w:sz w:val="28"/>
          <w:szCs w:val="28"/>
          <w:highlight w:val="none"/>
        </w:rPr>
      </w:pPr>
      <w:bookmarkStart w:id="121" w:name="_Toc31231"/>
      <w:r>
        <w:rPr>
          <w:rFonts w:hint="eastAsia" w:ascii="仿宋" w:hAnsi="仿宋" w:eastAsia="仿宋" w:cs="仿宋"/>
          <w:color w:val="auto"/>
          <w:sz w:val="28"/>
          <w:szCs w:val="28"/>
          <w:highlight w:val="none"/>
        </w:rPr>
        <w:t>六、</w:t>
      </w:r>
      <w:r>
        <w:rPr>
          <w:rFonts w:hint="eastAsia" w:ascii="仿宋" w:hAnsi="仿宋" w:eastAsia="仿宋" w:cs="仿宋"/>
          <w:color w:val="auto"/>
          <w:sz w:val="28"/>
          <w:szCs w:val="28"/>
          <w:highlight w:val="none"/>
          <w:lang w:val="en-US" w:eastAsia="zh-CN"/>
        </w:rPr>
        <w:t>样品、</w:t>
      </w:r>
      <w:r>
        <w:rPr>
          <w:rFonts w:hint="eastAsia" w:ascii="仿宋" w:hAnsi="仿宋" w:eastAsia="仿宋" w:cs="仿宋"/>
          <w:color w:val="auto"/>
          <w:sz w:val="28"/>
          <w:szCs w:val="28"/>
          <w:highlight w:val="none"/>
        </w:rPr>
        <w:t>资质审查</w:t>
      </w:r>
      <w:bookmarkEnd w:id="121"/>
      <w:r>
        <w:rPr>
          <w:rFonts w:hint="eastAsia" w:ascii="仿宋" w:hAnsi="仿宋" w:eastAsia="仿宋" w:cs="仿宋"/>
          <w:color w:val="auto"/>
          <w:sz w:val="28"/>
          <w:szCs w:val="28"/>
          <w:highlight w:val="none"/>
        </w:rPr>
        <w:t>及后续环节要求</w:t>
      </w:r>
    </w:p>
    <w:p w14:paraId="78844C02">
      <w:pPr>
        <w:shd w:val="clear"/>
        <w:spacing w:line="520" w:lineRule="exact"/>
        <w:ind w:firstLine="480"/>
        <w:rPr>
          <w:rFonts w:ascii="仿宋" w:hAnsi="仿宋" w:eastAsia="仿宋" w:cs="仿宋"/>
          <w:color w:val="auto"/>
          <w:sz w:val="24"/>
          <w:szCs w:val="22"/>
          <w:highlight w:val="none"/>
        </w:rPr>
      </w:pPr>
      <w:r>
        <w:rPr>
          <w:rFonts w:hint="eastAsia" w:ascii="仿宋" w:hAnsi="仿宋" w:eastAsia="仿宋" w:cs="仿宋"/>
          <w:color w:val="auto"/>
          <w:sz w:val="24"/>
          <w:szCs w:val="22"/>
          <w:highlight w:val="none"/>
        </w:rPr>
        <w:t>1</w:t>
      </w:r>
      <w:r>
        <w:rPr>
          <w:rFonts w:hint="eastAsia"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资格预审时，</w:t>
      </w:r>
      <w:r>
        <w:rPr>
          <w:rFonts w:hint="eastAsia" w:ascii="仿宋" w:hAnsi="仿宋" w:eastAsia="仿宋" w:cs="仿宋"/>
          <w:color w:val="auto"/>
          <w:spacing w:val="-3"/>
          <w:sz w:val="24"/>
          <w:highlight w:val="none"/>
          <w:lang w:val="en-US" w:eastAsia="zh-CN" w:bidi="ar-SA"/>
        </w:rPr>
        <w:t>样品评审小组、</w:t>
      </w:r>
      <w:r>
        <w:rPr>
          <w:rFonts w:hint="eastAsia" w:ascii="仿宋" w:hAnsi="仿宋" w:eastAsia="仿宋" w:cs="仿宋"/>
          <w:color w:val="auto"/>
          <w:sz w:val="24"/>
          <w:szCs w:val="22"/>
          <w:highlight w:val="none"/>
        </w:rPr>
        <w:t>资质审查小组对投标人进行</w:t>
      </w:r>
      <w:r>
        <w:rPr>
          <w:rFonts w:hint="eastAsia" w:ascii="仿宋" w:hAnsi="仿宋" w:eastAsia="仿宋" w:cs="仿宋"/>
          <w:color w:val="auto"/>
          <w:sz w:val="24"/>
          <w:szCs w:val="22"/>
          <w:highlight w:val="none"/>
          <w:lang w:val="en-US" w:eastAsia="zh-CN"/>
        </w:rPr>
        <w:t>两</w:t>
      </w:r>
      <w:r>
        <w:rPr>
          <w:rFonts w:hint="eastAsia" w:ascii="仿宋" w:hAnsi="仿宋" w:eastAsia="仿宋" w:cs="仿宋"/>
          <w:color w:val="auto"/>
          <w:sz w:val="24"/>
          <w:szCs w:val="22"/>
          <w:highlight w:val="none"/>
        </w:rPr>
        <w:t>个阶段的审查：</w:t>
      </w:r>
    </w:p>
    <w:p w14:paraId="2634D0C7">
      <w:pPr>
        <w:pStyle w:val="3"/>
        <w:shd w:val="clear"/>
        <w:spacing w:line="520" w:lineRule="exact"/>
        <w:ind w:firstLine="490"/>
        <w:rPr>
          <w:rFonts w:hint="default" w:ascii="仿宋" w:hAnsi="仿宋" w:eastAsia="仿宋" w:cs="仿宋"/>
          <w:color w:val="auto"/>
          <w:sz w:val="24"/>
          <w:highlight w:val="none"/>
          <w:lang w:val="en-US" w:eastAsia="zh-CN"/>
        </w:rPr>
      </w:pPr>
      <w:r>
        <w:rPr>
          <w:rFonts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ascii="仿宋" w:hAnsi="仿宋" w:eastAsia="仿宋" w:cs="仿宋"/>
          <w:color w:val="auto"/>
          <w:sz w:val="24"/>
          <w:highlight w:val="none"/>
        </w:rPr>
        <w:t xml:space="preserve">.1 </w:t>
      </w:r>
      <w:r>
        <w:rPr>
          <w:rFonts w:hint="eastAsia" w:ascii="仿宋" w:hAnsi="仿宋" w:eastAsia="仿宋" w:cs="仿宋"/>
          <w:color w:val="auto"/>
          <w:sz w:val="24"/>
          <w:highlight w:val="none"/>
        </w:rPr>
        <w:t>第一阶段：</w:t>
      </w:r>
      <w:r>
        <w:rPr>
          <w:rFonts w:hint="eastAsia" w:ascii="仿宋" w:hAnsi="仿宋" w:eastAsia="仿宋" w:cs="仿宋"/>
          <w:color w:val="auto"/>
          <w:sz w:val="24"/>
          <w:highlight w:val="none"/>
          <w:lang w:eastAsia="zh-CN"/>
        </w:rPr>
        <w:t>样品评审</w:t>
      </w:r>
      <w:r>
        <w:rPr>
          <w:rFonts w:hint="eastAsia" w:ascii="仿宋" w:hAnsi="仿宋" w:eastAsia="仿宋" w:cs="仿宋"/>
          <w:color w:val="auto"/>
          <w:sz w:val="24"/>
          <w:highlight w:val="none"/>
        </w:rPr>
        <w:t>小组</w:t>
      </w:r>
      <w:r>
        <w:rPr>
          <w:rFonts w:hint="eastAsia" w:ascii="仿宋" w:hAnsi="仿宋" w:eastAsia="仿宋" w:cs="仿宋"/>
          <w:color w:val="auto"/>
          <w:sz w:val="24"/>
          <w:highlight w:val="none"/>
          <w:lang w:val="en-US" w:eastAsia="zh-CN"/>
        </w:rPr>
        <w:t>对投标人递交的样品进行样品评审，</w:t>
      </w:r>
      <w:r>
        <w:rPr>
          <w:rFonts w:hint="eastAsia" w:ascii="仿宋" w:hAnsi="仿宋" w:eastAsia="仿宋" w:cs="仿宋"/>
          <w:color w:val="auto"/>
          <w:sz w:val="24"/>
          <w:szCs w:val="24"/>
          <w:highlight w:val="none"/>
          <w:lang w:val="en-US" w:eastAsia="zh-CN"/>
        </w:rPr>
        <w:t>通过样品评审的投标人均进入资质审查。</w:t>
      </w:r>
    </w:p>
    <w:p w14:paraId="4B49D7BB">
      <w:pPr>
        <w:pStyle w:val="3"/>
        <w:shd w:val="clear"/>
        <w:spacing w:line="520" w:lineRule="exact"/>
        <w:ind w:firstLine="49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15.2</w:t>
      </w:r>
      <w:r>
        <w:rPr>
          <w:rFonts w:hint="eastAsia" w:ascii="仿宋" w:hAnsi="仿宋" w:eastAsia="仿宋" w:cs="仿宋"/>
          <w:color w:val="auto"/>
          <w:sz w:val="24"/>
          <w:highlight w:val="none"/>
        </w:rPr>
        <w:t>第二阶段：资质审查小组按资格预审标准要</w:t>
      </w:r>
      <w:r>
        <w:rPr>
          <w:rFonts w:hint="eastAsia" w:ascii="仿宋" w:hAnsi="仿宋" w:eastAsia="仿宋" w:cs="仿宋"/>
          <w:color w:val="auto"/>
          <w:sz w:val="24"/>
          <w:highlight w:val="none"/>
          <w:lang w:eastAsia="zh-CN"/>
        </w:rPr>
        <w:t>求和</w:t>
      </w:r>
      <w:r>
        <w:rPr>
          <w:rFonts w:hint="eastAsia" w:ascii="仿宋" w:hAnsi="仿宋" w:eastAsia="仿宋" w:cs="仿宋"/>
          <w:color w:val="auto"/>
          <w:sz w:val="24"/>
          <w:highlight w:val="none"/>
        </w:rPr>
        <w:t>条件对</w:t>
      </w:r>
      <w:r>
        <w:rPr>
          <w:rFonts w:hint="eastAsia" w:ascii="仿宋" w:hAnsi="仿宋" w:eastAsia="仿宋" w:cs="仿宋"/>
          <w:color w:val="auto"/>
          <w:sz w:val="24"/>
          <w:highlight w:val="none"/>
          <w:lang w:val="en-US" w:eastAsia="zh-CN"/>
        </w:rPr>
        <w:t>通过</w:t>
      </w:r>
      <w:r>
        <w:rPr>
          <w:rFonts w:hint="eastAsia" w:ascii="仿宋" w:hAnsi="仿宋" w:eastAsia="仿宋" w:cs="仿宋"/>
          <w:color w:val="auto"/>
          <w:sz w:val="24"/>
          <w:highlight w:val="none"/>
          <w:lang w:eastAsia="zh-CN"/>
        </w:rPr>
        <w:t>样品评审</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投标人进行</w:t>
      </w:r>
      <w:r>
        <w:rPr>
          <w:rFonts w:hint="eastAsia" w:ascii="仿宋" w:hAnsi="仿宋" w:eastAsia="仿宋" w:cs="仿宋"/>
          <w:color w:val="auto"/>
          <w:sz w:val="24"/>
          <w:highlight w:val="none"/>
          <w:lang w:eastAsia="zh-CN"/>
        </w:rPr>
        <w:t>资格预审</w:t>
      </w:r>
      <w:r>
        <w:rPr>
          <w:rFonts w:hint="eastAsia" w:ascii="仿宋" w:hAnsi="仿宋" w:eastAsia="仿宋" w:cs="仿宋"/>
          <w:color w:val="auto"/>
          <w:sz w:val="24"/>
          <w:highlight w:val="none"/>
          <w:lang w:val="en-US" w:eastAsia="zh-CN"/>
        </w:rPr>
        <w:t>申请</w:t>
      </w:r>
      <w:r>
        <w:rPr>
          <w:rFonts w:hint="eastAsia" w:ascii="仿宋" w:hAnsi="仿宋" w:eastAsia="仿宋" w:cs="仿宋"/>
          <w:color w:val="auto"/>
          <w:sz w:val="24"/>
          <w:highlight w:val="none"/>
          <w:lang w:eastAsia="zh-CN"/>
        </w:rPr>
        <w:t>文件</w:t>
      </w:r>
      <w:r>
        <w:rPr>
          <w:rFonts w:hint="eastAsia" w:ascii="仿宋" w:hAnsi="仿宋" w:eastAsia="仿宋" w:cs="仿宋"/>
          <w:color w:val="auto"/>
          <w:sz w:val="24"/>
          <w:highlight w:val="none"/>
        </w:rPr>
        <w:t>审查。在对投标人的资质审查完毕后，进入第一轮报价审核。</w:t>
      </w:r>
    </w:p>
    <w:p w14:paraId="0BCF8377">
      <w:pPr>
        <w:shd w:val="clear"/>
        <w:spacing w:line="520" w:lineRule="exact"/>
        <w:ind w:firstLine="490"/>
        <w:rPr>
          <w:rFonts w:ascii="仿宋" w:hAnsi="仿宋" w:eastAsia="仿宋" w:cs="仿宋"/>
          <w:color w:val="auto"/>
          <w:sz w:val="24"/>
          <w:highlight w:val="none"/>
        </w:rPr>
      </w:pPr>
      <w:r>
        <w:rPr>
          <w:rFonts w:hint="eastAsia" w:ascii="仿宋" w:hAnsi="仿宋" w:eastAsia="仿宋" w:cs="仿宋"/>
          <w:color w:val="auto"/>
          <w:sz w:val="24"/>
          <w:highlight w:val="none"/>
        </w:rPr>
        <w:t>资质审查通过的投标人进入第一轮报价审核</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即单品目</w:t>
      </w:r>
      <w:r>
        <w:rPr>
          <w:rFonts w:hint="eastAsia" w:ascii="仿宋" w:hAnsi="仿宋" w:eastAsia="仿宋" w:cs="仿宋"/>
          <w:color w:val="auto"/>
          <w:sz w:val="24"/>
          <w:highlight w:val="none"/>
          <w:lang w:eastAsia="zh-CN"/>
        </w:rPr>
        <w:t>耗材</w:t>
      </w:r>
      <w:r>
        <w:rPr>
          <w:rFonts w:hint="eastAsia" w:ascii="仿宋" w:hAnsi="仿宋" w:eastAsia="仿宋" w:cs="仿宋"/>
          <w:color w:val="auto"/>
          <w:sz w:val="24"/>
          <w:highlight w:val="none"/>
        </w:rPr>
        <w:t>报价最低的前五名投标人（不足 5 家时按实际家数确定）可参加后续采购活动（即第二轮报价）。</w:t>
      </w:r>
    </w:p>
    <w:p w14:paraId="1441E774">
      <w:pPr>
        <w:shd w:val="clear"/>
        <w:spacing w:line="520" w:lineRule="exact"/>
        <w:ind w:firstLine="49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b/>
          <w:color w:val="auto"/>
          <w:sz w:val="24"/>
          <w:szCs w:val="24"/>
          <w:highlight w:val="none"/>
          <w:lang w:val="en-US" w:eastAsia="zh-CN"/>
        </w:rPr>
        <w:t>样品要求</w:t>
      </w:r>
      <w:r>
        <w:rPr>
          <w:rFonts w:hint="eastAsia" w:ascii="仿宋" w:hAnsi="仿宋" w:eastAsia="仿宋" w:cs="仿宋"/>
          <w:color w:val="auto"/>
          <w:sz w:val="24"/>
          <w:highlight w:val="none"/>
          <w:lang w:val="en-US" w:eastAsia="zh-CN"/>
        </w:rPr>
        <w:t>：</w:t>
      </w:r>
    </w:p>
    <w:p w14:paraId="7D3FE54A">
      <w:pPr>
        <w:shd w:val="clear"/>
        <w:spacing w:line="520" w:lineRule="exact"/>
        <w:ind w:firstLine="49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15.3.1样品递交要求：</w:t>
      </w:r>
    </w:p>
    <w:p w14:paraId="25F7B8C3">
      <w:pPr>
        <w:numPr>
          <w:ilvl w:val="0"/>
          <w:numId w:val="0"/>
        </w:numPr>
        <w:shd w:val="clear"/>
        <w:spacing w:line="520" w:lineRule="exact"/>
        <w:ind w:firstLine="49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bidi="ar-SA"/>
        </w:rPr>
        <w:t>（1）</w:t>
      </w:r>
      <w:r>
        <w:rPr>
          <w:rFonts w:hint="eastAsia" w:ascii="仿宋" w:hAnsi="仿宋" w:eastAsia="仿宋" w:cs="仿宋"/>
          <w:color w:val="auto"/>
          <w:sz w:val="24"/>
          <w:highlight w:val="none"/>
          <w:lang w:val="en-US" w:eastAsia="zh-CN"/>
        </w:rPr>
        <w:t>时间及地点：详见资格预审邀请</w:t>
      </w:r>
    </w:p>
    <w:p w14:paraId="2FEE8EDA">
      <w:pPr>
        <w:numPr>
          <w:ilvl w:val="0"/>
          <w:numId w:val="0"/>
        </w:numPr>
        <w:shd w:val="clear"/>
        <w:spacing w:line="520" w:lineRule="exact"/>
        <w:ind w:firstLine="490" w:firstLineChars="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（2）所有样品均须一次性递交两份，两份样品需保持一致且独立包装。</w:t>
      </w:r>
    </w:p>
    <w:p w14:paraId="1D8B1377">
      <w:pPr>
        <w:numPr>
          <w:ilvl w:val="0"/>
          <w:numId w:val="0"/>
        </w:numPr>
        <w:shd w:val="clear"/>
        <w:spacing w:line="520" w:lineRule="exact"/>
        <w:ind w:firstLine="49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（3）当品目中部分耗材同一型号规格存在多个不同长度、大小等情形时，投标人无需提供全部规格样品，可自行选择1个型号规格的样品递交，且每个型号规格仅需递交 2 份样品。</w:t>
      </w:r>
    </w:p>
    <w:p w14:paraId="16B6870D">
      <w:pPr>
        <w:numPr>
          <w:ilvl w:val="0"/>
          <w:numId w:val="0"/>
        </w:numPr>
        <w:shd w:val="clear"/>
        <w:spacing w:line="520" w:lineRule="exact"/>
        <w:ind w:firstLine="490" w:firstLineChars="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（4）投标人未提供部分耗材全部规格的样品时，应承诺可提供满足采购要求的其他未提供样品规格的产品。（提供承诺函，格式自拟，加盖投标人公章。）</w:t>
      </w:r>
    </w:p>
    <w:p w14:paraId="4984CF62">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15.3.2</w:t>
      </w:r>
      <w:r>
        <w:rPr>
          <w:rFonts w:hint="eastAsia" w:ascii="仿宋" w:hAnsi="仿宋" w:eastAsia="仿宋" w:cs="仿宋"/>
          <w:b/>
          <w:bCs/>
          <w:color w:val="auto"/>
          <w:sz w:val="24"/>
          <w:highlight w:val="none"/>
          <w:lang w:val="en-US" w:eastAsia="zh-CN"/>
        </w:rPr>
        <w:t>密封及其它要求</w:t>
      </w:r>
      <w:r>
        <w:rPr>
          <w:rFonts w:hint="eastAsia" w:ascii="仿宋" w:hAnsi="仿宋" w:eastAsia="仿宋" w:cs="仿宋"/>
          <w:color w:val="auto"/>
          <w:sz w:val="24"/>
          <w:highlight w:val="none"/>
          <w:lang w:val="en-US" w:eastAsia="zh-CN"/>
        </w:rPr>
        <w:t>：</w:t>
      </w:r>
    </w:p>
    <w:p w14:paraId="53D89443">
      <w:pPr>
        <w:shd w:val="clear"/>
        <w:spacing w:line="520" w:lineRule="exact"/>
        <w:ind w:firstLine="49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default" w:ascii="仿宋" w:hAnsi="仿宋" w:eastAsia="仿宋" w:cs="仿宋"/>
          <w:color w:val="auto"/>
          <w:sz w:val="24"/>
          <w:highlight w:val="none"/>
          <w:lang w:val="en-US" w:eastAsia="zh-CN"/>
        </w:rPr>
        <w:t>投标人应按照清单</w:t>
      </w:r>
      <w:r>
        <w:rPr>
          <w:rFonts w:hint="eastAsia" w:ascii="仿宋" w:hAnsi="仿宋" w:eastAsia="仿宋" w:cs="仿宋"/>
          <w:color w:val="auto"/>
          <w:sz w:val="24"/>
          <w:highlight w:val="none"/>
          <w:lang w:val="en-US" w:eastAsia="zh-CN"/>
        </w:rPr>
        <w:t>中所参与的耗材的型号、规格</w:t>
      </w:r>
      <w:r>
        <w:rPr>
          <w:rFonts w:hint="default" w:ascii="仿宋" w:hAnsi="仿宋" w:eastAsia="仿宋" w:cs="仿宋"/>
          <w:color w:val="auto"/>
          <w:sz w:val="24"/>
          <w:highlight w:val="none"/>
          <w:lang w:val="en-US" w:eastAsia="zh-CN"/>
        </w:rPr>
        <w:t>准备样品。</w:t>
      </w:r>
    </w:p>
    <w:p w14:paraId="0E61D26A">
      <w:pPr>
        <w:shd w:val="clear"/>
        <w:spacing w:line="520" w:lineRule="exact"/>
        <w:ind w:firstLine="49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default" w:ascii="仿宋" w:hAnsi="仿宋" w:eastAsia="仿宋" w:cs="仿宋"/>
          <w:color w:val="auto"/>
          <w:sz w:val="24"/>
          <w:highlight w:val="none"/>
          <w:lang w:val="en-US" w:eastAsia="zh-CN"/>
        </w:rPr>
        <w:t>每</w:t>
      </w:r>
      <w:r>
        <w:rPr>
          <w:rFonts w:hint="eastAsia" w:ascii="仿宋" w:hAnsi="仿宋" w:eastAsia="仿宋" w:cs="仿宋"/>
          <w:color w:val="auto"/>
          <w:sz w:val="24"/>
          <w:highlight w:val="none"/>
          <w:lang w:val="en-US" w:eastAsia="zh-CN"/>
        </w:rPr>
        <w:t>件耗材</w:t>
      </w:r>
      <w:r>
        <w:rPr>
          <w:rFonts w:hint="default" w:ascii="仿宋" w:hAnsi="仿宋" w:eastAsia="仿宋" w:cs="仿宋"/>
          <w:color w:val="auto"/>
          <w:sz w:val="24"/>
          <w:highlight w:val="none"/>
          <w:lang w:val="en-US" w:eastAsia="zh-CN"/>
        </w:rPr>
        <w:t>样品</w:t>
      </w:r>
      <w:r>
        <w:rPr>
          <w:rFonts w:hint="eastAsia" w:ascii="仿宋" w:hAnsi="仿宋" w:eastAsia="仿宋" w:cs="仿宋"/>
          <w:color w:val="auto"/>
          <w:sz w:val="24"/>
          <w:highlight w:val="none"/>
          <w:lang w:val="en-US" w:eastAsia="zh-CN"/>
        </w:rPr>
        <w:t>应</w:t>
      </w:r>
      <w:r>
        <w:rPr>
          <w:rFonts w:hint="default" w:ascii="仿宋" w:hAnsi="仿宋" w:eastAsia="仿宋" w:cs="仿宋"/>
          <w:color w:val="auto"/>
          <w:sz w:val="24"/>
          <w:highlight w:val="none"/>
          <w:lang w:val="en-US" w:eastAsia="zh-CN"/>
        </w:rPr>
        <w:t>独立包装，投标人应在每</w:t>
      </w:r>
      <w:r>
        <w:rPr>
          <w:rFonts w:hint="eastAsia" w:ascii="仿宋" w:hAnsi="仿宋" w:eastAsia="仿宋" w:cs="仿宋"/>
          <w:color w:val="auto"/>
          <w:sz w:val="24"/>
          <w:highlight w:val="none"/>
          <w:lang w:val="en-US" w:eastAsia="zh-CN"/>
        </w:rPr>
        <w:t>件</w:t>
      </w:r>
      <w:r>
        <w:rPr>
          <w:rFonts w:hint="default" w:ascii="仿宋" w:hAnsi="仿宋" w:eastAsia="仿宋" w:cs="仿宋"/>
          <w:color w:val="auto"/>
          <w:sz w:val="24"/>
          <w:highlight w:val="none"/>
          <w:lang w:val="en-US" w:eastAsia="zh-CN"/>
        </w:rPr>
        <w:t>样品包装上使用标签</w:t>
      </w:r>
      <w:r>
        <w:rPr>
          <w:rFonts w:hint="eastAsia" w:ascii="仿宋" w:hAnsi="仿宋" w:eastAsia="仿宋" w:cs="仿宋"/>
          <w:color w:val="auto"/>
          <w:sz w:val="24"/>
          <w:highlight w:val="none"/>
          <w:lang w:val="en-US" w:eastAsia="zh-CN"/>
        </w:rPr>
        <w:t>（样品标签格式附后）</w:t>
      </w:r>
      <w:r>
        <w:rPr>
          <w:rFonts w:hint="default" w:ascii="仿宋" w:hAnsi="仿宋" w:eastAsia="仿宋" w:cs="仿宋"/>
          <w:color w:val="auto"/>
          <w:sz w:val="24"/>
          <w:highlight w:val="none"/>
          <w:lang w:val="en-US" w:eastAsia="zh-CN"/>
        </w:rPr>
        <w:t>，注明样品</w:t>
      </w:r>
      <w:r>
        <w:rPr>
          <w:rFonts w:hint="eastAsia" w:ascii="仿宋" w:hAnsi="仿宋" w:eastAsia="仿宋" w:cs="仿宋"/>
          <w:color w:val="auto"/>
          <w:sz w:val="24"/>
          <w:highlight w:val="none"/>
          <w:lang w:val="en-US" w:eastAsia="zh-CN"/>
        </w:rPr>
        <w:t xml:space="preserve">品目序号、型号规格（品目清单对应的型号规格，如为各型号，则注明“各型号”；如为/则注明“”）。 </w:t>
      </w:r>
    </w:p>
    <w:p w14:paraId="464DDE54">
      <w:pPr>
        <w:shd w:val="clear"/>
        <w:spacing w:line="520" w:lineRule="exact"/>
        <w:ind w:firstLine="490"/>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样品包装</w:t>
      </w:r>
      <w:r>
        <w:rPr>
          <w:rFonts w:hint="eastAsia" w:ascii="仿宋" w:hAnsi="仿宋" w:eastAsia="仿宋" w:cs="仿宋"/>
          <w:color w:val="auto"/>
          <w:sz w:val="24"/>
          <w:highlight w:val="none"/>
          <w:lang w:val="en-US" w:eastAsia="zh-CN"/>
        </w:rPr>
        <w:t>袋、样品本身不得体现任何可识别厂家的</w:t>
      </w:r>
      <w:r>
        <w:rPr>
          <w:rFonts w:hint="default" w:ascii="仿宋" w:hAnsi="仿宋" w:eastAsia="仿宋" w:cs="仿宋"/>
          <w:color w:val="auto"/>
          <w:sz w:val="24"/>
          <w:highlight w:val="none"/>
          <w:lang w:val="en-US" w:eastAsia="zh-CN"/>
        </w:rPr>
        <w:t>标识和文字内容（例如：公司标志、</w:t>
      </w:r>
      <w:r>
        <w:rPr>
          <w:rFonts w:hint="eastAsia" w:ascii="仿宋" w:hAnsi="仿宋" w:eastAsia="仿宋" w:cs="仿宋"/>
          <w:color w:val="auto"/>
          <w:sz w:val="24"/>
          <w:highlight w:val="none"/>
          <w:lang w:val="en-US" w:eastAsia="zh-CN"/>
        </w:rPr>
        <w:t>商标信息、</w:t>
      </w:r>
      <w:r>
        <w:rPr>
          <w:rFonts w:hint="default" w:ascii="仿宋" w:hAnsi="仿宋" w:eastAsia="仿宋" w:cs="仿宋"/>
          <w:color w:val="auto"/>
          <w:sz w:val="24"/>
          <w:highlight w:val="none"/>
          <w:lang w:val="en-US" w:eastAsia="zh-CN"/>
        </w:rPr>
        <w:t>投标人名称、生产厂家信息</w:t>
      </w:r>
      <w:r>
        <w:rPr>
          <w:rFonts w:hint="eastAsia" w:ascii="仿宋" w:hAnsi="仿宋" w:eastAsia="仿宋" w:cs="仿宋"/>
          <w:color w:val="auto"/>
          <w:sz w:val="24"/>
          <w:highlight w:val="none"/>
          <w:lang w:val="en-US" w:eastAsia="zh-CN"/>
        </w:rPr>
        <w:t>、型号</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 xml:space="preserve">，否则不纳入样品评审。（注：个别品目耗材确因其材质、大小、形状等客观原因无法遮盖标识或遮盖标识后可能影响样品评审的除外，由评标委员会认定，投标人不得有异议。） </w:t>
      </w:r>
    </w:p>
    <w:p w14:paraId="28C98BDE">
      <w:pPr>
        <w:shd w:val="clear"/>
        <w:spacing w:line="520" w:lineRule="exact"/>
        <w:ind w:firstLine="49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（3）样品须遮盖logo等信息的，统一采用遮盖标签（遮盖标签格式附后），投标人未使用统一的遮盖标签，或标签在评审时脱落、破损等体现可识别厂家的</w:t>
      </w:r>
      <w:r>
        <w:rPr>
          <w:rFonts w:hint="default" w:ascii="仿宋" w:hAnsi="仿宋" w:eastAsia="仿宋" w:cs="仿宋"/>
          <w:color w:val="auto"/>
          <w:sz w:val="24"/>
          <w:highlight w:val="none"/>
          <w:lang w:val="en-US" w:eastAsia="zh-CN"/>
        </w:rPr>
        <w:t>标识和文字内容</w:t>
      </w:r>
      <w:r>
        <w:rPr>
          <w:rFonts w:hint="eastAsia" w:ascii="仿宋" w:hAnsi="仿宋" w:eastAsia="仿宋" w:cs="仿宋"/>
          <w:color w:val="auto"/>
          <w:sz w:val="24"/>
          <w:highlight w:val="none"/>
          <w:lang w:val="en-US" w:eastAsia="zh-CN"/>
        </w:rPr>
        <w:t>的，视为样品评审未通过。</w:t>
      </w:r>
    </w:p>
    <w:p w14:paraId="095BE6E3">
      <w:pPr>
        <w:shd w:val="clear"/>
        <w:spacing w:line="520" w:lineRule="exact"/>
        <w:ind w:firstLine="49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auto"/>
          <w:sz w:val="24"/>
          <w:highlight w:val="none"/>
          <w:lang w:val="en-US" w:eastAsia="zh-CN"/>
        </w:rPr>
        <w:t>（4）样品独立包装完成后，将单品目耗材样品统一装入密封袋中递交，密封袋封面上应注明品目序号、品目名称（密封袋封面格式附后），封口处须加盖投标人公章（1.涉及多种型号规格统一报价的，提供其中一个型号规格的样品即可；2.</w:t>
      </w:r>
      <w:r>
        <w:rPr>
          <w:rFonts w:hint="eastAsia" w:ascii="仿宋" w:hAnsi="仿宋" w:eastAsia="仿宋" w:cs="仿宋"/>
          <w:color w:val="000000" w:themeColor="text1"/>
          <w:sz w:val="24"/>
          <w:highlight w:val="none"/>
          <w:lang w:val="en-US" w:eastAsia="zh-CN"/>
          <w14:textFill>
            <w14:solidFill>
              <w14:schemeClr w14:val="tx1"/>
            </w14:solidFill>
          </w14:textFill>
        </w:rPr>
        <w:t>若因样品体积过大无法装入密封袋，则装入密封箱递交，要求与上面一致）。</w:t>
      </w:r>
    </w:p>
    <w:p w14:paraId="1549B748">
      <w:pPr>
        <w:shd w:val="clear"/>
        <w:spacing w:line="520" w:lineRule="exact"/>
        <w:ind w:firstLine="49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例如：若投标人同时参与序号9：引流管路、序号17：一次性套管穿刺器、39：一次性导尿管共3种耗材的投标。</w:t>
      </w:r>
    </w:p>
    <w:p w14:paraId="2435E9D6">
      <w:pPr>
        <w:shd w:val="clear"/>
        <w:spacing w:line="520" w:lineRule="exact"/>
        <w:ind w:firstLine="49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序号9递交的2份3种型号规格的样品（各型号规格分别提供一个样品）统一装入密封袋/密封箱递交；</w:t>
      </w:r>
    </w:p>
    <w:p w14:paraId="49E1B6A5">
      <w:pPr>
        <w:shd w:val="clear"/>
        <w:spacing w:line="520" w:lineRule="exact"/>
        <w:ind w:firstLine="49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序号17递交的2份（5mm、10mm、12mm）其中一种型号规格的样品和2份套装型号规格的样品统一装入密封袋/密封箱递交；</w:t>
      </w:r>
    </w:p>
    <w:p w14:paraId="4438A167">
      <w:pPr>
        <w:shd w:val="clear"/>
        <w:spacing w:line="520" w:lineRule="exact"/>
        <w:ind w:firstLine="49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序号39递交的2份任意型号规格的样品装入密封袋/密封箱递交。</w:t>
      </w:r>
    </w:p>
    <w:p w14:paraId="71442C0F">
      <w:pPr>
        <w:shd w:val="clear"/>
        <w:spacing w:line="520" w:lineRule="exact"/>
        <w:ind w:firstLine="49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上述3个品目的样品密封袋/密封箱各自独立，不得装入同一个密封袋/密封箱。</w:t>
      </w:r>
    </w:p>
    <w:p w14:paraId="3122207C">
      <w:pPr>
        <w:shd w:val="clear"/>
        <w:spacing w:line="520" w:lineRule="exact"/>
        <w:ind w:firstLine="49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default" w:ascii="仿宋" w:hAnsi="仿宋" w:eastAsia="仿宋" w:cs="仿宋"/>
          <w:color w:val="auto"/>
          <w:sz w:val="24"/>
          <w:highlight w:val="none"/>
          <w:lang w:val="en-US" w:eastAsia="zh-CN"/>
        </w:rPr>
        <w:t>所有样品不允许3D打印，否则不参与</w:t>
      </w:r>
      <w:r>
        <w:rPr>
          <w:rFonts w:hint="eastAsia" w:ascii="仿宋" w:hAnsi="仿宋" w:eastAsia="仿宋" w:cs="仿宋"/>
          <w:color w:val="auto"/>
          <w:sz w:val="24"/>
          <w:highlight w:val="none"/>
          <w:lang w:val="en-US" w:eastAsia="zh-CN"/>
        </w:rPr>
        <w:t>样品</w:t>
      </w:r>
      <w:r>
        <w:rPr>
          <w:rFonts w:hint="default" w:ascii="仿宋" w:hAnsi="仿宋" w:eastAsia="仿宋" w:cs="仿宋"/>
          <w:color w:val="auto"/>
          <w:sz w:val="24"/>
          <w:highlight w:val="none"/>
          <w:lang w:val="en-US" w:eastAsia="zh-CN"/>
        </w:rPr>
        <w:t>评审。</w:t>
      </w:r>
    </w:p>
    <w:p w14:paraId="02D05DFF">
      <w:pPr>
        <w:shd w:val="clear"/>
        <w:spacing w:line="520" w:lineRule="exact"/>
        <w:ind w:firstLine="49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default" w:ascii="仿宋" w:hAnsi="仿宋" w:eastAsia="仿宋" w:cs="仿宋"/>
          <w:color w:val="auto"/>
          <w:sz w:val="24"/>
          <w:highlight w:val="none"/>
          <w:lang w:val="en-US" w:eastAsia="zh-CN"/>
        </w:rPr>
        <w:t>评审过程中可能对样品造成的损失，投标人应予以接受。</w:t>
      </w:r>
    </w:p>
    <w:p w14:paraId="03AEDB55">
      <w:pPr>
        <w:shd w:val="clear"/>
        <w:spacing w:line="520" w:lineRule="exact"/>
        <w:ind w:firstLine="49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15.3.3样品退还：</w:t>
      </w:r>
    </w:p>
    <w:p w14:paraId="0661FAB9">
      <w:pPr>
        <w:shd w:val="clear"/>
        <w:spacing w:line="520" w:lineRule="exact"/>
        <w:ind w:firstLine="49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（1）中标人的样品将移交</w:t>
      </w:r>
      <w:r>
        <w:rPr>
          <w:rFonts w:hint="default" w:ascii="仿宋" w:hAnsi="仿宋" w:eastAsia="仿宋" w:cs="仿宋"/>
          <w:color w:val="auto"/>
          <w:sz w:val="24"/>
          <w:highlight w:val="none"/>
          <w:lang w:val="en-US" w:eastAsia="zh-CN"/>
        </w:rPr>
        <w:t>采购人封存，供验收时比较。</w:t>
      </w:r>
    </w:p>
    <w:p w14:paraId="58F44404">
      <w:pPr>
        <w:shd w:val="clear"/>
        <w:spacing w:line="520" w:lineRule="exact"/>
        <w:ind w:firstLine="49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bCs/>
          <w:color w:val="auto"/>
          <w:sz w:val="24"/>
          <w:szCs w:val="24"/>
          <w:highlight w:val="none"/>
          <w:lang w:val="en-US" w:eastAsia="zh-CN" w:bidi="ar-SA"/>
        </w:rPr>
        <w:t>其余投标人的样品，采购代理机构在第二轮报价的结果公告发布后180个日历天后的10天内</w:t>
      </w:r>
      <w:r>
        <w:rPr>
          <w:rFonts w:hint="default" w:ascii="仿宋" w:hAnsi="仿宋" w:eastAsia="仿宋" w:cs="仿宋"/>
          <w:color w:val="auto"/>
          <w:sz w:val="24"/>
          <w:highlight w:val="none"/>
          <w:lang w:val="en-US" w:eastAsia="zh-CN"/>
        </w:rPr>
        <w:t>办理退还手续</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zh-CN"/>
        </w:rPr>
        <w:t>逾期未取回的样品，视为投标人放弃其所有权，采购人或采购代理机构有权将其作为废品处理，由此造成的损失由投标人自行承担。</w:t>
      </w:r>
    </w:p>
    <w:p w14:paraId="6C1EA69D">
      <w:pPr>
        <w:shd w:val="clear"/>
        <w:spacing w:line="520" w:lineRule="exact"/>
        <w:ind w:firstLine="49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4投标人须在规定时间内足额交纳</w:t>
      </w:r>
      <w:r>
        <w:rPr>
          <w:rFonts w:hint="eastAsia" w:ascii="仿宋" w:hAnsi="仿宋" w:eastAsia="仿宋" w:cs="仿宋"/>
          <w:color w:val="auto"/>
          <w:sz w:val="24"/>
          <w:highlight w:val="none"/>
        </w:rPr>
        <w:t>投标保证金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否则将不予通过资质审查、进入第一轮报价排名。</w:t>
      </w:r>
    </w:p>
    <w:p w14:paraId="70852650">
      <w:pPr>
        <w:shd w:val="clear"/>
        <w:spacing w:line="520" w:lineRule="exact"/>
        <w:ind w:firstLine="49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5通过</w:t>
      </w:r>
      <w:r>
        <w:rPr>
          <w:rFonts w:hint="eastAsia" w:ascii="仿宋" w:hAnsi="仿宋" w:eastAsia="仿宋" w:cs="仿宋"/>
          <w:color w:val="auto"/>
          <w:sz w:val="24"/>
          <w:highlight w:val="none"/>
        </w:rPr>
        <w:t>资格预审中单品目</w:t>
      </w:r>
      <w:r>
        <w:rPr>
          <w:rFonts w:hint="eastAsia" w:ascii="仿宋" w:hAnsi="仿宋" w:eastAsia="仿宋" w:cs="仿宋"/>
          <w:color w:val="auto"/>
          <w:sz w:val="24"/>
          <w:highlight w:val="none"/>
          <w:lang w:eastAsia="zh-CN"/>
        </w:rPr>
        <w:t>耗材</w:t>
      </w:r>
      <w:r>
        <w:rPr>
          <w:rFonts w:hint="eastAsia" w:ascii="仿宋" w:hAnsi="仿宋" w:eastAsia="仿宋" w:cs="仿宋"/>
          <w:color w:val="auto"/>
          <w:sz w:val="24"/>
          <w:highlight w:val="none"/>
        </w:rPr>
        <w:t>报价最低的前五名投标人名单</w:t>
      </w:r>
      <w:r>
        <w:rPr>
          <w:rFonts w:hint="eastAsia" w:ascii="仿宋" w:hAnsi="仿宋" w:eastAsia="仿宋" w:cs="仿宋"/>
          <w:color w:val="auto"/>
          <w:sz w:val="24"/>
          <w:highlight w:val="none"/>
          <w:lang w:val="en-US" w:eastAsia="zh-CN"/>
        </w:rPr>
        <w:t>及</w:t>
      </w:r>
      <w:r>
        <w:rPr>
          <w:rFonts w:hint="eastAsia" w:ascii="仿宋" w:hAnsi="仿宋" w:eastAsia="仿宋" w:cs="仿宋"/>
          <w:color w:val="auto"/>
          <w:sz w:val="24"/>
          <w:highlight w:val="none"/>
        </w:rPr>
        <w:t>最低报价</w:t>
      </w:r>
      <w:r>
        <w:rPr>
          <w:rFonts w:hint="eastAsia" w:ascii="仿宋" w:hAnsi="仿宋" w:eastAsia="仿宋" w:cs="仿宋"/>
          <w:color w:val="auto"/>
          <w:sz w:val="24"/>
          <w:highlight w:val="none"/>
          <w:lang w:val="en-US" w:eastAsia="zh-CN"/>
        </w:rPr>
        <w:t>不在</w:t>
      </w:r>
      <w:r>
        <w:rPr>
          <w:rFonts w:hint="eastAsia" w:ascii="仿宋" w:hAnsi="仿宋" w:eastAsia="仿宋" w:cs="仿宋"/>
          <w:bCs/>
          <w:color w:val="auto"/>
          <w:sz w:val="24"/>
          <w:szCs w:val="24"/>
          <w:highlight w:val="none"/>
          <w:lang w:val="en-US" w:eastAsia="zh-CN"/>
        </w:rPr>
        <w:t>邀请公告发布平台</w:t>
      </w:r>
      <w:r>
        <w:rPr>
          <w:rFonts w:hint="eastAsia" w:ascii="仿宋" w:hAnsi="仿宋" w:eastAsia="仿宋" w:cs="仿宋"/>
          <w:color w:val="auto"/>
          <w:sz w:val="24"/>
          <w:szCs w:val="24"/>
          <w:highlight w:val="none"/>
          <w:lang w:val="en-US" w:eastAsia="zh-CN"/>
        </w:rPr>
        <w:t>进行公开</w:t>
      </w:r>
      <w:r>
        <w:rPr>
          <w:rFonts w:hint="eastAsia" w:ascii="仿宋" w:hAnsi="仿宋" w:eastAsia="仿宋" w:cs="仿宋"/>
          <w:color w:val="auto"/>
          <w:sz w:val="24"/>
          <w:szCs w:val="24"/>
          <w:highlight w:val="none"/>
        </w:rPr>
        <w:t>，代理机构将</w:t>
      </w:r>
      <w:r>
        <w:rPr>
          <w:rFonts w:hint="eastAsia" w:ascii="仿宋" w:hAnsi="仿宋" w:eastAsia="仿宋" w:cs="仿宋"/>
          <w:color w:val="auto"/>
          <w:sz w:val="24"/>
          <w:szCs w:val="24"/>
          <w:highlight w:val="none"/>
          <w:lang w:val="en-US" w:eastAsia="zh-CN"/>
        </w:rPr>
        <w:t>直接</w:t>
      </w:r>
      <w:r>
        <w:rPr>
          <w:rFonts w:hint="eastAsia" w:ascii="仿宋" w:hAnsi="仿宋" w:eastAsia="仿宋" w:cs="仿宋"/>
          <w:color w:val="auto"/>
          <w:sz w:val="24"/>
          <w:szCs w:val="24"/>
          <w:highlight w:val="none"/>
        </w:rPr>
        <w:t>向单品目</w:t>
      </w:r>
      <w:r>
        <w:rPr>
          <w:rFonts w:hint="eastAsia" w:ascii="仿宋" w:hAnsi="仿宋" w:eastAsia="仿宋" w:cs="仿宋"/>
          <w:color w:val="auto"/>
          <w:sz w:val="24"/>
          <w:szCs w:val="24"/>
          <w:highlight w:val="none"/>
          <w:lang w:eastAsia="zh-CN"/>
        </w:rPr>
        <w:t>耗材</w:t>
      </w:r>
      <w:r>
        <w:rPr>
          <w:rFonts w:hint="eastAsia" w:ascii="仿宋" w:hAnsi="仿宋" w:eastAsia="仿宋" w:cs="仿宋"/>
          <w:color w:val="auto"/>
          <w:sz w:val="24"/>
          <w:szCs w:val="24"/>
          <w:highlight w:val="none"/>
        </w:rPr>
        <w:t>报价最低的前五名投标人（不足 5 家时按实际家数确定）发放</w:t>
      </w:r>
      <w:r>
        <w:rPr>
          <w:rFonts w:hint="eastAsia" w:ascii="仿宋" w:hAnsi="仿宋" w:eastAsia="仿宋" w:cs="仿宋"/>
          <w:color w:val="auto"/>
          <w:sz w:val="24"/>
          <w:szCs w:val="24"/>
          <w:highlight w:val="none"/>
          <w:lang w:eastAsia="zh-CN"/>
        </w:rPr>
        <w:t>资格预审合格通知书</w:t>
      </w:r>
      <w:r>
        <w:rPr>
          <w:rFonts w:hint="eastAsia" w:ascii="仿宋" w:hAnsi="仿宋" w:eastAsia="仿宋" w:cs="仿宋"/>
          <w:color w:val="auto"/>
          <w:sz w:val="24"/>
          <w:szCs w:val="24"/>
          <w:highlight w:val="none"/>
        </w:rPr>
        <w:t>，收到资格预审合格通知及投标邀请的投标人可凭投标邀请参加采购项目后续采购（即</w:t>
      </w:r>
      <w:r>
        <w:rPr>
          <w:rFonts w:hint="eastAsia" w:ascii="仿宋" w:hAnsi="仿宋" w:eastAsia="仿宋" w:cs="仿宋"/>
          <w:color w:val="auto"/>
          <w:sz w:val="24"/>
          <w:szCs w:val="24"/>
          <w:highlight w:val="none"/>
          <w:lang w:eastAsia="zh-CN"/>
        </w:rPr>
        <w:t>第二轮</w:t>
      </w:r>
      <w:r>
        <w:rPr>
          <w:rFonts w:hint="eastAsia" w:ascii="仿宋" w:hAnsi="仿宋" w:eastAsia="仿宋" w:cs="仿宋"/>
          <w:color w:val="auto"/>
          <w:sz w:val="24"/>
          <w:szCs w:val="24"/>
          <w:highlight w:val="none"/>
        </w:rPr>
        <w:t>报价）活动。</w:t>
      </w:r>
    </w:p>
    <w:p w14:paraId="1532F60E">
      <w:pPr>
        <w:pStyle w:val="3"/>
        <w:shd w:val="clear"/>
        <w:spacing w:line="520" w:lineRule="exact"/>
        <w:ind w:firstLine="480" w:firstLineChars="200"/>
        <w:rPr>
          <w:rFonts w:ascii="仿宋" w:hAnsi="仿宋" w:eastAsia="仿宋" w:cs="仿宋"/>
          <w:color w:val="auto"/>
          <w:spacing w:val="-1"/>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采购代理机构发出通知（</w:t>
      </w:r>
      <w:r>
        <w:rPr>
          <w:rFonts w:hint="eastAsia" w:ascii="仿宋" w:hAnsi="仿宋" w:eastAsia="仿宋" w:cs="仿宋"/>
          <w:color w:val="auto"/>
          <w:sz w:val="24"/>
          <w:highlight w:val="none"/>
          <w:lang w:eastAsia="zh-CN"/>
        </w:rPr>
        <w:t>资格预审合格</w:t>
      </w:r>
      <w:r>
        <w:rPr>
          <w:rFonts w:hint="eastAsia" w:ascii="仿宋" w:hAnsi="仿宋" w:eastAsia="仿宋" w:cs="仿宋"/>
          <w:color w:val="auto"/>
          <w:sz w:val="24"/>
          <w:highlight w:val="none"/>
        </w:rPr>
        <w:t>、第二轮报价投标邀请）后，投标人自行关注通知相关信息，由于未及时关注采购代理机构通知的信息造成的后果，其责任由投标人自行承担。</w:t>
      </w:r>
    </w:p>
    <w:p w14:paraId="74DD85AD">
      <w:pPr>
        <w:pStyle w:val="3"/>
        <w:shd w:val="clear"/>
        <w:spacing w:line="520" w:lineRule="exact"/>
        <w:ind w:firstLine="476" w:firstLineChars="200"/>
        <w:rPr>
          <w:rFonts w:hint="eastAsia" w:ascii="仿宋" w:hAnsi="仿宋" w:eastAsia="仿宋" w:cs="仿宋"/>
          <w:b/>
          <w:bCs/>
          <w:color w:val="auto"/>
          <w:sz w:val="24"/>
          <w:highlight w:val="none"/>
        </w:rPr>
      </w:pPr>
      <w:r>
        <w:rPr>
          <w:rFonts w:ascii="仿宋" w:hAnsi="仿宋" w:eastAsia="仿宋" w:cs="仿宋"/>
          <w:color w:val="auto"/>
          <w:spacing w:val="-1"/>
          <w:sz w:val="24"/>
          <w:highlight w:val="none"/>
        </w:rPr>
        <w:t>1</w:t>
      </w:r>
      <w:r>
        <w:rPr>
          <w:rFonts w:hint="eastAsia" w:ascii="仿宋" w:hAnsi="仿宋" w:eastAsia="仿宋" w:cs="仿宋"/>
          <w:color w:val="auto"/>
          <w:spacing w:val="-1"/>
          <w:sz w:val="24"/>
          <w:highlight w:val="none"/>
          <w:lang w:val="en-US" w:eastAsia="zh-CN"/>
        </w:rPr>
        <w:t>5</w:t>
      </w:r>
      <w:r>
        <w:rPr>
          <w:rFonts w:ascii="仿宋" w:hAnsi="仿宋" w:eastAsia="仿宋" w:cs="仿宋"/>
          <w:color w:val="auto"/>
          <w:spacing w:val="-1"/>
          <w:sz w:val="24"/>
          <w:highlight w:val="none"/>
        </w:rPr>
        <w:t>.</w:t>
      </w:r>
      <w:r>
        <w:rPr>
          <w:rFonts w:hint="eastAsia" w:ascii="仿宋" w:hAnsi="仿宋" w:eastAsia="仿宋" w:cs="仿宋"/>
          <w:color w:val="auto"/>
          <w:spacing w:val="-1"/>
          <w:sz w:val="24"/>
          <w:highlight w:val="none"/>
          <w:lang w:val="en-US" w:eastAsia="zh-CN"/>
        </w:rPr>
        <w:t>7</w:t>
      </w:r>
      <w:r>
        <w:rPr>
          <w:rFonts w:hint="eastAsia" w:ascii="仿宋" w:hAnsi="仿宋" w:eastAsia="仿宋" w:cs="仿宋"/>
          <w:b/>
          <w:bCs/>
          <w:color w:val="auto"/>
          <w:sz w:val="24"/>
          <w:highlight w:val="none"/>
        </w:rPr>
        <w:t>第二轮报价中各投标人所报价格不得高于第一轮最低报价</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具体价格将在第二轮报价投标邀请中列明</w:t>
      </w:r>
      <w:r>
        <w:rPr>
          <w:rFonts w:hint="eastAsia" w:ascii="仿宋" w:hAnsi="仿宋" w:eastAsia="仿宋" w:cs="仿宋"/>
          <w:b/>
          <w:bCs/>
          <w:color w:val="auto"/>
          <w:sz w:val="24"/>
          <w:highlight w:val="none"/>
        </w:rPr>
        <w:t>。</w:t>
      </w:r>
    </w:p>
    <w:p w14:paraId="4EF5A6AA">
      <w:pPr>
        <w:pStyle w:val="3"/>
        <w:shd w:val="clear"/>
        <w:spacing w:line="520" w:lineRule="exact"/>
        <w:ind w:firstLine="482" w:firstLineChars="200"/>
        <w:rPr>
          <w:rFonts w:ascii="仿宋" w:hAnsi="仿宋" w:eastAsia="仿宋" w:cs="仿宋"/>
          <w:color w:val="auto"/>
          <w:sz w:val="24"/>
          <w:highlight w:val="none"/>
        </w:rPr>
      </w:pPr>
      <w:r>
        <w:rPr>
          <w:rFonts w:hint="eastAsia" w:ascii="仿宋" w:hAnsi="仿宋" w:eastAsia="仿宋" w:cs="仿宋"/>
          <w:b/>
          <w:bCs/>
          <w:color w:val="auto"/>
          <w:sz w:val="24"/>
          <w:highlight w:val="none"/>
        </w:rPr>
        <w:t>单品目</w:t>
      </w:r>
      <w:r>
        <w:rPr>
          <w:rFonts w:hint="eastAsia" w:ascii="仿宋" w:hAnsi="仿宋" w:eastAsia="仿宋" w:cs="仿宋"/>
          <w:b/>
          <w:bCs/>
          <w:color w:val="auto"/>
          <w:sz w:val="24"/>
          <w:highlight w:val="none"/>
          <w:lang w:eastAsia="zh-CN"/>
        </w:rPr>
        <w:t>耗材</w:t>
      </w:r>
      <w:r>
        <w:rPr>
          <w:rFonts w:hint="eastAsia" w:ascii="仿宋" w:hAnsi="仿宋" w:eastAsia="仿宋" w:cs="仿宋"/>
          <w:b/>
          <w:bCs/>
          <w:color w:val="auto"/>
          <w:sz w:val="24"/>
          <w:highlight w:val="none"/>
        </w:rPr>
        <w:t>报价最低的投标人必须参与</w:t>
      </w:r>
      <w:r>
        <w:rPr>
          <w:rFonts w:hint="eastAsia" w:ascii="仿宋" w:hAnsi="仿宋" w:eastAsia="仿宋" w:cs="仿宋"/>
          <w:b/>
          <w:bCs/>
          <w:color w:val="auto"/>
          <w:sz w:val="24"/>
          <w:highlight w:val="none"/>
          <w:lang w:eastAsia="zh-CN"/>
        </w:rPr>
        <w:t>第二轮</w:t>
      </w:r>
      <w:r>
        <w:rPr>
          <w:rFonts w:hint="eastAsia" w:ascii="仿宋" w:hAnsi="仿宋" w:eastAsia="仿宋" w:cs="仿宋"/>
          <w:b/>
          <w:bCs/>
          <w:color w:val="auto"/>
          <w:sz w:val="24"/>
          <w:highlight w:val="none"/>
        </w:rPr>
        <w:t>报价，否则其投标保证金不予退还。</w:t>
      </w:r>
    </w:p>
    <w:p w14:paraId="2041EF55">
      <w:pPr>
        <w:pStyle w:val="3"/>
        <w:shd w:val="clear"/>
        <w:spacing w:line="520" w:lineRule="exact"/>
        <w:rPr>
          <w:rFonts w:ascii="仿宋" w:hAnsi="仿宋" w:eastAsia="仿宋" w:cs="仿宋"/>
          <w:color w:val="auto"/>
          <w:sz w:val="24"/>
          <w:highlight w:val="none"/>
        </w:rPr>
      </w:pPr>
      <w:r>
        <w:rPr>
          <w:rFonts w:ascii="仿宋" w:hAnsi="仿宋" w:eastAsia="仿宋" w:cs="仿宋"/>
          <w:color w:val="auto"/>
          <w:spacing w:val="-1"/>
          <w:sz w:val="24"/>
          <w:highlight w:val="none"/>
        </w:rPr>
        <w:tab/>
      </w:r>
      <w:r>
        <w:rPr>
          <w:rFonts w:ascii="仿宋" w:hAnsi="仿宋" w:eastAsia="仿宋" w:cs="仿宋"/>
          <w:color w:val="auto"/>
          <w:spacing w:val="-1"/>
          <w:sz w:val="24"/>
          <w:highlight w:val="none"/>
        </w:rPr>
        <w:t>1</w:t>
      </w:r>
      <w:r>
        <w:rPr>
          <w:rFonts w:hint="eastAsia" w:ascii="仿宋" w:hAnsi="仿宋" w:eastAsia="仿宋" w:cs="仿宋"/>
          <w:color w:val="auto"/>
          <w:spacing w:val="-1"/>
          <w:sz w:val="24"/>
          <w:highlight w:val="none"/>
          <w:lang w:val="en-US" w:eastAsia="zh-CN"/>
        </w:rPr>
        <w:t>5</w:t>
      </w:r>
      <w:r>
        <w:rPr>
          <w:rFonts w:ascii="仿宋" w:hAnsi="仿宋" w:eastAsia="仿宋" w:cs="仿宋"/>
          <w:color w:val="auto"/>
          <w:spacing w:val="-1"/>
          <w:sz w:val="24"/>
          <w:highlight w:val="none"/>
        </w:rPr>
        <w:t>.</w:t>
      </w:r>
      <w:r>
        <w:rPr>
          <w:rFonts w:hint="eastAsia" w:ascii="仿宋" w:hAnsi="仿宋" w:eastAsia="仿宋" w:cs="仿宋"/>
          <w:color w:val="auto"/>
          <w:spacing w:val="-1"/>
          <w:sz w:val="24"/>
          <w:highlight w:val="none"/>
          <w:lang w:val="en-US" w:eastAsia="zh-CN"/>
        </w:rPr>
        <w:t>8</w:t>
      </w:r>
      <w:r>
        <w:rPr>
          <w:rFonts w:hint="eastAsia" w:ascii="仿宋" w:hAnsi="仿宋" w:eastAsia="仿宋" w:cs="仿宋"/>
          <w:color w:val="auto"/>
          <w:sz w:val="24"/>
          <w:szCs w:val="22"/>
          <w:highlight w:val="none"/>
        </w:rPr>
        <w:t>采购人、采购代理机构要保证资格预审公平公正，采购监督人员要切实履行全程监督职责。无论资格审查通过与否，投标人的资格审查申请文件不予退还，采购人对投标人所提交的资格预审申请文件及价格将给予保密</w:t>
      </w:r>
      <w:r>
        <w:rPr>
          <w:rFonts w:hint="eastAsia" w:ascii="仿宋" w:hAnsi="仿宋" w:eastAsia="仿宋" w:cs="仿宋"/>
          <w:color w:val="auto"/>
          <w:sz w:val="24"/>
          <w:highlight w:val="none"/>
        </w:rPr>
        <w:t>。</w:t>
      </w:r>
    </w:p>
    <w:p w14:paraId="656F4B49">
      <w:pPr>
        <w:pStyle w:val="6"/>
        <w:keepNext w:val="0"/>
        <w:keepLines w:val="0"/>
        <w:shd w:val="clear"/>
        <w:spacing w:before="0" w:after="0" w:line="520" w:lineRule="exact"/>
        <w:jc w:val="center"/>
        <w:rPr>
          <w:rFonts w:hint="eastAsia" w:ascii="仿宋" w:hAnsi="仿宋" w:eastAsia="仿宋" w:cs="仿宋"/>
          <w:color w:val="auto"/>
          <w:sz w:val="24"/>
          <w:highlight w:val="none"/>
        </w:rPr>
      </w:pPr>
      <w:bookmarkStart w:id="122" w:name="_Toc30790"/>
      <w:bookmarkStart w:id="123" w:name="_Toc23992"/>
      <w:bookmarkStart w:id="124" w:name="_Toc4748"/>
      <w:r>
        <w:rPr>
          <w:rFonts w:hint="eastAsia" w:ascii="仿宋" w:hAnsi="仿宋" w:eastAsia="仿宋" w:cs="仿宋"/>
          <w:color w:val="auto"/>
          <w:sz w:val="28"/>
          <w:szCs w:val="28"/>
          <w:highlight w:val="none"/>
        </w:rPr>
        <w:t>七、资格预审纪律要求</w:t>
      </w:r>
      <w:bookmarkEnd w:id="122"/>
      <w:bookmarkEnd w:id="123"/>
      <w:bookmarkEnd w:id="124"/>
    </w:p>
    <w:p w14:paraId="0AAA6E5B">
      <w:pPr>
        <w:shd w:val="clear"/>
        <w:tabs>
          <w:tab w:val="left" w:pos="851"/>
        </w:tabs>
        <w:spacing w:line="52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.投标人不得具有的情形</w:t>
      </w:r>
    </w:p>
    <w:p w14:paraId="642E026D">
      <w:pPr>
        <w:shd w:val="clear"/>
        <w:tabs>
          <w:tab w:val="left" w:pos="851"/>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投标人参加本项目资格预审不得有下列情形：</w:t>
      </w:r>
    </w:p>
    <w:p w14:paraId="56DE56EF">
      <w:pPr>
        <w:shd w:val="clear"/>
        <w:tabs>
          <w:tab w:val="left" w:pos="851"/>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（1）提供虚假材料谋取中标；</w:t>
      </w:r>
    </w:p>
    <w:p w14:paraId="5E21F465">
      <w:pPr>
        <w:shd w:val="clear"/>
        <w:tabs>
          <w:tab w:val="left" w:pos="851"/>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（2）采取不正当手段诋毁、排挤其他投标人；</w:t>
      </w:r>
    </w:p>
    <w:p w14:paraId="67FFDF18">
      <w:pPr>
        <w:shd w:val="clear"/>
        <w:tabs>
          <w:tab w:val="left" w:pos="851"/>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（3）与采购人、采购代理机构</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其他投标人恶意串通；</w:t>
      </w:r>
    </w:p>
    <w:p w14:paraId="2AC9796A">
      <w:pPr>
        <w:shd w:val="clear"/>
        <w:tabs>
          <w:tab w:val="left" w:pos="851"/>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（4）向采购人、采购代理机构、资格预审小组成员行贿或者提供其他不正当利益；</w:t>
      </w:r>
    </w:p>
    <w:p w14:paraId="64F87A7A">
      <w:pPr>
        <w:shd w:val="clear"/>
        <w:tabs>
          <w:tab w:val="left" w:pos="851"/>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（5）在资格预审过程中与采购人、采购代理机构进行协商；</w:t>
      </w:r>
    </w:p>
    <w:p w14:paraId="47181FFC">
      <w:pPr>
        <w:shd w:val="clear"/>
        <w:tabs>
          <w:tab w:val="left" w:pos="851"/>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（6）拒绝有关部门的监督检查或者向监督检查部门提供虚假情况；</w:t>
      </w:r>
    </w:p>
    <w:p w14:paraId="7FF3BF16">
      <w:pPr>
        <w:shd w:val="clear"/>
        <w:tabs>
          <w:tab w:val="left" w:pos="851"/>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（7）法律法规规定的其他情形。</w:t>
      </w:r>
    </w:p>
    <w:p w14:paraId="5C9E4389">
      <w:pPr>
        <w:shd w:val="clear"/>
        <w:tabs>
          <w:tab w:val="left" w:pos="851"/>
        </w:tabs>
        <w:spacing w:line="520" w:lineRule="exact"/>
        <w:ind w:firstLine="480" w:firstLineChars="200"/>
        <w:rPr>
          <w:rFonts w:hint="eastAsia" w:ascii="Tahoma" w:hAnsi="Tahoma"/>
          <w:color w:val="auto"/>
          <w:sz w:val="24"/>
          <w:szCs w:val="24"/>
          <w:highlight w:val="none"/>
        </w:rPr>
      </w:pPr>
      <w:r>
        <w:rPr>
          <w:rFonts w:hint="eastAsia" w:ascii="仿宋" w:hAnsi="仿宋" w:eastAsia="仿宋" w:cs="仿宋"/>
          <w:color w:val="auto"/>
          <w:sz w:val="24"/>
          <w:szCs w:val="24"/>
          <w:highlight w:val="none"/>
        </w:rPr>
        <w:t>投标人有上述情形的，按照规定追究法律责任，具备（1）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（7）条情形之一的，同时将取消被确认为资格预审合格的资格。</w:t>
      </w:r>
    </w:p>
    <w:p w14:paraId="5AAACBAD">
      <w:pPr>
        <w:pStyle w:val="6"/>
        <w:keepNext w:val="0"/>
        <w:keepLines w:val="0"/>
        <w:shd w:val="clear"/>
        <w:spacing w:before="0" w:after="0" w:line="520" w:lineRule="exact"/>
        <w:jc w:val="center"/>
        <w:rPr>
          <w:rFonts w:hint="eastAsia" w:ascii="仿宋" w:hAnsi="仿宋" w:eastAsia="仿宋" w:cs="仿宋"/>
          <w:color w:val="auto"/>
          <w:sz w:val="24"/>
          <w:highlight w:val="none"/>
        </w:rPr>
      </w:pPr>
      <w:bookmarkStart w:id="125" w:name="_Toc23567"/>
      <w:bookmarkStart w:id="126" w:name="_Toc20316"/>
      <w:bookmarkStart w:id="127" w:name="_Toc32215"/>
      <w:r>
        <w:rPr>
          <w:rFonts w:hint="eastAsia" w:ascii="仿宋" w:hAnsi="仿宋" w:eastAsia="仿宋" w:cs="仿宋"/>
          <w:color w:val="auto"/>
          <w:sz w:val="28"/>
          <w:szCs w:val="28"/>
          <w:highlight w:val="none"/>
        </w:rPr>
        <w:t>八、询问、</w:t>
      </w:r>
      <w:bookmarkEnd w:id="125"/>
      <w:bookmarkEnd w:id="126"/>
      <w:bookmarkEnd w:id="127"/>
      <w:r>
        <w:rPr>
          <w:rFonts w:hint="eastAsia" w:ascii="仿宋" w:hAnsi="仿宋" w:eastAsia="仿宋" w:cs="仿宋"/>
          <w:color w:val="auto"/>
          <w:sz w:val="28"/>
          <w:szCs w:val="28"/>
          <w:highlight w:val="none"/>
        </w:rPr>
        <w:t>异议</w:t>
      </w:r>
    </w:p>
    <w:p w14:paraId="4AA97DAE">
      <w:pPr>
        <w:shd w:val="clear"/>
        <w:tabs>
          <w:tab w:val="left" w:pos="851"/>
        </w:tabs>
        <w:spacing w:line="52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17</w:t>
      </w:r>
      <w:r>
        <w:rPr>
          <w:rFonts w:hint="eastAsia" w:ascii="仿宋" w:hAnsi="仿宋" w:eastAsia="仿宋" w:cs="仿宋"/>
          <w:b/>
          <w:bCs/>
          <w:color w:val="auto"/>
          <w:sz w:val="24"/>
          <w:highlight w:val="none"/>
        </w:rPr>
        <w:t>.询问、异议</w:t>
      </w:r>
    </w:p>
    <w:p w14:paraId="2E46CE69">
      <w:pPr>
        <w:shd w:val="clear"/>
        <w:tabs>
          <w:tab w:val="left" w:pos="851"/>
        </w:tabs>
        <w:spacing w:line="52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投标人询问/异议</w:t>
      </w:r>
    </w:p>
    <w:p w14:paraId="76981269">
      <w:pPr>
        <w:shd w:val="clear"/>
        <w:tabs>
          <w:tab w:val="left" w:pos="851"/>
        </w:tabs>
        <w:spacing w:line="52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投标人对</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有异议的，应当在提交资格预审申请文件截止时间2日前提出；</w:t>
      </w:r>
      <w:r>
        <w:rPr>
          <w:rFonts w:hint="eastAsia" w:ascii="仿宋" w:hAnsi="仿宋" w:eastAsia="仿宋" w:cs="仿宋"/>
          <w:color w:val="auto"/>
          <w:sz w:val="24"/>
          <w:szCs w:val="24"/>
          <w:highlight w:val="none"/>
          <w:lang w:val="zh-CN"/>
        </w:rPr>
        <w:t>投标人对资格预审文件资质要求的询问</w:t>
      </w:r>
      <w:r>
        <w:rPr>
          <w:rFonts w:hint="eastAsia" w:ascii="仿宋" w:hAnsi="仿宋" w:eastAsia="仿宋" w:cs="仿宋"/>
          <w:color w:val="auto"/>
          <w:sz w:val="24"/>
          <w:szCs w:val="24"/>
          <w:highlight w:val="none"/>
        </w:rPr>
        <w:t>/异议</w:t>
      </w:r>
      <w:r>
        <w:rPr>
          <w:rFonts w:hint="eastAsia" w:ascii="仿宋" w:hAnsi="仿宋" w:eastAsia="仿宋" w:cs="仿宋"/>
          <w:color w:val="auto"/>
          <w:sz w:val="24"/>
          <w:szCs w:val="24"/>
          <w:highlight w:val="none"/>
          <w:lang w:val="zh-CN"/>
        </w:rPr>
        <w:t>，由采购代理机构</w:t>
      </w:r>
      <w:r>
        <w:rPr>
          <w:rFonts w:hint="eastAsia" w:ascii="仿宋" w:hAnsi="仿宋" w:eastAsia="仿宋" w:cs="仿宋"/>
          <w:color w:val="auto"/>
          <w:sz w:val="24"/>
          <w:szCs w:val="24"/>
          <w:highlight w:val="none"/>
          <w:lang w:val="en-US" w:eastAsia="zh-CN"/>
        </w:rPr>
        <w:t>7个工作日内</w:t>
      </w:r>
      <w:r>
        <w:rPr>
          <w:rFonts w:hint="eastAsia" w:ascii="仿宋" w:hAnsi="仿宋" w:eastAsia="仿宋" w:cs="仿宋"/>
          <w:color w:val="auto"/>
          <w:sz w:val="24"/>
          <w:szCs w:val="24"/>
          <w:highlight w:val="none"/>
          <w:lang w:val="zh-CN"/>
        </w:rPr>
        <w:t>答复。</w:t>
      </w:r>
    </w:p>
    <w:p w14:paraId="05E16F72">
      <w:pPr>
        <w:shd w:val="clear"/>
        <w:tabs>
          <w:tab w:val="left" w:pos="851"/>
        </w:tabs>
        <w:spacing w:line="52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注：1.投标人异议不得超出资格预审文件、资格审查结果的范围。投标人针对同一采购程序环节的异议须在异议期内一次性提出。</w:t>
      </w:r>
    </w:p>
    <w:p w14:paraId="54EBD33F">
      <w:pPr>
        <w:shd w:val="clear"/>
        <w:tabs>
          <w:tab w:val="left" w:pos="851"/>
        </w:tabs>
        <w:spacing w:line="5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17.2投标人对采购结果有异议的，应该采购结果公示期满后7个工作日内提出，</w:t>
      </w:r>
      <w:r>
        <w:rPr>
          <w:rFonts w:hint="eastAsia" w:ascii="仿宋" w:hAnsi="仿宋" w:eastAsia="仿宋" w:cs="仿宋"/>
          <w:color w:val="auto"/>
          <w:sz w:val="24"/>
          <w:szCs w:val="24"/>
          <w:highlight w:val="none"/>
          <w:lang w:val="zh-CN"/>
        </w:rPr>
        <w:t>由采购代理机构</w:t>
      </w:r>
      <w:r>
        <w:rPr>
          <w:rFonts w:hint="eastAsia" w:ascii="仿宋" w:hAnsi="仿宋" w:eastAsia="仿宋" w:cs="仿宋"/>
          <w:color w:val="auto"/>
          <w:sz w:val="24"/>
          <w:szCs w:val="24"/>
          <w:highlight w:val="none"/>
          <w:lang w:val="en-US" w:eastAsia="zh-CN"/>
        </w:rPr>
        <w:t>收到后7个工作日内</w:t>
      </w:r>
      <w:r>
        <w:rPr>
          <w:rFonts w:hint="eastAsia" w:ascii="仿宋" w:hAnsi="仿宋" w:eastAsia="仿宋" w:cs="仿宋"/>
          <w:color w:val="auto"/>
          <w:sz w:val="24"/>
          <w:szCs w:val="24"/>
          <w:highlight w:val="none"/>
          <w:lang w:val="zh-CN"/>
        </w:rPr>
        <w:t>答复。</w:t>
      </w:r>
    </w:p>
    <w:p w14:paraId="577C319D">
      <w:pPr>
        <w:pStyle w:val="6"/>
        <w:keepNext w:val="0"/>
        <w:keepLines w:val="0"/>
        <w:numPr>
          <w:ilvl w:val="0"/>
          <w:numId w:val="0"/>
        </w:numPr>
        <w:shd w:val="clear"/>
        <w:spacing w:before="0" w:after="0" w:line="520" w:lineRule="exact"/>
        <w:jc w:val="center"/>
        <w:rPr>
          <w:rFonts w:hint="eastAsia" w:ascii="仿宋" w:hAnsi="仿宋" w:eastAsia="仿宋" w:cs="仿宋"/>
          <w:color w:val="auto"/>
          <w:sz w:val="28"/>
          <w:szCs w:val="28"/>
          <w:highlight w:val="none"/>
        </w:rPr>
      </w:pPr>
      <w:bookmarkStart w:id="128" w:name="_Toc3176"/>
      <w:bookmarkStart w:id="129" w:name="_Toc7304"/>
      <w:bookmarkStart w:id="130" w:name="_Toc1700"/>
      <w:r>
        <w:rPr>
          <w:rFonts w:hint="eastAsia" w:ascii="仿宋" w:hAnsi="仿宋" w:eastAsia="仿宋" w:cs="仿宋"/>
          <w:b/>
          <w:bCs/>
          <w:color w:val="auto"/>
          <w:kern w:val="2"/>
          <w:sz w:val="28"/>
          <w:szCs w:val="28"/>
          <w:highlight w:val="none"/>
          <w:lang w:val="en-US" w:eastAsia="zh-CN" w:bidi="ar-SA"/>
        </w:rPr>
        <w:t>九、</w:t>
      </w:r>
      <w:r>
        <w:rPr>
          <w:rFonts w:hint="eastAsia" w:ascii="仿宋" w:hAnsi="仿宋" w:eastAsia="仿宋" w:cs="仿宋"/>
          <w:color w:val="auto"/>
          <w:sz w:val="28"/>
          <w:szCs w:val="28"/>
          <w:highlight w:val="none"/>
          <w:lang w:val="en-US" w:eastAsia="zh-CN"/>
        </w:rPr>
        <w:t>签</w:t>
      </w:r>
      <w:r>
        <w:rPr>
          <w:rFonts w:hint="eastAsia" w:ascii="仿宋" w:hAnsi="仿宋" w:eastAsia="仿宋" w:cs="仿宋"/>
          <w:color w:val="auto"/>
          <w:sz w:val="28"/>
          <w:szCs w:val="28"/>
          <w:highlight w:val="none"/>
        </w:rPr>
        <w:t>订合同</w:t>
      </w:r>
    </w:p>
    <w:p w14:paraId="25ACCD0A">
      <w:pPr>
        <w:keepNext w:val="0"/>
        <w:keepLines w:val="0"/>
        <w:numPr>
          <w:ilvl w:val="0"/>
          <w:numId w:val="0"/>
        </w:numPr>
        <w:shd w:val="clear"/>
        <w:spacing w:before="0" w:after="0" w:line="520" w:lineRule="exact"/>
        <w:ind w:firstLine="480" w:firstLineChars="200"/>
        <w:jc w:val="left"/>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eastAsia="zh-CN"/>
        </w:rPr>
        <w:t>1</w:t>
      </w:r>
      <w:r>
        <w:rPr>
          <w:rFonts w:hint="eastAsia" w:ascii="仿宋" w:hAnsi="仿宋" w:eastAsia="仿宋" w:cs="仿宋"/>
          <w:b w:val="0"/>
          <w:bCs w:val="0"/>
          <w:color w:val="auto"/>
          <w:kern w:val="0"/>
          <w:sz w:val="24"/>
          <w:szCs w:val="24"/>
          <w:highlight w:val="none"/>
          <w:lang w:val="en-US" w:eastAsia="zh-CN"/>
        </w:rPr>
        <w:t>8.</w:t>
      </w:r>
      <w:r>
        <w:rPr>
          <w:rFonts w:hint="eastAsia" w:ascii="仿宋" w:hAnsi="仿宋" w:eastAsia="仿宋" w:cs="仿宋"/>
          <w:b w:val="0"/>
          <w:bCs w:val="0"/>
          <w:color w:val="auto"/>
          <w:kern w:val="0"/>
          <w:sz w:val="24"/>
          <w:szCs w:val="24"/>
          <w:highlight w:val="none"/>
        </w:rPr>
        <w:t>采购人应当自中标（成交）通知书发出之日起</w:t>
      </w:r>
      <w:r>
        <w:rPr>
          <w:rFonts w:hint="eastAsia" w:ascii="仿宋" w:hAnsi="仿宋" w:eastAsia="仿宋" w:cs="仿宋"/>
          <w:b w:val="0"/>
          <w:bCs w:val="0"/>
          <w:color w:val="auto"/>
          <w:kern w:val="0"/>
          <w:sz w:val="24"/>
          <w:szCs w:val="24"/>
          <w:highlight w:val="none"/>
          <w:lang w:val="en-US" w:eastAsia="zh-CN"/>
        </w:rPr>
        <w:t>20</w:t>
      </w:r>
      <w:r>
        <w:rPr>
          <w:rFonts w:hint="eastAsia" w:ascii="仿宋" w:hAnsi="仿宋" w:eastAsia="仿宋" w:cs="仿宋"/>
          <w:b w:val="0"/>
          <w:bCs w:val="0"/>
          <w:color w:val="auto"/>
          <w:kern w:val="0"/>
          <w:sz w:val="24"/>
          <w:szCs w:val="24"/>
          <w:highlight w:val="none"/>
        </w:rPr>
        <w:t>日内，按照采购文件和成交供应商响应文件的约定，与成交供应商签订重庆药品和医用耗材招采管理系统的电子采购合同。所签订的电子合同不得对采购文件和供应商的响应文件作实质性修改。</w:t>
      </w:r>
    </w:p>
    <w:p w14:paraId="6F2C6C5C">
      <w:pPr>
        <w:keepNext w:val="0"/>
        <w:keepLines w:val="0"/>
        <w:numPr>
          <w:ilvl w:val="0"/>
          <w:numId w:val="0"/>
        </w:numPr>
        <w:shd w:val="clear"/>
        <w:spacing w:before="0" w:after="0" w:line="520" w:lineRule="exact"/>
        <w:ind w:firstLine="482" w:firstLineChars="200"/>
        <w:jc w:val="left"/>
        <w:outlineLvl w:val="9"/>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注： 若未在上述规定时间内签订电子采购合同，视为</w:t>
      </w:r>
      <w:r>
        <w:rPr>
          <w:rFonts w:hint="eastAsia" w:ascii="仿宋" w:hAnsi="仿宋" w:eastAsia="仿宋" w:cs="仿宋"/>
          <w:b/>
          <w:bCs/>
          <w:color w:val="auto"/>
          <w:kern w:val="0"/>
          <w:sz w:val="24"/>
          <w:szCs w:val="24"/>
          <w:highlight w:val="none"/>
          <w:lang w:val="en-US" w:eastAsia="zh-CN"/>
        </w:rPr>
        <w:t>中标人</w:t>
      </w:r>
      <w:r>
        <w:rPr>
          <w:rFonts w:hint="eastAsia" w:ascii="仿宋" w:hAnsi="仿宋" w:eastAsia="仿宋" w:cs="仿宋"/>
          <w:b/>
          <w:bCs/>
          <w:color w:val="auto"/>
          <w:kern w:val="0"/>
          <w:sz w:val="24"/>
          <w:szCs w:val="24"/>
          <w:highlight w:val="none"/>
        </w:rPr>
        <w:t>放弃</w:t>
      </w:r>
      <w:r>
        <w:rPr>
          <w:rFonts w:hint="eastAsia" w:ascii="仿宋" w:hAnsi="仿宋" w:eastAsia="仿宋" w:cs="仿宋"/>
          <w:b/>
          <w:bCs/>
          <w:color w:val="auto"/>
          <w:kern w:val="0"/>
          <w:sz w:val="24"/>
          <w:szCs w:val="24"/>
          <w:highlight w:val="none"/>
          <w:lang w:val="en-US" w:eastAsia="zh-CN"/>
        </w:rPr>
        <w:t>中标</w:t>
      </w:r>
      <w:r>
        <w:rPr>
          <w:rFonts w:hint="eastAsia" w:ascii="仿宋" w:hAnsi="仿宋" w:eastAsia="仿宋" w:cs="仿宋"/>
          <w:b/>
          <w:bCs/>
          <w:color w:val="auto"/>
          <w:kern w:val="0"/>
          <w:sz w:val="24"/>
          <w:szCs w:val="24"/>
          <w:highlight w:val="none"/>
        </w:rPr>
        <w:t>资格</w:t>
      </w:r>
      <w:r>
        <w:rPr>
          <w:rFonts w:hint="eastAsia" w:ascii="仿宋" w:hAnsi="仿宋" w:eastAsia="仿宋" w:cs="仿宋"/>
          <w:b/>
          <w:bCs/>
          <w:color w:val="auto"/>
          <w:kern w:val="0"/>
          <w:sz w:val="24"/>
          <w:szCs w:val="24"/>
          <w:highlight w:val="none"/>
          <w:lang w:eastAsia="zh-CN"/>
        </w:rPr>
        <w:t>，且不退还投标保证金，价格次低的投标人</w:t>
      </w:r>
      <w:r>
        <w:rPr>
          <w:rFonts w:hint="eastAsia" w:ascii="仿宋" w:hAnsi="仿宋" w:eastAsia="仿宋" w:cs="仿宋"/>
          <w:b/>
          <w:bCs/>
          <w:color w:val="auto"/>
          <w:kern w:val="0"/>
          <w:sz w:val="24"/>
          <w:szCs w:val="24"/>
          <w:highlight w:val="none"/>
          <w:lang w:val="en-US" w:eastAsia="zh-CN"/>
        </w:rPr>
        <w:t>顺延</w:t>
      </w:r>
      <w:r>
        <w:rPr>
          <w:rFonts w:hint="eastAsia" w:ascii="仿宋" w:hAnsi="仿宋" w:eastAsia="仿宋" w:cs="仿宋"/>
          <w:b/>
          <w:bCs/>
          <w:color w:val="auto"/>
          <w:kern w:val="0"/>
          <w:sz w:val="24"/>
          <w:szCs w:val="24"/>
          <w:highlight w:val="none"/>
          <w:lang w:eastAsia="zh-CN"/>
        </w:rPr>
        <w:t>成为中标人</w:t>
      </w:r>
      <w:r>
        <w:rPr>
          <w:rFonts w:hint="eastAsia" w:ascii="仿宋" w:hAnsi="仿宋" w:eastAsia="仿宋" w:cs="仿宋"/>
          <w:b/>
          <w:bCs/>
          <w:color w:val="auto"/>
          <w:kern w:val="0"/>
          <w:sz w:val="24"/>
          <w:szCs w:val="24"/>
          <w:highlight w:val="none"/>
        </w:rPr>
        <w:t>。</w:t>
      </w:r>
    </w:p>
    <w:p w14:paraId="591EF570">
      <w:pPr>
        <w:keepNext w:val="0"/>
        <w:keepLines w:val="0"/>
        <w:numPr>
          <w:ilvl w:val="0"/>
          <w:numId w:val="0"/>
        </w:numPr>
        <w:shd w:val="clear"/>
        <w:spacing w:before="0" w:after="0" w:line="520" w:lineRule="exact"/>
        <w:ind w:firstLine="480" w:firstLineChars="200"/>
        <w:jc w:val="left"/>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19.采购文件</w:t>
      </w:r>
      <w:r>
        <w:rPr>
          <w:rFonts w:hint="eastAsia" w:ascii="仿宋" w:hAnsi="仿宋" w:eastAsia="仿宋" w:cs="仿宋"/>
          <w:b w:val="0"/>
          <w:bCs w:val="0"/>
          <w:color w:val="auto"/>
          <w:kern w:val="0"/>
          <w:sz w:val="24"/>
          <w:szCs w:val="24"/>
          <w:highlight w:val="none"/>
        </w:rPr>
        <w:t>、供应商的响应文件及澄清文件等，均为签订合同的依据。</w:t>
      </w:r>
    </w:p>
    <w:p w14:paraId="342C3204">
      <w:pPr>
        <w:keepNext w:val="0"/>
        <w:keepLines w:val="0"/>
        <w:numPr>
          <w:ilvl w:val="0"/>
          <w:numId w:val="0"/>
        </w:numPr>
        <w:shd w:val="clear"/>
        <w:spacing w:before="0" w:after="0" w:line="520" w:lineRule="exact"/>
        <w:ind w:firstLine="480" w:firstLineChars="200"/>
        <w:jc w:val="left"/>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20.</w:t>
      </w:r>
      <w:r>
        <w:rPr>
          <w:rFonts w:hint="eastAsia" w:ascii="仿宋" w:hAnsi="仿宋" w:eastAsia="仿宋" w:cs="仿宋"/>
          <w:b w:val="0"/>
          <w:bCs w:val="0"/>
          <w:color w:val="auto"/>
          <w:kern w:val="0"/>
          <w:sz w:val="24"/>
          <w:szCs w:val="24"/>
          <w:highlight w:val="none"/>
        </w:rPr>
        <w:t>合同生效条款由供需双方约定，法律、行政法规规定应当办理批准、登记等手续后生效的合同，依照其规定。</w:t>
      </w:r>
    </w:p>
    <w:p w14:paraId="797A9E7B">
      <w:pPr>
        <w:pStyle w:val="6"/>
        <w:keepNext w:val="0"/>
        <w:keepLines w:val="0"/>
        <w:numPr>
          <w:ilvl w:val="0"/>
          <w:numId w:val="0"/>
        </w:numPr>
        <w:shd w:val="clear"/>
        <w:spacing w:before="0" w:after="0" w:line="52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kern w:val="2"/>
          <w:sz w:val="28"/>
          <w:szCs w:val="28"/>
          <w:highlight w:val="none"/>
          <w:lang w:val="en-US" w:eastAsia="zh-CN" w:bidi="ar-SA"/>
        </w:rPr>
        <w:t>十、</w:t>
      </w:r>
      <w:r>
        <w:rPr>
          <w:rFonts w:hint="eastAsia" w:ascii="仿宋" w:hAnsi="仿宋" w:eastAsia="仿宋" w:cs="仿宋"/>
          <w:color w:val="auto"/>
          <w:sz w:val="28"/>
          <w:szCs w:val="28"/>
          <w:highlight w:val="none"/>
        </w:rPr>
        <w:t>其  他</w:t>
      </w:r>
      <w:bookmarkEnd w:id="128"/>
      <w:bookmarkEnd w:id="129"/>
      <w:bookmarkEnd w:id="130"/>
    </w:p>
    <w:p w14:paraId="7383B3F7">
      <w:pPr>
        <w:shd w:val="clear"/>
        <w:tabs>
          <w:tab w:val="left" w:pos="851"/>
        </w:tabs>
        <w:spacing w:line="520" w:lineRule="exact"/>
        <w:ind w:firstLine="480" w:firstLineChars="200"/>
        <w:rPr>
          <w:rFonts w:hint="eastAsia" w:ascii="仿宋" w:hAnsi="仿宋" w:eastAsia="仿宋" w:cs="仿宋"/>
          <w:color w:val="auto"/>
          <w:sz w:val="24"/>
          <w:szCs w:val="24"/>
          <w:highlight w:val="none"/>
        </w:rPr>
      </w:pPr>
      <w:bookmarkStart w:id="131" w:name="_Toc327324318"/>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中作为实质性的内容，除明确要求需要在申请文件中提供承诺函或证明材料的以外，资格预审小组在评审时，仅对申请文件是否违背实质性要求进行审查。</w:t>
      </w:r>
    </w:p>
    <w:p w14:paraId="4CD005FA">
      <w:pPr>
        <w:shd w:val="clea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招标代理</w:t>
      </w:r>
      <w:r>
        <w:rPr>
          <w:rFonts w:hint="eastAsia" w:ascii="仿宋" w:hAnsi="仿宋" w:eastAsia="仿宋" w:cs="仿宋"/>
          <w:color w:val="auto"/>
          <w:sz w:val="24"/>
          <w:szCs w:val="24"/>
          <w:highlight w:val="none"/>
        </w:rPr>
        <w:t>服务费用条款</w:t>
      </w:r>
    </w:p>
    <w:p w14:paraId="6FB67B05">
      <w:pPr>
        <w:shd w:val="clea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1本项目</w:t>
      </w:r>
      <w:r>
        <w:rPr>
          <w:rFonts w:hint="eastAsia" w:ascii="仿宋" w:hAnsi="仿宋" w:eastAsia="仿宋" w:cs="仿宋"/>
          <w:color w:val="auto"/>
          <w:sz w:val="24"/>
          <w:szCs w:val="24"/>
          <w:highlight w:val="none"/>
          <w:lang w:val="en-US" w:eastAsia="zh-CN"/>
        </w:rPr>
        <w:t>耗材类遴选招标代理</w:t>
      </w:r>
      <w:r>
        <w:rPr>
          <w:rFonts w:hint="eastAsia" w:ascii="仿宋" w:hAnsi="仿宋" w:eastAsia="仿宋" w:cs="仿宋"/>
          <w:color w:val="auto"/>
          <w:sz w:val="24"/>
          <w:szCs w:val="24"/>
          <w:highlight w:val="none"/>
        </w:rPr>
        <w:t>服务费金额为人民币</w:t>
      </w:r>
      <w:r>
        <w:rPr>
          <w:rFonts w:hint="eastAsia" w:ascii="仿宋" w:hAnsi="仿宋" w:eastAsia="仿宋" w:cs="仿宋"/>
          <w:color w:val="auto"/>
          <w:sz w:val="24"/>
          <w:szCs w:val="24"/>
          <w:highlight w:val="none"/>
          <w:lang w:val="en-US" w:eastAsia="zh-CN"/>
        </w:rPr>
        <w:t>400元/品目</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val="en-US" w:eastAsia="zh-CN"/>
        </w:rPr>
        <w:t>各品目</w:t>
      </w:r>
      <w:r>
        <w:rPr>
          <w:rFonts w:hint="eastAsia" w:ascii="仿宋" w:hAnsi="仿宋" w:eastAsia="仿宋" w:cs="仿宋"/>
          <w:color w:val="auto"/>
          <w:sz w:val="24"/>
          <w:szCs w:val="24"/>
          <w:highlight w:val="none"/>
        </w:rPr>
        <w:t>中标人</w:t>
      </w:r>
      <w:r>
        <w:rPr>
          <w:rFonts w:hint="eastAsia" w:ascii="仿宋" w:hAnsi="仿宋" w:eastAsia="仿宋" w:cs="仿宋"/>
          <w:color w:val="auto"/>
          <w:sz w:val="24"/>
          <w:szCs w:val="24"/>
          <w:highlight w:val="none"/>
          <w:lang w:eastAsia="zh-CN"/>
        </w:rPr>
        <w:t>（主供货商）</w:t>
      </w:r>
      <w:r>
        <w:rPr>
          <w:rFonts w:hint="eastAsia" w:ascii="仿宋" w:hAnsi="仿宋" w:eastAsia="仿宋" w:cs="仿宋"/>
          <w:color w:val="auto"/>
          <w:sz w:val="24"/>
          <w:szCs w:val="24"/>
          <w:highlight w:val="none"/>
        </w:rPr>
        <w:t>承担支付义务。</w:t>
      </w:r>
    </w:p>
    <w:p w14:paraId="6E457FF1">
      <w:pPr>
        <w:shd w:val="clea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.2服务费支付对象为采购代理机构</w:t>
      </w:r>
      <w:r>
        <w:rPr>
          <w:rFonts w:hint="eastAsia" w:ascii="仿宋" w:hAnsi="仿宋" w:eastAsia="仿宋" w:cs="仿宋"/>
          <w:color w:val="auto"/>
          <w:sz w:val="24"/>
          <w:szCs w:val="24"/>
          <w:highlight w:val="none"/>
          <w:lang w:val="en-US" w:eastAsia="zh-CN"/>
        </w:rPr>
        <w:t>重庆亿集招标代理有限公司</w:t>
      </w:r>
      <w:r>
        <w:rPr>
          <w:rFonts w:hint="eastAsia" w:ascii="仿宋" w:hAnsi="仿宋" w:eastAsia="仿宋" w:cs="仿宋"/>
          <w:color w:val="auto"/>
          <w:sz w:val="24"/>
          <w:szCs w:val="24"/>
          <w:highlight w:val="none"/>
        </w:rPr>
        <w:t>，支付时间为中标通知书发出后 5 个工作日内。</w:t>
      </w:r>
    </w:p>
    <w:p w14:paraId="040B0A0F">
      <w:pPr>
        <w:pStyle w:val="5"/>
        <w:shd w:val="clear"/>
        <w:bidi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bookmarkEnd w:id="131"/>
      <w:bookmarkStart w:id="132" w:name="_Toc14922"/>
      <w:bookmarkStart w:id="133" w:name="_Toc514241824"/>
      <w:r>
        <w:rPr>
          <w:rStyle w:val="62"/>
          <w:rFonts w:hint="eastAsia" w:ascii="仿宋" w:hAnsi="仿宋" w:eastAsia="仿宋"/>
          <w:b/>
          <w:bCs/>
          <w:color w:val="auto"/>
          <w:sz w:val="32"/>
          <w:szCs w:val="32"/>
          <w:highlight w:val="none"/>
        </w:rPr>
        <w:t>第三章  投标人应当提供的资格、</w:t>
      </w:r>
      <w:r>
        <w:rPr>
          <w:rStyle w:val="62"/>
          <w:rFonts w:hint="eastAsia" w:ascii="仿宋" w:hAnsi="仿宋"/>
          <w:b/>
          <w:bCs/>
          <w:color w:val="auto"/>
          <w:sz w:val="32"/>
          <w:szCs w:val="32"/>
          <w:highlight w:val="none"/>
        </w:rPr>
        <w:t>资质</w:t>
      </w:r>
      <w:r>
        <w:rPr>
          <w:rStyle w:val="62"/>
          <w:rFonts w:hint="eastAsia" w:ascii="仿宋" w:hAnsi="仿宋" w:eastAsia="仿宋"/>
          <w:b/>
          <w:bCs/>
          <w:color w:val="auto"/>
          <w:sz w:val="32"/>
          <w:szCs w:val="32"/>
          <w:highlight w:val="none"/>
        </w:rPr>
        <w:t>及其他类似效力要求的相关证明材料</w:t>
      </w:r>
      <w:bookmarkEnd w:id="132"/>
      <w:bookmarkEnd w:id="133"/>
    </w:p>
    <w:p w14:paraId="28FF8385">
      <w:pPr>
        <w:widowControl/>
        <w:shd w:val="clear"/>
        <w:spacing w:line="520" w:lineRule="exact"/>
        <w:ind w:firstLine="720" w:firstLineChars="300"/>
        <w:rPr>
          <w:rFonts w:hint="eastAsia" w:ascii="仿宋" w:hAnsi="仿宋" w:eastAsia="仿宋" w:cs="仿宋"/>
          <w:color w:val="auto"/>
          <w:sz w:val="24"/>
          <w:szCs w:val="24"/>
          <w:highlight w:val="none"/>
        </w:rPr>
      </w:pPr>
      <w:bookmarkStart w:id="134" w:name="_Toc526"/>
      <w:r>
        <w:rPr>
          <w:rFonts w:hint="eastAsia" w:ascii="仿宋" w:hAnsi="仿宋" w:eastAsia="仿宋" w:cs="仿宋"/>
          <w:color w:val="auto"/>
          <w:sz w:val="24"/>
          <w:szCs w:val="24"/>
          <w:highlight w:val="none"/>
        </w:rPr>
        <w:t>投标人必须按</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中的要求提交相关证明文件，并作为其</w:t>
      </w:r>
      <w:r>
        <w:rPr>
          <w:rFonts w:hint="eastAsia" w:ascii="仿宋" w:hAnsi="仿宋" w:eastAsia="仿宋" w:cs="仿宋"/>
          <w:color w:val="auto"/>
          <w:sz w:val="24"/>
          <w:szCs w:val="24"/>
          <w:highlight w:val="none"/>
          <w:lang w:eastAsia="zh-CN"/>
        </w:rPr>
        <w:t>资格</w:t>
      </w:r>
      <w:r>
        <w:rPr>
          <w:rFonts w:hint="eastAsia" w:ascii="仿宋" w:hAnsi="仿宋" w:eastAsia="仿宋" w:cs="仿宋"/>
          <w:color w:val="auto"/>
          <w:sz w:val="24"/>
          <w:szCs w:val="24"/>
          <w:highlight w:val="none"/>
        </w:rPr>
        <w:t>申请文件的一部分，以证明其有资格参加本项目采购活动和中标后有履行合同的能力。</w:t>
      </w:r>
    </w:p>
    <w:p w14:paraId="76C0246F">
      <w:pPr>
        <w:pStyle w:val="3"/>
        <w:shd w:val="clear"/>
        <w:spacing w:line="520" w:lineRule="exact"/>
        <w:ind w:firstLine="480" w:firstLineChars="200"/>
        <w:outlineLvl w:val="1"/>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bidi="ar-SA"/>
        </w:rPr>
        <w:t>一、</w:t>
      </w:r>
      <w:r>
        <w:rPr>
          <w:rFonts w:hint="eastAsia" w:ascii="仿宋" w:hAnsi="仿宋" w:eastAsia="仿宋" w:cs="仿宋"/>
          <w:b/>
          <w:bCs/>
          <w:color w:val="auto"/>
          <w:kern w:val="2"/>
          <w:sz w:val="24"/>
          <w:szCs w:val="24"/>
          <w:highlight w:val="none"/>
        </w:rPr>
        <w:t>投标人应具备下列条件：</w:t>
      </w:r>
    </w:p>
    <w:p w14:paraId="45EC2694">
      <w:pPr>
        <w:widowControl/>
        <w:shd w:val="clear"/>
        <w:tabs>
          <w:tab w:val="left" w:pos="1134"/>
        </w:tabs>
        <w:spacing w:line="52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1.</w:t>
      </w:r>
      <w:r>
        <w:rPr>
          <w:rFonts w:hint="eastAsia" w:ascii="仿宋" w:hAnsi="仿宋" w:eastAsia="仿宋" w:cs="仿宋"/>
          <w:b/>
          <w:color w:val="auto"/>
          <w:sz w:val="24"/>
          <w:szCs w:val="24"/>
          <w:highlight w:val="none"/>
        </w:rPr>
        <w:t>在中国境内合法注册提供以下证明材料：</w:t>
      </w:r>
    </w:p>
    <w:p w14:paraId="1F5E1DB5">
      <w:pPr>
        <w:widowControl/>
        <w:shd w:val="clear"/>
        <w:tabs>
          <w:tab w:val="left" w:pos="1134"/>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（1）独立法人机构提供下述证明材料：</w:t>
      </w:r>
    </w:p>
    <w:p w14:paraId="417311A2">
      <w:pPr>
        <w:widowControl/>
        <w:shd w:val="clear"/>
        <w:tabs>
          <w:tab w:val="left" w:pos="1134"/>
        </w:tabs>
        <w:spacing w:line="5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注：①投标人若为企业法人：提供“统一社会信用代码营业执照”；未换证的提供“营业执照、税务登记证、组织机构代码证或三证合一的营业执照”；</w:t>
      </w:r>
    </w:p>
    <w:p w14:paraId="340ECCCF">
      <w:pPr>
        <w:widowControl/>
        <w:shd w:val="clear"/>
        <w:tabs>
          <w:tab w:val="left" w:pos="1134"/>
        </w:tabs>
        <w:spacing w:line="5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②若为事业法人：提供“统一社会信用代码法人登记证书”；未换证的提交“事业法人登记证书、组织机构代码证”；</w:t>
      </w:r>
    </w:p>
    <w:p w14:paraId="58822E55">
      <w:pPr>
        <w:widowControl/>
        <w:shd w:val="clear"/>
        <w:tabs>
          <w:tab w:val="left" w:pos="1134"/>
        </w:tabs>
        <w:spacing w:line="5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③若为其他组织：提供“对应主管部门颁发的准许执业证明文件或营业执照”；</w:t>
      </w:r>
    </w:p>
    <w:p w14:paraId="461BBD62">
      <w:pPr>
        <w:widowControl/>
        <w:shd w:val="clear"/>
        <w:tabs>
          <w:tab w:val="left" w:pos="1134"/>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④若为自然人：提供“身份证明材料”。以上均提供复印件。</w:t>
      </w:r>
    </w:p>
    <w:p w14:paraId="50E118C0">
      <w:pPr>
        <w:widowControl/>
        <w:shd w:val="clear"/>
        <w:tabs>
          <w:tab w:val="left" w:pos="1134"/>
        </w:tabs>
        <w:spacing w:line="5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（2）非独立法人机构提供下述证明材料：</w:t>
      </w:r>
    </w:p>
    <w:p w14:paraId="2BAA4152">
      <w:pPr>
        <w:widowControl/>
        <w:shd w:val="clear"/>
        <w:tabs>
          <w:tab w:val="left" w:pos="1134"/>
        </w:tabs>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本项目不接受非独立法人机构参与投标；</w:t>
      </w:r>
    </w:p>
    <w:p w14:paraId="698C26C9">
      <w:pPr>
        <w:widowControl/>
        <w:shd w:val="clear"/>
        <w:tabs>
          <w:tab w:val="left" w:pos="1134"/>
        </w:tabs>
        <w:spacing w:line="520" w:lineRule="exact"/>
        <w:ind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2.</w:t>
      </w:r>
      <w:r>
        <w:rPr>
          <w:rFonts w:hint="eastAsia" w:ascii="仿宋" w:hAnsi="仿宋" w:eastAsia="仿宋" w:cs="仿宋"/>
          <w:bCs/>
          <w:color w:val="auto"/>
          <w:sz w:val="24"/>
          <w:szCs w:val="24"/>
          <w:highlight w:val="none"/>
        </w:rPr>
        <w:t>具有依法缴纳税收的记录；</w:t>
      </w:r>
    </w:p>
    <w:p w14:paraId="218319A8">
      <w:pPr>
        <w:widowControl/>
        <w:shd w:val="clear"/>
        <w:tabs>
          <w:tab w:val="left" w:pos="1134"/>
        </w:tabs>
        <w:spacing w:line="520" w:lineRule="exact"/>
        <w:ind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3.</w:t>
      </w:r>
      <w:r>
        <w:rPr>
          <w:rFonts w:hint="eastAsia" w:ascii="仿宋" w:hAnsi="仿宋" w:eastAsia="仿宋" w:cs="仿宋"/>
          <w:bCs/>
          <w:color w:val="auto"/>
          <w:sz w:val="24"/>
          <w:szCs w:val="24"/>
          <w:highlight w:val="none"/>
        </w:rPr>
        <w:t>具有依法缴纳社会保障资金的记录；</w:t>
      </w:r>
    </w:p>
    <w:p w14:paraId="083561C8">
      <w:pPr>
        <w:widowControl/>
        <w:shd w:val="clear"/>
        <w:tabs>
          <w:tab w:val="left" w:pos="1134"/>
        </w:tabs>
        <w:spacing w:line="520" w:lineRule="exact"/>
        <w:ind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4.</w:t>
      </w:r>
      <w:r>
        <w:rPr>
          <w:rFonts w:hint="eastAsia" w:ascii="仿宋" w:hAnsi="仿宋" w:eastAsia="仿宋" w:cs="仿宋"/>
          <w:bCs/>
          <w:color w:val="auto"/>
          <w:sz w:val="24"/>
          <w:szCs w:val="24"/>
          <w:highlight w:val="none"/>
        </w:rPr>
        <w:t>参加采购活动前三年内，在经营活动中没有重大违法记录；</w:t>
      </w:r>
    </w:p>
    <w:p w14:paraId="48D4D8B7">
      <w:pPr>
        <w:widowControl/>
        <w:shd w:val="clear"/>
        <w:tabs>
          <w:tab w:val="left" w:pos="1134"/>
        </w:tabs>
        <w:spacing w:line="520" w:lineRule="exact"/>
        <w:ind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法律、行政法规规定的其他条件；</w:t>
      </w:r>
    </w:p>
    <w:p w14:paraId="7003CD42">
      <w:pPr>
        <w:widowControl/>
        <w:shd w:val="clear"/>
        <w:tabs>
          <w:tab w:val="left" w:pos="1134"/>
        </w:tabs>
        <w:spacing w:line="520" w:lineRule="exact"/>
        <w:ind w:firstLine="723" w:firstLineChars="300"/>
        <w:rPr>
          <w:rFonts w:hint="eastAsia" w:ascii="仿宋" w:hAnsi="仿宋" w:eastAsia="仿宋" w:cs="仿宋"/>
          <w:bCs/>
          <w:color w:val="auto"/>
          <w:sz w:val="24"/>
          <w:szCs w:val="24"/>
          <w:highlight w:val="none"/>
          <w:lang w:eastAsia="zh-CN"/>
        </w:rPr>
      </w:pPr>
      <w:r>
        <w:rPr>
          <w:rFonts w:hint="eastAsia" w:ascii="仿宋" w:hAnsi="仿宋" w:eastAsia="仿宋" w:cs="仿宋"/>
          <w:b/>
          <w:bCs w:val="0"/>
          <w:color w:val="auto"/>
          <w:sz w:val="24"/>
          <w:szCs w:val="24"/>
          <w:highlight w:val="none"/>
          <w:lang w:val="en-US" w:eastAsia="zh-CN"/>
        </w:rPr>
        <w:t>注：</w:t>
      </w: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第2-5项资格条件须</w:t>
      </w:r>
      <w:r>
        <w:rPr>
          <w:rFonts w:hint="eastAsia" w:ascii="仿宋" w:hAnsi="仿宋" w:eastAsia="仿宋" w:cs="仿宋"/>
          <w:b/>
          <w:color w:val="auto"/>
          <w:sz w:val="24"/>
          <w:szCs w:val="24"/>
          <w:highlight w:val="none"/>
        </w:rPr>
        <w:t>提供承诺函</w:t>
      </w:r>
      <w:r>
        <w:rPr>
          <w:rFonts w:hint="eastAsia" w:ascii="仿宋" w:hAnsi="仿宋" w:eastAsia="仿宋" w:cs="仿宋"/>
          <w:b/>
          <w:color w:val="auto"/>
          <w:sz w:val="24"/>
          <w:szCs w:val="24"/>
          <w:highlight w:val="none"/>
          <w:lang w:val="zh-CN"/>
        </w:rPr>
        <w:t>（格式详见第四章）</w:t>
      </w:r>
      <w:r>
        <w:rPr>
          <w:rFonts w:hint="eastAsia" w:ascii="仿宋" w:hAnsi="仿宋" w:eastAsia="仿宋" w:cs="仿宋"/>
          <w:color w:val="auto"/>
          <w:sz w:val="24"/>
          <w:szCs w:val="24"/>
          <w:highlight w:val="none"/>
          <w:lang w:val="zh-CN" w:eastAsia="zh-CN"/>
        </w:rPr>
        <w:t>；</w:t>
      </w:r>
    </w:p>
    <w:p w14:paraId="00A94350">
      <w:pPr>
        <w:widowControl/>
        <w:shd w:val="clear"/>
        <w:tabs>
          <w:tab w:val="left" w:pos="1134"/>
        </w:tabs>
        <w:spacing w:line="520" w:lineRule="exact"/>
        <w:ind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（2）采购人将保留通过以下</w:t>
      </w:r>
      <w:r>
        <w:rPr>
          <w:rFonts w:hint="eastAsia" w:ascii="仿宋" w:hAnsi="仿宋" w:eastAsia="仿宋" w:cs="仿宋"/>
          <w:bCs/>
          <w:color w:val="auto"/>
          <w:sz w:val="24"/>
          <w:szCs w:val="24"/>
          <w:highlight w:val="none"/>
          <w:lang w:val="en-US" w:eastAsia="zh-CN"/>
        </w:rPr>
        <w:t>渠道</w:t>
      </w:r>
      <w:r>
        <w:rPr>
          <w:rFonts w:hint="eastAsia" w:ascii="仿宋" w:hAnsi="仿宋" w:eastAsia="仿宋" w:cs="仿宋"/>
          <w:bCs/>
          <w:color w:val="auto"/>
          <w:sz w:val="24"/>
          <w:szCs w:val="24"/>
          <w:highlight w:val="none"/>
        </w:rPr>
        <w:t>进行校验的权利：</w:t>
      </w:r>
    </w:p>
    <w:p w14:paraId="3594D4B1">
      <w:pPr>
        <w:widowControl/>
        <w:shd w:val="clear"/>
        <w:tabs>
          <w:tab w:val="left" w:pos="1134"/>
        </w:tabs>
        <w:spacing w:line="520" w:lineRule="exact"/>
        <w:ind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①未被中国政府采购网（网址：https://www.ccgp.gov.cn/search/cr</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列入“政府采购严重违法失信行为记录名单”；</w:t>
      </w:r>
    </w:p>
    <w:p w14:paraId="0EABB559">
      <w:pPr>
        <w:widowControl/>
        <w:shd w:val="clear"/>
        <w:tabs>
          <w:tab w:val="left" w:pos="1134"/>
        </w:tabs>
        <w:spacing w:line="520" w:lineRule="exact"/>
        <w:ind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②未被工商行政管理机关在国家企业信用信息公示系统（网址：www.gsxt.gov.cn）列入经营异常名录或严重违法失信企业名单；</w:t>
      </w:r>
    </w:p>
    <w:p w14:paraId="3AC24567">
      <w:pPr>
        <w:widowControl/>
        <w:shd w:val="clear"/>
        <w:tabs>
          <w:tab w:val="left" w:pos="1134"/>
        </w:tabs>
        <w:spacing w:line="520" w:lineRule="exact"/>
        <w:ind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③未被最高人民法院在“信用中国”网站（网址：www.creditchina.gov.cn）列入严重失信；</w:t>
      </w:r>
    </w:p>
    <w:p w14:paraId="7D616FA9">
      <w:pPr>
        <w:widowControl/>
        <w:shd w:val="clear"/>
        <w:tabs>
          <w:tab w:val="left" w:pos="1134"/>
        </w:tabs>
        <w:spacing w:line="520" w:lineRule="exact"/>
        <w:ind w:firstLine="723" w:firstLineChars="3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6.</w:t>
      </w:r>
      <w:r>
        <w:rPr>
          <w:rFonts w:hint="eastAsia" w:ascii="仿宋" w:hAnsi="仿宋" w:eastAsia="仿宋" w:cs="仿宋"/>
          <w:b/>
          <w:bCs w:val="0"/>
          <w:color w:val="auto"/>
          <w:sz w:val="24"/>
          <w:szCs w:val="24"/>
          <w:highlight w:val="none"/>
        </w:rPr>
        <w:t>根据采购项目提出的特殊条件：</w:t>
      </w:r>
    </w:p>
    <w:p w14:paraId="25CAADD2">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（1）采购产品为医疗器械的，投标人须提供书面承诺，承诺交货时提供所投产品注册/备案证明材料。</w:t>
      </w:r>
    </w:p>
    <w:p w14:paraId="753098DD">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（2）投标人为</w:t>
      </w:r>
      <w:r>
        <w:rPr>
          <w:rFonts w:hint="eastAsia" w:ascii="仿宋" w:hAnsi="仿宋" w:eastAsia="仿宋" w:cs="仿宋"/>
          <w:b/>
          <w:bCs w:val="0"/>
          <w:color w:val="auto"/>
          <w:sz w:val="24"/>
          <w:szCs w:val="24"/>
          <w:highlight w:val="none"/>
          <w:lang w:val="en-US" w:eastAsia="zh-CN" w:bidi="ar-SA"/>
        </w:rPr>
        <w:t>生产厂家</w:t>
      </w:r>
      <w:r>
        <w:rPr>
          <w:rFonts w:hint="eastAsia" w:ascii="仿宋" w:hAnsi="仿宋" w:eastAsia="仿宋" w:cs="仿宋"/>
          <w:bCs/>
          <w:color w:val="auto"/>
          <w:sz w:val="24"/>
          <w:szCs w:val="24"/>
          <w:highlight w:val="none"/>
          <w:lang w:val="en-US" w:eastAsia="zh-CN" w:bidi="ar-SA"/>
        </w:rPr>
        <w:t>，须提供医疗器械生产许可证/备案材料；</w:t>
      </w:r>
    </w:p>
    <w:p w14:paraId="4E254711">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投标人为</w:t>
      </w:r>
      <w:r>
        <w:rPr>
          <w:rFonts w:hint="eastAsia" w:ascii="仿宋" w:hAnsi="仿宋" w:eastAsia="仿宋" w:cs="仿宋"/>
          <w:b/>
          <w:bCs w:val="0"/>
          <w:color w:val="auto"/>
          <w:sz w:val="24"/>
          <w:szCs w:val="24"/>
          <w:highlight w:val="none"/>
          <w:lang w:val="en-US" w:eastAsia="zh-CN" w:bidi="ar-SA"/>
        </w:rPr>
        <w:t>经销商</w:t>
      </w:r>
      <w:r>
        <w:rPr>
          <w:rFonts w:hint="eastAsia" w:ascii="仿宋" w:hAnsi="仿宋" w:eastAsia="仿宋" w:cs="仿宋"/>
          <w:bCs/>
          <w:color w:val="auto"/>
          <w:sz w:val="24"/>
          <w:szCs w:val="24"/>
          <w:highlight w:val="none"/>
          <w:lang w:val="en-US" w:eastAsia="zh-CN" w:bidi="ar-SA"/>
        </w:rPr>
        <w:t>，须提供医疗器械经营许可证/备案材料；</w:t>
      </w:r>
    </w:p>
    <w:p w14:paraId="42C80D97">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不在《医疗器械分类目录》内的不作强行要求。</w:t>
      </w:r>
    </w:p>
    <w:p w14:paraId="2935F820">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3）投标人为经销商，对所投耗材须逐项提供生产厂家出具的本项目专项授权书（每品目耗材须单独提供一份（张）授权书）（例如：若投标人同时参与5个品目耗材的投标，须在资格预审申请文件中提供5份（张）授权文件）。</w:t>
      </w:r>
    </w:p>
    <w:p w14:paraId="08B90338">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rPr>
          <w:rFonts w:hint="eastAsia"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说明：①专项授权书须体现授权方与被授权方信息、授权范围、项目名称。</w:t>
      </w:r>
    </w:p>
    <w:p w14:paraId="1B9AC057">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2" w:firstLineChars="200"/>
        <w:textAlignment w:val="auto"/>
        <w:rPr>
          <w:rFonts w:hint="eastAsia"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②提供伪造、变造授权文件或虚假授权材料的，一经查实将依法追究法律责任；涉嫌犯罪的，移送司法机关。</w:t>
      </w:r>
    </w:p>
    <w:p w14:paraId="6F34F92B">
      <w:pPr>
        <w:pStyle w:val="246"/>
        <w:keepNext w:val="0"/>
        <w:keepLines w:val="0"/>
        <w:pageBreakBefore w:val="0"/>
        <w:numPr>
          <w:ilvl w:val="0"/>
          <w:numId w:val="0"/>
        </w:numPr>
        <w:shd w:val="clear"/>
        <w:kinsoku/>
        <w:wordWrap/>
        <w:overflowPunct/>
        <w:topLinePunct w:val="0"/>
        <w:autoSpaceDE/>
        <w:autoSpaceDN/>
        <w:bidi w:val="0"/>
        <w:adjustRightInd/>
        <w:snapToGrid/>
        <w:spacing w:line="520" w:lineRule="exact"/>
        <w:ind w:left="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szCs w:val="24"/>
          <w:highlight w:val="none"/>
          <w:lang w:val="en-US" w:eastAsia="zh-CN" w:bidi="ar-SA"/>
        </w:rPr>
        <w:t>7.重庆药品和医用耗材招采管理系统耗材挂网信息截图</w:t>
      </w:r>
      <w:r>
        <w:rPr>
          <w:rFonts w:hint="eastAsia" w:ascii="仿宋" w:hAnsi="仿宋" w:eastAsia="仿宋" w:cs="仿宋"/>
          <w:b/>
          <w:bCs/>
          <w:color w:val="auto"/>
          <w:sz w:val="24"/>
          <w:highlight w:val="none"/>
          <w:lang w:val="en-US" w:eastAsia="zh-CN"/>
        </w:rPr>
        <w:t>：</w:t>
      </w:r>
    </w:p>
    <w:p w14:paraId="1D47DBA9">
      <w:pPr>
        <w:pStyle w:val="168"/>
        <w:keepNext w:val="0"/>
        <w:keepLines w:val="0"/>
        <w:pageBreakBefore w:val="0"/>
        <w:widowControl w:val="0"/>
        <w:numPr>
          <w:ilvl w:val="0"/>
          <w:numId w:val="0"/>
        </w:numPr>
        <w:shd w:val="clear"/>
        <w:kinsoku/>
        <w:wordWrap/>
        <w:overflowPunct/>
        <w:topLinePunct w:val="0"/>
        <w:autoSpaceDE/>
        <w:autoSpaceDN/>
        <w:bidi w:val="0"/>
        <w:adjustRightInd w:val="0"/>
        <w:snapToGrid/>
        <w:spacing w:line="520" w:lineRule="exact"/>
        <w:ind w:leftChars="0" w:firstLine="480" w:firstLineChars="200"/>
        <w:textAlignment w:val="baseline"/>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（1）所报品目耗材截图中体现的型号规格须与《耗材采购清单》中要求一致，且包含每品目耗材的所有型号规格；</w:t>
      </w:r>
    </w:p>
    <w:p w14:paraId="2D162ECC">
      <w:pPr>
        <w:pStyle w:val="168"/>
        <w:keepNext w:val="0"/>
        <w:keepLines w:val="0"/>
        <w:pageBreakBefore w:val="0"/>
        <w:widowControl w:val="0"/>
        <w:numPr>
          <w:ilvl w:val="0"/>
          <w:numId w:val="0"/>
        </w:numPr>
        <w:shd w:val="clear"/>
        <w:kinsoku/>
        <w:wordWrap/>
        <w:overflowPunct/>
        <w:topLinePunct w:val="0"/>
        <w:autoSpaceDE/>
        <w:autoSpaceDN/>
        <w:bidi w:val="0"/>
        <w:adjustRightInd w:val="0"/>
        <w:snapToGrid/>
        <w:spacing w:line="520" w:lineRule="exact"/>
        <w:ind w:leftChars="0" w:firstLine="480" w:firstLineChars="200"/>
        <w:textAlignment w:val="baseline"/>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（2）所报品目耗材截图中体现的生产企业须与《第一轮报价表》填写内容一致；</w:t>
      </w:r>
    </w:p>
    <w:p w14:paraId="4BB4F87F">
      <w:pPr>
        <w:pStyle w:val="168"/>
        <w:keepNext w:val="0"/>
        <w:keepLines w:val="0"/>
        <w:pageBreakBefore w:val="0"/>
        <w:widowControl w:val="0"/>
        <w:numPr>
          <w:ilvl w:val="0"/>
          <w:numId w:val="0"/>
        </w:numPr>
        <w:shd w:val="clear"/>
        <w:kinsoku/>
        <w:wordWrap/>
        <w:overflowPunct/>
        <w:topLinePunct w:val="0"/>
        <w:autoSpaceDE/>
        <w:autoSpaceDN/>
        <w:bidi w:val="0"/>
        <w:adjustRightInd w:val="0"/>
        <w:snapToGrid/>
        <w:spacing w:line="520" w:lineRule="exact"/>
        <w:ind w:leftChars="0" w:firstLine="480" w:firstLineChars="200"/>
        <w:textAlignment w:val="baseline"/>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（3）所报品目耗材单价报价不得超过重庆药品和医用耗材招采管理系统同期挂网价。</w:t>
      </w:r>
    </w:p>
    <w:p w14:paraId="01D05E32">
      <w:pPr>
        <w:widowControl/>
        <w:shd w:val="clear"/>
        <w:spacing w:line="520" w:lineRule="exact"/>
        <w:ind w:firstLine="482" w:firstLineChars="200"/>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其他类似效力要求相关证明材料：</w:t>
      </w:r>
    </w:p>
    <w:p w14:paraId="66B6A8D0">
      <w:pPr>
        <w:widowControl/>
        <w:shd w:val="clear"/>
        <w:tabs>
          <w:tab w:val="left" w:pos="1134"/>
        </w:tabs>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1.法定代表人身份证复印件或护照复印件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注：①法定代表人身份证复印件（在有效期内、两面均应复印）或护照复印件（法定代表人为外籍人士的，按此提供）</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w:t>
      </w:r>
    </w:p>
    <w:p w14:paraId="65A9231A">
      <w:pPr>
        <w:widowControl/>
        <w:shd w:val="clear"/>
        <w:tabs>
          <w:tab w:val="left" w:pos="1134"/>
        </w:tabs>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2.代理人身份证复印件（身份证两面均应复印）（注：①在有效期内；②由投标人法定代表人签署所有</w:t>
      </w:r>
      <w:r>
        <w:rPr>
          <w:rFonts w:hint="eastAsia" w:ascii="仿宋" w:hAnsi="仿宋" w:eastAsia="仿宋" w:cs="仿宋"/>
          <w:bCs/>
          <w:color w:val="auto"/>
          <w:sz w:val="24"/>
          <w:szCs w:val="24"/>
          <w:highlight w:val="none"/>
          <w:lang w:eastAsia="zh-CN"/>
        </w:rPr>
        <w:t>资格</w:t>
      </w:r>
      <w:r>
        <w:rPr>
          <w:rFonts w:hint="eastAsia" w:ascii="仿宋" w:hAnsi="仿宋" w:eastAsia="仿宋" w:cs="仿宋"/>
          <w:bCs/>
          <w:color w:val="auto"/>
          <w:sz w:val="24"/>
          <w:szCs w:val="24"/>
          <w:highlight w:val="none"/>
        </w:rPr>
        <w:t>申请文件并参加资格预审活动的，则可不提供）</w:t>
      </w:r>
      <w:r>
        <w:rPr>
          <w:rFonts w:hint="eastAsia" w:ascii="仿宋" w:hAnsi="仿宋" w:eastAsia="仿宋" w:cs="仿宋"/>
          <w:bCs/>
          <w:color w:val="auto"/>
          <w:sz w:val="24"/>
          <w:szCs w:val="24"/>
          <w:highlight w:val="none"/>
          <w:lang w:val="en-US" w:eastAsia="zh-CN"/>
        </w:rPr>
        <w:t>。</w:t>
      </w:r>
    </w:p>
    <w:p w14:paraId="30298401">
      <w:pPr>
        <w:widowControl/>
        <w:shd w:val="clear"/>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3.法定代表人身份证明书</w:t>
      </w:r>
    </w:p>
    <w:p w14:paraId="643AE492">
      <w:pPr>
        <w:widowControl/>
        <w:shd w:val="clea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法定代表人授权委托书（注：①非法定代表人签署所有</w:t>
      </w:r>
      <w:r>
        <w:rPr>
          <w:rFonts w:hint="eastAsia" w:ascii="仿宋" w:hAnsi="仿宋" w:eastAsia="仿宋" w:cs="仿宋"/>
          <w:bCs/>
          <w:color w:val="auto"/>
          <w:sz w:val="24"/>
          <w:szCs w:val="24"/>
          <w:highlight w:val="none"/>
          <w:lang w:eastAsia="zh-CN"/>
        </w:rPr>
        <w:t>资格</w:t>
      </w:r>
      <w:r>
        <w:rPr>
          <w:rFonts w:hint="eastAsia" w:ascii="仿宋" w:hAnsi="仿宋" w:eastAsia="仿宋" w:cs="仿宋"/>
          <w:bCs/>
          <w:color w:val="auto"/>
          <w:sz w:val="24"/>
          <w:szCs w:val="24"/>
          <w:highlight w:val="none"/>
        </w:rPr>
        <w:t>申请文件并参加资格预审活动的适用；②其签字或加盖法定代表人私人印章须与其相对应的身份证明文件</w:t>
      </w:r>
      <w:r>
        <w:rPr>
          <w:rFonts w:hint="eastAsia" w:ascii="仿宋" w:hAnsi="仿宋" w:eastAsia="仿宋" w:cs="仿宋"/>
          <w:bCs/>
          <w:color w:val="auto"/>
          <w:sz w:val="24"/>
          <w:szCs w:val="24"/>
          <w:highlight w:val="none"/>
          <w:lang w:eastAsia="zh-CN"/>
        </w:rPr>
        <w:t>（身份证复印件或护照复印件）</w:t>
      </w:r>
      <w:r>
        <w:rPr>
          <w:rFonts w:hint="eastAsia" w:ascii="仿宋" w:hAnsi="仿宋" w:eastAsia="仿宋" w:cs="仿宋"/>
          <w:bCs/>
          <w:color w:val="auto"/>
          <w:sz w:val="24"/>
          <w:szCs w:val="24"/>
          <w:highlight w:val="none"/>
        </w:rPr>
        <w:t>上姓名一致）。</w:t>
      </w:r>
    </w:p>
    <w:p w14:paraId="4951D800">
      <w:pPr>
        <w:keepNext w:val="0"/>
        <w:keepLines w:val="0"/>
        <w:pageBreakBefore w:val="0"/>
        <w:widowControl/>
        <w:shd w:val="clear"/>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b/>
          <w:bCs/>
          <w:color w:val="auto"/>
          <w:kern w:val="2"/>
          <w:sz w:val="24"/>
          <w:szCs w:val="24"/>
          <w:highlight w:val="none"/>
        </w:rPr>
        <w:t>注：投标人需保证本章要求提供的相关证明材料的真实性，不得提供虚假的、失实的信息给采购人，若投标人提供虚假资料的</w:t>
      </w:r>
      <w:r>
        <w:rPr>
          <w:rFonts w:hint="eastAsia" w:ascii="仿宋" w:hAnsi="仿宋" w:eastAsia="仿宋" w:cs="仿宋"/>
          <w:b/>
          <w:bCs/>
          <w:color w:val="auto"/>
          <w:kern w:val="2"/>
          <w:sz w:val="24"/>
          <w:szCs w:val="24"/>
          <w:highlight w:val="none"/>
          <w:lang w:eastAsia="zh-CN"/>
        </w:rPr>
        <w:t>，对</w:t>
      </w:r>
      <w:r>
        <w:rPr>
          <w:rFonts w:hint="eastAsia" w:ascii="仿宋" w:hAnsi="仿宋" w:eastAsia="仿宋" w:cs="仿宋"/>
          <w:b/>
          <w:bCs/>
          <w:color w:val="auto"/>
          <w:kern w:val="2"/>
          <w:sz w:val="24"/>
          <w:szCs w:val="24"/>
          <w:highlight w:val="none"/>
        </w:rPr>
        <w:t>其</w:t>
      </w:r>
      <w:r>
        <w:rPr>
          <w:rFonts w:hint="eastAsia" w:ascii="仿宋" w:hAnsi="仿宋" w:eastAsia="仿宋" w:cs="仿宋"/>
          <w:b/>
          <w:bCs/>
          <w:color w:val="auto"/>
          <w:kern w:val="2"/>
          <w:sz w:val="24"/>
          <w:szCs w:val="24"/>
          <w:highlight w:val="none"/>
          <w:lang w:val="en-US" w:eastAsia="zh-CN"/>
        </w:rPr>
        <w:t>响应</w:t>
      </w:r>
      <w:r>
        <w:rPr>
          <w:rFonts w:hint="eastAsia" w:ascii="仿宋" w:hAnsi="仿宋" w:eastAsia="仿宋" w:cs="仿宋"/>
          <w:b/>
          <w:bCs/>
          <w:color w:val="auto"/>
          <w:kern w:val="2"/>
          <w:sz w:val="24"/>
          <w:szCs w:val="24"/>
          <w:highlight w:val="none"/>
          <w:lang w:eastAsia="zh-CN"/>
        </w:rPr>
        <w:t>文件</w:t>
      </w:r>
      <w:r>
        <w:rPr>
          <w:rFonts w:hint="eastAsia" w:ascii="仿宋" w:hAnsi="仿宋" w:eastAsia="仿宋" w:cs="仿宋"/>
          <w:b/>
          <w:bCs/>
          <w:color w:val="auto"/>
          <w:kern w:val="2"/>
          <w:sz w:val="24"/>
          <w:szCs w:val="24"/>
          <w:highlight w:val="none"/>
        </w:rPr>
        <w:t>按无效处理，采购人有权按相关法律法规追究投标人虚假响应的责任。</w:t>
      </w:r>
    </w:p>
    <w:p w14:paraId="7B1863ED">
      <w:pPr>
        <w:pStyle w:val="3"/>
        <w:shd w:val="clear"/>
        <w:spacing w:line="520" w:lineRule="exact"/>
        <w:rPr>
          <w:rFonts w:hint="eastAsia" w:ascii="仿宋" w:hAnsi="仿宋" w:eastAsia="仿宋" w:cs="仿宋"/>
          <w:b/>
          <w:color w:val="auto"/>
          <w:highlight w:val="none"/>
        </w:rPr>
      </w:pPr>
      <w:r>
        <w:rPr>
          <w:rFonts w:ascii="仿宋" w:hAnsi="仿宋" w:eastAsia="仿宋" w:cs="仿宋"/>
          <w:b/>
          <w:color w:val="auto"/>
          <w:highlight w:val="none"/>
        </w:rPr>
        <w:br w:type="page"/>
      </w:r>
    </w:p>
    <w:p w14:paraId="2BA40382">
      <w:pPr>
        <w:pStyle w:val="5"/>
        <w:shd w:val="clear"/>
        <w:bidi w:val="0"/>
        <w:rPr>
          <w:rStyle w:val="62"/>
          <w:rFonts w:hint="eastAsia" w:ascii="仿宋" w:hAnsi="仿宋" w:eastAsia="仿宋"/>
          <w:b/>
          <w:bCs/>
          <w:color w:val="auto"/>
          <w:sz w:val="32"/>
          <w:szCs w:val="32"/>
          <w:highlight w:val="none"/>
        </w:rPr>
      </w:pPr>
      <w:bookmarkStart w:id="135" w:name="_Toc8782"/>
      <w:bookmarkStart w:id="136" w:name="_Toc989"/>
      <w:r>
        <w:rPr>
          <w:rStyle w:val="62"/>
          <w:rFonts w:hint="eastAsia" w:ascii="仿宋" w:hAnsi="仿宋" w:eastAsia="仿宋"/>
          <w:b/>
          <w:bCs/>
          <w:color w:val="auto"/>
          <w:sz w:val="32"/>
          <w:szCs w:val="32"/>
          <w:highlight w:val="none"/>
        </w:rPr>
        <w:t xml:space="preserve">第四章 </w:t>
      </w:r>
      <w:bookmarkEnd w:id="134"/>
      <w:bookmarkEnd w:id="135"/>
      <w:r>
        <w:rPr>
          <w:rStyle w:val="62"/>
          <w:rFonts w:ascii="仿宋" w:hAnsi="仿宋" w:eastAsia="仿宋"/>
          <w:b/>
          <w:bCs/>
          <w:color w:val="auto"/>
          <w:sz w:val="32"/>
          <w:szCs w:val="32"/>
          <w:highlight w:val="none"/>
        </w:rPr>
        <w:t xml:space="preserve"> </w:t>
      </w:r>
      <w:r>
        <w:rPr>
          <w:rStyle w:val="62"/>
          <w:rFonts w:hint="eastAsia" w:ascii="仿宋" w:hAnsi="仿宋" w:eastAsia="仿宋"/>
          <w:b/>
          <w:bCs/>
          <w:color w:val="auto"/>
          <w:sz w:val="32"/>
          <w:szCs w:val="32"/>
          <w:highlight w:val="none"/>
        </w:rPr>
        <w:t>投标人应当提供的资格预审申请文件的内容和格式</w:t>
      </w:r>
      <w:bookmarkEnd w:id="136"/>
    </w:p>
    <w:p w14:paraId="44D426F5">
      <w:pPr>
        <w:widowControl/>
        <w:shd w:val="clear"/>
        <w:spacing w:line="520" w:lineRule="exact"/>
        <w:rPr>
          <w:rFonts w:hint="eastAsia" w:ascii="仿宋" w:hAnsi="仿宋" w:eastAsia="仿宋" w:cs="仿宋"/>
          <w:color w:val="auto"/>
          <w:sz w:val="24"/>
          <w:highlight w:val="none"/>
        </w:rPr>
      </w:pPr>
      <w:bookmarkStart w:id="137" w:name="_Toc25034"/>
      <w:bookmarkStart w:id="138" w:name="_Toc2511"/>
      <w:bookmarkStart w:id="139" w:name="_Toc13505"/>
      <w:bookmarkStart w:id="140" w:name="_Toc4378"/>
      <w:bookmarkStart w:id="141" w:name="_Toc26005"/>
      <w:bookmarkStart w:id="142" w:name="_Toc5940"/>
      <w:bookmarkStart w:id="143" w:name="_Toc13991"/>
      <w:bookmarkStart w:id="144" w:name="_Toc23825"/>
      <w:bookmarkStart w:id="145" w:name="_Toc27478"/>
      <w:bookmarkStart w:id="146" w:name="_Toc25382"/>
      <w:bookmarkStart w:id="147" w:name="_Toc5200"/>
      <w:bookmarkStart w:id="148" w:name="_Toc2324"/>
      <w:bookmarkStart w:id="149" w:name="_Toc439101993"/>
      <w:bookmarkStart w:id="150" w:name="_Toc31143"/>
    </w:p>
    <w:p w14:paraId="371EDDBF">
      <w:pPr>
        <w:widowControl/>
        <w:shd w:val="clear"/>
        <w:spacing w:line="520" w:lineRule="exact"/>
        <w:ind w:firstLine="470" w:firstLineChars="196"/>
        <w:rPr>
          <w:rFonts w:hint="eastAsia" w:ascii="仿宋" w:hAnsi="仿宋" w:eastAsia="仿宋" w:cs="仿宋"/>
          <w:color w:val="auto"/>
          <w:sz w:val="24"/>
          <w:highlight w:val="none"/>
        </w:rPr>
      </w:pPr>
      <w:bookmarkStart w:id="151" w:name="_Toc25422"/>
      <w:bookmarkStart w:id="152" w:name="_Toc24889"/>
      <w:bookmarkStart w:id="153" w:name="_Toc16274"/>
      <w:r>
        <w:rPr>
          <w:rFonts w:hint="eastAsia" w:ascii="仿宋" w:hAnsi="仿宋" w:eastAsia="仿宋" w:cs="仿宋"/>
          <w:color w:val="auto"/>
          <w:sz w:val="24"/>
          <w:highlight w:val="none"/>
        </w:rPr>
        <w:t>一、</w:t>
      </w:r>
      <w:r>
        <w:rPr>
          <w:rFonts w:hint="eastAsia" w:ascii="仿宋" w:hAnsi="仿宋" w:eastAsia="仿宋" w:cs="仿宋"/>
          <w:color w:val="auto"/>
          <w:sz w:val="24"/>
          <w:szCs w:val="22"/>
          <w:highlight w:val="none"/>
        </w:rPr>
        <w:t>资格预审申请文件的内容包括但不限于本章节的内容，</w:t>
      </w:r>
      <w:r>
        <w:rPr>
          <w:rFonts w:hint="eastAsia" w:ascii="仿宋" w:hAnsi="仿宋" w:eastAsia="仿宋" w:cs="仿宋"/>
          <w:color w:val="auto"/>
          <w:sz w:val="24"/>
          <w:highlight w:val="none"/>
        </w:rPr>
        <w:t>本章所制申请文件格式，除格式中明确将该格式作为实质性要求的，一律不具有强制性，但是，资格预审申请文件相关资料和本章所制格式不一致的，需涵盖所有要求内容，未按要求提供导致资格预审申请文件被</w:t>
      </w:r>
      <w:r>
        <w:rPr>
          <w:rFonts w:hint="eastAsia" w:ascii="仿宋" w:hAnsi="仿宋" w:eastAsia="仿宋" w:cs="仿宋"/>
          <w:color w:val="auto"/>
          <w:sz w:val="24"/>
          <w:highlight w:val="none"/>
          <w:lang w:eastAsia="zh-CN"/>
        </w:rPr>
        <w:t>判定</w:t>
      </w:r>
      <w:r>
        <w:rPr>
          <w:rFonts w:hint="eastAsia" w:ascii="仿宋" w:hAnsi="仿宋" w:eastAsia="仿宋" w:cs="仿宋"/>
          <w:color w:val="auto"/>
          <w:sz w:val="24"/>
          <w:highlight w:val="none"/>
        </w:rPr>
        <w:t>为无效资格预审申请文件，后果由投标人自行承担。</w:t>
      </w:r>
      <w:bookmarkEnd w:id="137"/>
      <w:bookmarkEnd w:id="138"/>
      <w:bookmarkEnd w:id="139"/>
      <w:bookmarkEnd w:id="140"/>
      <w:bookmarkEnd w:id="141"/>
      <w:bookmarkEnd w:id="142"/>
      <w:bookmarkEnd w:id="143"/>
      <w:bookmarkEnd w:id="144"/>
      <w:bookmarkEnd w:id="145"/>
      <w:bookmarkEnd w:id="146"/>
      <w:bookmarkEnd w:id="147"/>
      <w:bookmarkEnd w:id="148"/>
      <w:bookmarkEnd w:id="151"/>
      <w:bookmarkEnd w:id="152"/>
      <w:bookmarkEnd w:id="153"/>
    </w:p>
    <w:p w14:paraId="288B3ED9">
      <w:pPr>
        <w:widowControl/>
        <w:shd w:val="clear"/>
        <w:spacing w:line="520" w:lineRule="exact"/>
        <w:ind w:firstLine="470" w:firstLineChars="196"/>
        <w:rPr>
          <w:rFonts w:hint="eastAsia" w:ascii="仿宋" w:hAnsi="仿宋" w:eastAsia="仿宋" w:cs="仿宋"/>
          <w:color w:val="auto"/>
          <w:sz w:val="24"/>
          <w:highlight w:val="none"/>
        </w:rPr>
      </w:pPr>
      <w:bookmarkStart w:id="154" w:name="_Toc9620"/>
      <w:bookmarkStart w:id="155" w:name="_Toc13901"/>
      <w:bookmarkStart w:id="156" w:name="_Toc1877"/>
      <w:bookmarkStart w:id="157" w:name="_Toc30137"/>
      <w:bookmarkStart w:id="158" w:name="_Toc12831"/>
      <w:bookmarkStart w:id="159" w:name="_Toc9176"/>
      <w:bookmarkStart w:id="160" w:name="_Toc11588"/>
      <w:bookmarkStart w:id="161" w:name="_Toc19039"/>
      <w:bookmarkStart w:id="162" w:name="_Toc31246"/>
      <w:bookmarkStart w:id="163" w:name="_Toc12180"/>
      <w:bookmarkStart w:id="164" w:name="_Toc26137"/>
      <w:bookmarkStart w:id="165" w:name="_Toc12453"/>
      <w:bookmarkStart w:id="166" w:name="_Toc2945"/>
      <w:bookmarkStart w:id="167" w:name="_Toc8495"/>
      <w:bookmarkStart w:id="168" w:name="_Toc15575"/>
      <w:r>
        <w:rPr>
          <w:rFonts w:hint="eastAsia" w:ascii="仿宋" w:hAnsi="仿宋" w:eastAsia="仿宋" w:cs="仿宋"/>
          <w:color w:val="auto"/>
          <w:sz w:val="24"/>
          <w:highlight w:val="none"/>
        </w:rPr>
        <w:t>二、本章所制资格预审申请文件格式有关表格中的备注栏，由投标人根据自身情况作解释性说明，不作为必填项。</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B0345BB">
      <w:pPr>
        <w:widowControl/>
        <w:shd w:val="clear"/>
        <w:spacing w:line="520" w:lineRule="exact"/>
        <w:ind w:firstLine="470" w:firstLineChars="196"/>
        <w:rPr>
          <w:rFonts w:hint="eastAsia" w:ascii="仿宋" w:hAnsi="仿宋" w:eastAsia="仿宋" w:cs="仿宋"/>
          <w:color w:val="auto"/>
          <w:sz w:val="24"/>
          <w:highlight w:val="none"/>
        </w:rPr>
      </w:pPr>
      <w:bookmarkStart w:id="169" w:name="_Toc7438"/>
      <w:r>
        <w:rPr>
          <w:rFonts w:hint="eastAsia" w:ascii="仿宋" w:hAnsi="仿宋" w:eastAsia="仿宋" w:cs="仿宋"/>
          <w:color w:val="auto"/>
          <w:sz w:val="24"/>
          <w:highlight w:val="none"/>
        </w:rPr>
        <w:t>三、本章所制资格预审申请文件格式中需要填写的相关内容事项，可能会与本采购项目无关，在不改变资格预审申请文件原义、不影响本项目采购需求的情况下，投标人可以不予填写，但应当注明。</w:t>
      </w:r>
      <w:bookmarkEnd w:id="169"/>
    </w:p>
    <w:p w14:paraId="3021FFBC">
      <w:pPr>
        <w:shd w:val="clear"/>
        <w:spacing w:line="520" w:lineRule="exact"/>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四、本章未提供具体格式的由投标人自拟。</w:t>
      </w:r>
      <w:bookmarkStart w:id="170" w:name="_Toc5141"/>
    </w:p>
    <w:p w14:paraId="499D0D39">
      <w:pPr>
        <w:pStyle w:val="183"/>
        <w:shd w:val="clear"/>
        <w:spacing w:line="520" w:lineRule="exact"/>
        <w:rPr>
          <w:rFonts w:hint="eastAsia" w:ascii="仿宋" w:hAnsi="仿宋" w:eastAsia="仿宋" w:cs="仿宋"/>
          <w:color w:val="auto"/>
          <w:highlight w:val="none"/>
        </w:rPr>
      </w:pPr>
      <w:r>
        <w:rPr>
          <w:rFonts w:ascii="仿宋" w:hAnsi="仿宋" w:eastAsia="仿宋" w:cs="仿宋"/>
          <w:color w:val="auto"/>
          <w:highlight w:val="none"/>
        </w:rPr>
        <w:br w:type="page"/>
      </w:r>
    </w:p>
    <w:p w14:paraId="0E9F8C68">
      <w:pPr>
        <w:widowControl/>
        <w:shd w:val="clear"/>
        <w:jc w:val="left"/>
        <w:rPr>
          <w:rFonts w:hint="default" w:ascii="仿宋" w:hAnsi="仿宋" w:eastAsia="仿宋" w:cs="仿宋"/>
          <w:b/>
          <w:color w:val="auto"/>
          <w:sz w:val="32"/>
          <w:szCs w:val="11"/>
          <w:highlight w:val="none"/>
          <w:lang w:val="en-US" w:eastAsia="zh-CN"/>
        </w:rPr>
      </w:pPr>
      <w:r>
        <w:rPr>
          <w:rFonts w:hint="default" w:ascii="仿宋" w:hAnsi="仿宋" w:eastAsia="仿宋" w:cs="仿宋"/>
          <w:b/>
          <w:color w:val="auto"/>
          <w:sz w:val="32"/>
          <w:szCs w:val="11"/>
          <w:highlight w:val="none"/>
          <w:lang w:val="en-US" w:eastAsia="zh-CN"/>
        </w:rPr>
        <w:t>资格预审申请文件</w:t>
      </w:r>
      <w:r>
        <w:rPr>
          <w:rFonts w:hint="eastAsia" w:ascii="仿宋" w:hAnsi="仿宋" w:eastAsia="仿宋" w:cs="仿宋"/>
          <w:b/>
          <w:color w:val="auto"/>
          <w:sz w:val="32"/>
          <w:szCs w:val="11"/>
          <w:highlight w:val="none"/>
          <w:lang w:val="en-US" w:eastAsia="zh-CN"/>
        </w:rPr>
        <w:t>封面及标书密封袋封套（格式）</w:t>
      </w:r>
    </w:p>
    <w:p w14:paraId="18F07DCC">
      <w:pPr>
        <w:widowControl/>
        <w:shd w:val="clear"/>
        <w:jc w:val="center"/>
        <w:rPr>
          <w:rFonts w:hint="eastAsia" w:ascii="仿宋" w:hAnsi="仿宋" w:eastAsia="仿宋" w:cs="仿宋"/>
          <w:b/>
          <w:color w:val="auto"/>
          <w:sz w:val="48"/>
          <w:szCs w:val="18"/>
          <w:highlight w:val="none"/>
          <w:lang w:val="zh-CN"/>
        </w:rPr>
      </w:pPr>
    </w:p>
    <w:p w14:paraId="35C7971F">
      <w:pPr>
        <w:widowControl/>
        <w:shd w:val="clear"/>
        <w:jc w:val="center"/>
        <w:rPr>
          <w:rFonts w:hint="eastAsia" w:ascii="仿宋" w:hAnsi="仿宋" w:eastAsia="仿宋" w:cs="仿宋"/>
          <w:b/>
          <w:color w:val="auto"/>
          <w:sz w:val="48"/>
          <w:szCs w:val="18"/>
          <w:highlight w:val="none"/>
          <w:lang w:val="zh-CN"/>
        </w:rPr>
      </w:pPr>
      <w:r>
        <w:rPr>
          <w:rFonts w:hint="eastAsia" w:ascii="仿宋" w:hAnsi="仿宋" w:eastAsia="仿宋" w:cs="仿宋"/>
          <w:b/>
          <w:color w:val="auto"/>
          <w:sz w:val="48"/>
          <w:szCs w:val="18"/>
          <w:highlight w:val="none"/>
          <w:lang w:val="zh-CN"/>
        </w:rPr>
        <w:t>九龙坡区公立医疗机构耗材集中遴选</w:t>
      </w:r>
    </w:p>
    <w:p w14:paraId="1A0B75CB">
      <w:pPr>
        <w:widowControl/>
        <w:shd w:val="clear"/>
        <w:jc w:val="center"/>
        <w:rPr>
          <w:rFonts w:hint="eastAsia" w:ascii="仿宋" w:hAnsi="仿宋" w:eastAsia="仿宋" w:cs="仿宋"/>
          <w:b/>
          <w:color w:val="auto"/>
          <w:sz w:val="72"/>
          <w:szCs w:val="24"/>
          <w:highlight w:val="none"/>
        </w:rPr>
      </w:pPr>
      <w:r>
        <w:rPr>
          <w:rFonts w:hint="eastAsia" w:ascii="仿宋" w:hAnsi="仿宋" w:eastAsia="仿宋" w:cs="仿宋"/>
          <w:b/>
          <w:color w:val="auto"/>
          <w:sz w:val="72"/>
          <w:szCs w:val="24"/>
          <w:highlight w:val="none"/>
        </w:rPr>
        <w:t>资 格 预 审 申 请 文 件</w:t>
      </w:r>
    </w:p>
    <w:p w14:paraId="09D31CAA">
      <w:pPr>
        <w:widowControl/>
        <w:shd w:val="clear"/>
        <w:spacing w:line="520" w:lineRule="exact"/>
        <w:jc w:val="center"/>
        <w:rPr>
          <w:rFonts w:hint="eastAsia" w:ascii="仿宋" w:hAnsi="仿宋" w:eastAsia="仿宋" w:cs="仿宋"/>
          <w:b/>
          <w:color w:val="auto"/>
          <w:sz w:val="44"/>
          <w:szCs w:val="24"/>
          <w:highlight w:val="none"/>
        </w:rPr>
      </w:pPr>
      <w:r>
        <w:rPr>
          <w:rFonts w:hint="eastAsia" w:ascii="仿宋" w:hAnsi="仿宋" w:eastAsia="仿宋" w:cs="仿宋"/>
          <w:b/>
          <w:color w:val="auto"/>
          <w:sz w:val="44"/>
          <w:szCs w:val="24"/>
          <w:highlight w:val="none"/>
        </w:rPr>
        <w:t>（</w:t>
      </w:r>
      <w:r>
        <w:rPr>
          <w:rFonts w:hint="eastAsia" w:ascii="仿宋" w:hAnsi="仿宋" w:eastAsia="仿宋" w:cs="仿宋"/>
          <w:b/>
          <w:color w:val="auto"/>
          <w:sz w:val="36"/>
          <w:szCs w:val="24"/>
          <w:highlight w:val="none"/>
        </w:rPr>
        <w:t>正本/副本</w:t>
      </w:r>
      <w:r>
        <w:rPr>
          <w:rFonts w:hint="eastAsia" w:ascii="仿宋" w:hAnsi="仿宋" w:eastAsia="仿宋" w:cs="仿宋"/>
          <w:b/>
          <w:color w:val="auto"/>
          <w:sz w:val="36"/>
          <w:szCs w:val="24"/>
          <w:highlight w:val="none"/>
          <w:lang w:val="en-US" w:eastAsia="zh-CN"/>
        </w:rPr>
        <w:t>/电子文档</w:t>
      </w:r>
      <w:r>
        <w:rPr>
          <w:rFonts w:hint="eastAsia" w:ascii="仿宋" w:hAnsi="仿宋" w:eastAsia="仿宋" w:cs="仿宋"/>
          <w:b/>
          <w:color w:val="auto"/>
          <w:sz w:val="44"/>
          <w:szCs w:val="24"/>
          <w:highlight w:val="none"/>
        </w:rPr>
        <w:t>）</w:t>
      </w:r>
    </w:p>
    <w:p w14:paraId="6EF339C6">
      <w:pPr>
        <w:widowControl/>
        <w:shd w:val="clear"/>
        <w:spacing w:line="520" w:lineRule="exact"/>
        <w:jc w:val="center"/>
        <w:rPr>
          <w:rFonts w:hint="eastAsia" w:ascii="仿宋" w:hAnsi="仿宋" w:eastAsia="仿宋" w:cs="仿宋"/>
          <w:b/>
          <w:color w:val="auto"/>
          <w:sz w:val="36"/>
          <w:szCs w:val="24"/>
          <w:highlight w:val="none"/>
        </w:rPr>
      </w:pPr>
    </w:p>
    <w:p w14:paraId="64530763">
      <w:pPr>
        <w:widowControl/>
        <w:shd w:val="clear"/>
        <w:spacing w:line="520" w:lineRule="exact"/>
        <w:jc w:val="center"/>
        <w:rPr>
          <w:rFonts w:hint="eastAsia" w:ascii="仿宋" w:hAnsi="仿宋" w:eastAsia="仿宋" w:cs="仿宋"/>
          <w:b/>
          <w:color w:val="auto"/>
          <w:sz w:val="36"/>
          <w:szCs w:val="24"/>
          <w:highlight w:val="none"/>
        </w:rPr>
      </w:pPr>
    </w:p>
    <w:p w14:paraId="495E4107">
      <w:pPr>
        <w:widowControl/>
        <w:shd w:val="clear"/>
        <w:spacing w:line="240" w:lineRule="auto"/>
        <w:jc w:val="left"/>
        <w:rPr>
          <w:rFonts w:hint="eastAsia" w:ascii="仿宋" w:hAnsi="仿宋" w:eastAsia="仿宋" w:cs="仿宋"/>
          <w:b/>
          <w:color w:val="auto"/>
          <w:sz w:val="28"/>
          <w:szCs w:val="21"/>
          <w:highlight w:val="none"/>
        </w:rPr>
      </w:pPr>
      <w:r>
        <w:rPr>
          <w:rFonts w:hint="eastAsia" w:ascii="仿宋" w:hAnsi="仿宋" w:eastAsia="仿宋" w:cs="仿宋"/>
          <w:b/>
          <w:color w:val="auto"/>
          <w:sz w:val="28"/>
          <w:szCs w:val="21"/>
          <w:highlight w:val="none"/>
        </w:rPr>
        <w:t>项目编号：</w:t>
      </w:r>
    </w:p>
    <w:p w14:paraId="16BCD94C">
      <w:pPr>
        <w:widowControl/>
        <w:shd w:val="clear"/>
        <w:spacing w:line="240" w:lineRule="auto"/>
        <w:jc w:val="left"/>
        <w:rPr>
          <w:rFonts w:hint="eastAsia" w:ascii="仿宋" w:hAnsi="仿宋" w:eastAsia="仿宋" w:cs="仿宋"/>
          <w:b/>
          <w:color w:val="auto"/>
          <w:sz w:val="28"/>
          <w:szCs w:val="21"/>
          <w:highlight w:val="none"/>
        </w:rPr>
      </w:pPr>
      <w:r>
        <w:rPr>
          <w:rFonts w:hint="eastAsia" w:ascii="仿宋" w:hAnsi="仿宋" w:eastAsia="仿宋" w:cs="仿宋"/>
          <w:b/>
          <w:color w:val="auto"/>
          <w:sz w:val="28"/>
          <w:szCs w:val="21"/>
          <w:highlight w:val="none"/>
        </w:rPr>
        <w:t>项目名称：</w:t>
      </w:r>
    </w:p>
    <w:p w14:paraId="00AF1E0C">
      <w:pPr>
        <w:widowControl/>
        <w:shd w:val="clear"/>
        <w:spacing w:line="240" w:lineRule="auto"/>
        <w:jc w:val="left"/>
        <w:rPr>
          <w:rFonts w:hint="eastAsia" w:ascii="仿宋" w:hAnsi="仿宋" w:eastAsia="仿宋" w:cs="仿宋"/>
          <w:b/>
          <w:color w:val="auto"/>
          <w:sz w:val="28"/>
          <w:szCs w:val="21"/>
          <w:highlight w:val="none"/>
          <w:u w:val="single"/>
        </w:rPr>
      </w:pPr>
      <w:r>
        <w:rPr>
          <w:rFonts w:hint="eastAsia" w:ascii="仿宋" w:hAnsi="仿宋" w:eastAsia="仿宋" w:cs="仿宋"/>
          <w:b/>
          <w:color w:val="auto"/>
          <w:sz w:val="28"/>
          <w:szCs w:val="21"/>
          <w:highlight w:val="none"/>
          <w:lang w:val="en-US" w:eastAsia="zh-CN"/>
        </w:rPr>
        <w:t>品目序号及名称</w:t>
      </w:r>
      <w:r>
        <w:rPr>
          <w:rFonts w:hint="eastAsia" w:ascii="仿宋" w:hAnsi="仿宋" w:eastAsia="仿宋" w:cs="仿宋"/>
          <w:b/>
          <w:color w:val="000000" w:themeColor="text1"/>
          <w:sz w:val="28"/>
          <w:szCs w:val="21"/>
          <w:highlight w:val="none"/>
          <w:lang w:val="en-US" w:eastAsia="zh-CN"/>
          <w14:textFill>
            <w14:solidFill>
              <w14:schemeClr w14:val="tx1"/>
            </w14:solidFill>
          </w14:textFill>
        </w:rPr>
        <w:t>：</w:t>
      </w:r>
      <w:r>
        <w:rPr>
          <w:rFonts w:hint="eastAsia" w:ascii="仿宋" w:hAnsi="仿宋" w:eastAsia="仿宋" w:cs="仿宋"/>
          <w:b/>
          <w:color w:val="000000" w:themeColor="text1"/>
          <w:sz w:val="28"/>
          <w:szCs w:val="21"/>
          <w:highlight w:val="none"/>
          <w:lang w:val="en-US" w:eastAsia="zh-CN"/>
          <w14:textFill>
            <w14:solidFill>
              <w14:schemeClr w14:val="tx1"/>
            </w14:solidFill>
          </w14:textFill>
        </w:rPr>
        <w:br w:type="textWrapping"/>
      </w:r>
      <w:r>
        <w:rPr>
          <w:rFonts w:hint="eastAsia" w:ascii="仿宋" w:hAnsi="仿宋" w:eastAsia="仿宋" w:cs="仿宋"/>
          <w:b/>
          <w:color w:val="FF0000"/>
          <w:sz w:val="28"/>
          <w:szCs w:val="21"/>
          <w:highlight w:val="none"/>
          <w:lang w:val="en-US" w:eastAsia="zh-CN"/>
        </w:rPr>
        <w:t>示例：</w:t>
      </w:r>
      <w:r>
        <w:rPr>
          <w:rFonts w:hint="eastAsia" w:ascii="仿宋" w:hAnsi="仿宋" w:eastAsia="仿宋" w:cs="仿宋"/>
          <w:b/>
          <w:color w:val="FF0000"/>
          <w:sz w:val="28"/>
          <w:szCs w:val="21"/>
          <w:highlight w:val="none"/>
          <w:lang w:val="en-US" w:eastAsia="zh-CN"/>
        </w:rPr>
        <w:br w:type="textWrapping"/>
      </w:r>
      <w:r>
        <w:rPr>
          <w:rFonts w:hint="eastAsia" w:ascii="仿宋" w:hAnsi="仿宋" w:eastAsia="仿宋" w:cs="仿宋"/>
          <w:b/>
          <w:color w:val="FF0000"/>
          <w:sz w:val="28"/>
          <w:szCs w:val="21"/>
          <w:highlight w:val="none"/>
          <w:lang w:val="en-US" w:eastAsia="zh-CN"/>
        </w:rPr>
        <w:t>序号1：高压造影注射器及附件</w:t>
      </w:r>
      <w:r>
        <w:rPr>
          <w:rFonts w:hint="eastAsia" w:ascii="仿宋" w:hAnsi="仿宋" w:eastAsia="仿宋" w:cs="仿宋"/>
          <w:b/>
          <w:color w:val="FF0000"/>
          <w:sz w:val="28"/>
          <w:szCs w:val="21"/>
          <w:highlight w:val="none"/>
          <w:u w:val="single"/>
        </w:rPr>
        <w:t xml:space="preserve"> </w:t>
      </w:r>
      <w:r>
        <w:rPr>
          <w:rFonts w:hint="eastAsia" w:ascii="仿宋" w:hAnsi="仿宋" w:eastAsia="仿宋" w:cs="仿宋"/>
          <w:b/>
          <w:color w:val="auto"/>
          <w:sz w:val="28"/>
          <w:szCs w:val="21"/>
          <w:highlight w:val="none"/>
          <w:u w:val="single"/>
        </w:rPr>
        <w:t xml:space="preserve">              </w:t>
      </w:r>
    </w:p>
    <w:p w14:paraId="0A9E64E8">
      <w:pPr>
        <w:widowControl/>
        <w:shd w:val="clear"/>
        <w:spacing w:line="240" w:lineRule="auto"/>
        <w:jc w:val="left"/>
        <w:rPr>
          <w:rFonts w:hint="eastAsia" w:ascii="仿宋" w:hAnsi="仿宋" w:eastAsia="仿宋" w:cs="仿宋"/>
          <w:b/>
          <w:color w:val="auto"/>
          <w:sz w:val="40"/>
          <w:szCs w:val="28"/>
          <w:highlight w:val="none"/>
          <w:u w:val="single"/>
        </w:rPr>
      </w:pPr>
      <w:r>
        <w:rPr>
          <w:rFonts w:hint="eastAsia" w:ascii="仿宋" w:hAnsi="仿宋" w:eastAsia="仿宋" w:cs="仿宋"/>
          <w:b/>
          <w:color w:val="FF0000"/>
          <w:sz w:val="28"/>
          <w:szCs w:val="21"/>
          <w:highlight w:val="none"/>
          <w:lang w:val="en-US" w:eastAsia="zh-CN"/>
        </w:rPr>
        <w:t>序号5：透明敷料</w:t>
      </w:r>
      <w:r>
        <w:rPr>
          <w:rFonts w:hint="eastAsia" w:ascii="仿宋" w:hAnsi="仿宋" w:eastAsia="仿宋" w:cs="仿宋"/>
          <w:b/>
          <w:color w:val="FF0000"/>
          <w:sz w:val="28"/>
          <w:szCs w:val="21"/>
          <w:highlight w:val="none"/>
          <w:u w:val="single"/>
        </w:rPr>
        <w:t xml:space="preserve"> </w:t>
      </w:r>
      <w:r>
        <w:rPr>
          <w:rFonts w:hint="eastAsia" w:ascii="仿宋" w:hAnsi="仿宋" w:eastAsia="仿宋" w:cs="仿宋"/>
          <w:b/>
          <w:color w:val="auto"/>
          <w:sz w:val="40"/>
          <w:szCs w:val="28"/>
          <w:highlight w:val="none"/>
          <w:u w:val="single"/>
        </w:rPr>
        <w:t xml:space="preserve">                </w:t>
      </w:r>
    </w:p>
    <w:p w14:paraId="5CE4D76A">
      <w:pPr>
        <w:pStyle w:val="2"/>
        <w:shd w:val="clear"/>
        <w:rPr>
          <w:rFonts w:hint="eastAsia"/>
        </w:rPr>
      </w:pPr>
    </w:p>
    <w:p w14:paraId="45AFDEB7">
      <w:pPr>
        <w:widowControl/>
        <w:shd w:val="clear"/>
        <w:spacing w:line="520" w:lineRule="exact"/>
        <w:jc w:val="left"/>
        <w:rPr>
          <w:rFonts w:hint="eastAsia" w:ascii="仿宋" w:hAnsi="仿宋" w:eastAsia="仿宋" w:cs="仿宋"/>
          <w:b/>
          <w:color w:val="auto"/>
          <w:sz w:val="36"/>
          <w:szCs w:val="24"/>
          <w:highlight w:val="none"/>
        </w:rPr>
      </w:pPr>
    </w:p>
    <w:p w14:paraId="720E66ED">
      <w:pPr>
        <w:widowControl/>
        <w:shd w:val="clear"/>
        <w:spacing w:line="520" w:lineRule="exact"/>
        <w:jc w:val="left"/>
        <w:rPr>
          <w:rFonts w:hint="eastAsia" w:ascii="仿宋" w:hAnsi="仿宋" w:eastAsia="仿宋" w:cs="仿宋"/>
          <w:b/>
          <w:color w:val="auto"/>
          <w:sz w:val="32"/>
          <w:szCs w:val="24"/>
          <w:highlight w:val="none"/>
        </w:rPr>
      </w:pPr>
      <w:r>
        <w:rPr>
          <w:rFonts w:hint="eastAsia" w:ascii="仿宋" w:hAnsi="仿宋" w:eastAsia="仿宋" w:cs="仿宋"/>
          <w:b/>
          <w:color w:val="auto"/>
          <w:sz w:val="32"/>
          <w:szCs w:val="24"/>
          <w:highlight w:val="none"/>
        </w:rPr>
        <w:t xml:space="preserve">     </w:t>
      </w:r>
    </w:p>
    <w:p w14:paraId="42873DD9">
      <w:pPr>
        <w:widowControl/>
        <w:shd w:val="clear"/>
        <w:spacing w:line="520" w:lineRule="exact"/>
        <w:jc w:val="left"/>
        <w:rPr>
          <w:rFonts w:hint="eastAsia" w:ascii="仿宋" w:hAnsi="仿宋" w:eastAsia="仿宋" w:cs="仿宋"/>
          <w:b/>
          <w:color w:val="auto"/>
          <w:sz w:val="32"/>
          <w:szCs w:val="24"/>
          <w:highlight w:val="none"/>
        </w:rPr>
      </w:pPr>
    </w:p>
    <w:p w14:paraId="52888014">
      <w:pPr>
        <w:widowControl/>
        <w:shd w:val="clear"/>
        <w:spacing w:line="520" w:lineRule="exact"/>
        <w:ind w:firstLine="964" w:firstLineChars="300"/>
        <w:jc w:val="left"/>
        <w:rPr>
          <w:rFonts w:hint="eastAsia" w:ascii="仿宋" w:hAnsi="仿宋" w:eastAsia="仿宋" w:cs="仿宋"/>
          <w:b/>
          <w:color w:val="auto"/>
          <w:sz w:val="32"/>
          <w:szCs w:val="24"/>
          <w:highlight w:val="none"/>
          <w:u w:val="single"/>
        </w:rPr>
      </w:pPr>
      <w:r>
        <w:rPr>
          <w:rFonts w:hint="eastAsia" w:ascii="仿宋" w:hAnsi="仿宋" w:eastAsia="仿宋" w:cs="仿宋"/>
          <w:b/>
          <w:color w:val="auto"/>
          <w:sz w:val="32"/>
          <w:szCs w:val="24"/>
          <w:highlight w:val="none"/>
        </w:rPr>
        <w:t>投标人名称 ：</w:t>
      </w:r>
      <w:r>
        <w:rPr>
          <w:rFonts w:hint="eastAsia" w:ascii="仿宋" w:hAnsi="仿宋" w:eastAsia="仿宋" w:cs="仿宋"/>
          <w:b/>
          <w:color w:val="auto"/>
          <w:sz w:val="32"/>
          <w:szCs w:val="24"/>
          <w:highlight w:val="none"/>
          <w:u w:val="single"/>
          <w:lang w:val="en-US" w:eastAsia="zh-CN"/>
        </w:rPr>
        <w:t xml:space="preserve">                            </w:t>
      </w:r>
      <w:r>
        <w:rPr>
          <w:rFonts w:hint="eastAsia" w:ascii="仿宋" w:hAnsi="仿宋" w:eastAsia="仿宋" w:cs="仿宋"/>
          <w:b/>
          <w:color w:val="auto"/>
          <w:sz w:val="32"/>
          <w:szCs w:val="24"/>
          <w:highlight w:val="none"/>
          <w:u w:val="none"/>
          <w:lang w:val="en-US" w:eastAsia="zh-CN"/>
        </w:rPr>
        <w:t xml:space="preserve">        </w:t>
      </w:r>
      <w:r>
        <w:rPr>
          <w:rFonts w:hint="eastAsia" w:ascii="仿宋" w:hAnsi="仿宋" w:eastAsia="仿宋" w:cs="仿宋"/>
          <w:b/>
          <w:color w:val="auto"/>
          <w:sz w:val="32"/>
          <w:szCs w:val="24"/>
          <w:highlight w:val="none"/>
          <w:u w:val="single"/>
          <w:lang w:val="en-US" w:eastAsia="zh-CN"/>
        </w:rPr>
        <w:t xml:space="preserve">                   </w:t>
      </w:r>
      <w:r>
        <w:rPr>
          <w:rFonts w:hint="eastAsia" w:ascii="仿宋" w:hAnsi="仿宋" w:eastAsia="仿宋" w:cs="仿宋"/>
          <w:b/>
          <w:color w:val="auto"/>
          <w:sz w:val="32"/>
          <w:szCs w:val="24"/>
          <w:highlight w:val="none"/>
          <w:u w:val="single"/>
        </w:rPr>
        <w:t xml:space="preserve">                                </w:t>
      </w:r>
    </w:p>
    <w:p w14:paraId="78331DC3">
      <w:pPr>
        <w:widowControl/>
        <w:shd w:val="clear"/>
        <w:spacing w:line="520" w:lineRule="exact"/>
        <w:ind w:firstLine="157" w:firstLineChars="49"/>
        <w:jc w:val="left"/>
        <w:rPr>
          <w:rFonts w:hint="eastAsia" w:ascii="仿宋" w:hAnsi="仿宋" w:eastAsia="仿宋" w:cs="仿宋"/>
          <w:b/>
          <w:color w:val="auto"/>
          <w:sz w:val="32"/>
          <w:szCs w:val="24"/>
          <w:highlight w:val="none"/>
          <w:u w:val="single"/>
        </w:rPr>
      </w:pPr>
      <w:r>
        <w:rPr>
          <w:rFonts w:hint="eastAsia" w:ascii="仿宋" w:hAnsi="仿宋" w:eastAsia="仿宋" w:cs="仿宋"/>
          <w:b/>
          <w:color w:val="auto"/>
          <w:sz w:val="32"/>
          <w:szCs w:val="24"/>
          <w:highlight w:val="none"/>
        </w:rPr>
        <w:t xml:space="preserve">    法定代表人姓名：</w:t>
      </w:r>
      <w:r>
        <w:rPr>
          <w:rFonts w:hint="eastAsia" w:ascii="仿宋" w:hAnsi="仿宋" w:eastAsia="仿宋" w:cs="仿宋"/>
          <w:b/>
          <w:color w:val="auto"/>
          <w:sz w:val="32"/>
          <w:szCs w:val="24"/>
          <w:highlight w:val="none"/>
          <w:u w:val="single"/>
        </w:rPr>
        <w:t xml:space="preserve">                             </w:t>
      </w:r>
    </w:p>
    <w:p w14:paraId="2622550F">
      <w:pPr>
        <w:widowControl/>
        <w:shd w:val="clear"/>
        <w:spacing w:line="520" w:lineRule="exact"/>
        <w:ind w:firstLine="157" w:firstLineChars="49"/>
        <w:jc w:val="left"/>
        <w:rPr>
          <w:rFonts w:hint="eastAsia" w:ascii="仿宋" w:hAnsi="仿宋" w:eastAsia="仿宋" w:cs="仿宋"/>
          <w:b/>
          <w:color w:val="auto"/>
          <w:sz w:val="32"/>
          <w:szCs w:val="24"/>
          <w:highlight w:val="none"/>
          <w:u w:val="single"/>
        </w:rPr>
      </w:pPr>
      <w:r>
        <w:rPr>
          <w:rFonts w:hint="eastAsia" w:ascii="仿宋" w:hAnsi="仿宋" w:eastAsia="仿宋" w:cs="仿宋"/>
          <w:b/>
          <w:color w:val="auto"/>
          <w:sz w:val="32"/>
          <w:szCs w:val="24"/>
          <w:highlight w:val="none"/>
        </w:rPr>
        <w:t xml:space="preserve">    地          址：</w:t>
      </w:r>
      <w:r>
        <w:rPr>
          <w:rFonts w:hint="eastAsia" w:ascii="仿宋" w:hAnsi="仿宋" w:eastAsia="仿宋" w:cs="仿宋"/>
          <w:b/>
          <w:color w:val="auto"/>
          <w:sz w:val="32"/>
          <w:szCs w:val="24"/>
          <w:highlight w:val="none"/>
          <w:u w:val="single"/>
        </w:rPr>
        <w:t xml:space="preserve">                             </w:t>
      </w:r>
      <w:r>
        <w:rPr>
          <w:rFonts w:hint="eastAsia" w:ascii="仿宋" w:hAnsi="仿宋" w:eastAsia="仿宋" w:cs="仿宋"/>
          <w:b/>
          <w:color w:val="auto"/>
          <w:sz w:val="32"/>
          <w:szCs w:val="24"/>
          <w:highlight w:val="none"/>
        </w:rPr>
        <w:t xml:space="preserve"> </w:t>
      </w:r>
      <w:r>
        <w:rPr>
          <w:rFonts w:hint="eastAsia" w:ascii="仿宋" w:hAnsi="仿宋" w:eastAsia="仿宋" w:cs="仿宋"/>
          <w:b/>
          <w:color w:val="auto"/>
          <w:sz w:val="32"/>
          <w:szCs w:val="24"/>
          <w:highlight w:val="none"/>
          <w:u w:val="single"/>
        </w:rPr>
        <w:t xml:space="preserve">                             </w:t>
      </w:r>
      <w:r>
        <w:rPr>
          <w:rFonts w:hint="eastAsia" w:ascii="仿宋" w:hAnsi="仿宋" w:eastAsia="仿宋" w:cs="仿宋"/>
          <w:b/>
          <w:color w:val="auto"/>
          <w:sz w:val="32"/>
          <w:szCs w:val="24"/>
          <w:highlight w:val="none"/>
        </w:rPr>
        <w:t xml:space="preserve">         </w:t>
      </w:r>
    </w:p>
    <w:p w14:paraId="58385C10">
      <w:pPr>
        <w:widowControl/>
        <w:shd w:val="clear"/>
        <w:spacing w:line="520" w:lineRule="exact"/>
        <w:ind w:firstLine="790" w:firstLineChars="246"/>
        <w:jc w:val="left"/>
        <w:rPr>
          <w:rFonts w:hint="eastAsia" w:ascii="仿宋" w:hAnsi="仿宋" w:eastAsia="仿宋" w:cs="仿宋"/>
          <w:b/>
          <w:color w:val="auto"/>
          <w:sz w:val="32"/>
          <w:szCs w:val="24"/>
          <w:highlight w:val="none"/>
        </w:rPr>
      </w:pPr>
      <w:r>
        <w:rPr>
          <w:rFonts w:hint="eastAsia" w:ascii="仿宋" w:hAnsi="仿宋" w:eastAsia="仿宋" w:cs="仿宋"/>
          <w:b/>
          <w:color w:val="auto"/>
          <w:sz w:val="32"/>
          <w:szCs w:val="24"/>
          <w:highlight w:val="none"/>
        </w:rPr>
        <w:t>手          机：</w:t>
      </w:r>
    </w:p>
    <w:p w14:paraId="5F36C095">
      <w:pPr>
        <w:widowControl/>
        <w:shd w:val="clear"/>
        <w:spacing w:line="520" w:lineRule="exact"/>
        <w:ind w:firstLine="790" w:firstLineChars="246"/>
        <w:jc w:val="left"/>
        <w:rPr>
          <w:rFonts w:hint="eastAsia" w:ascii="仿宋" w:hAnsi="仿宋" w:eastAsia="仿宋" w:cs="仿宋"/>
          <w:b/>
          <w:color w:val="auto"/>
          <w:sz w:val="32"/>
          <w:szCs w:val="24"/>
          <w:highlight w:val="none"/>
        </w:rPr>
      </w:pPr>
      <w:r>
        <w:rPr>
          <w:rFonts w:hint="eastAsia" w:ascii="仿宋" w:hAnsi="仿宋" w:eastAsia="仿宋" w:cs="仿宋"/>
          <w:b/>
          <w:color w:val="auto"/>
          <w:sz w:val="32"/>
          <w:szCs w:val="24"/>
          <w:highlight w:val="none"/>
          <w:u w:val="none"/>
          <w:lang w:val="en-US" w:eastAsia="zh-CN"/>
        </w:rPr>
        <w:t>邮          箱</w:t>
      </w:r>
      <w:r>
        <w:rPr>
          <w:rFonts w:hint="eastAsia" w:ascii="仿宋" w:hAnsi="仿宋" w:eastAsia="仿宋" w:cs="仿宋"/>
          <w:b/>
          <w:color w:val="auto"/>
          <w:sz w:val="32"/>
          <w:szCs w:val="24"/>
          <w:highlight w:val="none"/>
          <w:u w:val="none"/>
        </w:rPr>
        <w:t>：</w:t>
      </w:r>
      <w:r>
        <w:rPr>
          <w:rFonts w:hint="eastAsia" w:ascii="仿宋" w:hAnsi="仿宋" w:eastAsia="仿宋" w:cs="仿宋"/>
          <w:b/>
          <w:color w:val="auto"/>
          <w:sz w:val="32"/>
          <w:szCs w:val="24"/>
          <w:highlight w:val="none"/>
          <w:u w:val="single"/>
        </w:rPr>
        <w:t xml:space="preserve">                          </w:t>
      </w:r>
      <w:r>
        <w:rPr>
          <w:rFonts w:hint="eastAsia" w:ascii="仿宋" w:hAnsi="仿宋" w:eastAsia="仿宋" w:cs="仿宋"/>
          <w:b/>
          <w:color w:val="auto"/>
          <w:sz w:val="32"/>
          <w:szCs w:val="24"/>
          <w:highlight w:val="none"/>
        </w:rPr>
        <w:t xml:space="preserve">  </w:t>
      </w:r>
    </w:p>
    <w:p w14:paraId="4B49D191">
      <w:pPr>
        <w:widowControl/>
        <w:shd w:val="clear"/>
        <w:spacing w:line="520" w:lineRule="exact"/>
        <w:ind w:firstLine="790" w:firstLineChars="246"/>
        <w:jc w:val="center"/>
        <w:rPr>
          <w:rFonts w:hint="eastAsia" w:ascii="仿宋" w:hAnsi="仿宋" w:eastAsia="仿宋" w:cs="仿宋"/>
          <w:b/>
          <w:color w:val="auto"/>
          <w:sz w:val="32"/>
          <w:szCs w:val="24"/>
          <w:highlight w:val="none"/>
        </w:rPr>
      </w:pPr>
      <w:r>
        <w:rPr>
          <w:rFonts w:hint="eastAsia" w:ascii="仿宋" w:hAnsi="仿宋" w:eastAsia="仿宋" w:cs="仿宋"/>
          <w:b/>
          <w:color w:val="auto"/>
          <w:sz w:val="32"/>
          <w:szCs w:val="24"/>
          <w:highlight w:val="none"/>
        </w:rPr>
        <w:t>日          期：</w:t>
      </w:r>
      <w:r>
        <w:rPr>
          <w:rFonts w:hint="eastAsia" w:ascii="仿宋" w:hAnsi="仿宋" w:eastAsia="仿宋" w:cs="仿宋"/>
          <w:b/>
          <w:color w:val="auto"/>
          <w:sz w:val="32"/>
          <w:szCs w:val="24"/>
          <w:highlight w:val="none"/>
          <w:u w:val="single"/>
        </w:rPr>
        <w:t xml:space="preserve">     </w:t>
      </w:r>
      <w:r>
        <w:rPr>
          <w:rFonts w:hint="eastAsia" w:ascii="仿宋" w:hAnsi="仿宋" w:eastAsia="仿宋" w:cs="仿宋"/>
          <w:b/>
          <w:color w:val="auto"/>
          <w:sz w:val="32"/>
          <w:szCs w:val="24"/>
          <w:highlight w:val="none"/>
        </w:rPr>
        <w:t>年</w:t>
      </w:r>
      <w:r>
        <w:rPr>
          <w:rFonts w:hint="eastAsia" w:ascii="仿宋" w:hAnsi="仿宋" w:eastAsia="仿宋" w:cs="仿宋"/>
          <w:b/>
          <w:color w:val="auto"/>
          <w:sz w:val="32"/>
          <w:szCs w:val="24"/>
          <w:highlight w:val="none"/>
          <w:u w:val="single"/>
        </w:rPr>
        <w:t xml:space="preserve">   </w:t>
      </w:r>
      <w:r>
        <w:rPr>
          <w:rFonts w:hint="eastAsia" w:ascii="仿宋" w:hAnsi="仿宋" w:eastAsia="仿宋" w:cs="仿宋"/>
          <w:b/>
          <w:color w:val="auto"/>
          <w:sz w:val="32"/>
          <w:szCs w:val="24"/>
          <w:highlight w:val="none"/>
        </w:rPr>
        <w:t>月</w:t>
      </w:r>
      <w:r>
        <w:rPr>
          <w:rFonts w:hint="eastAsia" w:ascii="仿宋" w:hAnsi="仿宋" w:eastAsia="仿宋" w:cs="仿宋"/>
          <w:b/>
          <w:color w:val="auto"/>
          <w:sz w:val="32"/>
          <w:szCs w:val="24"/>
          <w:highlight w:val="none"/>
          <w:u w:val="single"/>
        </w:rPr>
        <w:t xml:space="preserve">   </w:t>
      </w:r>
      <w:r>
        <w:rPr>
          <w:rFonts w:hint="eastAsia" w:ascii="仿宋" w:hAnsi="仿宋" w:eastAsia="仿宋" w:cs="仿宋"/>
          <w:b/>
          <w:color w:val="auto"/>
          <w:sz w:val="32"/>
          <w:szCs w:val="24"/>
          <w:highlight w:val="none"/>
        </w:rPr>
        <w:t>日</w:t>
      </w:r>
      <w:r>
        <w:rPr>
          <w:rFonts w:hint="eastAsia" w:ascii="仿宋" w:hAnsi="仿宋" w:eastAsia="仿宋" w:cs="仿宋"/>
          <w:b/>
          <w:color w:val="auto"/>
          <w:sz w:val="32"/>
          <w:szCs w:val="24"/>
          <w:highlight w:val="none"/>
        </w:rPr>
        <w:br w:type="page"/>
      </w:r>
      <w:r>
        <w:rPr>
          <w:rFonts w:hint="eastAsia" w:ascii="仿宋" w:hAnsi="仿宋" w:eastAsia="仿宋" w:cs="仿宋"/>
          <w:b/>
          <w:color w:val="auto"/>
          <w:sz w:val="32"/>
          <w:szCs w:val="24"/>
          <w:highlight w:val="none"/>
        </w:rPr>
        <w:t>资格预审申请文件（格式）</w:t>
      </w:r>
    </w:p>
    <w:p w14:paraId="0E5319F7">
      <w:pPr>
        <w:widowControl/>
        <w:shd w:val="clear"/>
        <w:spacing w:line="520" w:lineRule="exact"/>
        <w:ind w:right="480"/>
        <w:jc w:val="center"/>
        <w:outlineLvl w:val="1"/>
        <w:rPr>
          <w:rFonts w:hint="eastAsia" w:ascii="仿宋" w:hAnsi="仿宋" w:eastAsia="仿宋" w:cs="仿宋"/>
          <w:b/>
          <w:color w:val="auto"/>
          <w:sz w:val="28"/>
          <w:szCs w:val="28"/>
          <w:highlight w:val="none"/>
          <w:lang w:val="en-US" w:eastAsia="zh-CN"/>
        </w:rPr>
      </w:pPr>
    </w:p>
    <w:p w14:paraId="59F8D8AE">
      <w:pPr>
        <w:widowControl/>
        <w:shd w:val="clear"/>
        <w:spacing w:line="520" w:lineRule="exact"/>
        <w:ind w:right="480"/>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一、投标</w:t>
      </w:r>
      <w:r>
        <w:rPr>
          <w:rFonts w:hint="eastAsia" w:ascii="仿宋" w:hAnsi="仿宋" w:eastAsia="仿宋" w:cs="仿宋"/>
          <w:b/>
          <w:color w:val="auto"/>
          <w:sz w:val="28"/>
          <w:szCs w:val="28"/>
          <w:highlight w:val="none"/>
        </w:rPr>
        <w:t>声明函</w:t>
      </w:r>
    </w:p>
    <w:p w14:paraId="4BF655BD">
      <w:pPr>
        <w:widowControl/>
        <w:shd w:val="clear"/>
        <w:spacing w:line="520" w:lineRule="exact"/>
        <w:jc w:val="center"/>
        <w:rPr>
          <w:rFonts w:hint="eastAsia" w:ascii="仿宋" w:hAnsi="仿宋" w:eastAsia="仿宋" w:cs="仿宋"/>
          <w:color w:val="auto"/>
          <w:sz w:val="24"/>
          <w:szCs w:val="24"/>
          <w:highlight w:val="none"/>
        </w:rPr>
      </w:pPr>
    </w:p>
    <w:p w14:paraId="622D429A">
      <w:pPr>
        <w:widowControl/>
        <w:shd w:val="clea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（采购代理机构）</w:t>
      </w:r>
      <w:r>
        <w:rPr>
          <w:rFonts w:hint="eastAsia" w:ascii="仿宋" w:hAnsi="仿宋" w:eastAsia="仿宋" w:cs="仿宋"/>
          <w:color w:val="auto"/>
          <w:sz w:val="24"/>
          <w:szCs w:val="24"/>
          <w:highlight w:val="none"/>
        </w:rPr>
        <w:t xml:space="preserve"> </w:t>
      </w:r>
    </w:p>
    <w:p w14:paraId="3F139F0A">
      <w:pPr>
        <w:widowControl/>
        <w:shd w:val="clear"/>
        <w:spacing w:line="520" w:lineRule="exact"/>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我单位为（</w:t>
      </w:r>
      <w:r>
        <w:rPr>
          <w:rFonts w:hint="eastAsia" w:ascii="仿宋" w:hAnsi="仿宋" w:eastAsia="仿宋" w:cs="仿宋"/>
          <w:color w:val="auto"/>
          <w:sz w:val="24"/>
          <w:szCs w:val="24"/>
          <w:highlight w:val="none"/>
          <w:u w:val="single"/>
          <w:lang w:eastAsia="zh-CN"/>
        </w:rPr>
        <w:t>耗材</w:t>
      </w:r>
      <w:r>
        <w:rPr>
          <w:rFonts w:hint="eastAsia" w:ascii="仿宋" w:hAnsi="仿宋" w:eastAsia="仿宋" w:cs="仿宋"/>
          <w:color w:val="auto"/>
          <w:sz w:val="24"/>
          <w:szCs w:val="24"/>
          <w:highlight w:val="none"/>
          <w:u w:val="single"/>
        </w:rPr>
        <w:t>生产企业/</w:t>
      </w:r>
      <w:r>
        <w:rPr>
          <w:rFonts w:hint="eastAsia" w:ascii="仿宋" w:hAnsi="仿宋" w:eastAsia="仿宋" w:cs="仿宋"/>
          <w:color w:val="auto"/>
          <w:sz w:val="24"/>
          <w:szCs w:val="24"/>
          <w:highlight w:val="none"/>
          <w:u w:val="single"/>
          <w:lang w:eastAsia="zh-CN"/>
        </w:rPr>
        <w:t>耗材</w:t>
      </w:r>
      <w:r>
        <w:rPr>
          <w:rFonts w:hint="eastAsia" w:ascii="仿宋" w:hAnsi="仿宋" w:eastAsia="仿宋" w:cs="仿宋"/>
          <w:color w:val="auto"/>
          <w:sz w:val="24"/>
          <w:szCs w:val="24"/>
          <w:highlight w:val="none"/>
          <w:u w:val="single"/>
        </w:rPr>
        <w:t>经销商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5D43E71A">
      <w:pPr>
        <w:widowControl/>
        <w:shd w:val="clea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关于贵方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九龙坡区公立医疗机构耗材集中遴选</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项目（项目编号：</w:t>
      </w:r>
      <w:r>
        <w:rPr>
          <w:rFonts w:hint="eastAsia" w:ascii="仿宋" w:hAnsi="仿宋" w:eastAsia="仿宋" w:cs="仿宋"/>
          <w:color w:val="auto"/>
          <w:sz w:val="24"/>
          <w:szCs w:val="24"/>
          <w:highlight w:val="none"/>
          <w:u w:val="single"/>
        </w:rPr>
        <w:t xml:space="preserve"> YJZB25277</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）资格预审邀请，</w:t>
      </w:r>
      <w:r>
        <w:rPr>
          <w:rFonts w:hint="eastAsia" w:ascii="仿宋" w:hAnsi="仿宋" w:eastAsia="仿宋" w:cs="仿宋"/>
          <w:color w:val="auto"/>
          <w:sz w:val="24"/>
          <w:szCs w:val="24"/>
          <w:highlight w:val="none"/>
          <w:lang w:val="en-US" w:eastAsia="zh-CN"/>
        </w:rPr>
        <w:t>我方已知晓项目概况、服务要求、考核要求及标准，我方</w:t>
      </w:r>
      <w:r>
        <w:rPr>
          <w:rFonts w:hint="eastAsia" w:ascii="仿宋" w:hAnsi="仿宋" w:eastAsia="仿宋" w:cs="仿宋"/>
          <w:color w:val="auto"/>
          <w:sz w:val="24"/>
          <w:szCs w:val="24"/>
          <w:highlight w:val="none"/>
          <w:u w:val="single"/>
        </w:rPr>
        <w:t xml:space="preserve">          （投标人）</w:t>
      </w:r>
      <w:r>
        <w:rPr>
          <w:rFonts w:hint="eastAsia" w:ascii="仿宋" w:hAnsi="仿宋" w:eastAsia="仿宋" w:cs="仿宋"/>
          <w:color w:val="auto"/>
          <w:sz w:val="24"/>
          <w:szCs w:val="24"/>
          <w:highlight w:val="none"/>
        </w:rPr>
        <w:t>愿意参加本项目资格预审，本签字人确认资格预审文件中的说明以及</w:t>
      </w:r>
      <w:r>
        <w:rPr>
          <w:rFonts w:hint="eastAsia" w:ascii="仿宋" w:hAnsi="仿宋" w:eastAsia="仿宋" w:cs="仿宋"/>
          <w:bCs/>
          <w:color w:val="auto"/>
          <w:sz w:val="24"/>
          <w:szCs w:val="24"/>
          <w:highlight w:val="none"/>
        </w:rPr>
        <w:t>资格预审申请文件</w:t>
      </w:r>
      <w:r>
        <w:rPr>
          <w:rFonts w:hint="eastAsia" w:ascii="仿宋" w:hAnsi="仿宋" w:eastAsia="仿宋" w:cs="仿宋"/>
          <w:color w:val="auto"/>
          <w:sz w:val="24"/>
          <w:szCs w:val="24"/>
          <w:highlight w:val="none"/>
        </w:rPr>
        <w:t>中所有提交的文件和材料是真实的、准确的。</w:t>
      </w:r>
    </w:p>
    <w:p w14:paraId="7D506EFF">
      <w:pPr>
        <w:widowControl/>
        <w:shd w:val="clear"/>
        <w:spacing w:line="520" w:lineRule="exact"/>
        <w:ind w:firstLine="480" w:firstLineChars="200"/>
        <w:jc w:val="left"/>
        <w:rPr>
          <w:rFonts w:hint="eastAsia" w:ascii="仿宋" w:hAnsi="仿宋" w:eastAsia="仿宋" w:cs="仿宋"/>
          <w:color w:val="auto"/>
          <w:sz w:val="24"/>
          <w:szCs w:val="24"/>
          <w:highlight w:val="none"/>
        </w:rPr>
      </w:pPr>
    </w:p>
    <w:p w14:paraId="1D7BF696">
      <w:pPr>
        <w:widowControl/>
        <w:shd w:val="clear"/>
        <w:spacing w:line="520" w:lineRule="exact"/>
        <w:ind w:firstLine="480" w:firstLineChars="200"/>
        <w:jc w:val="left"/>
        <w:rPr>
          <w:rFonts w:hint="eastAsia" w:ascii="仿宋" w:hAnsi="仿宋" w:eastAsia="仿宋" w:cs="仿宋"/>
          <w:color w:val="auto"/>
          <w:sz w:val="24"/>
          <w:szCs w:val="24"/>
          <w:highlight w:val="none"/>
        </w:rPr>
      </w:pPr>
    </w:p>
    <w:p w14:paraId="670E68C4">
      <w:pPr>
        <w:widowControl/>
        <w:shd w:val="clear"/>
        <w:spacing w:line="520" w:lineRule="exact"/>
        <w:ind w:firstLine="480" w:firstLineChars="200"/>
        <w:jc w:val="left"/>
        <w:rPr>
          <w:rFonts w:hint="eastAsia" w:ascii="仿宋" w:hAnsi="仿宋" w:eastAsia="仿宋" w:cs="仿宋"/>
          <w:color w:val="auto"/>
          <w:sz w:val="24"/>
          <w:szCs w:val="24"/>
          <w:highlight w:val="none"/>
        </w:rPr>
      </w:pPr>
    </w:p>
    <w:p w14:paraId="5F669258">
      <w:pPr>
        <w:widowControl/>
        <w:shd w:val="clear"/>
        <w:spacing w:line="52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（单位公章）</w:t>
      </w:r>
    </w:p>
    <w:p w14:paraId="0170665C">
      <w:pPr>
        <w:widowControl/>
        <w:shd w:val="clea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  </w:t>
      </w:r>
    </w:p>
    <w:p w14:paraId="424685F3">
      <w:pPr>
        <w:widowControl/>
        <w:shd w:val="clea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0BBA5D13">
      <w:pPr>
        <w:widowControl/>
        <w:shd w:val="clear"/>
        <w:spacing w:line="520" w:lineRule="exact"/>
        <w:jc w:val="left"/>
        <w:rPr>
          <w:rFonts w:hint="eastAsia" w:ascii="仿宋" w:hAnsi="仿宋" w:eastAsia="仿宋" w:cs="仿宋"/>
          <w:b/>
          <w:color w:val="auto"/>
          <w:sz w:val="24"/>
          <w:szCs w:val="24"/>
          <w:highlight w:val="none"/>
        </w:rPr>
      </w:pPr>
    </w:p>
    <w:p w14:paraId="49FF660B">
      <w:pPr>
        <w:widowControl/>
        <w:shd w:val="clear"/>
        <w:spacing w:line="520" w:lineRule="exact"/>
        <w:ind w:right="480"/>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br w:type="page"/>
      </w: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rPr>
        <w:t>投标人的基本情况</w:t>
      </w:r>
    </w:p>
    <w:p w14:paraId="63CA7353">
      <w:pPr>
        <w:widowControl/>
        <w:shd w:val="clea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15"/>
          <w:highlight w:val="none"/>
          <w:lang w:eastAsia="zh-CN"/>
        </w:rPr>
        <w:t>1.</w:t>
      </w:r>
      <w:r>
        <w:rPr>
          <w:rFonts w:hint="eastAsia" w:ascii="仿宋" w:hAnsi="仿宋" w:eastAsia="仿宋" w:cs="仿宋"/>
          <w:color w:val="auto"/>
          <w:sz w:val="24"/>
          <w:szCs w:val="24"/>
          <w:highlight w:val="none"/>
        </w:rPr>
        <w:t>投标人概况：</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105"/>
        <w:gridCol w:w="1476"/>
        <w:gridCol w:w="1290"/>
        <w:gridCol w:w="922"/>
        <w:gridCol w:w="1290"/>
        <w:gridCol w:w="1661"/>
      </w:tblGrid>
      <w:tr w14:paraId="2323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57" w:type="dxa"/>
            <w:noWrap w:val="0"/>
            <w:vAlign w:val="center"/>
          </w:tcPr>
          <w:p w14:paraId="12E1A34A">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投标人名称</w:t>
            </w:r>
          </w:p>
        </w:tc>
        <w:tc>
          <w:tcPr>
            <w:tcW w:w="7744" w:type="dxa"/>
            <w:gridSpan w:val="6"/>
            <w:noWrap w:val="0"/>
            <w:vAlign w:val="center"/>
          </w:tcPr>
          <w:p w14:paraId="522D2F09">
            <w:pPr>
              <w:widowControl/>
              <w:shd w:val="clear"/>
              <w:spacing w:line="520" w:lineRule="exact"/>
              <w:jc w:val="center"/>
              <w:rPr>
                <w:rFonts w:hint="eastAsia" w:ascii="仿宋" w:hAnsi="仿宋" w:eastAsia="仿宋" w:cs="仿宋"/>
                <w:bCs/>
                <w:color w:val="auto"/>
                <w:kern w:val="2"/>
                <w:sz w:val="21"/>
                <w:szCs w:val="21"/>
                <w:highlight w:val="none"/>
              </w:rPr>
            </w:pPr>
          </w:p>
        </w:tc>
      </w:tr>
      <w:tr w14:paraId="2DCF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57" w:type="dxa"/>
            <w:noWrap w:val="0"/>
            <w:vAlign w:val="center"/>
          </w:tcPr>
          <w:p w14:paraId="7477A31B">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注册地址</w:t>
            </w:r>
          </w:p>
        </w:tc>
        <w:tc>
          <w:tcPr>
            <w:tcW w:w="4793" w:type="dxa"/>
            <w:gridSpan w:val="4"/>
            <w:noWrap w:val="0"/>
            <w:vAlign w:val="center"/>
          </w:tcPr>
          <w:p w14:paraId="112DFBC4">
            <w:pPr>
              <w:widowControl/>
              <w:shd w:val="clear"/>
              <w:spacing w:line="520" w:lineRule="exact"/>
              <w:jc w:val="center"/>
              <w:rPr>
                <w:rFonts w:hint="eastAsia" w:ascii="仿宋" w:hAnsi="仿宋" w:eastAsia="仿宋" w:cs="仿宋"/>
                <w:bCs/>
                <w:color w:val="auto"/>
                <w:kern w:val="2"/>
                <w:sz w:val="21"/>
                <w:szCs w:val="21"/>
                <w:highlight w:val="none"/>
              </w:rPr>
            </w:pPr>
          </w:p>
        </w:tc>
        <w:tc>
          <w:tcPr>
            <w:tcW w:w="1290" w:type="dxa"/>
            <w:noWrap w:val="0"/>
            <w:vAlign w:val="center"/>
          </w:tcPr>
          <w:p w14:paraId="626EAF4B">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邮政编码</w:t>
            </w:r>
          </w:p>
        </w:tc>
        <w:tc>
          <w:tcPr>
            <w:tcW w:w="1661" w:type="dxa"/>
            <w:noWrap w:val="0"/>
            <w:vAlign w:val="center"/>
          </w:tcPr>
          <w:p w14:paraId="1C6EE70A">
            <w:pPr>
              <w:widowControl/>
              <w:shd w:val="clear"/>
              <w:spacing w:line="520" w:lineRule="exact"/>
              <w:jc w:val="center"/>
              <w:rPr>
                <w:rFonts w:hint="eastAsia" w:ascii="仿宋" w:hAnsi="仿宋" w:eastAsia="仿宋" w:cs="仿宋"/>
                <w:bCs/>
                <w:color w:val="auto"/>
                <w:kern w:val="2"/>
                <w:sz w:val="21"/>
                <w:szCs w:val="21"/>
                <w:highlight w:val="none"/>
              </w:rPr>
            </w:pPr>
          </w:p>
        </w:tc>
      </w:tr>
      <w:tr w14:paraId="7394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657" w:type="dxa"/>
            <w:vMerge w:val="restart"/>
            <w:noWrap w:val="0"/>
            <w:vAlign w:val="center"/>
          </w:tcPr>
          <w:p w14:paraId="268D1ED6">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联系方式</w:t>
            </w:r>
          </w:p>
        </w:tc>
        <w:tc>
          <w:tcPr>
            <w:tcW w:w="1105" w:type="dxa"/>
            <w:noWrap w:val="0"/>
            <w:vAlign w:val="center"/>
          </w:tcPr>
          <w:p w14:paraId="35ECDE59">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联系人</w:t>
            </w:r>
          </w:p>
        </w:tc>
        <w:tc>
          <w:tcPr>
            <w:tcW w:w="3688" w:type="dxa"/>
            <w:gridSpan w:val="3"/>
            <w:noWrap w:val="0"/>
            <w:vAlign w:val="center"/>
          </w:tcPr>
          <w:p w14:paraId="1B9E3097">
            <w:pPr>
              <w:widowControl/>
              <w:shd w:val="clear"/>
              <w:spacing w:line="520" w:lineRule="exact"/>
              <w:jc w:val="center"/>
              <w:rPr>
                <w:rFonts w:hint="eastAsia" w:ascii="仿宋" w:hAnsi="仿宋" w:eastAsia="仿宋" w:cs="仿宋"/>
                <w:bCs/>
                <w:color w:val="auto"/>
                <w:kern w:val="2"/>
                <w:sz w:val="21"/>
                <w:szCs w:val="21"/>
                <w:highlight w:val="none"/>
              </w:rPr>
            </w:pPr>
          </w:p>
        </w:tc>
        <w:tc>
          <w:tcPr>
            <w:tcW w:w="1290" w:type="dxa"/>
            <w:noWrap w:val="0"/>
            <w:vAlign w:val="center"/>
          </w:tcPr>
          <w:p w14:paraId="0B584EA4">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联系电话</w:t>
            </w:r>
          </w:p>
        </w:tc>
        <w:tc>
          <w:tcPr>
            <w:tcW w:w="1661" w:type="dxa"/>
            <w:noWrap w:val="0"/>
            <w:vAlign w:val="center"/>
          </w:tcPr>
          <w:p w14:paraId="54F5BF73">
            <w:pPr>
              <w:widowControl/>
              <w:shd w:val="clear"/>
              <w:spacing w:line="520" w:lineRule="exact"/>
              <w:jc w:val="center"/>
              <w:rPr>
                <w:rFonts w:hint="eastAsia" w:ascii="仿宋" w:hAnsi="仿宋" w:eastAsia="仿宋" w:cs="仿宋"/>
                <w:bCs/>
                <w:color w:val="auto"/>
                <w:kern w:val="2"/>
                <w:sz w:val="21"/>
                <w:szCs w:val="21"/>
                <w:highlight w:val="none"/>
              </w:rPr>
            </w:pPr>
          </w:p>
        </w:tc>
      </w:tr>
      <w:tr w14:paraId="4C36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57" w:type="dxa"/>
            <w:vMerge w:val="continue"/>
            <w:noWrap w:val="0"/>
            <w:vAlign w:val="center"/>
          </w:tcPr>
          <w:p w14:paraId="55BFFA2B">
            <w:pPr>
              <w:widowControl/>
              <w:shd w:val="clear"/>
              <w:spacing w:line="520" w:lineRule="exact"/>
              <w:jc w:val="center"/>
              <w:rPr>
                <w:rFonts w:hint="eastAsia" w:ascii="仿宋" w:hAnsi="仿宋" w:eastAsia="仿宋" w:cs="仿宋"/>
                <w:bCs/>
                <w:color w:val="auto"/>
                <w:kern w:val="2"/>
                <w:sz w:val="21"/>
                <w:szCs w:val="21"/>
                <w:highlight w:val="none"/>
              </w:rPr>
            </w:pPr>
          </w:p>
        </w:tc>
        <w:tc>
          <w:tcPr>
            <w:tcW w:w="1105" w:type="dxa"/>
            <w:noWrap w:val="0"/>
            <w:vAlign w:val="center"/>
          </w:tcPr>
          <w:p w14:paraId="7D180AF2">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传真</w:t>
            </w:r>
          </w:p>
        </w:tc>
        <w:tc>
          <w:tcPr>
            <w:tcW w:w="3688" w:type="dxa"/>
            <w:gridSpan w:val="3"/>
            <w:noWrap w:val="0"/>
            <w:vAlign w:val="center"/>
          </w:tcPr>
          <w:p w14:paraId="1D4ECEB1">
            <w:pPr>
              <w:widowControl/>
              <w:shd w:val="clear"/>
              <w:spacing w:line="520" w:lineRule="exact"/>
              <w:jc w:val="center"/>
              <w:rPr>
                <w:rFonts w:hint="eastAsia" w:ascii="仿宋" w:hAnsi="仿宋" w:eastAsia="仿宋" w:cs="仿宋"/>
                <w:bCs/>
                <w:color w:val="auto"/>
                <w:kern w:val="2"/>
                <w:sz w:val="21"/>
                <w:szCs w:val="21"/>
                <w:highlight w:val="none"/>
              </w:rPr>
            </w:pPr>
          </w:p>
        </w:tc>
        <w:tc>
          <w:tcPr>
            <w:tcW w:w="1290" w:type="dxa"/>
            <w:noWrap w:val="0"/>
            <w:vAlign w:val="center"/>
          </w:tcPr>
          <w:p w14:paraId="412283DF">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网址</w:t>
            </w:r>
          </w:p>
        </w:tc>
        <w:tc>
          <w:tcPr>
            <w:tcW w:w="1661" w:type="dxa"/>
            <w:noWrap w:val="0"/>
            <w:vAlign w:val="center"/>
          </w:tcPr>
          <w:p w14:paraId="6E6FBFF0">
            <w:pPr>
              <w:widowControl/>
              <w:shd w:val="clear"/>
              <w:spacing w:line="520" w:lineRule="exact"/>
              <w:jc w:val="center"/>
              <w:rPr>
                <w:rFonts w:hint="eastAsia" w:ascii="仿宋" w:hAnsi="仿宋" w:eastAsia="仿宋" w:cs="仿宋"/>
                <w:bCs/>
                <w:color w:val="auto"/>
                <w:kern w:val="2"/>
                <w:sz w:val="21"/>
                <w:szCs w:val="21"/>
                <w:highlight w:val="none"/>
              </w:rPr>
            </w:pPr>
          </w:p>
        </w:tc>
      </w:tr>
      <w:tr w14:paraId="2173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57" w:type="dxa"/>
            <w:noWrap w:val="0"/>
            <w:vAlign w:val="center"/>
          </w:tcPr>
          <w:p w14:paraId="497F3AFA">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法定代表人</w:t>
            </w:r>
          </w:p>
        </w:tc>
        <w:tc>
          <w:tcPr>
            <w:tcW w:w="1105" w:type="dxa"/>
            <w:noWrap w:val="0"/>
            <w:vAlign w:val="center"/>
          </w:tcPr>
          <w:p w14:paraId="1ABC081F">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姓名</w:t>
            </w:r>
          </w:p>
        </w:tc>
        <w:tc>
          <w:tcPr>
            <w:tcW w:w="1476" w:type="dxa"/>
            <w:noWrap w:val="0"/>
            <w:vAlign w:val="center"/>
          </w:tcPr>
          <w:p w14:paraId="6A94E047">
            <w:pPr>
              <w:widowControl/>
              <w:shd w:val="clear"/>
              <w:spacing w:line="520" w:lineRule="exact"/>
              <w:jc w:val="center"/>
              <w:rPr>
                <w:rFonts w:hint="eastAsia" w:ascii="仿宋" w:hAnsi="仿宋" w:eastAsia="仿宋" w:cs="仿宋"/>
                <w:bCs/>
                <w:color w:val="auto"/>
                <w:kern w:val="2"/>
                <w:sz w:val="21"/>
                <w:szCs w:val="21"/>
                <w:highlight w:val="none"/>
              </w:rPr>
            </w:pPr>
          </w:p>
        </w:tc>
        <w:tc>
          <w:tcPr>
            <w:tcW w:w="1290" w:type="dxa"/>
            <w:noWrap w:val="0"/>
            <w:vAlign w:val="center"/>
          </w:tcPr>
          <w:p w14:paraId="3EDC3C35">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技术职称</w:t>
            </w:r>
          </w:p>
        </w:tc>
        <w:tc>
          <w:tcPr>
            <w:tcW w:w="922" w:type="dxa"/>
            <w:noWrap w:val="0"/>
            <w:vAlign w:val="center"/>
          </w:tcPr>
          <w:p w14:paraId="7FF0A22F">
            <w:pPr>
              <w:widowControl/>
              <w:shd w:val="clear"/>
              <w:spacing w:line="520" w:lineRule="exact"/>
              <w:jc w:val="center"/>
              <w:rPr>
                <w:rFonts w:hint="eastAsia" w:ascii="仿宋" w:hAnsi="仿宋" w:eastAsia="仿宋" w:cs="仿宋"/>
                <w:bCs/>
                <w:color w:val="auto"/>
                <w:kern w:val="2"/>
                <w:sz w:val="21"/>
                <w:szCs w:val="21"/>
                <w:highlight w:val="none"/>
              </w:rPr>
            </w:pPr>
          </w:p>
        </w:tc>
        <w:tc>
          <w:tcPr>
            <w:tcW w:w="1290" w:type="dxa"/>
            <w:noWrap w:val="0"/>
            <w:vAlign w:val="center"/>
          </w:tcPr>
          <w:p w14:paraId="1DF22FE5">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联系电话</w:t>
            </w:r>
          </w:p>
        </w:tc>
        <w:tc>
          <w:tcPr>
            <w:tcW w:w="1661" w:type="dxa"/>
            <w:noWrap w:val="0"/>
            <w:vAlign w:val="center"/>
          </w:tcPr>
          <w:p w14:paraId="637F78A0">
            <w:pPr>
              <w:widowControl/>
              <w:shd w:val="clear"/>
              <w:spacing w:line="520" w:lineRule="exact"/>
              <w:jc w:val="center"/>
              <w:rPr>
                <w:rFonts w:hint="eastAsia" w:ascii="仿宋" w:hAnsi="仿宋" w:eastAsia="仿宋" w:cs="仿宋"/>
                <w:bCs/>
                <w:color w:val="auto"/>
                <w:kern w:val="2"/>
                <w:sz w:val="21"/>
                <w:szCs w:val="21"/>
                <w:highlight w:val="none"/>
              </w:rPr>
            </w:pPr>
          </w:p>
        </w:tc>
      </w:tr>
      <w:tr w14:paraId="7E2E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57" w:type="dxa"/>
            <w:noWrap w:val="0"/>
            <w:vAlign w:val="center"/>
          </w:tcPr>
          <w:p w14:paraId="7FB86D20">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成立时间</w:t>
            </w:r>
          </w:p>
        </w:tc>
        <w:tc>
          <w:tcPr>
            <w:tcW w:w="2581" w:type="dxa"/>
            <w:gridSpan w:val="2"/>
            <w:noWrap w:val="0"/>
            <w:vAlign w:val="center"/>
          </w:tcPr>
          <w:p w14:paraId="0013F7EC">
            <w:pPr>
              <w:widowControl/>
              <w:shd w:val="clear"/>
              <w:spacing w:line="520" w:lineRule="exact"/>
              <w:jc w:val="center"/>
              <w:rPr>
                <w:rFonts w:hint="eastAsia" w:ascii="仿宋" w:hAnsi="仿宋" w:eastAsia="仿宋" w:cs="仿宋"/>
                <w:bCs/>
                <w:color w:val="auto"/>
                <w:kern w:val="2"/>
                <w:sz w:val="21"/>
                <w:szCs w:val="21"/>
                <w:highlight w:val="none"/>
              </w:rPr>
            </w:pPr>
          </w:p>
        </w:tc>
        <w:tc>
          <w:tcPr>
            <w:tcW w:w="2212" w:type="dxa"/>
            <w:gridSpan w:val="2"/>
            <w:noWrap w:val="0"/>
            <w:vAlign w:val="center"/>
          </w:tcPr>
          <w:p w14:paraId="49D497FC">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注册资金</w:t>
            </w:r>
          </w:p>
        </w:tc>
        <w:tc>
          <w:tcPr>
            <w:tcW w:w="2951" w:type="dxa"/>
            <w:gridSpan w:val="2"/>
            <w:noWrap w:val="0"/>
            <w:vAlign w:val="center"/>
          </w:tcPr>
          <w:p w14:paraId="1ADD71EA">
            <w:pPr>
              <w:widowControl/>
              <w:shd w:val="clear"/>
              <w:spacing w:line="520" w:lineRule="exact"/>
              <w:jc w:val="center"/>
              <w:rPr>
                <w:rFonts w:hint="eastAsia" w:ascii="仿宋" w:hAnsi="仿宋" w:eastAsia="仿宋" w:cs="仿宋"/>
                <w:bCs/>
                <w:color w:val="auto"/>
                <w:kern w:val="2"/>
                <w:sz w:val="21"/>
                <w:szCs w:val="21"/>
                <w:highlight w:val="none"/>
              </w:rPr>
            </w:pPr>
          </w:p>
        </w:tc>
      </w:tr>
      <w:tr w14:paraId="2C50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57" w:type="dxa"/>
            <w:noWrap w:val="0"/>
            <w:vAlign w:val="center"/>
          </w:tcPr>
          <w:p w14:paraId="01767107">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开户银行</w:t>
            </w:r>
          </w:p>
        </w:tc>
        <w:tc>
          <w:tcPr>
            <w:tcW w:w="2581" w:type="dxa"/>
            <w:gridSpan w:val="2"/>
            <w:noWrap w:val="0"/>
            <w:vAlign w:val="center"/>
          </w:tcPr>
          <w:p w14:paraId="3AB6E061">
            <w:pPr>
              <w:widowControl/>
              <w:shd w:val="clear"/>
              <w:spacing w:line="520" w:lineRule="exact"/>
              <w:jc w:val="center"/>
              <w:rPr>
                <w:rFonts w:hint="eastAsia" w:ascii="仿宋" w:hAnsi="仿宋" w:eastAsia="仿宋" w:cs="仿宋"/>
                <w:bCs/>
                <w:color w:val="auto"/>
                <w:kern w:val="2"/>
                <w:sz w:val="21"/>
                <w:szCs w:val="21"/>
                <w:highlight w:val="none"/>
              </w:rPr>
            </w:pPr>
          </w:p>
        </w:tc>
        <w:tc>
          <w:tcPr>
            <w:tcW w:w="2212" w:type="dxa"/>
            <w:gridSpan w:val="2"/>
            <w:noWrap w:val="0"/>
            <w:vAlign w:val="center"/>
          </w:tcPr>
          <w:p w14:paraId="2BEC413B">
            <w:pPr>
              <w:widowControl/>
              <w:shd w:val="clear"/>
              <w:spacing w:line="520" w:lineRule="exact"/>
              <w:jc w:val="center"/>
              <w:rPr>
                <w:rFonts w:hint="eastAsia" w:ascii="仿宋" w:hAnsi="仿宋" w:eastAsia="仿宋" w:cs="仿宋"/>
                <w:bCs/>
                <w:color w:val="auto"/>
                <w:kern w:val="2"/>
                <w:sz w:val="21"/>
                <w:szCs w:val="21"/>
                <w:highlight w:val="none"/>
                <w:u w:val="single"/>
                <w:lang w:val="en-US" w:eastAsia="zh-CN"/>
              </w:rPr>
            </w:pPr>
            <w:r>
              <w:rPr>
                <w:rFonts w:hint="eastAsia" w:ascii="仿宋" w:hAnsi="仿宋" w:eastAsia="仿宋" w:cs="仿宋"/>
                <w:bCs/>
                <w:color w:val="auto"/>
                <w:kern w:val="2"/>
                <w:sz w:val="21"/>
                <w:szCs w:val="21"/>
                <w:highlight w:val="none"/>
              </w:rPr>
              <w:t>账号</w:t>
            </w:r>
          </w:p>
        </w:tc>
        <w:tc>
          <w:tcPr>
            <w:tcW w:w="2951" w:type="dxa"/>
            <w:gridSpan w:val="2"/>
            <w:noWrap w:val="0"/>
            <w:vAlign w:val="center"/>
          </w:tcPr>
          <w:p w14:paraId="2EDC4AD1">
            <w:pPr>
              <w:widowControl/>
              <w:shd w:val="clear"/>
              <w:spacing w:line="520" w:lineRule="exact"/>
              <w:jc w:val="center"/>
              <w:rPr>
                <w:rFonts w:hint="eastAsia" w:ascii="仿宋" w:hAnsi="仿宋" w:eastAsia="仿宋" w:cs="仿宋"/>
                <w:bCs/>
                <w:color w:val="auto"/>
                <w:kern w:val="2"/>
                <w:sz w:val="21"/>
                <w:szCs w:val="21"/>
                <w:highlight w:val="none"/>
              </w:rPr>
            </w:pPr>
          </w:p>
        </w:tc>
      </w:tr>
      <w:tr w14:paraId="7AD8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57" w:type="dxa"/>
            <w:noWrap w:val="0"/>
            <w:vAlign w:val="center"/>
          </w:tcPr>
          <w:p w14:paraId="79045F1A">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lang w:val="en-US" w:eastAsia="zh-CN"/>
              </w:rPr>
              <w:t>员工总人数</w:t>
            </w:r>
          </w:p>
        </w:tc>
        <w:tc>
          <w:tcPr>
            <w:tcW w:w="7744" w:type="dxa"/>
            <w:gridSpan w:val="6"/>
            <w:noWrap w:val="0"/>
            <w:vAlign w:val="center"/>
          </w:tcPr>
          <w:p w14:paraId="333C12B0">
            <w:pPr>
              <w:widowControl/>
              <w:shd w:val="clear"/>
              <w:spacing w:line="520" w:lineRule="exact"/>
              <w:jc w:val="center"/>
              <w:rPr>
                <w:rFonts w:hint="default" w:ascii="仿宋" w:hAnsi="仿宋" w:eastAsia="仿宋" w:cs="仿宋"/>
                <w:bCs/>
                <w:color w:val="auto"/>
                <w:kern w:val="2"/>
                <w:sz w:val="21"/>
                <w:szCs w:val="21"/>
                <w:highlight w:val="none"/>
                <w:lang w:val="en-US" w:eastAsia="zh-CN"/>
              </w:rPr>
            </w:pPr>
            <w:r>
              <w:rPr>
                <w:rFonts w:hint="eastAsia" w:ascii="仿宋" w:hAnsi="仿宋" w:eastAsia="仿宋" w:cs="仿宋"/>
                <w:bCs/>
                <w:color w:val="auto"/>
                <w:kern w:val="2"/>
                <w:sz w:val="21"/>
                <w:szCs w:val="21"/>
                <w:highlight w:val="none"/>
                <w:u w:val="single"/>
                <w:lang w:val="en-US" w:eastAsia="zh-CN"/>
              </w:rPr>
              <w:t xml:space="preserve">      </w:t>
            </w:r>
            <w:r>
              <w:rPr>
                <w:rFonts w:hint="eastAsia" w:ascii="仿宋" w:hAnsi="仿宋" w:eastAsia="仿宋" w:cs="仿宋"/>
                <w:bCs/>
                <w:color w:val="auto"/>
                <w:kern w:val="2"/>
                <w:sz w:val="21"/>
                <w:szCs w:val="21"/>
                <w:highlight w:val="none"/>
                <w:lang w:val="en-US" w:eastAsia="zh-CN"/>
              </w:rPr>
              <w:t>人</w:t>
            </w:r>
          </w:p>
        </w:tc>
      </w:tr>
      <w:tr w14:paraId="5337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57" w:type="dxa"/>
            <w:noWrap w:val="0"/>
            <w:vAlign w:val="center"/>
          </w:tcPr>
          <w:p w14:paraId="4E504EEA">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经营范围</w:t>
            </w:r>
          </w:p>
        </w:tc>
        <w:tc>
          <w:tcPr>
            <w:tcW w:w="7744" w:type="dxa"/>
            <w:gridSpan w:val="6"/>
            <w:noWrap w:val="0"/>
            <w:vAlign w:val="center"/>
          </w:tcPr>
          <w:p w14:paraId="4BDB4D70">
            <w:pPr>
              <w:widowControl/>
              <w:shd w:val="clear"/>
              <w:spacing w:line="520" w:lineRule="exact"/>
              <w:jc w:val="center"/>
              <w:rPr>
                <w:rFonts w:hint="eastAsia" w:ascii="仿宋" w:hAnsi="仿宋" w:eastAsia="仿宋" w:cs="仿宋"/>
                <w:bCs/>
                <w:color w:val="auto"/>
                <w:kern w:val="2"/>
                <w:sz w:val="21"/>
                <w:szCs w:val="21"/>
                <w:highlight w:val="none"/>
              </w:rPr>
            </w:pPr>
          </w:p>
        </w:tc>
      </w:tr>
      <w:tr w14:paraId="6EF1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jc w:val="center"/>
        </w:trPr>
        <w:tc>
          <w:tcPr>
            <w:tcW w:w="1657" w:type="dxa"/>
            <w:noWrap w:val="0"/>
            <w:vAlign w:val="center"/>
          </w:tcPr>
          <w:p w14:paraId="45F9EEA4">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公司简介</w:t>
            </w:r>
          </w:p>
          <w:p w14:paraId="61A43198">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（300字以内）</w:t>
            </w:r>
          </w:p>
        </w:tc>
        <w:tc>
          <w:tcPr>
            <w:tcW w:w="7744" w:type="dxa"/>
            <w:gridSpan w:val="6"/>
            <w:noWrap w:val="0"/>
            <w:vAlign w:val="center"/>
          </w:tcPr>
          <w:p w14:paraId="2BCCBC1E">
            <w:pPr>
              <w:keepNext w:val="0"/>
              <w:keepLines w:val="0"/>
              <w:pageBreakBefore w:val="0"/>
              <w:widowControl/>
              <w:shd w:val="clear"/>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auto"/>
                <w:kern w:val="2"/>
                <w:sz w:val="21"/>
                <w:szCs w:val="21"/>
                <w:highlight w:val="none"/>
              </w:rPr>
            </w:pPr>
          </w:p>
        </w:tc>
      </w:tr>
      <w:tr w14:paraId="3C69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57" w:type="dxa"/>
            <w:noWrap w:val="0"/>
            <w:vAlign w:val="center"/>
          </w:tcPr>
          <w:p w14:paraId="3F25FD2E">
            <w:pPr>
              <w:widowControl/>
              <w:shd w:val="clear"/>
              <w:spacing w:line="520" w:lineRule="exact"/>
              <w:jc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备注</w:t>
            </w:r>
          </w:p>
        </w:tc>
        <w:tc>
          <w:tcPr>
            <w:tcW w:w="7744" w:type="dxa"/>
            <w:gridSpan w:val="6"/>
            <w:noWrap w:val="0"/>
            <w:vAlign w:val="center"/>
          </w:tcPr>
          <w:p w14:paraId="71CFAD6A">
            <w:pPr>
              <w:widowControl/>
              <w:shd w:val="clear"/>
              <w:spacing w:line="520" w:lineRule="exact"/>
              <w:jc w:val="center"/>
              <w:rPr>
                <w:rFonts w:hint="eastAsia" w:ascii="仿宋" w:hAnsi="仿宋" w:eastAsia="仿宋" w:cs="仿宋"/>
                <w:bCs/>
                <w:color w:val="auto"/>
                <w:kern w:val="2"/>
                <w:sz w:val="21"/>
                <w:szCs w:val="21"/>
                <w:highlight w:val="none"/>
              </w:rPr>
            </w:pPr>
          </w:p>
        </w:tc>
      </w:tr>
    </w:tbl>
    <w:p w14:paraId="23CF6F59">
      <w:pPr>
        <w:widowControl/>
        <w:shd w:val="clear"/>
        <w:spacing w:line="520" w:lineRule="exact"/>
        <w:ind w:firstLine="480" w:firstLineChars="200"/>
        <w:jc w:val="left"/>
        <w:rPr>
          <w:rFonts w:hint="eastAsia" w:ascii="仿宋" w:hAnsi="仿宋" w:eastAsia="仿宋" w:cs="仿宋"/>
          <w:color w:val="auto"/>
          <w:sz w:val="24"/>
          <w:szCs w:val="24"/>
          <w:highlight w:val="none"/>
        </w:rPr>
      </w:pPr>
    </w:p>
    <w:p w14:paraId="73FE1E36">
      <w:pPr>
        <w:widowControl/>
        <w:shd w:val="clear"/>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投标人（单位公章）：</w:t>
      </w:r>
    </w:p>
    <w:p w14:paraId="2B5BA275">
      <w:pPr>
        <w:widowControl/>
        <w:shd w:val="clear"/>
        <w:spacing w:line="52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法定代表人或授权代表（签字）</w:t>
      </w:r>
      <w:r>
        <w:rPr>
          <w:rFonts w:hint="eastAsia" w:ascii="仿宋" w:hAnsi="仿宋" w:eastAsia="仿宋" w:cs="仿宋"/>
          <w:bCs/>
          <w:color w:val="auto"/>
          <w:sz w:val="24"/>
          <w:szCs w:val="24"/>
          <w:highlight w:val="none"/>
        </w:rPr>
        <w:t>：</w:t>
      </w:r>
    </w:p>
    <w:p w14:paraId="294329E2">
      <w:pPr>
        <w:widowControl/>
        <w:shd w:val="clear"/>
        <w:spacing w:line="5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p>
    <w:p w14:paraId="43FC1422">
      <w:pPr>
        <w:widowControl/>
        <w:shd w:val="clear"/>
        <w:spacing w:line="52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0160608">
      <w:pPr>
        <w:keepNext/>
        <w:widowControl/>
        <w:shd w:val="clear"/>
        <w:spacing w:line="520" w:lineRule="exact"/>
        <w:jc w:val="center"/>
        <w:outlineLvl w:val="1"/>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三、法定代表人身份证明书及法定代表人授权委托书</w:t>
      </w:r>
    </w:p>
    <w:p w14:paraId="1EBD73F9">
      <w:pPr>
        <w:keepNext/>
        <w:widowControl/>
        <w:shd w:val="clear"/>
        <w:spacing w:line="520" w:lineRule="exact"/>
        <w:jc w:val="center"/>
        <w:outlineLvl w:val="2"/>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eastAsia="zh-CN"/>
        </w:rPr>
        <w:t>（</w:t>
      </w:r>
      <w:r>
        <w:rPr>
          <w:rFonts w:hint="eastAsia" w:ascii="仿宋" w:hAnsi="仿宋" w:eastAsia="仿宋" w:cs="仿宋"/>
          <w:b/>
          <w:color w:val="auto"/>
          <w:highlight w:val="none"/>
          <w:lang w:val="en-US" w:eastAsia="zh-CN"/>
        </w:rPr>
        <w:t>一</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rPr>
        <w:t>法定代表人身份证明</w:t>
      </w:r>
      <w:r>
        <w:rPr>
          <w:rFonts w:hint="eastAsia" w:ascii="仿宋" w:hAnsi="仿宋" w:eastAsia="仿宋" w:cs="仿宋"/>
          <w:b/>
          <w:color w:val="auto"/>
          <w:highlight w:val="none"/>
          <w:lang w:val="en-US" w:eastAsia="zh-CN"/>
        </w:rPr>
        <w:t>书</w:t>
      </w:r>
    </w:p>
    <w:p w14:paraId="01C466DC">
      <w:pPr>
        <w:widowControl/>
        <w:shd w:val="clear"/>
        <w:autoSpaceDE w:val="0"/>
        <w:autoSpaceDN w:val="0"/>
        <w:adjustRightInd w:val="0"/>
        <w:spacing w:line="520" w:lineRule="exact"/>
        <w:jc w:val="left"/>
        <w:rPr>
          <w:rFonts w:hint="eastAsia" w:ascii="仿宋" w:hAnsi="仿宋" w:eastAsia="仿宋" w:cs="仿宋"/>
          <w:color w:val="auto"/>
          <w:sz w:val="20"/>
          <w:szCs w:val="24"/>
          <w:highlight w:val="none"/>
        </w:rPr>
      </w:pPr>
    </w:p>
    <w:p w14:paraId="22E471E7">
      <w:pPr>
        <w:widowControl/>
        <w:shd w:val="clear"/>
        <w:tabs>
          <w:tab w:val="left" w:pos="5420"/>
        </w:tabs>
        <w:autoSpaceDE w:val="0"/>
        <w:autoSpaceDN w:val="0"/>
        <w:adjustRightInd w:val="0"/>
        <w:spacing w:line="520" w:lineRule="exact"/>
        <w:ind w:left="120" w:right="-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pacing w:val="5"/>
          <w:sz w:val="24"/>
          <w:szCs w:val="24"/>
          <w:highlight w:val="none"/>
        </w:rPr>
        <w:t>名</w:t>
      </w:r>
      <w:r>
        <w:rPr>
          <w:rFonts w:hint="eastAsia" w:ascii="仿宋" w:hAnsi="仿宋" w:eastAsia="仿宋" w:cs="仿宋"/>
          <w:color w:val="auto"/>
          <w:sz w:val="24"/>
          <w:szCs w:val="24"/>
          <w:highlight w:val="none"/>
        </w:rPr>
        <w:t>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66ECAAB7">
      <w:pPr>
        <w:widowControl/>
        <w:shd w:val="clear"/>
        <w:tabs>
          <w:tab w:val="left" w:pos="5420"/>
        </w:tabs>
        <w:autoSpaceDE w:val="0"/>
        <w:autoSpaceDN w:val="0"/>
        <w:adjustRightInd w:val="0"/>
        <w:spacing w:line="520" w:lineRule="exact"/>
        <w:ind w:left="120" w:right="-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w:t>
      </w:r>
      <w:r>
        <w:rPr>
          <w:rFonts w:hint="eastAsia" w:ascii="仿宋" w:hAnsi="仿宋" w:eastAsia="仿宋" w:cs="仿宋"/>
          <w:color w:val="auto"/>
          <w:spacing w:val="5"/>
          <w:sz w:val="24"/>
          <w:szCs w:val="24"/>
          <w:highlight w:val="none"/>
        </w:rPr>
        <w:t>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69D0387C">
      <w:pPr>
        <w:widowControl/>
        <w:shd w:val="clear"/>
        <w:tabs>
          <w:tab w:val="left" w:pos="5420"/>
        </w:tabs>
        <w:autoSpaceDE w:val="0"/>
        <w:autoSpaceDN w:val="0"/>
        <w:adjustRightInd w:val="0"/>
        <w:spacing w:line="520" w:lineRule="exact"/>
        <w:ind w:left="120" w:right="-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40C65162">
      <w:pPr>
        <w:widowControl/>
        <w:shd w:val="clear"/>
        <w:tabs>
          <w:tab w:val="left" w:pos="2340"/>
          <w:tab w:val="left" w:pos="3600"/>
          <w:tab w:val="left" w:pos="4720"/>
        </w:tabs>
        <w:autoSpaceDE w:val="0"/>
        <w:autoSpaceDN w:val="0"/>
        <w:adjustRightInd w:val="0"/>
        <w:spacing w:line="520" w:lineRule="exact"/>
        <w:ind w:left="120" w:right="-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w:t>
      </w:r>
      <w:r>
        <w:rPr>
          <w:rFonts w:hint="eastAsia" w:ascii="仿宋" w:hAnsi="仿宋" w:eastAsia="仿宋" w:cs="仿宋"/>
          <w:color w:val="auto"/>
          <w:spacing w:val="5"/>
          <w:sz w:val="24"/>
          <w:szCs w:val="24"/>
          <w:highlight w:val="none"/>
        </w:rPr>
        <w:t>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5"/>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366EABAE">
      <w:pPr>
        <w:widowControl/>
        <w:shd w:val="clear"/>
        <w:tabs>
          <w:tab w:val="left" w:pos="2340"/>
        </w:tabs>
        <w:autoSpaceDE w:val="0"/>
        <w:autoSpaceDN w:val="0"/>
        <w:adjustRightInd w:val="0"/>
        <w:spacing w:line="520" w:lineRule="exact"/>
        <w:ind w:left="120" w:right="-2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经营期</w:t>
      </w:r>
      <w:r>
        <w:rPr>
          <w:rFonts w:hint="eastAsia" w:ascii="仿宋" w:hAnsi="仿宋" w:eastAsia="仿宋" w:cs="仿宋"/>
          <w:color w:val="auto"/>
          <w:spacing w:val="5"/>
          <w:sz w:val="24"/>
          <w:szCs w:val="24"/>
          <w:highlight w:val="none"/>
        </w:rPr>
        <w:t>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7FDD295C">
      <w:pPr>
        <w:widowControl/>
        <w:shd w:val="clear"/>
        <w:tabs>
          <w:tab w:val="left" w:pos="2340"/>
        </w:tabs>
        <w:autoSpaceDE w:val="0"/>
        <w:autoSpaceDN w:val="0"/>
        <w:adjustRightInd w:val="0"/>
        <w:spacing w:line="520" w:lineRule="exact"/>
        <w:ind w:left="120" w:right="-20"/>
        <w:jc w:val="left"/>
        <w:rPr>
          <w:rFonts w:hint="eastAsia" w:ascii="仿宋" w:hAnsi="仿宋" w:eastAsia="仿宋" w:cs="仿宋"/>
          <w:color w:val="auto"/>
          <w:sz w:val="24"/>
          <w:szCs w:val="24"/>
          <w:highlight w:val="none"/>
          <w:u w:val="single"/>
        </w:rPr>
      </w:pPr>
    </w:p>
    <w:p w14:paraId="1C0C485F">
      <w:pPr>
        <w:widowControl/>
        <w:shd w:val="clear"/>
        <w:tabs>
          <w:tab w:val="left" w:pos="2640"/>
          <w:tab w:val="left" w:pos="4440"/>
          <w:tab w:val="left" w:pos="6600"/>
          <w:tab w:val="left" w:pos="7940"/>
        </w:tabs>
        <w:autoSpaceDE w:val="0"/>
        <w:autoSpaceDN w:val="0"/>
        <w:adjustRightInd w:val="0"/>
        <w:spacing w:line="520" w:lineRule="exact"/>
        <w:ind w:left="120" w:right="-19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pacing w:val="-115"/>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w:t>
      </w:r>
      <w:r>
        <w:rPr>
          <w:rFonts w:hint="eastAsia" w:ascii="仿宋" w:hAnsi="仿宋" w:eastAsia="仿宋" w:cs="仿宋"/>
          <w:color w:val="auto"/>
          <w:spacing w:val="5"/>
          <w:sz w:val="24"/>
          <w:szCs w:val="24"/>
          <w:highlight w:val="none"/>
        </w:rPr>
        <w:t>投标人名</w:t>
      </w:r>
      <w:r>
        <w:rPr>
          <w:rFonts w:hint="eastAsia" w:ascii="仿宋" w:hAnsi="仿宋" w:eastAsia="仿宋" w:cs="仿宋"/>
          <w:color w:val="auto"/>
          <w:sz w:val="24"/>
          <w:szCs w:val="24"/>
          <w:highlight w:val="none"/>
        </w:rPr>
        <w:t>称</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z w:val="24"/>
          <w:szCs w:val="24"/>
          <w:highlight w:val="none"/>
        </w:rPr>
        <w:t>的法定</w:t>
      </w:r>
      <w:r>
        <w:rPr>
          <w:rFonts w:hint="eastAsia" w:ascii="仿宋" w:hAnsi="仿宋" w:eastAsia="仿宋" w:cs="仿宋"/>
          <w:color w:val="auto"/>
          <w:spacing w:val="5"/>
          <w:sz w:val="24"/>
          <w:szCs w:val="24"/>
          <w:highlight w:val="none"/>
        </w:rPr>
        <w:t>代</w:t>
      </w:r>
      <w:r>
        <w:rPr>
          <w:rFonts w:hint="eastAsia" w:ascii="仿宋" w:hAnsi="仿宋" w:eastAsia="仿宋" w:cs="仿宋"/>
          <w:color w:val="auto"/>
          <w:sz w:val="24"/>
          <w:szCs w:val="24"/>
          <w:highlight w:val="none"/>
        </w:rPr>
        <w:t>表人</w:t>
      </w:r>
      <w:r>
        <w:rPr>
          <w:rFonts w:hint="eastAsia" w:ascii="仿宋" w:hAnsi="仿宋" w:eastAsia="仿宋" w:cs="仿宋"/>
          <w:color w:val="auto"/>
          <w:spacing w:val="5"/>
          <w:sz w:val="24"/>
          <w:szCs w:val="24"/>
          <w:highlight w:val="none"/>
        </w:rPr>
        <w:t>（</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电</w:t>
      </w:r>
      <w:r>
        <w:rPr>
          <w:rFonts w:hint="eastAsia" w:ascii="仿宋" w:hAnsi="仿宋" w:eastAsia="仿宋" w:cs="仿宋"/>
          <w:color w:val="auto"/>
          <w:sz w:val="24"/>
          <w:szCs w:val="24"/>
          <w:highlight w:val="none"/>
        </w:rPr>
        <w:t>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5"/>
          <w:sz w:val="24"/>
          <w:szCs w:val="24"/>
          <w:highlight w:val="none"/>
        </w:rPr>
        <w:t>）。</w:t>
      </w:r>
    </w:p>
    <w:p w14:paraId="4BB0BB77">
      <w:pPr>
        <w:widowControl/>
        <w:shd w:val="clear"/>
        <w:autoSpaceDE w:val="0"/>
        <w:autoSpaceDN w:val="0"/>
        <w:adjustRightInd w:val="0"/>
        <w:spacing w:line="520" w:lineRule="exact"/>
        <w:jc w:val="left"/>
        <w:rPr>
          <w:rFonts w:hint="eastAsia" w:ascii="仿宋" w:hAnsi="仿宋" w:eastAsia="仿宋" w:cs="仿宋"/>
          <w:color w:val="auto"/>
          <w:sz w:val="24"/>
          <w:szCs w:val="24"/>
          <w:highlight w:val="none"/>
        </w:rPr>
      </w:pPr>
    </w:p>
    <w:p w14:paraId="17E88AB1">
      <w:pPr>
        <w:widowControl/>
        <w:shd w:val="clear"/>
        <w:autoSpaceDE w:val="0"/>
        <w:autoSpaceDN w:val="0"/>
        <w:adjustRightInd w:val="0"/>
        <w:spacing w:line="520" w:lineRule="exact"/>
        <w:ind w:left="677" w:right="-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w:t>
      </w:r>
      <w:r>
        <w:rPr>
          <w:rFonts w:hint="eastAsia" w:ascii="仿宋" w:hAnsi="仿宋" w:eastAsia="仿宋" w:cs="仿宋"/>
          <w:color w:val="auto"/>
          <w:spacing w:val="5"/>
          <w:sz w:val="24"/>
          <w:szCs w:val="24"/>
          <w:highlight w:val="none"/>
        </w:rPr>
        <w:t>此</w:t>
      </w:r>
      <w:r>
        <w:rPr>
          <w:rFonts w:hint="eastAsia" w:ascii="仿宋" w:hAnsi="仿宋" w:eastAsia="仿宋" w:cs="仿宋"/>
          <w:color w:val="auto"/>
          <w:sz w:val="24"/>
          <w:szCs w:val="24"/>
          <w:highlight w:val="none"/>
        </w:rPr>
        <w:t>证明。</w:t>
      </w:r>
    </w:p>
    <w:p w14:paraId="32EAF5F5">
      <w:pPr>
        <w:widowControl/>
        <w:shd w:val="clear"/>
        <w:autoSpaceDE w:val="0"/>
        <w:autoSpaceDN w:val="0"/>
        <w:adjustRightInd w:val="0"/>
        <w:spacing w:line="520" w:lineRule="exact"/>
        <w:jc w:val="left"/>
        <w:rPr>
          <w:rFonts w:hint="eastAsia" w:ascii="仿宋" w:hAnsi="仿宋" w:eastAsia="仿宋" w:cs="仿宋"/>
          <w:color w:val="auto"/>
          <w:sz w:val="24"/>
          <w:szCs w:val="24"/>
          <w:highlight w:val="none"/>
        </w:rPr>
      </w:pPr>
    </w:p>
    <w:p w14:paraId="35797193">
      <w:pPr>
        <w:widowControl/>
        <w:shd w:val="clear"/>
        <w:autoSpaceDE w:val="0"/>
        <w:autoSpaceDN w:val="0"/>
        <w:adjustRightInd w:val="0"/>
        <w:spacing w:line="520" w:lineRule="exact"/>
        <w:ind w:left="677" w:right="-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r>
        <w:rPr>
          <w:rFonts w:hint="eastAsia" w:ascii="仿宋" w:hAnsi="仿宋" w:eastAsia="仿宋" w:cs="仿宋"/>
          <w:color w:val="auto"/>
          <w:spacing w:val="5"/>
          <w:sz w:val="24"/>
          <w:szCs w:val="24"/>
          <w:highlight w:val="none"/>
        </w:rPr>
        <w:t>：</w:t>
      </w:r>
      <w:r>
        <w:rPr>
          <w:rFonts w:hint="eastAsia" w:ascii="仿宋" w:hAnsi="仿宋" w:eastAsia="仿宋" w:cs="仿宋"/>
          <w:color w:val="auto"/>
          <w:sz w:val="24"/>
          <w:szCs w:val="24"/>
          <w:highlight w:val="none"/>
        </w:rPr>
        <w:t>法定</w:t>
      </w:r>
      <w:r>
        <w:rPr>
          <w:rFonts w:hint="eastAsia" w:ascii="仿宋" w:hAnsi="仿宋" w:eastAsia="仿宋" w:cs="仿宋"/>
          <w:color w:val="auto"/>
          <w:spacing w:val="5"/>
          <w:sz w:val="24"/>
          <w:szCs w:val="24"/>
          <w:highlight w:val="none"/>
        </w:rPr>
        <w:t>代</w:t>
      </w:r>
      <w:r>
        <w:rPr>
          <w:rFonts w:hint="eastAsia" w:ascii="仿宋" w:hAnsi="仿宋" w:eastAsia="仿宋" w:cs="仿宋"/>
          <w:color w:val="auto"/>
          <w:sz w:val="24"/>
          <w:szCs w:val="24"/>
          <w:highlight w:val="none"/>
        </w:rPr>
        <w:t>表人</w:t>
      </w:r>
      <w:r>
        <w:rPr>
          <w:rFonts w:hint="eastAsia" w:ascii="仿宋" w:hAnsi="仿宋" w:eastAsia="仿宋" w:cs="仿宋"/>
          <w:color w:val="auto"/>
          <w:spacing w:val="5"/>
          <w:sz w:val="24"/>
          <w:szCs w:val="24"/>
          <w:highlight w:val="none"/>
        </w:rPr>
        <w:t>身</w:t>
      </w:r>
      <w:r>
        <w:rPr>
          <w:rFonts w:hint="eastAsia" w:ascii="仿宋" w:hAnsi="仿宋" w:eastAsia="仿宋" w:cs="仿宋"/>
          <w:color w:val="auto"/>
          <w:sz w:val="24"/>
          <w:szCs w:val="24"/>
          <w:highlight w:val="none"/>
        </w:rPr>
        <w:t>份证</w:t>
      </w:r>
      <w:r>
        <w:rPr>
          <w:rFonts w:hint="eastAsia" w:ascii="仿宋" w:hAnsi="仿宋" w:eastAsia="仿宋" w:cs="仿宋"/>
          <w:color w:val="auto"/>
          <w:spacing w:val="5"/>
          <w:sz w:val="24"/>
          <w:szCs w:val="24"/>
          <w:highlight w:val="none"/>
        </w:rPr>
        <w:t>复</w:t>
      </w:r>
      <w:r>
        <w:rPr>
          <w:rFonts w:hint="eastAsia" w:ascii="仿宋" w:hAnsi="仿宋" w:eastAsia="仿宋" w:cs="仿宋"/>
          <w:color w:val="auto"/>
          <w:sz w:val="24"/>
          <w:szCs w:val="24"/>
          <w:highlight w:val="none"/>
        </w:rPr>
        <w:t>印</w:t>
      </w:r>
      <w:r>
        <w:rPr>
          <w:rFonts w:hint="eastAsia" w:ascii="仿宋" w:hAnsi="仿宋" w:eastAsia="仿宋" w:cs="仿宋"/>
          <w:color w:val="auto"/>
          <w:spacing w:val="5"/>
          <w:sz w:val="24"/>
          <w:szCs w:val="24"/>
          <w:highlight w:val="none"/>
        </w:rPr>
        <w:t>件</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提供其在有效期的材料，居民身份证正、反面复印件</w:t>
      </w:r>
      <w:r>
        <w:rPr>
          <w:rFonts w:hint="eastAsia" w:ascii="仿宋" w:hAnsi="仿宋" w:eastAsia="仿宋" w:cs="仿宋"/>
          <w:bCs/>
          <w:color w:val="auto"/>
          <w:sz w:val="24"/>
          <w:szCs w:val="24"/>
          <w:highlight w:val="none"/>
        </w:rPr>
        <w:t>）</w:t>
      </w:r>
    </w:p>
    <w:p w14:paraId="012144CA">
      <w:pPr>
        <w:widowControl/>
        <w:shd w:val="clear"/>
        <w:autoSpaceDE w:val="0"/>
        <w:autoSpaceDN w:val="0"/>
        <w:adjustRightInd w:val="0"/>
        <w:spacing w:line="520" w:lineRule="exact"/>
        <w:jc w:val="left"/>
        <w:rPr>
          <w:rFonts w:hint="eastAsia" w:ascii="仿宋" w:hAnsi="仿宋" w:eastAsia="仿宋" w:cs="仿宋"/>
          <w:color w:val="auto"/>
          <w:sz w:val="24"/>
          <w:szCs w:val="24"/>
          <w:highlight w:val="none"/>
        </w:rPr>
      </w:pPr>
    </w:p>
    <w:p w14:paraId="30241971">
      <w:pPr>
        <w:widowControl/>
        <w:shd w:val="clear"/>
        <w:tabs>
          <w:tab w:val="left" w:pos="5840"/>
        </w:tabs>
        <w:autoSpaceDE w:val="0"/>
        <w:autoSpaceDN w:val="0"/>
        <w:adjustRightInd w:val="0"/>
        <w:spacing w:line="520" w:lineRule="exact"/>
        <w:ind w:right="-2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pacing w:val="5"/>
          <w:sz w:val="24"/>
          <w:szCs w:val="24"/>
          <w:highlight w:val="none"/>
        </w:rPr>
        <w:t>投标人：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rPr>
        <w:tab/>
      </w:r>
      <w:r>
        <w:rPr>
          <w:rFonts w:hint="eastAsia" w:ascii="仿宋" w:hAnsi="仿宋" w:eastAsia="仿宋" w:cs="仿宋"/>
          <w:b/>
          <w:bCs/>
          <w:color w:val="auto"/>
          <w:sz w:val="24"/>
          <w:szCs w:val="24"/>
          <w:highlight w:val="none"/>
        </w:rPr>
        <w:t xml:space="preserve"> （盖单位公章）</w:t>
      </w:r>
    </w:p>
    <w:p w14:paraId="18B97B82">
      <w:pPr>
        <w:widowControl/>
        <w:shd w:val="clear"/>
        <w:tabs>
          <w:tab w:val="left" w:pos="5840"/>
        </w:tabs>
        <w:autoSpaceDE w:val="0"/>
        <w:autoSpaceDN w:val="0"/>
        <w:adjustRightInd w:val="0"/>
        <w:spacing w:line="520" w:lineRule="exact"/>
        <w:ind w:right="-2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法定代表人签字或者加盖法定代表</w:t>
      </w:r>
      <w:r>
        <w:rPr>
          <w:rFonts w:hint="eastAsia" w:ascii="仿宋" w:hAnsi="仿宋" w:eastAsia="仿宋" w:cs="仿宋"/>
          <w:b/>
          <w:bCs/>
          <w:color w:val="auto"/>
          <w:sz w:val="24"/>
          <w:szCs w:val="24"/>
          <w:highlight w:val="none"/>
          <w:lang w:eastAsia="zh-CN"/>
        </w:rPr>
        <w:t>人印</w:t>
      </w:r>
      <w:r>
        <w:rPr>
          <w:rFonts w:hint="eastAsia" w:ascii="仿宋" w:hAnsi="仿宋" w:eastAsia="仿宋" w:cs="仿宋"/>
          <w:b/>
          <w:bCs/>
          <w:color w:val="auto"/>
          <w:sz w:val="24"/>
          <w:szCs w:val="24"/>
          <w:highlight w:val="none"/>
        </w:rPr>
        <w:t>章：</w:t>
      </w:r>
      <w:r>
        <w:rPr>
          <w:rFonts w:hint="eastAsia" w:ascii="仿宋" w:hAnsi="仿宋" w:eastAsia="仿宋" w:cs="仿宋"/>
          <w:b/>
          <w:bCs/>
          <w:color w:val="auto"/>
          <w:sz w:val="24"/>
          <w:szCs w:val="24"/>
          <w:highlight w:val="none"/>
          <w:u w:val="single"/>
        </w:rPr>
        <w:tab/>
      </w:r>
      <w:r>
        <w:rPr>
          <w:rFonts w:hint="eastAsia" w:ascii="仿宋" w:hAnsi="仿宋" w:eastAsia="仿宋" w:cs="仿宋"/>
          <w:b/>
          <w:bCs/>
          <w:color w:val="auto"/>
          <w:sz w:val="24"/>
          <w:szCs w:val="24"/>
          <w:highlight w:val="none"/>
        </w:rPr>
        <w:t>。</w:t>
      </w:r>
    </w:p>
    <w:p w14:paraId="40FCC3BE">
      <w:pPr>
        <w:widowControl/>
        <w:shd w:val="clear"/>
        <w:autoSpaceDE w:val="0"/>
        <w:autoSpaceDN w:val="0"/>
        <w:adjustRightInd w:val="0"/>
        <w:spacing w:line="520" w:lineRule="exact"/>
        <w:jc w:val="left"/>
        <w:rPr>
          <w:rFonts w:hint="eastAsia" w:ascii="仿宋" w:hAnsi="仿宋" w:eastAsia="仿宋" w:cs="仿宋"/>
          <w:b/>
          <w:bCs/>
          <w:color w:val="auto"/>
          <w:sz w:val="24"/>
          <w:szCs w:val="24"/>
          <w:highlight w:val="none"/>
        </w:rPr>
      </w:pPr>
    </w:p>
    <w:p w14:paraId="6D37881F">
      <w:pPr>
        <w:widowControl/>
        <w:shd w:val="clear"/>
        <w:tabs>
          <w:tab w:val="left" w:pos="4300"/>
          <w:tab w:val="left" w:pos="5560"/>
          <w:tab w:val="left" w:pos="6820"/>
        </w:tabs>
        <w:autoSpaceDE w:val="0"/>
        <w:autoSpaceDN w:val="0"/>
        <w:adjustRightInd w:val="0"/>
        <w:spacing w:line="520" w:lineRule="exact"/>
        <w:ind w:right="-2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pacing w:val="5"/>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日</w:t>
      </w:r>
    </w:p>
    <w:p w14:paraId="4CCECE7F">
      <w:pPr>
        <w:widowControl/>
        <w:shd w:val="clear"/>
        <w:spacing w:line="52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1335A6F">
      <w:pPr>
        <w:shd w:val="clear"/>
        <w:spacing w:line="520" w:lineRule="exact"/>
        <w:ind w:right="480"/>
        <w:jc w:val="center"/>
        <w:outlineLvl w:val="2"/>
        <w:rPr>
          <w:rFonts w:hint="eastAsia" w:ascii="仿宋" w:hAnsi="仿宋" w:eastAsia="仿宋" w:cs="仿宋"/>
          <w:color w:val="auto"/>
          <w:highlight w:val="none"/>
        </w:rPr>
      </w:pPr>
      <w:bookmarkStart w:id="171" w:name="_Toc514241830"/>
      <w:r>
        <w:rPr>
          <w:rFonts w:hint="eastAsia" w:ascii="仿宋" w:hAnsi="仿宋" w:eastAsia="仿宋" w:cs="仿宋"/>
          <w:b/>
          <w:color w:val="auto"/>
          <w:highlight w:val="none"/>
          <w:lang w:eastAsia="zh-CN"/>
        </w:rPr>
        <w:t>（</w:t>
      </w:r>
      <w:r>
        <w:rPr>
          <w:rFonts w:hint="eastAsia" w:ascii="仿宋" w:hAnsi="仿宋" w:eastAsia="仿宋" w:cs="仿宋"/>
          <w:b/>
          <w:color w:val="auto"/>
          <w:highlight w:val="none"/>
          <w:lang w:val="en-US" w:eastAsia="zh-CN"/>
        </w:rPr>
        <w:t>二</w:t>
      </w:r>
      <w:r>
        <w:rPr>
          <w:rFonts w:hint="eastAsia" w:ascii="仿宋" w:hAnsi="仿宋" w:eastAsia="仿宋" w:cs="仿宋"/>
          <w:b/>
          <w:color w:val="auto"/>
          <w:highlight w:val="none"/>
          <w:lang w:eastAsia="zh-CN"/>
        </w:rPr>
        <w:t>）</w:t>
      </w:r>
      <w:bookmarkEnd w:id="171"/>
      <w:r>
        <w:rPr>
          <w:rFonts w:hint="eastAsia" w:ascii="仿宋" w:hAnsi="仿宋" w:eastAsia="仿宋" w:cs="仿宋"/>
          <w:b/>
          <w:color w:val="auto"/>
          <w:highlight w:val="none"/>
        </w:rPr>
        <w:t>法定代表人授权</w:t>
      </w:r>
      <w:r>
        <w:rPr>
          <w:rFonts w:hint="eastAsia" w:ascii="仿宋" w:hAnsi="仿宋" w:eastAsia="仿宋" w:cs="仿宋"/>
          <w:b/>
          <w:color w:val="auto"/>
          <w:highlight w:val="none"/>
          <w:lang w:val="en-US" w:eastAsia="zh-CN"/>
        </w:rPr>
        <w:t>委托</w:t>
      </w:r>
      <w:r>
        <w:rPr>
          <w:rFonts w:hint="eastAsia" w:ascii="仿宋" w:hAnsi="仿宋" w:eastAsia="仿宋" w:cs="仿宋"/>
          <w:b/>
          <w:color w:val="auto"/>
          <w:highlight w:val="none"/>
        </w:rPr>
        <w:t>书</w:t>
      </w:r>
    </w:p>
    <w:p w14:paraId="632FE7F8">
      <w:pPr>
        <w:shd w:val="clear"/>
        <w:snapToGrid w:val="0"/>
        <w:spacing w:line="520" w:lineRule="exact"/>
        <w:rPr>
          <w:rFonts w:hint="eastAsia" w:ascii="仿宋" w:hAnsi="仿宋" w:eastAsia="仿宋" w:cs="仿宋"/>
          <w:color w:val="auto"/>
          <w:kern w:val="2"/>
          <w:sz w:val="24"/>
          <w:highlight w:val="none"/>
        </w:rPr>
      </w:pPr>
    </w:p>
    <w:p w14:paraId="782BDB0E">
      <w:pPr>
        <w:shd w:val="clear"/>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（采购代理机构）</w:t>
      </w:r>
    </w:p>
    <w:p w14:paraId="7043476E">
      <w:pPr>
        <w:keepNext w:val="0"/>
        <w:keepLines w:val="0"/>
        <w:pageBreakBefore w:val="0"/>
        <w:widowControl w:val="0"/>
        <w:shd w:val="clear"/>
        <w:kinsoku/>
        <w:wordWrap w:val="0"/>
        <w:overflowPunct/>
        <w:topLinePunct w:val="0"/>
        <w:autoSpaceDE w:val="0"/>
        <w:autoSpaceDN w:val="0"/>
        <w:bidi w:val="0"/>
        <w:adjustRightInd w:val="0"/>
        <w:snapToGrid w:val="0"/>
        <w:spacing w:line="520" w:lineRule="exact"/>
        <w:ind w:firstLine="480" w:firstLineChars="200"/>
        <w:jc w:val="lef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1"/>
          <w:highlight w:val="none"/>
        </w:rPr>
        <w:t>本授权声明：</w:t>
      </w:r>
      <w:r>
        <w:rPr>
          <w:rFonts w:hint="eastAsia" w:ascii="仿宋" w:hAnsi="仿宋" w:eastAsia="仿宋" w:cs="仿宋"/>
          <w:color w:val="auto"/>
          <w:kern w:val="2"/>
          <w:sz w:val="24"/>
          <w:szCs w:val="24"/>
          <w:highlight w:val="none"/>
          <w:u w:val="single"/>
        </w:rPr>
        <w:t>（投标人全称）</w:t>
      </w:r>
      <w:r>
        <w:rPr>
          <w:rFonts w:hint="eastAsia" w:ascii="仿宋" w:hAnsi="仿宋" w:eastAsia="仿宋" w:cs="仿宋"/>
          <w:color w:val="auto"/>
          <w:kern w:val="2"/>
          <w:sz w:val="24"/>
          <w:szCs w:val="24"/>
          <w:highlight w:val="none"/>
        </w:rPr>
        <w:t>法定代表人</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授权</w:t>
      </w:r>
      <w:r>
        <w:rPr>
          <w:rFonts w:hint="eastAsia" w:ascii="仿宋" w:hAnsi="仿宋" w:eastAsia="仿宋" w:cs="仿宋"/>
          <w:color w:val="auto"/>
          <w:kern w:val="2"/>
          <w:sz w:val="24"/>
          <w:szCs w:val="24"/>
          <w:highlight w:val="none"/>
          <w:u w:val="single"/>
        </w:rPr>
        <w:t xml:space="preserve">   （被授权人姓名、职务）</w:t>
      </w:r>
      <w:r>
        <w:rPr>
          <w:rFonts w:hint="eastAsia" w:ascii="仿宋" w:hAnsi="仿宋" w:eastAsia="仿宋" w:cs="仿宋"/>
          <w:color w:val="auto"/>
          <w:kern w:val="2"/>
          <w:sz w:val="24"/>
          <w:szCs w:val="24"/>
          <w:highlight w:val="none"/>
        </w:rPr>
        <w:t>为我方参加</w:t>
      </w:r>
      <w:r>
        <w:rPr>
          <w:rFonts w:hint="eastAsia" w:ascii="仿宋" w:hAnsi="仿宋" w:eastAsia="仿宋" w:cs="仿宋"/>
          <w:color w:val="auto"/>
          <w:kern w:val="2"/>
          <w:sz w:val="24"/>
          <w:szCs w:val="24"/>
          <w:highlight w:val="none"/>
          <w:u w:val="single"/>
          <w:lang w:eastAsia="zh-CN"/>
        </w:rPr>
        <w:t>九龙坡区公立医疗机构耗材集中遴选</w:t>
      </w:r>
      <w:r>
        <w:rPr>
          <w:rFonts w:hint="eastAsia"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u w:val="single"/>
          <w:lang w:val="en-US" w:eastAsia="zh-CN"/>
        </w:rPr>
        <w:t>项目</w:t>
      </w:r>
      <w:r>
        <w:rPr>
          <w:rFonts w:hint="eastAsia" w:ascii="仿宋" w:hAnsi="仿宋" w:eastAsia="仿宋" w:cs="仿宋"/>
          <w:color w:val="auto"/>
          <w:kern w:val="2"/>
          <w:sz w:val="24"/>
          <w:szCs w:val="24"/>
          <w:highlight w:val="none"/>
          <w:u w:val="single"/>
        </w:rPr>
        <w:t>编号：</w:t>
      </w:r>
      <w:r>
        <w:rPr>
          <w:rFonts w:hint="eastAsia" w:ascii="仿宋" w:hAnsi="仿宋" w:eastAsia="仿宋" w:cs="仿宋"/>
          <w:color w:val="auto"/>
          <w:kern w:val="2"/>
          <w:sz w:val="24"/>
          <w:szCs w:val="24"/>
          <w:highlight w:val="none"/>
          <w:u w:val="single"/>
          <w:lang w:val="en-US" w:eastAsia="zh-CN"/>
        </w:rPr>
        <w:t>YJZB25277</w:t>
      </w:r>
      <w:r>
        <w:rPr>
          <w:rFonts w:hint="eastAsia"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rPr>
        <w:t>采购活动的合法代表，以我方名义全权处理该项目有关本项目资格预审等一切事宜。本单位均予以认可并对此承担责任。授权代表无转委托权。</w:t>
      </w:r>
    </w:p>
    <w:p w14:paraId="00B53D49">
      <w:pPr>
        <w:shd w:val="clear"/>
        <w:autoSpaceDE w:val="0"/>
        <w:autoSpaceDN w:val="0"/>
        <w:adjustRightInd w:val="0"/>
        <w:snapToGrid w:val="0"/>
        <w:spacing w:line="520" w:lineRule="exact"/>
        <w:ind w:firstLine="480" w:firstLineChars="200"/>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特此授权！本授权书自出具之日起生效。</w:t>
      </w:r>
    </w:p>
    <w:p w14:paraId="5C77E0E3">
      <w:pPr>
        <w:shd w:val="clear"/>
        <w:autoSpaceDE w:val="0"/>
        <w:autoSpaceDN w:val="0"/>
        <w:adjustRightInd w:val="0"/>
        <w:snapToGrid w:val="0"/>
        <w:spacing w:line="520" w:lineRule="exact"/>
        <w:ind w:firstLine="480" w:firstLineChars="200"/>
        <w:jc w:val="left"/>
        <w:rPr>
          <w:rFonts w:hint="eastAsia" w:ascii="仿宋" w:hAnsi="仿宋" w:eastAsia="仿宋" w:cs="仿宋"/>
          <w:color w:val="auto"/>
          <w:kern w:val="2"/>
          <w:sz w:val="24"/>
          <w:szCs w:val="24"/>
          <w:highlight w:val="none"/>
        </w:rPr>
      </w:pPr>
    </w:p>
    <w:p w14:paraId="5ECAD32E">
      <w:pPr>
        <w:shd w:val="clear"/>
        <w:autoSpaceDE w:val="0"/>
        <w:autoSpaceDN w:val="0"/>
        <w:adjustRightInd w:val="0"/>
        <w:snapToGrid w:val="0"/>
        <w:spacing w:line="520" w:lineRule="exact"/>
        <w:ind w:firstLine="480" w:firstLineChars="200"/>
        <w:jc w:val="left"/>
        <w:rPr>
          <w:rFonts w:hint="eastAsia" w:ascii="仿宋" w:hAnsi="仿宋" w:eastAsia="仿宋" w:cs="仿宋"/>
          <w:color w:val="auto"/>
          <w:kern w:val="2"/>
          <w:sz w:val="24"/>
          <w:szCs w:val="24"/>
          <w:highlight w:val="none"/>
        </w:rPr>
      </w:pPr>
    </w:p>
    <w:p w14:paraId="482614C1">
      <w:pPr>
        <w:shd w:val="clear"/>
        <w:autoSpaceDE w:val="0"/>
        <w:autoSpaceDN w:val="0"/>
        <w:adjustRightInd w:val="0"/>
        <w:snapToGrid w:val="0"/>
        <w:spacing w:line="520" w:lineRule="exact"/>
        <w:ind w:firstLine="480" w:firstLineChars="200"/>
        <w:jc w:val="left"/>
        <w:rPr>
          <w:rFonts w:hint="eastAsia" w:ascii="仿宋" w:hAnsi="仿宋" w:eastAsia="仿宋" w:cs="仿宋"/>
          <w:color w:val="auto"/>
          <w:kern w:val="2"/>
          <w:sz w:val="24"/>
          <w:szCs w:val="24"/>
          <w:highlight w:val="none"/>
        </w:rPr>
      </w:pPr>
    </w:p>
    <w:p w14:paraId="7CBD1315">
      <w:pPr>
        <w:shd w:val="clea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w:t>
      </w:r>
      <w:r>
        <w:rPr>
          <w:rFonts w:hint="eastAsia" w:ascii="仿宋" w:hAnsi="仿宋" w:eastAsia="仿宋" w:cs="仿宋"/>
          <w:color w:val="auto"/>
          <w:sz w:val="24"/>
          <w:highlight w:val="none"/>
          <w:lang w:eastAsia="zh-CN"/>
        </w:rPr>
        <w:t>或加</w:t>
      </w:r>
      <w:r>
        <w:rPr>
          <w:rFonts w:hint="eastAsia" w:ascii="仿宋" w:hAnsi="仿宋" w:eastAsia="仿宋" w:cs="仿宋"/>
          <w:color w:val="auto"/>
          <w:sz w:val="24"/>
          <w:highlight w:val="none"/>
        </w:rPr>
        <w:t>盖法定代表</w:t>
      </w:r>
      <w:r>
        <w:rPr>
          <w:rFonts w:hint="eastAsia" w:ascii="仿宋" w:hAnsi="仿宋" w:eastAsia="仿宋" w:cs="仿宋"/>
          <w:color w:val="auto"/>
          <w:sz w:val="24"/>
          <w:highlight w:val="none"/>
          <w:lang w:eastAsia="zh-CN"/>
        </w:rPr>
        <w:t>人印</w:t>
      </w:r>
      <w:r>
        <w:rPr>
          <w:rFonts w:hint="eastAsia" w:ascii="仿宋" w:hAnsi="仿宋" w:eastAsia="仿宋" w:cs="仿宋"/>
          <w:color w:val="auto"/>
          <w:sz w:val="24"/>
          <w:highlight w:val="none"/>
        </w:rPr>
        <w:t>章：</w:t>
      </w:r>
    </w:p>
    <w:p w14:paraId="0890FBCC">
      <w:pPr>
        <w:shd w:val="clea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授权代表人（签字）：</w:t>
      </w:r>
    </w:p>
    <w:p w14:paraId="0EB80E2D">
      <w:pPr>
        <w:shd w:val="clear"/>
        <w:spacing w:line="52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电    话：</w:t>
      </w:r>
    </w:p>
    <w:p w14:paraId="0083033A">
      <w:pPr>
        <w:shd w:val="clea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         </w:t>
      </w:r>
      <w:r>
        <w:rPr>
          <w:rFonts w:hint="eastAsia" w:ascii="仿宋" w:hAnsi="仿宋" w:eastAsia="仿宋" w:cs="仿宋"/>
          <w:color w:val="auto"/>
          <w:sz w:val="24"/>
          <w:highlight w:val="none"/>
          <w:lang w:eastAsia="zh-CN"/>
        </w:rPr>
        <w:t>（加</w:t>
      </w:r>
      <w:r>
        <w:rPr>
          <w:rFonts w:hint="eastAsia" w:ascii="仿宋" w:hAnsi="仿宋" w:eastAsia="仿宋" w:cs="仿宋"/>
          <w:color w:val="auto"/>
          <w:sz w:val="24"/>
          <w:highlight w:val="none"/>
        </w:rPr>
        <w:t>盖单位公章）</w:t>
      </w:r>
    </w:p>
    <w:p w14:paraId="4713A13E">
      <w:pPr>
        <w:shd w:val="clea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24AE02AF">
      <w:pPr>
        <w:shd w:val="clear"/>
        <w:spacing w:line="520" w:lineRule="exact"/>
        <w:rPr>
          <w:rFonts w:hint="eastAsia" w:ascii="仿宋" w:hAnsi="仿宋" w:eastAsia="仿宋" w:cs="仿宋"/>
          <w:color w:val="auto"/>
          <w:sz w:val="24"/>
          <w:highlight w:val="none"/>
        </w:rPr>
      </w:pPr>
    </w:p>
    <w:p w14:paraId="7F1A61C9">
      <w:pPr>
        <w:shd w:val="clea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9FCD185">
      <w:pPr>
        <w:shd w:val="clear"/>
        <w:spacing w:line="520" w:lineRule="exact"/>
        <w:rPr>
          <w:rFonts w:hint="eastAsia" w:ascii="仿宋" w:hAnsi="仿宋" w:eastAsia="仿宋" w:cs="仿宋"/>
          <w:color w:val="auto"/>
          <w:sz w:val="24"/>
          <w:highlight w:val="none"/>
        </w:rPr>
      </w:pPr>
    </w:p>
    <w:p w14:paraId="66F49975">
      <w:pPr>
        <w:shd w:val="clear"/>
        <w:spacing w:line="520" w:lineRule="exact"/>
        <w:rPr>
          <w:rFonts w:hint="eastAsia" w:ascii="仿宋" w:hAnsi="仿宋" w:eastAsia="仿宋" w:cs="仿宋"/>
          <w:color w:val="auto"/>
          <w:sz w:val="24"/>
          <w:highlight w:val="none"/>
        </w:rPr>
      </w:pPr>
    </w:p>
    <w:p w14:paraId="7C9EAB10">
      <w:pPr>
        <w:shd w:val="clear"/>
        <w:spacing w:line="52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3713EC35">
      <w:pPr>
        <w:shd w:val="clear"/>
        <w:spacing w:line="52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（1）法定代表人参与资格预审</w:t>
      </w:r>
      <w:r>
        <w:rPr>
          <w:rFonts w:hint="eastAsia" w:ascii="仿宋" w:hAnsi="仿宋" w:eastAsia="仿宋" w:cs="仿宋"/>
          <w:b/>
          <w:color w:val="auto"/>
          <w:sz w:val="24"/>
          <w:highlight w:val="none"/>
          <w:lang w:val="en-US" w:eastAsia="zh-CN"/>
        </w:rPr>
        <w:t>时可不提供</w:t>
      </w:r>
      <w:r>
        <w:rPr>
          <w:rFonts w:hint="eastAsia" w:ascii="仿宋" w:hAnsi="仿宋" w:eastAsia="仿宋" w:cs="仿宋"/>
          <w:b/>
          <w:color w:val="auto"/>
          <w:sz w:val="24"/>
          <w:highlight w:val="none"/>
        </w:rPr>
        <w:t>。</w:t>
      </w:r>
    </w:p>
    <w:p w14:paraId="5E4DCFA4">
      <w:pPr>
        <w:shd w:val="clear"/>
        <w:spacing w:line="520" w:lineRule="exact"/>
        <w:rPr>
          <w:rFonts w:hint="eastAsia" w:ascii="仿宋" w:hAnsi="仿宋" w:eastAsia="仿宋" w:cs="仿宋"/>
          <w:b/>
          <w:color w:val="auto"/>
          <w:highlight w:val="none"/>
        </w:rPr>
      </w:pPr>
      <w:r>
        <w:rPr>
          <w:rFonts w:hint="eastAsia" w:ascii="仿宋" w:hAnsi="仿宋" w:eastAsia="仿宋" w:cs="仿宋"/>
          <w:b/>
          <w:color w:val="auto"/>
          <w:sz w:val="24"/>
          <w:highlight w:val="none"/>
        </w:rPr>
        <w:t>（2）附授权代</w:t>
      </w:r>
      <w:r>
        <w:rPr>
          <w:rFonts w:hint="eastAsia" w:ascii="仿宋" w:hAnsi="仿宋" w:eastAsia="仿宋" w:cs="仿宋"/>
          <w:b/>
          <w:color w:val="auto"/>
          <w:sz w:val="24"/>
          <w:highlight w:val="none"/>
          <w:lang w:eastAsia="zh-CN"/>
        </w:rPr>
        <w:t>表人</w:t>
      </w:r>
      <w:r>
        <w:rPr>
          <w:rFonts w:hint="eastAsia" w:ascii="仿宋" w:hAnsi="仿宋" w:eastAsia="仿宋" w:cs="仿宋"/>
          <w:b/>
          <w:color w:val="auto"/>
          <w:sz w:val="24"/>
          <w:highlight w:val="none"/>
        </w:rPr>
        <w:t>身份证复印件（提供其在有效期的材料，居民身份证正、反面复印件）。</w:t>
      </w:r>
    </w:p>
    <w:p w14:paraId="55B907F5">
      <w:pPr>
        <w:widowControl/>
        <w:shd w:val="clear"/>
        <w:spacing w:line="520" w:lineRule="exact"/>
        <w:jc w:val="left"/>
        <w:rPr>
          <w:rFonts w:hint="eastAsia" w:ascii="仿宋" w:hAnsi="仿宋" w:eastAsia="仿宋" w:cs="仿宋"/>
          <w:b/>
          <w:color w:val="auto"/>
          <w:spacing w:val="5"/>
          <w:sz w:val="24"/>
          <w:szCs w:val="24"/>
          <w:highlight w:val="none"/>
        </w:rPr>
      </w:pPr>
    </w:p>
    <w:p w14:paraId="4489FE0E">
      <w:pPr>
        <w:widowControl/>
        <w:shd w:val="clear"/>
        <w:spacing w:line="520" w:lineRule="exact"/>
        <w:jc w:val="left"/>
        <w:rPr>
          <w:rFonts w:hint="eastAsia" w:ascii="仿宋" w:hAnsi="仿宋" w:eastAsia="仿宋" w:cs="仿宋"/>
          <w:b/>
          <w:color w:val="auto"/>
          <w:highlight w:val="none"/>
        </w:rPr>
      </w:pPr>
      <w:r>
        <w:rPr>
          <w:rFonts w:hint="eastAsia" w:ascii="仿宋" w:hAnsi="仿宋" w:eastAsia="仿宋" w:cs="仿宋"/>
          <w:b/>
          <w:color w:val="auto"/>
          <w:spacing w:val="5"/>
          <w:sz w:val="24"/>
          <w:szCs w:val="24"/>
          <w:highlight w:val="none"/>
        </w:rPr>
        <w:br w:type="page"/>
      </w:r>
    </w:p>
    <w:p w14:paraId="772771DC">
      <w:pPr>
        <w:widowControl/>
        <w:shd w:val="clear"/>
        <w:spacing w:line="520" w:lineRule="exact"/>
        <w:jc w:val="center"/>
        <w:outlineLvl w:val="1"/>
        <w:rPr>
          <w:rFonts w:hint="eastAsia" w:ascii="仿宋" w:hAnsi="仿宋" w:eastAsia="仿宋" w:cs="仿宋"/>
          <w:b/>
          <w:color w:val="auto"/>
          <w:sz w:val="28"/>
          <w:szCs w:val="24"/>
          <w:highlight w:val="none"/>
        </w:rPr>
      </w:pPr>
      <w:r>
        <w:rPr>
          <w:rFonts w:hint="eastAsia" w:ascii="仿宋" w:hAnsi="仿宋" w:eastAsia="仿宋" w:cs="仿宋"/>
          <w:b/>
          <w:color w:val="auto"/>
          <w:sz w:val="28"/>
          <w:szCs w:val="28"/>
          <w:highlight w:val="none"/>
          <w:lang w:val="en-US" w:eastAsia="zh-CN"/>
        </w:rPr>
        <w:t>四、资格条件</w:t>
      </w:r>
      <w:r>
        <w:rPr>
          <w:rFonts w:hint="eastAsia" w:ascii="仿宋" w:hAnsi="仿宋" w:eastAsia="仿宋" w:cs="仿宋"/>
          <w:b/>
          <w:color w:val="auto"/>
          <w:sz w:val="28"/>
          <w:szCs w:val="28"/>
          <w:highlight w:val="none"/>
        </w:rPr>
        <w:t>承诺函</w:t>
      </w:r>
    </w:p>
    <w:p w14:paraId="3F812549">
      <w:pPr>
        <w:widowControl/>
        <w:shd w:val="clear"/>
        <w:tabs>
          <w:tab w:val="left" w:pos="7669"/>
        </w:tabs>
        <w:adjustRightInd w:val="0"/>
        <w:snapToGrid w:val="0"/>
        <w:spacing w:line="44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eastAsia="zh-CN"/>
        </w:rPr>
        <w:t>重庆市九龙坡区人民医院</w:t>
      </w:r>
    </w:p>
    <w:p w14:paraId="6B61DF91">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u w:val="single"/>
          <w:lang w:eastAsia="zh-CN"/>
        </w:rPr>
        <w:t>重庆亿集招标代理有限公司</w:t>
      </w:r>
    </w:p>
    <w:p w14:paraId="6990E357">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本单位作为本次采购项目的投标人，根据</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要求，现郑重承诺如下：</w:t>
      </w:r>
    </w:p>
    <w:p w14:paraId="0EEF6278">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一、具备本项目规定的条件：</w:t>
      </w:r>
    </w:p>
    <w:p w14:paraId="16143031">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在中国境内合法注册；</w:t>
      </w:r>
    </w:p>
    <w:p w14:paraId="17FEEE8D">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具有依法缴纳税收的记录；</w:t>
      </w:r>
    </w:p>
    <w:p w14:paraId="721C8127">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具有依法缴纳社会保障资金的记录；</w:t>
      </w:r>
    </w:p>
    <w:p w14:paraId="663526E8">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参加采购活动前三年内，在经营活动中没有重大违法记录；</w:t>
      </w:r>
    </w:p>
    <w:p w14:paraId="73DAC59E">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法律、行政法规规定的其他条件；</w:t>
      </w:r>
    </w:p>
    <w:p w14:paraId="4386659E">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二、完全接受和满足本项目</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中规定的实质性要求，如对</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有异议，已经在规定截止时间届满前依法进行维权救济，不存在对</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rPr>
        <w:t>有异议的同时又参加资格预审以求侥幸中标或者为实现其他非法目的的行为。</w:t>
      </w:r>
    </w:p>
    <w:p w14:paraId="35316E62">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在参加本次采购活动中，不存在与单位负责人为同一人或者存在直接控股、管理关系的其他投标人参与同一品规耗材的采购活动的行为。我方未参与本采购项目前期咨询论证，不属于禁止参加本项目资格预审和磋商的投标人和违背本项目充分、公平竞争保障措施中禁止的投标人。</w:t>
      </w:r>
    </w:p>
    <w:p w14:paraId="7CBD5C62">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、在参加本次采购活动中，不存在和其他投标人在同一品规耗材的采购项目中，同时委托同一个自然人、同一家庭的人员、同一单位的人员作为代理人的行为。</w:t>
      </w:r>
    </w:p>
    <w:p w14:paraId="59D08D55">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、本单位未</w:t>
      </w:r>
      <w:r>
        <w:rPr>
          <w:rFonts w:hint="eastAsia" w:ascii="仿宋" w:hAnsi="仿宋" w:eastAsia="仿宋" w:cs="仿宋"/>
          <w:color w:val="auto"/>
          <w:sz w:val="24"/>
          <w:szCs w:val="24"/>
          <w:highlight w:val="none"/>
          <w:lang w:eastAsia="zh-CN"/>
        </w:rPr>
        <w:t>被</w:t>
      </w:r>
      <w:r>
        <w:rPr>
          <w:rFonts w:hint="eastAsia" w:ascii="仿宋" w:hAnsi="仿宋" w:eastAsia="仿宋" w:cs="仿宋"/>
          <w:color w:val="auto"/>
          <w:sz w:val="24"/>
          <w:szCs w:val="24"/>
          <w:highlight w:val="none"/>
        </w:rPr>
        <w:t>列入按财库</w:t>
      </w:r>
      <w:r>
        <w:rPr>
          <w:rFonts w:hint="eastAsia" w:ascii="仿宋" w:hAnsi="仿宋" w:eastAsia="仿宋" w:cs="仿宋"/>
          <w:color w:val="auto"/>
          <w:sz w:val="24"/>
          <w:szCs w:val="24"/>
          <w:highlight w:val="none"/>
          <w:lang w:eastAsia="zh-CN"/>
        </w:rPr>
        <w:t>〔2016〕125号</w:t>
      </w:r>
      <w:r>
        <w:rPr>
          <w:rFonts w:hint="eastAsia" w:ascii="仿宋" w:hAnsi="仿宋" w:eastAsia="仿宋" w:cs="仿宋"/>
          <w:color w:val="auto"/>
          <w:sz w:val="24"/>
          <w:szCs w:val="24"/>
          <w:highlight w:val="none"/>
        </w:rPr>
        <w:t>规定的失信被执行人、重大税收违法案件当事人名单、政府采购严重违法失信行为记录名单及其他不符合法律法规规定条件的投标人。</w:t>
      </w:r>
    </w:p>
    <w:p w14:paraId="33452E27">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、本单位对上述承诺的内容事项真实性负责。如经查实上述承诺的内容事项存在虚假，本单位愿意接受以提供虚假材料谋取中标追究法律责任。</w:t>
      </w:r>
    </w:p>
    <w:p w14:paraId="5083AB95">
      <w:pPr>
        <w:widowControl/>
        <w:shd w:val="clear"/>
        <w:adjustRightInd w:val="0"/>
        <w:snapToGrid w:val="0"/>
        <w:spacing w:line="520" w:lineRule="exact"/>
        <w:jc w:val="left"/>
        <w:rPr>
          <w:rFonts w:hint="eastAsia" w:ascii="仿宋" w:hAnsi="仿宋" w:eastAsia="仿宋" w:cs="仿宋"/>
          <w:b/>
          <w:color w:val="auto"/>
          <w:sz w:val="21"/>
          <w:szCs w:val="21"/>
          <w:highlight w:val="none"/>
        </w:rPr>
      </w:pPr>
    </w:p>
    <w:p w14:paraId="7D7211D6">
      <w:pPr>
        <w:widowControl/>
        <w:shd w:val="clear"/>
        <w:adjustRightInd w:val="0"/>
        <w:snapToGrid w:val="0"/>
        <w:spacing w:line="52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投标人名称：        （盖章）</w:t>
      </w:r>
    </w:p>
    <w:p w14:paraId="1F60ECC6">
      <w:pPr>
        <w:widowControl/>
        <w:shd w:val="clear"/>
        <w:adjustRightInd w:val="0"/>
        <w:snapToGrid w:val="0"/>
        <w:spacing w:line="52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法定代表人或授权代表（签字）：</w:t>
      </w:r>
    </w:p>
    <w:p w14:paraId="0557A770">
      <w:pPr>
        <w:widowControl/>
        <w:shd w:val="clear"/>
        <w:adjustRightInd w:val="0"/>
        <w:snapToGrid w:val="0"/>
        <w:spacing w:line="52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日 期：</w:t>
      </w:r>
    </w:p>
    <w:p w14:paraId="4E14F48C">
      <w:pPr>
        <w:widowControl/>
        <w:shd w:val="clear"/>
        <w:spacing w:line="520" w:lineRule="exact"/>
        <w:ind w:right="48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6730CBA">
      <w:pPr>
        <w:widowControl/>
        <w:shd w:val="clear"/>
        <w:spacing w:line="520" w:lineRule="exact"/>
        <w:ind w:right="480"/>
        <w:jc w:val="center"/>
        <w:outlineLvl w:val="1"/>
        <w:rPr>
          <w:rFonts w:ascii="仿宋" w:hAnsi="仿宋" w:eastAsia="仿宋" w:cs="仿宋"/>
          <w:bCs/>
          <w:color w:val="auto"/>
          <w:sz w:val="24"/>
          <w:szCs w:val="24"/>
          <w:highlight w:val="none"/>
        </w:rPr>
      </w:pP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在中国境内合法注册的证明材料</w:t>
      </w:r>
    </w:p>
    <w:p w14:paraId="01F72C68">
      <w:pPr>
        <w:widowControl/>
        <w:shd w:val="clear"/>
        <w:tabs>
          <w:tab w:val="left" w:pos="1134"/>
        </w:tabs>
        <w:spacing w:line="52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（1）独立法人机构提供下述证明材料：</w:t>
      </w:r>
    </w:p>
    <w:p w14:paraId="097E3960">
      <w:pPr>
        <w:widowControl/>
        <w:shd w:val="clear"/>
        <w:tabs>
          <w:tab w:val="left" w:pos="1134"/>
        </w:tabs>
        <w:spacing w:line="520" w:lineRule="exact"/>
        <w:ind w:left="12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注：①投标人若为企业法人：提供“统一社会信用代码营业执照”；未换证的提供“营业执照、税务登记证、组织机构代码证或三证合一的营业执照”；</w:t>
      </w:r>
    </w:p>
    <w:p w14:paraId="33795CCC">
      <w:pPr>
        <w:widowControl/>
        <w:shd w:val="clear"/>
        <w:tabs>
          <w:tab w:val="left" w:pos="1134"/>
        </w:tabs>
        <w:spacing w:line="520" w:lineRule="exact"/>
        <w:ind w:left="12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②若为事业法人：提供“统一社会信用代码法人登记证书”；未换证的提交“事业法人登记证书、组织机构代码证”；</w:t>
      </w:r>
    </w:p>
    <w:p w14:paraId="4DAEBFA2">
      <w:pPr>
        <w:widowControl/>
        <w:shd w:val="clear"/>
        <w:tabs>
          <w:tab w:val="left" w:pos="1134"/>
        </w:tabs>
        <w:spacing w:line="520" w:lineRule="exact"/>
        <w:ind w:left="12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③若为其他组织：提供“对应主管部门颁发的准许执业证明文件或营业执照”；</w:t>
      </w:r>
    </w:p>
    <w:p w14:paraId="2EF749D3">
      <w:pPr>
        <w:widowControl/>
        <w:shd w:val="clear"/>
        <w:tabs>
          <w:tab w:val="left" w:pos="1134"/>
        </w:tabs>
        <w:spacing w:line="520" w:lineRule="exact"/>
        <w:ind w:left="12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④若为自然人：提供“身份证明材料”。以上均提供复印件。</w:t>
      </w:r>
    </w:p>
    <w:p w14:paraId="7E90E8A1">
      <w:pPr>
        <w:pStyle w:val="3"/>
        <w:shd w:val="clear"/>
        <w:spacing w:line="520" w:lineRule="exact"/>
        <w:rPr>
          <w:rFonts w:hint="eastAsia" w:ascii="仿宋" w:hAnsi="仿宋" w:eastAsia="仿宋" w:cs="仿宋"/>
          <w:color w:val="auto"/>
          <w:sz w:val="24"/>
          <w:szCs w:val="24"/>
          <w:highlight w:val="none"/>
        </w:rPr>
      </w:pPr>
      <w:r>
        <w:rPr>
          <w:rFonts w:ascii="仿宋" w:hAnsi="仿宋" w:eastAsia="仿宋" w:cs="仿宋"/>
          <w:b/>
          <w:color w:val="auto"/>
          <w:sz w:val="24"/>
          <w:szCs w:val="24"/>
          <w:highlight w:val="none"/>
        </w:rPr>
        <w:tab/>
      </w:r>
      <w:r>
        <w:rPr>
          <w:rFonts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rPr>
        <w:t>（2）非独立法人机构提供下述证明材料：</w:t>
      </w:r>
      <w:r>
        <w:rPr>
          <w:rFonts w:hint="eastAsia" w:ascii="仿宋" w:hAnsi="仿宋" w:eastAsia="仿宋" w:cs="仿宋"/>
          <w:color w:val="auto"/>
          <w:sz w:val="24"/>
          <w:szCs w:val="24"/>
          <w:highlight w:val="none"/>
        </w:rPr>
        <w:t>本项目不接受非独立法人机构参与投标。</w:t>
      </w:r>
    </w:p>
    <w:p w14:paraId="250C0C50">
      <w:pPr>
        <w:widowControl/>
        <w:shd w:val="clear"/>
        <w:tabs>
          <w:tab w:val="left" w:pos="1134"/>
        </w:tabs>
        <w:spacing w:line="520" w:lineRule="exact"/>
        <w:ind w:left="122"/>
        <w:rPr>
          <w:rFonts w:hint="eastAsia" w:ascii="仿宋" w:hAnsi="仿宋" w:eastAsia="仿宋" w:cs="仿宋"/>
          <w:b/>
          <w:bCs/>
          <w:color w:val="auto"/>
          <w:sz w:val="24"/>
          <w:szCs w:val="24"/>
          <w:highlight w:val="none"/>
          <w:lang w:eastAsia="zh-CN"/>
        </w:rPr>
      </w:pPr>
      <w:r>
        <w:rPr>
          <w:rFonts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说明：投标人营业执照或法人证书或身份证明材料住所应在中华人民共和国境内，否则不予认可</w:t>
      </w:r>
      <w:r>
        <w:rPr>
          <w:rFonts w:hint="eastAsia" w:ascii="仿宋" w:hAnsi="仿宋" w:eastAsia="仿宋" w:cs="仿宋"/>
          <w:b/>
          <w:bCs/>
          <w:color w:val="auto"/>
          <w:sz w:val="24"/>
          <w:szCs w:val="24"/>
          <w:highlight w:val="none"/>
          <w:lang w:eastAsia="zh-CN"/>
        </w:rPr>
        <w:t>。</w:t>
      </w:r>
    </w:p>
    <w:p w14:paraId="572505D5">
      <w:pPr>
        <w:shd w:val="clear"/>
        <w:spacing w:line="520" w:lineRule="exact"/>
        <w:rPr>
          <w:rFonts w:ascii="Tahoma" w:hAnsi="Tahoma"/>
          <w:color w:val="auto"/>
          <w:sz w:val="24"/>
          <w:szCs w:val="24"/>
          <w:highlight w:val="none"/>
        </w:rPr>
      </w:pPr>
      <w:r>
        <w:rPr>
          <w:rFonts w:hint="eastAsia" w:ascii="Tahoma" w:hAnsi="Tahoma"/>
          <w:color w:val="auto"/>
          <w:sz w:val="24"/>
          <w:szCs w:val="24"/>
          <w:highlight w:val="none"/>
        </w:rPr>
        <w:t xml:space="preserve"> </w:t>
      </w:r>
      <w:r>
        <w:rPr>
          <w:rFonts w:ascii="Tahoma" w:hAnsi="Tahoma"/>
          <w:color w:val="auto"/>
          <w:sz w:val="24"/>
          <w:szCs w:val="24"/>
          <w:highlight w:val="none"/>
        </w:rPr>
        <w:t xml:space="preserve"> </w:t>
      </w:r>
    </w:p>
    <w:p w14:paraId="202B4DCD">
      <w:pPr>
        <w:pStyle w:val="183"/>
        <w:keepNext w:val="0"/>
        <w:keepLines w:val="0"/>
        <w:pageBreakBefore w:val="0"/>
        <w:shd w:val="clear"/>
        <w:kinsoku/>
        <w:wordWrap/>
        <w:overflowPunct/>
        <w:topLinePunct w:val="0"/>
        <w:bidi w:val="0"/>
        <w:snapToGrid/>
        <w:spacing w:line="520" w:lineRule="exact"/>
        <w:ind w:right="0" w:firstLine="482" w:firstLineChars="200"/>
        <w:textAlignment w:val="auto"/>
        <w:rPr>
          <w:rFonts w:hint="eastAsia" w:ascii="仿宋" w:hAnsi="仿宋" w:eastAsia="仿宋" w:cs="仿宋"/>
          <w:b/>
          <w:bCs w:val="0"/>
          <w:color w:val="auto"/>
          <w:highlight w:val="none"/>
        </w:rPr>
      </w:pPr>
      <w:r>
        <w:rPr>
          <w:rFonts w:hint="eastAsia" w:ascii="仿宋" w:hAnsi="仿宋" w:eastAsia="仿宋" w:cs="仿宋"/>
          <w:b/>
          <w:bCs w:val="0"/>
          <w:color w:val="auto"/>
          <w:highlight w:val="none"/>
        </w:rPr>
        <w:t>提供有效期内的证明材料并加盖投标人公章。</w:t>
      </w:r>
    </w:p>
    <w:p w14:paraId="71403784">
      <w:pPr>
        <w:shd w:val="clear"/>
        <w:spacing w:line="520" w:lineRule="exact"/>
        <w:rPr>
          <w:rFonts w:hint="eastAsia" w:ascii="Tahoma" w:hAnsi="Tahoma"/>
          <w:color w:val="auto"/>
          <w:sz w:val="24"/>
          <w:szCs w:val="24"/>
          <w:highlight w:val="none"/>
        </w:rPr>
      </w:pPr>
    </w:p>
    <w:p w14:paraId="0A17EA11">
      <w:pPr>
        <w:pStyle w:val="3"/>
        <w:shd w:val="clear"/>
        <w:spacing w:line="520" w:lineRule="exact"/>
        <w:rPr>
          <w:rFonts w:hint="eastAsia" w:ascii="Tahoma" w:hAnsi="Tahoma"/>
          <w:color w:val="auto"/>
          <w:sz w:val="24"/>
          <w:szCs w:val="24"/>
          <w:highlight w:val="none"/>
        </w:rPr>
      </w:pPr>
      <w:r>
        <w:rPr>
          <w:rFonts w:ascii="Tahoma" w:hAnsi="Tahoma"/>
          <w:color w:val="auto"/>
          <w:sz w:val="24"/>
          <w:szCs w:val="24"/>
          <w:highlight w:val="none"/>
        </w:rPr>
        <w:br w:type="page"/>
      </w:r>
    </w:p>
    <w:p w14:paraId="72697F91">
      <w:pPr>
        <w:widowControl/>
        <w:shd w:val="clear"/>
        <w:adjustRightInd w:val="0"/>
        <w:spacing w:line="520" w:lineRule="exact"/>
        <w:jc w:val="center"/>
        <w:outlineLvl w:val="1"/>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六、特定资格条件</w:t>
      </w:r>
    </w:p>
    <w:p w14:paraId="2B224505">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）采购产品为医疗器械的，投标人须提供书面承诺，承诺交货时提供所投产品注册/备案证明材料。</w:t>
      </w:r>
    </w:p>
    <w:p w14:paraId="15D727D2">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（2）投标人为</w:t>
      </w:r>
      <w:r>
        <w:rPr>
          <w:rFonts w:hint="eastAsia" w:ascii="仿宋" w:hAnsi="仿宋" w:eastAsia="仿宋" w:cs="仿宋"/>
          <w:b/>
          <w:bCs/>
          <w:color w:val="auto"/>
          <w:sz w:val="24"/>
          <w:highlight w:val="none"/>
          <w:lang w:eastAsia="zh-CN"/>
        </w:rPr>
        <w:t>生产</w:t>
      </w:r>
      <w:r>
        <w:rPr>
          <w:rFonts w:hint="eastAsia" w:ascii="仿宋" w:hAnsi="仿宋" w:eastAsia="仿宋" w:cs="仿宋"/>
          <w:b/>
          <w:bCs/>
          <w:color w:val="auto"/>
          <w:sz w:val="24"/>
          <w:highlight w:val="none"/>
          <w:lang w:val="en-US" w:eastAsia="zh-CN"/>
        </w:rPr>
        <w:t>厂家</w:t>
      </w:r>
      <w:r>
        <w:rPr>
          <w:rFonts w:hint="eastAsia" w:ascii="仿宋" w:hAnsi="仿宋" w:eastAsia="仿宋" w:cs="仿宋"/>
          <w:color w:val="auto"/>
          <w:sz w:val="24"/>
          <w:highlight w:val="none"/>
          <w:lang w:eastAsia="zh-CN"/>
        </w:rPr>
        <w:t>，须提供医疗器械生产许可证/备案材料；</w:t>
      </w:r>
    </w:p>
    <w:p w14:paraId="38D69B80">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投标人为</w:t>
      </w:r>
      <w:r>
        <w:rPr>
          <w:rFonts w:hint="eastAsia" w:ascii="仿宋" w:hAnsi="仿宋" w:eastAsia="仿宋" w:cs="仿宋"/>
          <w:b/>
          <w:bCs/>
          <w:color w:val="auto"/>
          <w:sz w:val="24"/>
          <w:highlight w:val="none"/>
          <w:lang w:eastAsia="zh-CN"/>
        </w:rPr>
        <w:t>经销商</w:t>
      </w:r>
      <w:r>
        <w:rPr>
          <w:rFonts w:hint="eastAsia" w:ascii="仿宋" w:hAnsi="仿宋" w:eastAsia="仿宋" w:cs="仿宋"/>
          <w:color w:val="auto"/>
          <w:sz w:val="24"/>
          <w:highlight w:val="none"/>
          <w:lang w:eastAsia="zh-CN"/>
        </w:rPr>
        <w:t>，须提供医疗器械经营许可证/备案材料；</w:t>
      </w:r>
    </w:p>
    <w:p w14:paraId="3BDB3EBF">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不在《医疗器械分类目录》内的不作强行要求。</w:t>
      </w:r>
    </w:p>
    <w:p w14:paraId="74267311">
      <w:pPr>
        <w:pStyle w:val="246"/>
        <w:keepNext w:val="0"/>
        <w:keepLines w:val="0"/>
        <w:pageBreakBefore w:val="0"/>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）投标人为经销商，对所投</w:t>
      </w:r>
      <w:r>
        <w:rPr>
          <w:rFonts w:hint="eastAsia" w:ascii="仿宋" w:hAnsi="仿宋" w:eastAsia="仿宋" w:cs="仿宋"/>
          <w:color w:val="auto"/>
          <w:sz w:val="24"/>
          <w:highlight w:val="none"/>
          <w:lang w:val="en-US" w:eastAsia="zh-CN"/>
        </w:rPr>
        <w:t>耗材须</w:t>
      </w:r>
      <w:r>
        <w:rPr>
          <w:rFonts w:hint="eastAsia" w:ascii="仿宋" w:hAnsi="仿宋" w:eastAsia="仿宋" w:cs="仿宋"/>
          <w:color w:val="auto"/>
          <w:sz w:val="24"/>
          <w:highlight w:val="none"/>
          <w:lang w:eastAsia="zh-CN"/>
        </w:rPr>
        <w:t>逐项提供生产厂家出具的本项目专项授权书（每品目耗材须单独提供一份（张）授权书）（例如：若投标人同时参与5个品目耗材的投标，须在资格预审申请文件中提供5份（张）授权文件）。</w:t>
      </w:r>
    </w:p>
    <w:p w14:paraId="264606D8">
      <w:pPr>
        <w:keepNext w:val="0"/>
        <w:keepLines w:val="0"/>
        <w:pageBreakBefore w:val="0"/>
        <w:widowControl/>
        <w:shd w:val="clear"/>
        <w:kinsoku/>
        <w:wordWrap/>
        <w:overflowPunct/>
        <w:topLinePunct w:val="0"/>
        <w:bidi w:val="0"/>
        <w:snapToGrid/>
        <w:spacing w:line="520" w:lineRule="exact"/>
        <w:ind w:right="0"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说明：①专项授权书须体现授权方与被授权方信息、授权范围、项目名称。</w:t>
      </w:r>
    </w:p>
    <w:p w14:paraId="40E9DB8F">
      <w:pPr>
        <w:keepNext w:val="0"/>
        <w:keepLines w:val="0"/>
        <w:pageBreakBefore w:val="0"/>
        <w:widowControl/>
        <w:shd w:val="clear"/>
        <w:kinsoku/>
        <w:wordWrap/>
        <w:overflowPunct/>
        <w:topLinePunct w:val="0"/>
        <w:bidi w:val="0"/>
        <w:snapToGrid/>
        <w:spacing w:line="520" w:lineRule="exact"/>
        <w:ind w:right="0"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②提供伪造、变造授权文件或虚假授权材料的，一经查实将依法追究法律责任；涉嫌犯罪的，移送司法机关。</w:t>
      </w:r>
    </w:p>
    <w:p w14:paraId="68966FE1">
      <w:pPr>
        <w:pStyle w:val="2"/>
        <w:shd w:val="clear"/>
      </w:pPr>
    </w:p>
    <w:p w14:paraId="074605C4">
      <w:pPr>
        <w:pStyle w:val="183"/>
        <w:keepNext w:val="0"/>
        <w:keepLines w:val="0"/>
        <w:pageBreakBefore w:val="0"/>
        <w:shd w:val="clear"/>
        <w:kinsoku/>
        <w:wordWrap/>
        <w:overflowPunct/>
        <w:topLinePunct w:val="0"/>
        <w:bidi w:val="0"/>
        <w:snapToGrid/>
        <w:spacing w:line="520" w:lineRule="exact"/>
        <w:ind w:right="0" w:firstLine="482" w:firstLineChars="200"/>
        <w:textAlignment w:val="auto"/>
        <w:rPr>
          <w:rFonts w:hint="eastAsia" w:ascii="仿宋" w:hAnsi="仿宋" w:eastAsia="仿宋" w:cs="仿宋"/>
          <w:b/>
          <w:bCs w:val="0"/>
          <w:color w:val="auto"/>
          <w:highlight w:val="none"/>
        </w:rPr>
      </w:pPr>
      <w:r>
        <w:rPr>
          <w:rFonts w:hint="eastAsia" w:ascii="仿宋" w:hAnsi="仿宋" w:eastAsia="仿宋" w:cs="仿宋"/>
          <w:b/>
          <w:bCs w:val="0"/>
          <w:color w:val="auto"/>
          <w:highlight w:val="none"/>
        </w:rPr>
        <w:t>提供有效期内的证明材料并加盖投标人公章。</w:t>
      </w:r>
    </w:p>
    <w:p w14:paraId="42918DD2">
      <w:pPr>
        <w:widowControl/>
        <w:shd w:val="clear"/>
        <w:spacing w:line="520" w:lineRule="exact"/>
        <w:jc w:val="center"/>
        <w:outlineLvl w:val="9"/>
        <w:rPr>
          <w:rFonts w:hint="eastAsia" w:ascii="仿宋" w:hAnsi="仿宋" w:eastAsia="仿宋" w:cs="仿宋"/>
          <w:b/>
          <w:color w:val="auto"/>
          <w:sz w:val="28"/>
          <w:szCs w:val="28"/>
          <w:highlight w:val="none"/>
          <w:lang w:val="en-US" w:eastAsia="zh-CN"/>
        </w:rPr>
      </w:pPr>
    </w:p>
    <w:p w14:paraId="7F2B70E6">
      <w:pPr>
        <w:widowControl/>
        <w:shd w:val="clear"/>
        <w:spacing w:line="520" w:lineRule="exact"/>
        <w:jc w:val="center"/>
        <w:outlineLvl w:val="1"/>
        <w:rPr>
          <w:rFonts w:hint="eastAsia" w:ascii="仿宋" w:hAnsi="仿宋" w:eastAsia="仿宋" w:cs="仿宋"/>
          <w:b/>
          <w:color w:val="auto"/>
          <w:sz w:val="28"/>
          <w:szCs w:val="28"/>
          <w:highlight w:val="none"/>
          <w:lang w:val="en-US" w:eastAsia="zh-CN"/>
        </w:rPr>
        <w:sectPr>
          <w:headerReference r:id="rId5" w:type="default"/>
          <w:footerReference r:id="rId6" w:type="default"/>
          <w:pgSz w:w="11906" w:h="16838"/>
          <w:pgMar w:top="1440" w:right="1080" w:bottom="1440" w:left="1080" w:header="1077" w:footer="1020" w:gutter="0"/>
          <w:pgNumType w:start="1"/>
          <w:cols w:space="720" w:num="1"/>
          <w:docGrid w:linePitch="462" w:charSpace="0"/>
        </w:sectPr>
      </w:pPr>
      <w:r>
        <w:rPr>
          <w:rFonts w:hint="eastAsia" w:ascii="仿宋" w:hAnsi="仿宋" w:eastAsia="仿宋" w:cs="仿宋"/>
          <w:b/>
          <w:color w:val="auto"/>
          <w:sz w:val="28"/>
          <w:szCs w:val="28"/>
          <w:highlight w:val="none"/>
          <w:lang w:val="en-US" w:eastAsia="zh-CN"/>
        </w:rPr>
        <w:br w:type="page"/>
      </w:r>
    </w:p>
    <w:p w14:paraId="7422EDF1">
      <w:pPr>
        <w:widowControl/>
        <w:shd w:val="clear"/>
        <w:adjustRightInd w:val="0"/>
        <w:spacing w:line="520" w:lineRule="exact"/>
        <w:jc w:val="center"/>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七、重庆药品和医用耗材招采管理系统耗材挂网信息截图</w:t>
      </w:r>
    </w:p>
    <w:p w14:paraId="5D47A459">
      <w:pPr>
        <w:keepNext w:val="0"/>
        <w:keepLines w:val="0"/>
        <w:pageBreakBefore w:val="0"/>
        <w:widowControl w:val="0"/>
        <w:shd w:val="clear"/>
        <w:kinsoku/>
        <w:wordWrap/>
        <w:overflowPunct/>
        <w:topLinePunct w:val="0"/>
        <w:autoSpaceDE/>
        <w:autoSpaceDN/>
        <w:bidi w:val="0"/>
        <w:adjustRightInd/>
        <w:snapToGrid/>
        <w:spacing w:before="464" w:beforeLines="100" w:line="360" w:lineRule="auto"/>
        <w:textAlignment w:val="auto"/>
        <w:outlineLvl w:val="9"/>
        <w:rPr>
          <w:rFonts w:hint="default"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注：1.截图顺序按照《耗材采购清单》序号逐一排序，并列明品目序号及名称。</w:t>
      </w:r>
    </w:p>
    <w:p w14:paraId="23DF74FB">
      <w:pPr>
        <w:keepNext w:val="0"/>
        <w:keepLines w:val="0"/>
        <w:pageBreakBefore w:val="0"/>
        <w:shd w:val="clear"/>
        <w:kinsoku/>
        <w:wordWrap/>
        <w:overflowPunct/>
        <w:topLinePunct w:val="0"/>
        <w:autoSpaceDE/>
        <w:autoSpaceDN/>
        <w:bidi w:val="0"/>
        <w:adjustRightInd/>
        <w:snapToGrid/>
        <w:spacing w:line="360" w:lineRule="auto"/>
        <w:textAlignment w:val="auto"/>
        <w:outlineLvl w:val="9"/>
        <w:rPr>
          <w:rFonts w:hint="default"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2.截图必须体现耗材品名、型号规格、生产企业和挂网价。</w:t>
      </w:r>
    </w:p>
    <w:p w14:paraId="7D7B9C73">
      <w:pPr>
        <w:keepNext w:val="0"/>
        <w:keepLines w:val="0"/>
        <w:pageBreakBefore w:val="0"/>
        <w:shd w:val="clear"/>
        <w:kinsoku/>
        <w:wordWrap/>
        <w:overflowPunct/>
        <w:topLinePunct w:val="0"/>
        <w:autoSpaceDE/>
        <w:autoSpaceDN/>
        <w:bidi w:val="0"/>
        <w:adjustRightInd/>
        <w:snapToGrid/>
        <w:spacing w:line="360" w:lineRule="auto"/>
        <w:textAlignment w:val="auto"/>
        <w:outlineLvl w:val="9"/>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3.截图必须清晰可见。</w:t>
      </w:r>
    </w:p>
    <w:p w14:paraId="4E65195B">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bCs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bidi="ar-SA"/>
          <w14:textFill>
            <w14:solidFill>
              <w14:schemeClr w14:val="tx1"/>
            </w14:solidFill>
          </w14:textFill>
        </w:rPr>
        <w:t>4.若投标人未提交重庆药品和医用耗材招采管理系统耗材信息截图，则该品目按照未挂网处理，视投标人该品目的投标无效。</w:t>
      </w:r>
    </w:p>
    <w:p w14:paraId="65595EF3">
      <w:pPr>
        <w:pStyle w:val="2"/>
        <w:shd w:val="clear"/>
        <w:ind w:left="0" w:leftChars="0" w:firstLine="0" w:firstLineChars="0"/>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5.截图应体现重庆药品和医用耗材招采管理系统网站抬头。</w:t>
      </w:r>
    </w:p>
    <w:p w14:paraId="274B69E3">
      <w:pPr>
        <w:pStyle w:val="2"/>
        <w:shd w:val="clear"/>
        <w:ind w:left="0" w:leftChars="0" w:firstLine="0" w:firstLineChars="0"/>
        <w:rPr>
          <w:rFonts w:hint="default"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6.</w:t>
      </w:r>
      <w:r>
        <w:rPr>
          <w:rFonts w:hint="eastAsia" w:ascii="仿宋" w:hAnsi="仿宋" w:eastAsia="仿宋" w:cs="仿宋"/>
          <w:b w:val="0"/>
          <w:bCs/>
          <w:color w:val="auto"/>
          <w:sz w:val="24"/>
          <w:szCs w:val="24"/>
          <w:highlight w:val="none"/>
          <w:lang w:val="en-US" w:eastAsia="zh-CN" w:bidi="ar-SA"/>
        </w:rPr>
        <w:t>截图耗材品名与《耗</w:t>
      </w:r>
      <w:r>
        <w:rPr>
          <w:rFonts w:hint="eastAsia" w:ascii="仿宋" w:hAnsi="仿宋" w:eastAsia="仿宋" w:cs="仿宋"/>
          <w:bCs/>
          <w:color w:val="auto"/>
          <w:sz w:val="24"/>
          <w:szCs w:val="24"/>
          <w:highlight w:val="none"/>
          <w:lang w:val="en-US" w:eastAsia="zh-CN" w:bidi="ar-SA"/>
        </w:rPr>
        <w:t>材采购清单》中品目名称不一致的，耗材是否符合由评标委员会认定。</w:t>
      </w:r>
    </w:p>
    <w:p w14:paraId="0EB2BE88">
      <w:pPr>
        <w:pStyle w:val="2"/>
        <w:numPr>
          <w:ilvl w:val="0"/>
          <w:numId w:val="0"/>
        </w:numPr>
        <w:shd w:val="clear"/>
        <w:ind w:leftChars="0"/>
        <w:rPr>
          <w:rFonts w:hint="default"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7.截图应以下列格式标题作为抬头分别提供。(详见示例)</w:t>
      </w:r>
    </w:p>
    <w:p w14:paraId="69AAF824">
      <w:pPr>
        <w:shd w:val="clear"/>
        <w:rPr>
          <w:rFonts w:hint="default" w:ascii="仿宋" w:hAnsi="仿宋" w:eastAsia="仿宋" w:cs="仿宋"/>
          <w:bCs/>
          <w:color w:val="auto"/>
          <w:sz w:val="24"/>
          <w:szCs w:val="24"/>
          <w:highlight w:val="none"/>
          <w:lang w:val="en-US" w:eastAsia="zh-CN" w:bidi="ar-SA"/>
        </w:rPr>
      </w:pPr>
      <w:r>
        <w:rPr>
          <w:rFonts w:hint="default" w:ascii="仿宋" w:hAnsi="仿宋" w:eastAsia="仿宋" w:cs="仿宋"/>
          <w:bCs/>
          <w:color w:val="auto"/>
          <w:sz w:val="24"/>
          <w:szCs w:val="24"/>
          <w:highlight w:val="none"/>
          <w:lang w:val="en-US" w:eastAsia="zh-CN" w:bidi="ar-SA"/>
        </w:rPr>
        <w:br w:type="page"/>
      </w:r>
    </w:p>
    <w:p w14:paraId="34606060">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r>
        <w:rPr>
          <w:rFonts w:hint="eastAsia" w:ascii="仿宋" w:hAnsi="仿宋" w:eastAsia="仿宋" w:cs="仿宋"/>
          <w:bCs/>
          <w:color w:val="FF0000"/>
          <w:sz w:val="24"/>
          <w:szCs w:val="24"/>
          <w:highlight w:val="none"/>
          <w:lang w:val="en-US" w:eastAsia="zh-CN" w:bidi="ar-SA"/>
        </w:rPr>
        <w:t>示例：序号7品目：胸腹腔引流导管 截图</w:t>
      </w:r>
    </w:p>
    <w:p w14:paraId="2BA470AE">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r>
        <w:rPr>
          <w:rFonts w:hint="eastAsia" w:ascii="仿宋" w:hAnsi="仿宋" w:eastAsia="仿宋" w:cs="仿宋"/>
          <w:bCs/>
          <w:color w:val="FF0000"/>
          <w:sz w:val="24"/>
          <w:szCs w:val="24"/>
          <w:highlight w:val="none"/>
          <w:lang w:val="en-US" w:eastAsia="zh-CN" w:bidi="ar-SA"/>
        </w:rPr>
        <w:t xml:space="preserve">规格1截图：导丝导入直型 ，6Fr-16Fr各型号 </w:t>
      </w:r>
    </w:p>
    <w:p w14:paraId="0C6B9C6C">
      <w:pPr>
        <w:pStyle w:val="2"/>
        <w:numPr>
          <w:ilvl w:val="0"/>
          <w:numId w:val="0"/>
        </w:numPr>
        <w:shd w:val="clear"/>
        <w:ind w:leftChars="0"/>
        <w:rPr>
          <w:rFonts w:hint="default" w:ascii="仿宋" w:hAnsi="仿宋" w:eastAsia="仿宋" w:cs="仿宋"/>
          <w:bCs/>
          <w:color w:val="FF0000"/>
          <w:sz w:val="24"/>
          <w:szCs w:val="24"/>
          <w:highlight w:val="none"/>
          <w:lang w:val="en-US" w:eastAsia="zh-CN" w:bidi="ar-SA"/>
        </w:rPr>
      </w:pPr>
      <w:r>
        <w:rPr>
          <w:rFonts w:hint="eastAsia" w:ascii="仿宋" w:hAnsi="仿宋" w:eastAsia="仿宋" w:cs="仿宋"/>
          <w:bCs/>
          <w:color w:val="FF0000"/>
          <w:sz w:val="24"/>
          <w:szCs w:val="24"/>
          <w:highlight w:val="none"/>
          <w:lang w:val="en-US" w:eastAsia="zh-CN" w:bidi="ar-SA"/>
        </w:rPr>
        <w:t>型号1：6Fr截图</w:t>
      </w:r>
    </w:p>
    <w:p w14:paraId="0DEC047A">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356A5171">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10FDEADA">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7C59B3AE">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r>
        <w:rPr>
          <w:rFonts w:hint="eastAsia" w:ascii="仿宋" w:hAnsi="仿宋" w:eastAsia="仿宋" w:cs="仿宋"/>
          <w:bCs/>
          <w:color w:val="FF0000"/>
          <w:sz w:val="24"/>
          <w:szCs w:val="24"/>
          <w:highlight w:val="none"/>
          <w:lang w:val="en-US" w:eastAsia="zh-CN" w:bidi="ar-SA"/>
        </w:rPr>
        <w:t>型号2：8Fr截图</w:t>
      </w:r>
    </w:p>
    <w:p w14:paraId="622A56D1">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55207327">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66705384">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5CF1C435">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r>
        <w:rPr>
          <w:rFonts w:hint="eastAsia" w:ascii="仿宋" w:hAnsi="仿宋" w:eastAsia="仿宋" w:cs="仿宋"/>
          <w:bCs/>
          <w:color w:val="FF0000"/>
          <w:sz w:val="24"/>
          <w:szCs w:val="24"/>
          <w:highlight w:val="none"/>
          <w:lang w:val="en-US" w:eastAsia="zh-CN" w:bidi="ar-SA"/>
        </w:rPr>
        <w:t>型号3：10Fr截图</w:t>
      </w:r>
    </w:p>
    <w:p w14:paraId="7CF28F22">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3167C5C1">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7CBEB1DC">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52059FA5">
      <w:pPr>
        <w:shd w:val="clear"/>
        <w:rPr>
          <w:rFonts w:hint="eastAsia" w:ascii="仿宋" w:hAnsi="仿宋" w:eastAsia="仿宋" w:cs="仿宋"/>
          <w:bCs/>
          <w:color w:val="FF0000"/>
          <w:sz w:val="24"/>
          <w:szCs w:val="24"/>
          <w:highlight w:val="none"/>
          <w:lang w:val="en-US" w:eastAsia="zh-CN" w:bidi="ar-SA"/>
        </w:rPr>
      </w:pPr>
      <w:r>
        <w:rPr>
          <w:rFonts w:hint="eastAsia" w:ascii="仿宋" w:hAnsi="仿宋" w:eastAsia="仿宋" w:cs="仿宋"/>
          <w:bCs/>
          <w:color w:val="FF0000"/>
          <w:sz w:val="24"/>
          <w:szCs w:val="24"/>
          <w:highlight w:val="none"/>
          <w:lang w:val="en-US" w:eastAsia="zh-CN" w:bidi="ar-SA"/>
        </w:rPr>
        <w:br w:type="page"/>
      </w:r>
    </w:p>
    <w:p w14:paraId="74BECEA7">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r>
        <w:rPr>
          <w:rFonts w:hint="eastAsia" w:ascii="仿宋" w:hAnsi="仿宋" w:eastAsia="仿宋" w:cs="仿宋"/>
          <w:bCs/>
          <w:color w:val="FF0000"/>
          <w:sz w:val="24"/>
          <w:szCs w:val="24"/>
          <w:highlight w:val="none"/>
          <w:lang w:val="en-US" w:eastAsia="zh-CN" w:bidi="ar-SA"/>
        </w:rPr>
        <w:t>规格2截图：直型，6Fr-34Fr各型号</w:t>
      </w:r>
    </w:p>
    <w:p w14:paraId="0CF1A147">
      <w:pPr>
        <w:pStyle w:val="2"/>
        <w:numPr>
          <w:ilvl w:val="0"/>
          <w:numId w:val="0"/>
        </w:numPr>
        <w:shd w:val="clear"/>
        <w:ind w:leftChars="0"/>
        <w:rPr>
          <w:rFonts w:hint="default" w:ascii="仿宋" w:hAnsi="仿宋" w:eastAsia="仿宋" w:cs="仿宋"/>
          <w:bCs/>
          <w:color w:val="FF0000"/>
          <w:sz w:val="24"/>
          <w:szCs w:val="24"/>
          <w:highlight w:val="none"/>
          <w:lang w:val="en-US" w:eastAsia="zh-CN" w:bidi="ar-SA"/>
        </w:rPr>
      </w:pPr>
      <w:r>
        <w:rPr>
          <w:rFonts w:hint="eastAsia" w:ascii="仿宋" w:hAnsi="仿宋" w:eastAsia="仿宋" w:cs="仿宋"/>
          <w:bCs/>
          <w:color w:val="FF0000"/>
          <w:sz w:val="24"/>
          <w:szCs w:val="24"/>
          <w:highlight w:val="none"/>
          <w:lang w:val="en-US" w:eastAsia="zh-CN" w:bidi="ar-SA"/>
        </w:rPr>
        <w:t>型号1：6Fr截图</w:t>
      </w:r>
    </w:p>
    <w:p w14:paraId="71C00E49">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7793978E">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r>
        <w:rPr>
          <w:rFonts w:hint="eastAsia" w:ascii="仿宋" w:hAnsi="仿宋" w:eastAsia="仿宋" w:cs="仿宋"/>
          <w:bCs/>
          <w:color w:val="FF0000"/>
          <w:sz w:val="24"/>
          <w:szCs w:val="24"/>
          <w:highlight w:val="none"/>
          <w:lang w:val="en-US" w:eastAsia="zh-CN" w:bidi="ar-SA"/>
        </w:rPr>
        <w:t>型号2：8Fr截图</w:t>
      </w:r>
    </w:p>
    <w:p w14:paraId="5FF9F540">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373EAB4A">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r>
        <w:rPr>
          <w:rFonts w:hint="eastAsia" w:ascii="仿宋" w:hAnsi="仿宋" w:eastAsia="仿宋" w:cs="仿宋"/>
          <w:bCs/>
          <w:color w:val="FF0000"/>
          <w:sz w:val="24"/>
          <w:szCs w:val="24"/>
          <w:highlight w:val="none"/>
          <w:lang w:val="en-US" w:eastAsia="zh-CN" w:bidi="ar-SA"/>
        </w:rPr>
        <w:t>型号3：10Fr截图</w:t>
      </w:r>
    </w:p>
    <w:p w14:paraId="6186752D">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r>
        <w:rPr>
          <w:rFonts w:hint="eastAsia" w:ascii="仿宋" w:hAnsi="仿宋" w:eastAsia="仿宋" w:cs="仿宋"/>
          <w:bCs/>
          <w:color w:val="FF0000"/>
          <w:sz w:val="24"/>
          <w:szCs w:val="24"/>
          <w:highlight w:val="none"/>
          <w:lang w:val="en-US" w:eastAsia="zh-CN" w:bidi="ar-SA"/>
        </w:rPr>
        <w:t>...</w:t>
      </w:r>
    </w:p>
    <w:p w14:paraId="0F3FDC5B">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681F444F">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r>
        <w:rPr>
          <w:rFonts w:hint="eastAsia" w:ascii="仿宋" w:hAnsi="仿宋" w:eastAsia="仿宋" w:cs="仿宋"/>
          <w:bCs/>
          <w:color w:val="FF0000"/>
          <w:sz w:val="24"/>
          <w:szCs w:val="24"/>
          <w:highlight w:val="none"/>
          <w:lang w:val="en-US" w:eastAsia="zh-CN" w:bidi="ar-SA"/>
        </w:rPr>
        <w:t>型号X：34Fr截图</w:t>
      </w:r>
    </w:p>
    <w:p w14:paraId="296DFBE0">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3F84DDDC">
      <w:pPr>
        <w:pStyle w:val="2"/>
        <w:numPr>
          <w:ilvl w:val="0"/>
          <w:numId w:val="0"/>
        </w:numPr>
        <w:shd w:val="clear"/>
        <w:ind w:leftChars="0"/>
        <w:rPr>
          <w:rFonts w:hint="default" w:ascii="仿宋" w:hAnsi="仿宋" w:eastAsia="仿宋" w:cs="仿宋"/>
          <w:bCs/>
          <w:color w:val="FF0000"/>
          <w:sz w:val="24"/>
          <w:szCs w:val="24"/>
          <w:highlight w:val="none"/>
          <w:lang w:val="en-US" w:eastAsia="zh-CN" w:bidi="ar-SA"/>
        </w:rPr>
      </w:pPr>
    </w:p>
    <w:p w14:paraId="501DC27D">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0F159959">
      <w:pPr>
        <w:pStyle w:val="2"/>
        <w:numPr>
          <w:ilvl w:val="0"/>
          <w:numId w:val="0"/>
        </w:numPr>
        <w:shd w:val="clear"/>
        <w:ind w:leftChars="0"/>
        <w:rPr>
          <w:rFonts w:hint="eastAsia" w:ascii="仿宋" w:hAnsi="仿宋" w:eastAsia="仿宋" w:cs="仿宋"/>
          <w:bCs/>
          <w:color w:val="FF0000"/>
          <w:sz w:val="24"/>
          <w:szCs w:val="24"/>
          <w:highlight w:val="none"/>
          <w:lang w:val="en-US" w:eastAsia="zh-CN" w:bidi="ar-SA"/>
        </w:rPr>
      </w:pPr>
    </w:p>
    <w:p w14:paraId="22D3D086">
      <w:pPr>
        <w:pStyle w:val="2"/>
        <w:numPr>
          <w:ilvl w:val="0"/>
          <w:numId w:val="0"/>
        </w:numPr>
        <w:shd w:val="clear"/>
        <w:ind w:leftChars="0"/>
        <w:rPr>
          <w:rFonts w:hint="default" w:ascii="仿宋" w:hAnsi="仿宋" w:eastAsia="仿宋" w:cs="仿宋"/>
          <w:bCs/>
          <w:color w:val="FF0000"/>
          <w:sz w:val="24"/>
          <w:szCs w:val="24"/>
          <w:highlight w:val="none"/>
          <w:lang w:val="en-US" w:eastAsia="zh-CN" w:bidi="ar-SA"/>
        </w:rPr>
      </w:pPr>
    </w:p>
    <w:p w14:paraId="7CEF5CE7">
      <w:pPr>
        <w:pStyle w:val="2"/>
        <w:numPr>
          <w:ilvl w:val="0"/>
          <w:numId w:val="0"/>
        </w:numPr>
        <w:shd w:val="clear"/>
        <w:ind w:leftChars="0"/>
        <w:rPr>
          <w:rFonts w:hint="default" w:ascii="仿宋" w:hAnsi="仿宋" w:eastAsia="仿宋" w:cs="仿宋"/>
          <w:bCs/>
          <w:color w:val="FF0000"/>
          <w:sz w:val="24"/>
          <w:szCs w:val="24"/>
          <w:highlight w:val="none"/>
          <w:lang w:val="en-US" w:eastAsia="zh-CN" w:bidi="ar-SA"/>
        </w:rPr>
      </w:pPr>
    </w:p>
    <w:p w14:paraId="375F0DFA">
      <w:pPr>
        <w:pStyle w:val="2"/>
        <w:numPr>
          <w:ilvl w:val="0"/>
          <w:numId w:val="0"/>
        </w:numPr>
        <w:shd w:val="clear"/>
        <w:ind w:leftChars="0"/>
        <w:rPr>
          <w:rFonts w:hint="default" w:ascii="仿宋" w:hAnsi="仿宋" w:eastAsia="仿宋" w:cs="仿宋"/>
          <w:bCs/>
          <w:color w:val="FF0000"/>
          <w:sz w:val="24"/>
          <w:szCs w:val="24"/>
          <w:highlight w:val="none"/>
          <w:lang w:val="en-US" w:eastAsia="zh-CN" w:bidi="ar-SA"/>
        </w:rPr>
      </w:pPr>
    </w:p>
    <w:p w14:paraId="4E5B3297">
      <w:pPr>
        <w:pStyle w:val="2"/>
        <w:numPr>
          <w:ilvl w:val="0"/>
          <w:numId w:val="0"/>
        </w:numPr>
        <w:shd w:val="clear"/>
        <w:ind w:leftChars="0"/>
        <w:rPr>
          <w:rFonts w:hint="default" w:ascii="仿宋" w:hAnsi="仿宋" w:eastAsia="仿宋" w:cs="仿宋"/>
          <w:bCs/>
          <w:color w:val="FF0000"/>
          <w:sz w:val="24"/>
          <w:szCs w:val="24"/>
          <w:highlight w:val="none"/>
          <w:lang w:val="en-US" w:eastAsia="zh-CN" w:bidi="ar-SA"/>
        </w:rPr>
      </w:pPr>
    </w:p>
    <w:p w14:paraId="7C9815F8">
      <w:pPr>
        <w:pStyle w:val="2"/>
        <w:numPr>
          <w:ilvl w:val="0"/>
          <w:numId w:val="0"/>
        </w:numPr>
        <w:shd w:val="clear"/>
        <w:ind w:leftChars="0"/>
        <w:rPr>
          <w:rFonts w:hint="default" w:ascii="仿宋" w:hAnsi="仿宋" w:eastAsia="仿宋" w:cs="仿宋"/>
          <w:bCs/>
          <w:color w:val="FF0000"/>
          <w:sz w:val="24"/>
          <w:szCs w:val="24"/>
          <w:highlight w:val="none"/>
          <w:lang w:val="en-US" w:eastAsia="zh-CN" w:bidi="ar-SA"/>
        </w:rPr>
        <w:sectPr>
          <w:pgSz w:w="11906" w:h="16838"/>
          <w:pgMar w:top="1440" w:right="1080" w:bottom="1440" w:left="1080" w:header="1134" w:footer="1020" w:gutter="0"/>
          <w:cols w:space="720" w:num="1"/>
          <w:docGrid w:linePitch="462" w:charSpace="0"/>
        </w:sectPr>
      </w:pPr>
    </w:p>
    <w:p w14:paraId="31C06E61">
      <w:pPr>
        <w:widowControl/>
        <w:shd w:val="clear"/>
        <w:spacing w:line="520" w:lineRule="exact"/>
        <w:jc w:val="center"/>
        <w:outlineLvl w:val="1"/>
        <w:rPr>
          <w:rFonts w:hint="eastAsia" w:ascii="仿宋" w:hAnsi="仿宋" w:eastAsia="仿宋" w:cs="仿宋"/>
          <w:b/>
          <w:color w:val="auto"/>
          <w:sz w:val="28"/>
          <w:szCs w:val="24"/>
          <w:highlight w:val="none"/>
        </w:rPr>
      </w:pPr>
      <w:r>
        <w:rPr>
          <w:rFonts w:hint="eastAsia" w:ascii="仿宋" w:hAnsi="仿宋" w:eastAsia="仿宋" w:cs="仿宋"/>
          <w:b/>
          <w:color w:val="auto"/>
          <w:sz w:val="28"/>
          <w:szCs w:val="28"/>
          <w:highlight w:val="none"/>
          <w:lang w:val="en-US" w:eastAsia="zh-CN"/>
        </w:rPr>
        <w:t>八、报价及样品</w:t>
      </w:r>
      <w:r>
        <w:rPr>
          <w:rFonts w:hint="eastAsia" w:ascii="仿宋" w:hAnsi="仿宋" w:eastAsia="仿宋" w:cs="仿宋"/>
          <w:b/>
          <w:color w:val="auto"/>
          <w:sz w:val="28"/>
          <w:szCs w:val="28"/>
          <w:highlight w:val="none"/>
        </w:rPr>
        <w:t>承诺函</w:t>
      </w:r>
    </w:p>
    <w:p w14:paraId="2B483395">
      <w:pPr>
        <w:widowControl/>
        <w:shd w:val="clear"/>
        <w:tabs>
          <w:tab w:val="left" w:pos="7669"/>
        </w:tabs>
        <w:adjustRightInd w:val="0"/>
        <w:snapToGrid w:val="0"/>
        <w:spacing w:line="44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重庆市九龙坡区人民医院</w:t>
      </w:r>
    </w:p>
    <w:p w14:paraId="561F0C30">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重庆亿集招标代理有限公司</w:t>
      </w:r>
    </w:p>
    <w:p w14:paraId="2E362D72">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本单位作为本次采购项目的投标人，根据</w:t>
      </w:r>
      <w:r>
        <w:rPr>
          <w:rFonts w:hint="eastAsia" w:ascii="仿宋" w:hAnsi="仿宋" w:eastAsia="仿宋" w:cs="仿宋"/>
          <w:color w:val="auto"/>
          <w:sz w:val="24"/>
          <w:szCs w:val="24"/>
          <w:highlight w:val="none"/>
          <w:lang w:eastAsia="zh-CN"/>
        </w:rPr>
        <w:t>资格预审文件</w:t>
      </w:r>
      <w:r>
        <w:rPr>
          <w:rFonts w:hint="eastAsia" w:ascii="仿宋" w:hAnsi="仿宋" w:eastAsia="仿宋" w:cs="仿宋"/>
          <w:color w:val="auto"/>
          <w:sz w:val="24"/>
          <w:szCs w:val="24"/>
          <w:highlight w:val="none"/>
          <w:lang w:val="en-US" w:eastAsia="zh-CN"/>
        </w:rPr>
        <w:t>的报价及样品</w:t>
      </w:r>
      <w:r>
        <w:rPr>
          <w:rFonts w:hint="eastAsia" w:ascii="仿宋" w:hAnsi="仿宋" w:eastAsia="仿宋" w:cs="仿宋"/>
          <w:color w:val="auto"/>
          <w:sz w:val="24"/>
          <w:szCs w:val="24"/>
          <w:highlight w:val="none"/>
        </w:rPr>
        <w:t>要求，现郑重承诺如下：</w:t>
      </w:r>
    </w:p>
    <w:p w14:paraId="0F08376F">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本单位所投产品第一轮</w:t>
      </w:r>
      <w:r>
        <w:rPr>
          <w:rFonts w:hint="eastAsia" w:ascii="仿宋" w:hAnsi="仿宋" w:eastAsia="仿宋" w:cs="仿宋"/>
          <w:color w:val="auto"/>
          <w:sz w:val="24"/>
          <w:szCs w:val="24"/>
          <w:highlight w:val="none"/>
          <w:lang w:val="en-US" w:eastAsia="zh-CN"/>
        </w:rPr>
        <w:t>单价</w:t>
      </w:r>
      <w:r>
        <w:rPr>
          <w:rFonts w:hint="eastAsia" w:ascii="仿宋" w:hAnsi="仿宋" w:eastAsia="仿宋" w:cs="仿宋"/>
          <w:color w:val="auto"/>
          <w:sz w:val="24"/>
          <w:szCs w:val="24"/>
          <w:highlight w:val="none"/>
        </w:rPr>
        <w:t>报价不高于</w:t>
      </w:r>
      <w:r>
        <w:rPr>
          <w:rFonts w:hint="eastAsia" w:ascii="仿宋" w:hAnsi="仿宋" w:eastAsia="仿宋" w:cs="仿宋"/>
          <w:color w:val="auto"/>
          <w:sz w:val="24"/>
          <w:szCs w:val="24"/>
          <w:highlight w:val="none"/>
          <w:lang w:eastAsia="zh-CN"/>
        </w:rPr>
        <w:t>重庆药品和医用耗材招采管理系统挂网价</w:t>
      </w:r>
      <w:r>
        <w:rPr>
          <w:rFonts w:hint="eastAsia" w:ascii="仿宋" w:hAnsi="仿宋" w:eastAsia="仿宋" w:cs="仿宋"/>
          <w:color w:val="auto"/>
          <w:sz w:val="24"/>
          <w:szCs w:val="24"/>
          <w:highlight w:val="none"/>
        </w:rPr>
        <w:t>。</w:t>
      </w:r>
    </w:p>
    <w:p w14:paraId="017348EB">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2.若我单位中标，后续实际供货的产品质量、技术规格、包装规范与本次递交的样品一致。</w:t>
      </w:r>
    </w:p>
    <w:p w14:paraId="368B85D0">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3.本单位所投产品满足各医疗机构在重庆药品和医用耗材招采管理系统正常实行线上采购。</w:t>
      </w:r>
    </w:p>
    <w:p w14:paraId="1C13ED2D">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4.……（投标人自行填写其他相关承诺）</w:t>
      </w:r>
    </w:p>
    <w:p w14:paraId="65467298">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4"/>
          <w:szCs w:val="24"/>
          <w:highlight w:val="none"/>
        </w:rPr>
      </w:pPr>
    </w:p>
    <w:p w14:paraId="087BD2CC">
      <w:pPr>
        <w:widowControl/>
        <w:shd w:val="clear"/>
        <w:tabs>
          <w:tab w:val="left" w:pos="7669"/>
        </w:tabs>
        <w:adjustRightInd w:val="0"/>
        <w:snapToGrid w:val="0"/>
        <w:spacing w:line="440" w:lineRule="exact"/>
        <w:ind w:firstLine="48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rPr>
        <w:t>本单位对上述承诺的内容事项真实性负责。如经查实上述承诺的内容事项存在虚假，本单位愿意接受以提供虚假材料谋取中标追究法律责任。</w:t>
      </w:r>
    </w:p>
    <w:p w14:paraId="0D794CA3">
      <w:pPr>
        <w:widowControl/>
        <w:shd w:val="clear"/>
        <w:adjustRightInd w:val="0"/>
        <w:snapToGrid w:val="0"/>
        <w:spacing w:line="520" w:lineRule="exact"/>
        <w:jc w:val="left"/>
        <w:rPr>
          <w:rFonts w:hint="eastAsia" w:ascii="仿宋" w:hAnsi="仿宋" w:eastAsia="仿宋" w:cs="仿宋"/>
          <w:b/>
          <w:color w:val="auto"/>
          <w:sz w:val="21"/>
          <w:szCs w:val="21"/>
          <w:highlight w:val="none"/>
        </w:rPr>
      </w:pPr>
    </w:p>
    <w:p w14:paraId="1D48D250">
      <w:pPr>
        <w:widowControl/>
        <w:shd w:val="clear"/>
        <w:adjustRightInd w:val="0"/>
        <w:snapToGrid w:val="0"/>
        <w:spacing w:line="520" w:lineRule="exact"/>
        <w:jc w:val="left"/>
        <w:rPr>
          <w:rFonts w:hint="eastAsia" w:ascii="仿宋" w:hAnsi="仿宋" w:eastAsia="仿宋" w:cs="仿宋"/>
          <w:b/>
          <w:color w:val="auto"/>
          <w:sz w:val="21"/>
          <w:szCs w:val="21"/>
          <w:highlight w:val="none"/>
        </w:rPr>
      </w:pPr>
    </w:p>
    <w:p w14:paraId="1356162D">
      <w:pPr>
        <w:widowControl/>
        <w:shd w:val="clear"/>
        <w:adjustRightInd w:val="0"/>
        <w:snapToGrid w:val="0"/>
        <w:spacing w:line="520" w:lineRule="exact"/>
        <w:jc w:val="left"/>
        <w:rPr>
          <w:rFonts w:hint="eastAsia" w:ascii="仿宋" w:hAnsi="仿宋" w:eastAsia="仿宋" w:cs="仿宋"/>
          <w:b/>
          <w:color w:val="auto"/>
          <w:sz w:val="21"/>
          <w:szCs w:val="21"/>
          <w:highlight w:val="none"/>
        </w:rPr>
      </w:pPr>
    </w:p>
    <w:p w14:paraId="6598F65A">
      <w:pPr>
        <w:widowControl/>
        <w:shd w:val="clear"/>
        <w:adjustRightInd w:val="0"/>
        <w:snapToGrid w:val="0"/>
        <w:spacing w:line="52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投标人名称：        （盖章）</w:t>
      </w:r>
    </w:p>
    <w:p w14:paraId="40CA57A9">
      <w:pPr>
        <w:widowControl/>
        <w:shd w:val="clear"/>
        <w:adjustRightInd w:val="0"/>
        <w:snapToGrid w:val="0"/>
        <w:spacing w:line="52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法定代表人或授权代表（签字）：</w:t>
      </w:r>
    </w:p>
    <w:p w14:paraId="0BADFFBA">
      <w:pPr>
        <w:widowControl/>
        <w:shd w:val="clear"/>
        <w:adjustRightInd w:val="0"/>
        <w:snapToGrid w:val="0"/>
        <w:spacing w:line="52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日 期：</w:t>
      </w:r>
    </w:p>
    <w:p w14:paraId="25625C84">
      <w:pPr>
        <w:widowControl/>
        <w:shd w:val="clear"/>
        <w:spacing w:line="520" w:lineRule="exact"/>
        <w:ind w:right="480"/>
        <w:jc w:val="left"/>
        <w:rPr>
          <w:rFonts w:hint="eastAsia" w:ascii="仿宋" w:hAnsi="仿宋" w:eastAsia="仿宋" w:cs="仿宋"/>
          <w:b/>
          <w:color w:val="auto"/>
          <w:sz w:val="24"/>
          <w:szCs w:val="24"/>
          <w:highlight w:val="none"/>
          <w:lang w:eastAsia="zh-CN"/>
        </w:rPr>
      </w:pPr>
    </w:p>
    <w:p w14:paraId="06775B34">
      <w:pPr>
        <w:pStyle w:val="183"/>
        <w:shd w:val="clear"/>
        <w:spacing w:line="520" w:lineRule="exact"/>
        <w:outlineLvl w:val="1"/>
        <w:rPr>
          <w:rFonts w:hint="default" w:ascii="仿宋" w:hAnsi="仿宋" w:eastAsia="仿宋" w:cs="仿宋"/>
          <w:bCs/>
          <w:color w:val="auto"/>
          <w:highlight w:val="none"/>
          <w:lang w:val="en-US"/>
        </w:rPr>
      </w:pPr>
      <w:r>
        <w:rPr>
          <w:rFonts w:hint="eastAsia" w:ascii="仿宋" w:hAnsi="仿宋" w:eastAsia="仿宋" w:cs="仿宋"/>
          <w:b/>
          <w:color w:val="auto"/>
          <w:sz w:val="28"/>
          <w:szCs w:val="28"/>
          <w:highlight w:val="none"/>
          <w:lang w:val="en-US" w:eastAsia="zh-CN"/>
        </w:rPr>
        <w:br w:type="page"/>
      </w:r>
      <w:r>
        <w:rPr>
          <w:rFonts w:hint="eastAsia" w:ascii="仿宋" w:hAnsi="仿宋" w:eastAsia="仿宋" w:cs="仿宋"/>
          <w:b/>
          <w:color w:val="auto"/>
          <w:sz w:val="28"/>
          <w:szCs w:val="28"/>
          <w:highlight w:val="none"/>
          <w:lang w:val="en-US" w:eastAsia="zh-CN"/>
        </w:rPr>
        <w:t>九、</w:t>
      </w:r>
      <w:bookmarkEnd w:id="149"/>
      <w:bookmarkEnd w:id="150"/>
      <w:bookmarkEnd w:id="170"/>
      <w:bookmarkStart w:id="172" w:name="_Toc439102005"/>
      <w:bookmarkStart w:id="173" w:name="_Toc30055"/>
      <w:r>
        <w:rPr>
          <w:rFonts w:hint="eastAsia" w:ascii="仿宋" w:hAnsi="仿宋" w:eastAsia="仿宋" w:cs="仿宋"/>
          <w:b/>
          <w:color w:val="auto"/>
          <w:sz w:val="28"/>
          <w:szCs w:val="28"/>
          <w:highlight w:val="none"/>
          <w:lang w:val="en-US" w:eastAsia="zh-CN"/>
        </w:rPr>
        <w:t>保证金缴纳凭证</w:t>
      </w:r>
    </w:p>
    <w:p w14:paraId="4F4C57E0">
      <w:pPr>
        <w:widowControl/>
        <w:shd w:val="clear"/>
        <w:spacing w:line="520" w:lineRule="exact"/>
        <w:ind w:right="480"/>
        <w:jc w:val="left"/>
        <w:outlineLvl w:val="1"/>
        <w:rPr>
          <w:rFonts w:hint="default" w:ascii="仿宋" w:hAnsi="仿宋" w:eastAsia="仿宋" w:cs="仿宋"/>
          <w:color w:val="auto"/>
          <w:sz w:val="30"/>
          <w:szCs w:val="30"/>
          <w:highlight w:val="none"/>
          <w:lang w:val="en-US"/>
        </w:rPr>
      </w:pPr>
      <w:r>
        <w:rPr>
          <w:rFonts w:hint="eastAsia" w:ascii="仿宋" w:hAnsi="仿宋" w:eastAsia="仿宋" w:cs="仿宋"/>
          <w:bCs/>
          <w:color w:val="auto"/>
          <w:sz w:val="24"/>
          <w:szCs w:val="24"/>
          <w:highlight w:val="none"/>
        </w:rPr>
        <w:br w:type="page"/>
      </w:r>
      <w:r>
        <w:rPr>
          <w:rFonts w:hint="eastAsia" w:ascii="仿宋" w:hAnsi="仿宋" w:eastAsia="仿宋" w:cs="仿宋"/>
          <w:b/>
          <w:color w:val="auto"/>
          <w:sz w:val="28"/>
          <w:szCs w:val="28"/>
          <w:highlight w:val="none"/>
          <w:lang w:val="en-US" w:eastAsia="zh-CN"/>
        </w:rPr>
        <w:t>十、第一轮报价</w:t>
      </w:r>
    </w:p>
    <w:bookmarkEnd w:id="172"/>
    <w:bookmarkEnd w:id="173"/>
    <w:p w14:paraId="49A16056">
      <w:pPr>
        <w:widowControl/>
        <w:shd w:val="clear"/>
        <w:spacing w:line="520" w:lineRule="exact"/>
        <w:ind w:right="480"/>
        <w:jc w:val="left"/>
        <w:rPr>
          <w:rFonts w:hint="eastAsia" w:ascii="仿宋" w:hAnsi="仿宋" w:eastAsia="仿宋" w:cs="仿宋"/>
          <w:b/>
          <w:color w:val="auto"/>
          <w:sz w:val="24"/>
          <w:szCs w:val="24"/>
          <w:highlight w:val="none"/>
        </w:rPr>
      </w:pPr>
      <w:bookmarkStart w:id="174" w:name="_Toc1645"/>
      <w:bookmarkStart w:id="175" w:name="_Toc11222"/>
    </w:p>
    <w:p w14:paraId="6C16E8BA">
      <w:pPr>
        <w:shd w:val="clear"/>
        <w:spacing w:line="520" w:lineRule="exact"/>
        <w:jc w:val="left"/>
        <w:rPr>
          <w:rFonts w:hint="eastAsia" w:ascii="仿宋" w:hAnsi="仿宋" w:eastAsia="仿宋" w:cs="仿宋"/>
          <w:b/>
          <w:color w:val="auto"/>
          <w:sz w:val="24"/>
          <w:szCs w:val="24"/>
          <w:highlight w:val="none"/>
        </w:rPr>
      </w:pPr>
    </w:p>
    <w:p w14:paraId="208D7CF4">
      <w:pPr>
        <w:shd w:val="clear"/>
        <w:spacing w:line="52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14:paraId="32D07B1E">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default" w:ascii="仿宋" w:hAnsi="仿宋" w:eastAsia="仿宋" w:cs="仿宋"/>
          <w:b/>
          <w:color w:val="FF0000"/>
          <w:sz w:val="24"/>
          <w:szCs w:val="24"/>
          <w:highlight w:val="none"/>
          <w:lang w:val="en-US" w:eastAsia="zh-CN"/>
        </w:rPr>
      </w:pPr>
      <w:r>
        <w:rPr>
          <w:rFonts w:hint="eastAsia" w:ascii="仿宋" w:hAnsi="仿宋" w:eastAsia="仿宋" w:cs="仿宋"/>
          <w:b/>
          <w:color w:val="FF0000"/>
          <w:sz w:val="24"/>
          <w:szCs w:val="24"/>
          <w:highlight w:val="none"/>
        </w:rPr>
        <w:t>（1）《</w:t>
      </w:r>
      <w:r>
        <w:rPr>
          <w:rFonts w:hint="eastAsia" w:ascii="仿宋" w:hAnsi="仿宋" w:eastAsia="仿宋" w:cs="仿宋"/>
          <w:b/>
          <w:color w:val="FF0000"/>
          <w:sz w:val="24"/>
          <w:szCs w:val="24"/>
          <w:highlight w:val="none"/>
          <w:lang w:eastAsia="zh-CN"/>
        </w:rPr>
        <w:t>耗材采购清单</w:t>
      </w:r>
      <w:r>
        <w:rPr>
          <w:rFonts w:hint="eastAsia" w:ascii="仿宋" w:hAnsi="仿宋" w:eastAsia="仿宋" w:cs="仿宋"/>
          <w:b/>
          <w:color w:val="FF0000"/>
          <w:sz w:val="24"/>
          <w:szCs w:val="24"/>
          <w:highlight w:val="none"/>
        </w:rPr>
        <w:t>》</w:t>
      </w:r>
      <w:r>
        <w:rPr>
          <w:rFonts w:hint="eastAsia" w:ascii="仿宋" w:hAnsi="仿宋" w:eastAsia="仿宋" w:cs="仿宋"/>
          <w:b/>
          <w:color w:val="FF0000"/>
          <w:sz w:val="24"/>
          <w:szCs w:val="24"/>
          <w:highlight w:val="none"/>
          <w:lang w:val="en-US" w:eastAsia="zh-CN"/>
        </w:rPr>
        <w:t>及</w:t>
      </w:r>
      <w:r>
        <w:rPr>
          <w:rFonts w:hint="eastAsia" w:ascii="仿宋" w:hAnsi="仿宋" w:eastAsia="仿宋" w:cs="仿宋"/>
          <w:b/>
          <w:color w:val="FF0000"/>
          <w:sz w:val="24"/>
          <w:szCs w:val="24"/>
          <w:highlight w:val="none"/>
        </w:rPr>
        <w:t>一轮报价格式</w:t>
      </w:r>
      <w:r>
        <w:rPr>
          <w:rFonts w:hint="eastAsia" w:ascii="仿宋" w:hAnsi="仿宋" w:eastAsia="仿宋" w:cs="仿宋"/>
          <w:b/>
          <w:color w:val="FF0000"/>
          <w:sz w:val="24"/>
          <w:szCs w:val="24"/>
          <w:highlight w:val="none"/>
          <w:lang w:val="en-US" w:eastAsia="zh-CN"/>
        </w:rPr>
        <w:t>详见附件</w:t>
      </w:r>
    </w:p>
    <w:p w14:paraId="1E480680">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投标人进行一轮报价时，需</w:t>
      </w:r>
      <w:r>
        <w:rPr>
          <w:rFonts w:hint="eastAsia" w:ascii="仿宋" w:hAnsi="仿宋" w:eastAsia="仿宋" w:cs="仿宋"/>
          <w:b/>
          <w:color w:val="FF0000"/>
          <w:sz w:val="24"/>
          <w:szCs w:val="24"/>
          <w:highlight w:val="none"/>
          <w:lang w:val="en-US" w:eastAsia="zh-CN"/>
        </w:rPr>
        <w:t>在此处放置</w:t>
      </w:r>
      <w:r>
        <w:rPr>
          <w:rFonts w:hint="eastAsia" w:ascii="仿宋" w:hAnsi="仿宋" w:eastAsia="仿宋" w:cs="仿宋"/>
          <w:b/>
          <w:color w:val="FF0000"/>
          <w:sz w:val="24"/>
          <w:szCs w:val="24"/>
          <w:highlight w:val="none"/>
        </w:rPr>
        <w:t>按一轮报价格式</w:t>
      </w:r>
      <w:r>
        <w:rPr>
          <w:rFonts w:hint="eastAsia" w:ascii="仿宋" w:hAnsi="仿宋" w:eastAsia="仿宋" w:cs="仿宋"/>
          <w:b/>
          <w:color w:val="FF0000"/>
          <w:sz w:val="24"/>
          <w:szCs w:val="24"/>
          <w:highlight w:val="none"/>
          <w:lang w:val="en-US" w:eastAsia="zh-CN"/>
        </w:rPr>
        <w:t>填写、</w:t>
      </w:r>
      <w:r>
        <w:rPr>
          <w:rFonts w:hint="eastAsia" w:ascii="仿宋" w:hAnsi="仿宋" w:eastAsia="仿宋" w:cs="仿宋"/>
          <w:b/>
          <w:color w:val="FF0000"/>
          <w:sz w:val="24"/>
          <w:szCs w:val="24"/>
          <w:highlight w:val="none"/>
        </w:rPr>
        <w:t>打印的</w:t>
      </w:r>
      <w:r>
        <w:rPr>
          <w:rFonts w:hint="eastAsia" w:ascii="仿宋" w:hAnsi="仿宋" w:eastAsia="仿宋" w:cs="仿宋"/>
          <w:b/>
          <w:color w:val="FF0000"/>
          <w:sz w:val="24"/>
          <w:szCs w:val="24"/>
          <w:highlight w:val="none"/>
          <w:lang w:val="en-US" w:eastAsia="zh-CN"/>
        </w:rPr>
        <w:t>报价表</w:t>
      </w:r>
      <w:r>
        <w:rPr>
          <w:rFonts w:hint="eastAsia" w:ascii="仿宋" w:hAnsi="仿宋" w:eastAsia="仿宋" w:cs="仿宋"/>
          <w:b/>
          <w:color w:val="FF0000"/>
          <w:sz w:val="24"/>
          <w:szCs w:val="24"/>
          <w:highlight w:val="none"/>
        </w:rPr>
        <w:t>，并加盖投标人公章。</w:t>
      </w:r>
    </w:p>
    <w:p w14:paraId="466FF3B7">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（2）同时还需单独提交一份 Excel 版本格式</w:t>
      </w:r>
      <w:r>
        <w:rPr>
          <w:rFonts w:hint="eastAsia" w:ascii="仿宋" w:hAnsi="仿宋" w:eastAsia="仿宋" w:cs="仿宋"/>
          <w:b/>
          <w:color w:val="FF0000"/>
          <w:sz w:val="24"/>
          <w:szCs w:val="24"/>
          <w:highlight w:val="none"/>
          <w:lang w:eastAsia="zh-CN"/>
        </w:rPr>
        <w:t>（</w:t>
      </w:r>
      <w:r>
        <w:rPr>
          <w:rFonts w:hint="eastAsia" w:ascii="仿宋" w:hAnsi="仿宋" w:eastAsia="仿宋" w:cs="仿宋"/>
          <w:b/>
          <w:color w:val="FF0000"/>
          <w:sz w:val="24"/>
          <w:szCs w:val="24"/>
          <w:highlight w:val="none"/>
          <w:lang w:val="en-US" w:eastAsia="zh-CN"/>
        </w:rPr>
        <w:t>可编辑</w:t>
      </w:r>
      <w:r>
        <w:rPr>
          <w:rFonts w:hint="eastAsia" w:ascii="仿宋" w:hAnsi="仿宋" w:eastAsia="仿宋" w:cs="仿宋"/>
          <w:b/>
          <w:color w:val="FF0000"/>
          <w:sz w:val="24"/>
          <w:szCs w:val="24"/>
          <w:highlight w:val="none"/>
          <w:lang w:eastAsia="zh-CN"/>
        </w:rPr>
        <w:t>）</w:t>
      </w:r>
      <w:r>
        <w:rPr>
          <w:rFonts w:hint="eastAsia" w:ascii="仿宋" w:hAnsi="仿宋" w:eastAsia="仿宋" w:cs="仿宋"/>
          <w:b/>
          <w:color w:val="FF0000"/>
          <w:sz w:val="24"/>
          <w:szCs w:val="24"/>
          <w:highlight w:val="none"/>
        </w:rPr>
        <w:t>的报价文件</w:t>
      </w:r>
      <w:r>
        <w:rPr>
          <w:rFonts w:hint="eastAsia" w:ascii="仿宋" w:hAnsi="仿宋" w:eastAsia="仿宋" w:cs="仿宋"/>
          <w:b/>
          <w:color w:val="FF0000"/>
          <w:sz w:val="24"/>
          <w:szCs w:val="24"/>
          <w:highlight w:val="none"/>
          <w:lang w:val="en-US" w:eastAsia="zh-CN"/>
        </w:rPr>
        <w:t>放置于U盘内</w:t>
      </w:r>
      <w:r>
        <w:rPr>
          <w:rFonts w:hint="eastAsia" w:ascii="仿宋" w:hAnsi="仿宋" w:eastAsia="仿宋" w:cs="仿宋"/>
          <w:b/>
          <w:color w:val="FF0000"/>
          <w:sz w:val="24"/>
          <w:szCs w:val="24"/>
          <w:highlight w:val="none"/>
        </w:rPr>
        <w:t>，该文件内容必须与打印版完全一致。​</w:t>
      </w:r>
    </w:p>
    <w:p w14:paraId="4904E288">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（3）《</w:t>
      </w:r>
      <w:r>
        <w:rPr>
          <w:rFonts w:hint="eastAsia" w:ascii="仿宋" w:hAnsi="仿宋" w:eastAsia="仿宋" w:cs="仿宋"/>
          <w:b/>
          <w:color w:val="FF0000"/>
          <w:sz w:val="24"/>
          <w:szCs w:val="24"/>
          <w:highlight w:val="none"/>
          <w:lang w:val="en-US" w:eastAsia="zh-CN"/>
        </w:rPr>
        <w:t>耗材</w:t>
      </w:r>
      <w:r>
        <w:rPr>
          <w:rFonts w:hint="eastAsia" w:ascii="仿宋" w:hAnsi="仿宋" w:eastAsia="仿宋" w:cs="仿宋"/>
          <w:b/>
          <w:color w:val="FF0000"/>
          <w:sz w:val="24"/>
          <w:szCs w:val="24"/>
          <w:highlight w:val="none"/>
        </w:rPr>
        <w:t>采购清单》及一轮报价</w:t>
      </w:r>
      <w:r>
        <w:rPr>
          <w:rFonts w:hint="eastAsia" w:ascii="仿宋" w:hAnsi="仿宋" w:eastAsia="仿宋" w:cs="仿宋"/>
          <w:b/>
          <w:color w:val="FF0000"/>
          <w:sz w:val="24"/>
          <w:szCs w:val="24"/>
          <w:highlight w:val="none"/>
          <w:lang w:val="en-US" w:eastAsia="zh-CN"/>
        </w:rPr>
        <w:t>已</w:t>
      </w:r>
      <w:r>
        <w:rPr>
          <w:rFonts w:hint="eastAsia" w:ascii="仿宋" w:hAnsi="仿宋" w:eastAsia="仿宋" w:cs="仿宋"/>
          <w:b/>
          <w:color w:val="FF0000"/>
          <w:sz w:val="24"/>
          <w:szCs w:val="24"/>
          <w:highlight w:val="none"/>
        </w:rPr>
        <w:t>预先设定，投标人不得进行任何修改、删除操作，也不可对格式进行调整，仅能在指定位置填写单价、</w:t>
      </w:r>
      <w:r>
        <w:rPr>
          <w:rFonts w:hint="eastAsia" w:ascii="仿宋" w:hAnsi="仿宋" w:eastAsia="仿宋" w:cs="仿宋"/>
          <w:b/>
          <w:color w:val="FF0000"/>
          <w:sz w:val="24"/>
          <w:szCs w:val="24"/>
          <w:highlight w:val="none"/>
          <w:lang w:val="en-US" w:eastAsia="zh-CN"/>
        </w:rPr>
        <w:t>投标人名称、</w:t>
      </w:r>
      <w:r>
        <w:rPr>
          <w:rFonts w:hint="eastAsia" w:ascii="仿宋" w:hAnsi="仿宋" w:eastAsia="仿宋" w:cs="仿宋"/>
          <w:b/>
          <w:color w:val="FF0000"/>
          <w:sz w:val="24"/>
          <w:szCs w:val="24"/>
          <w:highlight w:val="none"/>
        </w:rPr>
        <w:t>制造商名称、制造商联系人、联系方式、医保编码</w:t>
      </w:r>
      <w:r>
        <w:rPr>
          <w:rFonts w:hint="eastAsia" w:ascii="仿宋" w:hAnsi="仿宋" w:eastAsia="仿宋" w:cs="仿宋"/>
          <w:b/>
          <w:color w:val="FF0000"/>
          <w:sz w:val="24"/>
          <w:szCs w:val="24"/>
          <w:highlight w:val="none"/>
          <w:lang w:val="en-US" w:eastAsia="zh-CN"/>
        </w:rPr>
        <w:t>及备注</w:t>
      </w:r>
      <w:r>
        <w:rPr>
          <w:rFonts w:hint="eastAsia" w:ascii="仿宋" w:hAnsi="仿宋" w:eastAsia="仿宋" w:cs="仿宋"/>
          <w:b/>
          <w:color w:val="FF0000"/>
          <w:sz w:val="24"/>
          <w:szCs w:val="24"/>
          <w:highlight w:val="none"/>
        </w:rPr>
        <w:t>。</w:t>
      </w:r>
    </w:p>
    <w:p w14:paraId="630B95BF">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（4）第一轮</w:t>
      </w:r>
      <w:r>
        <w:rPr>
          <w:rFonts w:hint="eastAsia" w:ascii="仿宋" w:hAnsi="仿宋" w:eastAsia="仿宋" w:cs="仿宋"/>
          <w:b/>
          <w:color w:val="FF0000"/>
          <w:sz w:val="24"/>
          <w:szCs w:val="24"/>
          <w:highlight w:val="none"/>
          <w:lang w:val="en-US" w:eastAsia="zh-CN"/>
        </w:rPr>
        <w:t>单价</w:t>
      </w:r>
      <w:r>
        <w:rPr>
          <w:rFonts w:hint="eastAsia" w:ascii="仿宋" w:hAnsi="仿宋" w:eastAsia="仿宋" w:cs="仿宋"/>
          <w:b/>
          <w:color w:val="FF0000"/>
          <w:sz w:val="24"/>
          <w:szCs w:val="24"/>
          <w:highlight w:val="none"/>
        </w:rPr>
        <w:t>报价不得高于</w:t>
      </w:r>
      <w:r>
        <w:rPr>
          <w:rFonts w:hint="eastAsia" w:ascii="仿宋" w:hAnsi="仿宋" w:eastAsia="仿宋" w:cs="仿宋"/>
          <w:b/>
          <w:color w:val="FF0000"/>
          <w:sz w:val="24"/>
          <w:szCs w:val="24"/>
          <w:highlight w:val="none"/>
          <w:lang w:eastAsia="zh-CN"/>
        </w:rPr>
        <w:t>重庆药品和医用耗材招采管理系统挂网价</w:t>
      </w:r>
      <w:r>
        <w:rPr>
          <w:rFonts w:hint="eastAsia" w:ascii="仿宋" w:hAnsi="仿宋" w:eastAsia="仿宋" w:cs="仿宋"/>
          <w:b/>
          <w:color w:val="FF0000"/>
          <w:sz w:val="24"/>
          <w:szCs w:val="24"/>
          <w:highlight w:val="none"/>
        </w:rPr>
        <w:t>。</w:t>
      </w:r>
    </w:p>
    <w:p w14:paraId="61502423">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color w:val="FF0000"/>
          <w:sz w:val="24"/>
          <w:szCs w:val="24"/>
          <w:highlight w:val="none"/>
          <w:lang w:eastAsia="zh-CN"/>
        </w:rPr>
      </w:pPr>
      <w:r>
        <w:rPr>
          <w:rFonts w:hint="eastAsia" w:ascii="仿宋" w:hAnsi="仿宋" w:eastAsia="仿宋" w:cs="仿宋"/>
          <w:b/>
          <w:color w:val="FF0000"/>
          <w:sz w:val="24"/>
          <w:szCs w:val="24"/>
          <w:highlight w:val="none"/>
          <w:lang w:eastAsia="zh-CN"/>
        </w:rPr>
        <w:t>（</w:t>
      </w:r>
      <w:r>
        <w:rPr>
          <w:rFonts w:hint="eastAsia" w:ascii="仿宋" w:hAnsi="仿宋" w:eastAsia="仿宋" w:cs="仿宋"/>
          <w:b/>
          <w:color w:val="FF0000"/>
          <w:sz w:val="24"/>
          <w:szCs w:val="24"/>
          <w:highlight w:val="none"/>
          <w:lang w:val="en-US" w:eastAsia="zh-CN"/>
        </w:rPr>
        <w:t>5</w:t>
      </w:r>
      <w:r>
        <w:rPr>
          <w:rFonts w:hint="eastAsia" w:ascii="仿宋" w:hAnsi="仿宋" w:eastAsia="仿宋" w:cs="仿宋"/>
          <w:b/>
          <w:color w:val="FF0000"/>
          <w:sz w:val="24"/>
          <w:szCs w:val="24"/>
          <w:highlight w:val="none"/>
          <w:lang w:eastAsia="zh-CN"/>
        </w:rPr>
        <w:t>）投标人</w:t>
      </w:r>
      <w:r>
        <w:rPr>
          <w:rFonts w:hint="eastAsia" w:ascii="仿宋" w:hAnsi="仿宋" w:eastAsia="仿宋" w:cs="仿宋"/>
          <w:b/>
          <w:color w:val="FF0000"/>
          <w:sz w:val="24"/>
          <w:szCs w:val="24"/>
          <w:highlight w:val="none"/>
          <w:lang w:val="en-US" w:eastAsia="zh-CN"/>
        </w:rPr>
        <w:t>所投</w:t>
      </w:r>
      <w:r>
        <w:rPr>
          <w:rFonts w:hint="eastAsia" w:ascii="仿宋" w:hAnsi="仿宋" w:eastAsia="仿宋" w:cs="仿宋"/>
          <w:b/>
          <w:color w:val="FF0000"/>
          <w:sz w:val="24"/>
          <w:szCs w:val="24"/>
          <w:highlight w:val="none"/>
          <w:lang w:eastAsia="zh-CN"/>
        </w:rPr>
        <w:t>品目</w:t>
      </w:r>
      <w:r>
        <w:rPr>
          <w:rFonts w:hint="eastAsia" w:ascii="仿宋" w:hAnsi="仿宋" w:eastAsia="仿宋" w:cs="仿宋"/>
          <w:b/>
          <w:color w:val="FF0000"/>
          <w:sz w:val="24"/>
          <w:szCs w:val="24"/>
          <w:highlight w:val="none"/>
          <w:lang w:val="en-US" w:eastAsia="zh-CN"/>
        </w:rPr>
        <w:t>中</w:t>
      </w:r>
      <w:r>
        <w:rPr>
          <w:rFonts w:hint="eastAsia" w:ascii="仿宋" w:hAnsi="仿宋" w:eastAsia="仿宋" w:cs="仿宋"/>
          <w:b/>
          <w:color w:val="FF0000"/>
          <w:sz w:val="24"/>
          <w:szCs w:val="24"/>
          <w:highlight w:val="none"/>
          <w:lang w:eastAsia="zh-CN"/>
        </w:rPr>
        <w:t>规格</w:t>
      </w:r>
      <w:r>
        <w:rPr>
          <w:rFonts w:hint="eastAsia" w:ascii="仿宋" w:hAnsi="仿宋" w:eastAsia="仿宋" w:cs="仿宋"/>
          <w:b/>
          <w:color w:val="FF0000"/>
          <w:sz w:val="24"/>
          <w:szCs w:val="24"/>
          <w:highlight w:val="none"/>
          <w:lang w:val="en-US" w:eastAsia="zh-CN"/>
        </w:rPr>
        <w:t>型号</w:t>
      </w:r>
      <w:r>
        <w:rPr>
          <w:rFonts w:hint="eastAsia" w:ascii="仿宋" w:hAnsi="仿宋" w:eastAsia="仿宋" w:cs="仿宋"/>
          <w:b/>
          <w:color w:val="FF0000"/>
          <w:sz w:val="24"/>
          <w:szCs w:val="24"/>
          <w:highlight w:val="none"/>
          <w:lang w:eastAsia="zh-CN"/>
        </w:rPr>
        <w:t>为“各型号</w:t>
      </w:r>
      <w:r>
        <w:rPr>
          <w:rFonts w:hint="eastAsia" w:ascii="仿宋" w:hAnsi="仿宋" w:eastAsia="仿宋" w:cs="仿宋"/>
          <w:b/>
          <w:color w:val="FF0000"/>
          <w:sz w:val="24"/>
          <w:szCs w:val="24"/>
          <w:highlight w:val="none"/>
          <w:lang w:val="en-US" w:eastAsia="zh-CN"/>
        </w:rPr>
        <w:t>/各尺寸”</w:t>
      </w:r>
      <w:r>
        <w:rPr>
          <w:rFonts w:hint="eastAsia" w:ascii="仿宋" w:hAnsi="仿宋" w:eastAsia="仿宋" w:cs="仿宋"/>
          <w:b/>
          <w:color w:val="FF0000"/>
          <w:sz w:val="24"/>
          <w:szCs w:val="24"/>
          <w:highlight w:val="none"/>
          <w:lang w:eastAsia="zh-CN"/>
        </w:rPr>
        <w:t>的，需提供《投标产品生产厂家所有符合功能参数的型号规格明细表》模板详见附件。</w:t>
      </w:r>
    </w:p>
    <w:p w14:paraId="13BDD36B">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投标人进行一轮报价时，需</w:t>
      </w:r>
      <w:r>
        <w:rPr>
          <w:rFonts w:hint="eastAsia" w:ascii="仿宋" w:hAnsi="仿宋" w:eastAsia="仿宋" w:cs="仿宋"/>
          <w:b/>
          <w:color w:val="FF0000"/>
          <w:sz w:val="24"/>
          <w:szCs w:val="24"/>
          <w:highlight w:val="none"/>
          <w:lang w:val="en-US" w:eastAsia="zh-CN"/>
        </w:rPr>
        <w:t>在此处放置</w:t>
      </w:r>
      <w:r>
        <w:rPr>
          <w:rFonts w:hint="eastAsia" w:ascii="仿宋" w:hAnsi="仿宋" w:eastAsia="仿宋" w:cs="仿宋"/>
          <w:b/>
          <w:color w:val="FF0000"/>
          <w:sz w:val="24"/>
          <w:szCs w:val="24"/>
          <w:highlight w:val="none"/>
          <w:lang w:eastAsia="zh-CN"/>
        </w:rPr>
        <w:t>《投标产品生产厂家所有符合功能参数的型号规格明细表》，</w:t>
      </w:r>
      <w:r>
        <w:rPr>
          <w:rFonts w:hint="eastAsia" w:ascii="仿宋" w:hAnsi="仿宋" w:eastAsia="仿宋" w:cs="仿宋"/>
          <w:b/>
          <w:color w:val="FF0000"/>
          <w:sz w:val="24"/>
          <w:szCs w:val="24"/>
          <w:highlight w:val="none"/>
        </w:rPr>
        <w:t>按格式</w:t>
      </w:r>
      <w:r>
        <w:rPr>
          <w:rFonts w:hint="eastAsia" w:ascii="仿宋" w:hAnsi="仿宋" w:eastAsia="仿宋" w:cs="仿宋"/>
          <w:b/>
          <w:color w:val="FF0000"/>
          <w:sz w:val="24"/>
          <w:szCs w:val="24"/>
          <w:highlight w:val="none"/>
          <w:lang w:val="en-US" w:eastAsia="zh-CN"/>
        </w:rPr>
        <w:t>填写、</w:t>
      </w:r>
      <w:r>
        <w:rPr>
          <w:rFonts w:hint="eastAsia" w:ascii="仿宋" w:hAnsi="仿宋" w:eastAsia="仿宋" w:cs="仿宋"/>
          <w:b/>
          <w:color w:val="FF0000"/>
          <w:sz w:val="24"/>
          <w:szCs w:val="24"/>
          <w:highlight w:val="none"/>
        </w:rPr>
        <w:t>打印并加盖投标人公章。</w:t>
      </w:r>
    </w:p>
    <w:p w14:paraId="003F5699">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同时还需单独提交一份 Excel 版本格式</w:t>
      </w:r>
      <w:r>
        <w:rPr>
          <w:rFonts w:hint="eastAsia" w:ascii="仿宋" w:hAnsi="仿宋" w:eastAsia="仿宋" w:cs="仿宋"/>
          <w:b/>
          <w:color w:val="FF0000"/>
          <w:sz w:val="24"/>
          <w:szCs w:val="24"/>
          <w:highlight w:val="none"/>
          <w:lang w:eastAsia="zh-CN"/>
        </w:rPr>
        <w:t>（</w:t>
      </w:r>
      <w:r>
        <w:rPr>
          <w:rFonts w:hint="eastAsia" w:ascii="仿宋" w:hAnsi="仿宋" w:eastAsia="仿宋" w:cs="仿宋"/>
          <w:b/>
          <w:color w:val="FF0000"/>
          <w:sz w:val="24"/>
          <w:szCs w:val="24"/>
          <w:highlight w:val="none"/>
          <w:lang w:val="en-US" w:eastAsia="zh-CN"/>
        </w:rPr>
        <w:t>可编辑</w:t>
      </w:r>
      <w:r>
        <w:rPr>
          <w:rFonts w:hint="eastAsia" w:ascii="仿宋" w:hAnsi="仿宋" w:eastAsia="仿宋" w:cs="仿宋"/>
          <w:b/>
          <w:color w:val="FF0000"/>
          <w:sz w:val="24"/>
          <w:szCs w:val="24"/>
          <w:highlight w:val="none"/>
          <w:lang w:eastAsia="zh-CN"/>
        </w:rPr>
        <w:t>）</w:t>
      </w:r>
      <w:r>
        <w:rPr>
          <w:rFonts w:hint="eastAsia" w:ascii="仿宋" w:hAnsi="仿宋" w:eastAsia="仿宋" w:cs="仿宋"/>
          <w:b/>
          <w:color w:val="FF0000"/>
          <w:sz w:val="24"/>
          <w:szCs w:val="24"/>
          <w:highlight w:val="none"/>
        </w:rPr>
        <w:t>的</w:t>
      </w:r>
      <w:r>
        <w:rPr>
          <w:rFonts w:hint="eastAsia" w:ascii="仿宋" w:hAnsi="仿宋" w:eastAsia="仿宋" w:cs="仿宋"/>
          <w:b/>
          <w:color w:val="FF0000"/>
          <w:sz w:val="24"/>
          <w:szCs w:val="24"/>
          <w:highlight w:val="none"/>
          <w:lang w:eastAsia="zh-CN"/>
        </w:rPr>
        <w:t>型号规格明细表</w:t>
      </w:r>
      <w:r>
        <w:rPr>
          <w:rFonts w:hint="eastAsia" w:ascii="仿宋" w:hAnsi="仿宋" w:eastAsia="仿宋" w:cs="仿宋"/>
          <w:b/>
          <w:color w:val="FF0000"/>
          <w:sz w:val="24"/>
          <w:szCs w:val="24"/>
          <w:highlight w:val="none"/>
          <w:lang w:val="en-US" w:eastAsia="zh-CN"/>
        </w:rPr>
        <w:t>放置于U盘内</w:t>
      </w:r>
      <w:r>
        <w:rPr>
          <w:rFonts w:hint="eastAsia" w:ascii="仿宋" w:hAnsi="仿宋" w:eastAsia="仿宋" w:cs="仿宋"/>
          <w:b/>
          <w:color w:val="FF0000"/>
          <w:sz w:val="24"/>
          <w:szCs w:val="24"/>
          <w:highlight w:val="none"/>
        </w:rPr>
        <w:t>，该文件内容必须与打印版完全一致。​</w:t>
      </w:r>
    </w:p>
    <w:p w14:paraId="339E5ADF">
      <w:pPr>
        <w:pStyle w:val="2"/>
        <w:rPr>
          <w:rFonts w:hint="eastAsia"/>
        </w:rPr>
      </w:pPr>
    </w:p>
    <w:p w14:paraId="087AC69C">
      <w:pPr>
        <w:pStyle w:val="2"/>
        <w:rPr>
          <w:rFonts w:hint="eastAsia"/>
        </w:rPr>
      </w:pPr>
    </w:p>
    <w:p w14:paraId="418E2C35">
      <w:pPr>
        <w:pStyle w:val="2"/>
        <w:rPr>
          <w:rFonts w:hint="eastAsia"/>
          <w:lang w:eastAsia="zh-CN"/>
        </w:rPr>
      </w:pPr>
    </w:p>
    <w:p w14:paraId="74F24624">
      <w:pPr>
        <w:pStyle w:val="2"/>
        <w:rPr>
          <w:rFonts w:hint="eastAsia"/>
          <w:lang w:eastAsia="zh-CN"/>
        </w:rPr>
      </w:pPr>
    </w:p>
    <w:p w14:paraId="51C01997">
      <w:pPr>
        <w:shd w:val="clear"/>
        <w:spacing w:line="520" w:lineRule="exact"/>
        <w:jc w:val="left"/>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r>
        <w:rPr>
          <w:rFonts w:hint="eastAsia" w:ascii="仿宋" w:hAnsi="仿宋" w:eastAsia="仿宋" w:cs="仿宋"/>
          <w:b/>
          <w:color w:val="auto"/>
          <w:sz w:val="28"/>
          <w:szCs w:val="28"/>
          <w:highlight w:val="none"/>
          <w:lang w:val="en-US" w:eastAsia="zh-CN"/>
        </w:rPr>
        <w:t>十一、其他资料</w:t>
      </w:r>
    </w:p>
    <w:p w14:paraId="4AD7BD3F">
      <w:pPr>
        <w:widowControl/>
        <w:shd w:val="clear"/>
        <w:tabs>
          <w:tab w:val="left" w:pos="7669"/>
        </w:tabs>
        <w:adjustRightInd w:val="0"/>
        <w:snapToGrid w:val="0"/>
        <w:spacing w:line="440" w:lineRule="exact"/>
        <w:ind w:firstLine="420" w:firstLineChars="200"/>
        <w:jc w:val="left"/>
        <w:rPr>
          <w:rFonts w:hint="default" w:ascii="仿宋" w:hAnsi="仿宋" w:eastAsia="仿宋" w:cs="仿宋"/>
          <w:color w:val="auto"/>
          <w:sz w:val="21"/>
          <w:szCs w:val="21"/>
          <w:highlight w:val="none"/>
          <w:lang w:val="en-US" w:eastAsia="zh-CN"/>
        </w:rPr>
      </w:pPr>
    </w:p>
    <w:p w14:paraId="4CD4750D">
      <w:pPr>
        <w:widowControl/>
        <w:shd w:val="clear"/>
        <w:tabs>
          <w:tab w:val="left" w:pos="7669"/>
        </w:tabs>
        <w:adjustRightInd w:val="0"/>
        <w:snapToGrid w:val="0"/>
        <w:spacing w:line="440" w:lineRule="exact"/>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资格预审文件要求或投标人认为有必要提供的其他资料</w:t>
      </w:r>
    </w:p>
    <w:p w14:paraId="0B6F3F8F">
      <w:pPr>
        <w:shd w:val="clear"/>
        <w:rPr>
          <w:rFonts w:hint="eastAsia"/>
        </w:rPr>
      </w:pPr>
      <w:r>
        <w:rPr>
          <w:rFonts w:hint="eastAsia"/>
        </w:rPr>
        <w:br w:type="page"/>
      </w:r>
    </w:p>
    <w:p w14:paraId="5170EE3B">
      <w:pPr>
        <w:pStyle w:val="5"/>
        <w:shd w:val="clear"/>
        <w:bidi w:val="0"/>
        <w:rPr>
          <w:rStyle w:val="62"/>
          <w:rFonts w:hint="eastAsia" w:ascii="仿宋" w:hAnsi="仿宋" w:eastAsia="仿宋"/>
          <w:b/>
          <w:bCs/>
          <w:color w:val="auto"/>
          <w:sz w:val="32"/>
          <w:szCs w:val="32"/>
          <w:highlight w:val="none"/>
        </w:rPr>
      </w:pPr>
      <w:r>
        <w:rPr>
          <w:rStyle w:val="62"/>
          <w:rFonts w:hint="eastAsia" w:ascii="仿宋" w:hAnsi="仿宋" w:eastAsia="仿宋"/>
          <w:b/>
          <w:bCs/>
          <w:color w:val="auto"/>
          <w:sz w:val="32"/>
          <w:szCs w:val="32"/>
          <w:highlight w:val="none"/>
        </w:rPr>
        <w:t>第五章  采购项目介绍</w:t>
      </w:r>
    </w:p>
    <w:p w14:paraId="2E82DB77">
      <w:pPr>
        <w:shd w:val="clear"/>
        <w:spacing w:line="520" w:lineRule="exact"/>
        <w:rPr>
          <w:rFonts w:ascii="仿宋" w:hAnsi="仿宋" w:eastAsia="仿宋" w:cs="微软雅黑"/>
          <w:color w:val="auto"/>
          <w:kern w:val="2"/>
          <w:sz w:val="24"/>
          <w:szCs w:val="24"/>
          <w:highlight w:val="none"/>
        </w:rPr>
      </w:pPr>
      <w:r>
        <w:rPr>
          <w:rFonts w:hint="eastAsia" w:ascii="仿宋" w:hAnsi="仿宋" w:eastAsia="仿宋" w:cs="微软雅黑"/>
          <w:b/>
          <w:bCs/>
          <w:color w:val="auto"/>
          <w:sz w:val="24"/>
          <w:szCs w:val="24"/>
          <w:highlight w:val="none"/>
        </w:rPr>
        <w:t>说明：</w:t>
      </w:r>
      <w:r>
        <w:rPr>
          <w:rFonts w:hint="eastAsia" w:ascii="仿宋" w:hAnsi="仿宋" w:eastAsia="仿宋" w:cs="微软雅黑"/>
          <w:color w:val="auto"/>
          <w:sz w:val="24"/>
          <w:szCs w:val="24"/>
          <w:highlight w:val="none"/>
        </w:rPr>
        <w:t>本章采购项目介绍仅用于投标人了解本项目基本情况。</w:t>
      </w:r>
    </w:p>
    <w:p w14:paraId="11D5F378">
      <w:pPr>
        <w:pStyle w:val="6"/>
        <w:keepNext w:val="0"/>
        <w:keepLines w:val="0"/>
        <w:shd w:val="clear"/>
        <w:spacing w:before="0" w:after="0" w:line="520" w:lineRule="exact"/>
        <w:ind w:firstLine="118" w:firstLineChars="49"/>
        <w:rPr>
          <w:rFonts w:ascii="仿宋" w:hAnsi="仿宋" w:eastAsia="仿宋" w:cs="仿宋"/>
          <w:color w:val="auto"/>
          <w:sz w:val="24"/>
          <w:szCs w:val="24"/>
          <w:highlight w:val="none"/>
        </w:rPr>
      </w:pPr>
      <w:r>
        <w:rPr>
          <w:rFonts w:hint="eastAsia" w:ascii="仿宋" w:hAnsi="仿宋" w:eastAsia="仿宋" w:cs="微软雅黑"/>
          <w:color w:val="auto"/>
          <w:sz w:val="24"/>
          <w:szCs w:val="24"/>
          <w:highlight w:val="none"/>
          <w:lang w:val="en-US" w:eastAsia="zh-CN"/>
        </w:rPr>
        <w:t>一、</w:t>
      </w:r>
      <w:r>
        <w:rPr>
          <w:rFonts w:hint="eastAsia" w:ascii="仿宋" w:hAnsi="仿宋" w:eastAsia="仿宋" w:cs="仿宋"/>
          <w:color w:val="auto"/>
          <w:sz w:val="24"/>
          <w:szCs w:val="24"/>
          <w:highlight w:val="none"/>
        </w:rPr>
        <w:t>项目简介</w:t>
      </w:r>
    </w:p>
    <w:p w14:paraId="3280141E">
      <w:pPr>
        <w:pStyle w:val="3"/>
        <w:shd w:val="clear"/>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本项目由重庆市九龙坡区人民医院主导推进，针对重庆市九龙坡区20家公立医疗机构开展</w:t>
      </w:r>
      <w:r>
        <w:rPr>
          <w:rFonts w:hint="eastAsia" w:ascii="仿宋" w:hAnsi="仿宋" w:eastAsia="仿宋" w:cs="仿宋"/>
          <w:bCs/>
          <w:color w:val="auto"/>
          <w:sz w:val="24"/>
          <w:szCs w:val="24"/>
          <w:highlight w:val="none"/>
          <w:lang w:eastAsia="zh-CN"/>
        </w:rPr>
        <w:t>耗材</w:t>
      </w:r>
      <w:r>
        <w:rPr>
          <w:rFonts w:hint="eastAsia" w:ascii="仿宋" w:hAnsi="仿宋" w:eastAsia="仿宋" w:cs="仿宋"/>
          <w:bCs/>
          <w:color w:val="auto"/>
          <w:sz w:val="24"/>
          <w:szCs w:val="24"/>
          <w:highlight w:val="none"/>
        </w:rPr>
        <w:t>集中采购遴选工作。借助规模化采购的显著优势，项目旨在有效降低</w:t>
      </w:r>
      <w:r>
        <w:rPr>
          <w:rFonts w:hint="eastAsia" w:ascii="仿宋" w:hAnsi="仿宋" w:eastAsia="仿宋" w:cs="仿宋"/>
          <w:bCs/>
          <w:color w:val="auto"/>
          <w:sz w:val="24"/>
          <w:szCs w:val="24"/>
          <w:highlight w:val="none"/>
          <w:lang w:eastAsia="zh-CN"/>
        </w:rPr>
        <w:t>耗材</w:t>
      </w:r>
      <w:r>
        <w:rPr>
          <w:rFonts w:hint="eastAsia" w:ascii="仿宋" w:hAnsi="仿宋" w:eastAsia="仿宋" w:cs="仿宋"/>
          <w:bCs/>
          <w:color w:val="auto"/>
          <w:sz w:val="24"/>
          <w:szCs w:val="24"/>
          <w:highlight w:val="none"/>
        </w:rPr>
        <w:t>采购成本，从多维度对区域</w:t>
      </w:r>
      <w:r>
        <w:rPr>
          <w:rFonts w:hint="eastAsia" w:ascii="仿宋" w:hAnsi="仿宋" w:eastAsia="仿宋" w:cs="仿宋"/>
          <w:bCs/>
          <w:color w:val="auto"/>
          <w:sz w:val="24"/>
          <w:szCs w:val="24"/>
          <w:highlight w:val="none"/>
          <w:lang w:eastAsia="zh-CN"/>
        </w:rPr>
        <w:t>耗材</w:t>
      </w:r>
      <w:r>
        <w:rPr>
          <w:rFonts w:hint="eastAsia" w:ascii="仿宋" w:hAnsi="仿宋" w:eastAsia="仿宋" w:cs="仿宋"/>
          <w:bCs/>
          <w:color w:val="auto"/>
          <w:sz w:val="24"/>
          <w:szCs w:val="24"/>
          <w:highlight w:val="none"/>
        </w:rPr>
        <w:t>供应体系进行全面优化。具体举措包括着力建立标准化</w:t>
      </w:r>
      <w:r>
        <w:rPr>
          <w:rFonts w:hint="eastAsia" w:ascii="仿宋" w:hAnsi="仿宋" w:eastAsia="仿宋" w:cs="仿宋"/>
          <w:bCs/>
          <w:color w:val="auto"/>
          <w:sz w:val="24"/>
          <w:szCs w:val="24"/>
          <w:highlight w:val="none"/>
          <w:lang w:eastAsia="zh-CN"/>
        </w:rPr>
        <w:t>耗材</w:t>
      </w:r>
      <w:r>
        <w:rPr>
          <w:rFonts w:hint="eastAsia" w:ascii="仿宋" w:hAnsi="仿宋" w:eastAsia="仿宋" w:cs="仿宋"/>
          <w:bCs/>
          <w:color w:val="auto"/>
          <w:sz w:val="24"/>
          <w:szCs w:val="24"/>
          <w:highlight w:val="none"/>
        </w:rPr>
        <w:t>供应目录，进一步规范临床</w:t>
      </w:r>
      <w:r>
        <w:rPr>
          <w:rFonts w:hint="eastAsia" w:ascii="仿宋" w:hAnsi="仿宋" w:eastAsia="仿宋" w:cs="仿宋"/>
          <w:bCs/>
          <w:color w:val="auto"/>
          <w:sz w:val="24"/>
          <w:szCs w:val="24"/>
          <w:highlight w:val="none"/>
          <w:lang w:eastAsia="zh-CN"/>
        </w:rPr>
        <w:t>使用</w:t>
      </w:r>
      <w:r>
        <w:rPr>
          <w:rFonts w:hint="eastAsia" w:ascii="仿宋" w:hAnsi="仿宋" w:eastAsia="仿宋" w:cs="仿宋"/>
          <w:bCs/>
          <w:color w:val="auto"/>
          <w:sz w:val="24"/>
          <w:szCs w:val="24"/>
          <w:highlight w:val="none"/>
        </w:rPr>
        <w:t>流程，提升</w:t>
      </w:r>
      <w:r>
        <w:rPr>
          <w:rFonts w:hint="eastAsia" w:ascii="仿宋" w:hAnsi="仿宋" w:eastAsia="仿宋" w:cs="仿宋"/>
          <w:bCs/>
          <w:color w:val="auto"/>
          <w:sz w:val="24"/>
          <w:szCs w:val="24"/>
          <w:highlight w:val="none"/>
          <w:lang w:eastAsia="zh-CN"/>
        </w:rPr>
        <w:t>使用</w:t>
      </w:r>
      <w:r>
        <w:rPr>
          <w:rFonts w:hint="eastAsia" w:ascii="仿宋" w:hAnsi="仿宋" w:eastAsia="仿宋" w:cs="仿宋"/>
          <w:bCs/>
          <w:color w:val="auto"/>
          <w:sz w:val="24"/>
          <w:szCs w:val="24"/>
          <w:highlight w:val="none"/>
        </w:rPr>
        <w:t>规范性；大力强化供应链管理，保障</w:t>
      </w:r>
      <w:r>
        <w:rPr>
          <w:rFonts w:hint="eastAsia" w:ascii="仿宋" w:hAnsi="仿宋" w:eastAsia="仿宋" w:cs="仿宋"/>
          <w:bCs/>
          <w:color w:val="auto"/>
          <w:sz w:val="24"/>
          <w:szCs w:val="24"/>
          <w:highlight w:val="none"/>
          <w:lang w:eastAsia="zh-CN"/>
        </w:rPr>
        <w:t>耗材</w:t>
      </w:r>
      <w:r>
        <w:rPr>
          <w:rFonts w:hint="eastAsia" w:ascii="仿宋" w:hAnsi="仿宋" w:eastAsia="仿宋" w:cs="仿宋"/>
          <w:bCs/>
          <w:color w:val="auto"/>
          <w:sz w:val="24"/>
          <w:szCs w:val="24"/>
          <w:highlight w:val="none"/>
        </w:rPr>
        <w:t>配送高效准时，服务质量稳定可靠。通过上述举措，切实保障公立医疗机构临床</w:t>
      </w:r>
      <w:r>
        <w:rPr>
          <w:rFonts w:hint="eastAsia" w:ascii="仿宋" w:hAnsi="仿宋" w:eastAsia="仿宋" w:cs="仿宋"/>
          <w:bCs/>
          <w:color w:val="auto"/>
          <w:sz w:val="24"/>
          <w:szCs w:val="24"/>
          <w:highlight w:val="none"/>
          <w:lang w:eastAsia="zh-CN"/>
        </w:rPr>
        <w:t>使用</w:t>
      </w:r>
      <w:r>
        <w:rPr>
          <w:rFonts w:hint="eastAsia" w:ascii="仿宋" w:hAnsi="仿宋" w:eastAsia="仿宋" w:cs="仿宋"/>
          <w:bCs/>
          <w:color w:val="auto"/>
          <w:sz w:val="24"/>
          <w:szCs w:val="24"/>
          <w:highlight w:val="none"/>
        </w:rPr>
        <w:t>需求，有效提升群众</w:t>
      </w:r>
      <w:r>
        <w:rPr>
          <w:rFonts w:hint="eastAsia" w:ascii="仿宋" w:hAnsi="仿宋" w:eastAsia="仿宋" w:cs="仿宋"/>
          <w:bCs/>
          <w:color w:val="auto"/>
          <w:sz w:val="24"/>
          <w:szCs w:val="24"/>
          <w:highlight w:val="none"/>
          <w:lang w:val="en-US" w:eastAsia="zh-CN"/>
        </w:rPr>
        <w:t>需求</w:t>
      </w:r>
      <w:r>
        <w:rPr>
          <w:rFonts w:hint="eastAsia" w:ascii="仿宋" w:hAnsi="仿宋" w:eastAsia="仿宋" w:cs="仿宋"/>
          <w:bCs/>
          <w:color w:val="auto"/>
          <w:sz w:val="24"/>
          <w:szCs w:val="24"/>
          <w:highlight w:val="none"/>
        </w:rPr>
        <w:t>的可及性</w:t>
      </w:r>
      <w:r>
        <w:rPr>
          <w:rFonts w:hint="eastAsia" w:ascii="仿宋" w:hAnsi="仿宋" w:eastAsia="仿宋" w:cs="仿宋"/>
          <w:b/>
          <w:bCs w:val="0"/>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此次集中采购的范围涵盖</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105</w:t>
      </w:r>
      <w:r>
        <w:rPr>
          <w:rFonts w:hint="eastAsia" w:ascii="仿宋" w:hAnsi="仿宋" w:eastAsia="仿宋" w:cs="仿宋"/>
          <w:b w:val="0"/>
          <w:bCs/>
          <w:color w:val="000000" w:themeColor="text1"/>
          <w:sz w:val="24"/>
          <w:szCs w:val="24"/>
          <w:highlight w:val="none"/>
          <w14:textFill>
            <w14:solidFill>
              <w14:schemeClr w14:val="tx1"/>
            </w14:solidFill>
          </w14:textFill>
        </w:rPr>
        <w:t>种耗材。</w:t>
      </w:r>
    </w:p>
    <w:p w14:paraId="6491CF5C">
      <w:pPr>
        <w:pStyle w:val="6"/>
        <w:keepNext w:val="0"/>
        <w:keepLines w:val="0"/>
        <w:shd w:val="clear"/>
        <w:spacing w:before="0" w:after="0" w:line="52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项目服务要求：</w:t>
      </w:r>
    </w:p>
    <w:p w14:paraId="01E97457">
      <w:pPr>
        <w:pStyle w:val="3"/>
        <w:shd w:val="clear"/>
        <w:spacing w:line="52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1.投标人所投产品必须满足各医疗机构在重庆药品和医用耗材招采管理系统正常实行线上采购</w:t>
      </w:r>
      <w:r>
        <w:rPr>
          <w:rFonts w:hint="eastAsia" w:ascii="仿宋" w:hAnsi="仿宋" w:eastAsia="仿宋" w:cs="仿宋"/>
          <w:bCs/>
          <w:color w:val="auto"/>
          <w:sz w:val="24"/>
          <w:szCs w:val="24"/>
          <w:highlight w:val="none"/>
          <w:lang w:val="en-US" w:eastAsia="zh-CN"/>
        </w:rPr>
        <w:t>。</w:t>
      </w:r>
    </w:p>
    <w:p w14:paraId="62593EC6">
      <w:pPr>
        <w:pStyle w:val="3"/>
        <w:shd w:val="clear"/>
        <w:spacing w:line="52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2.本次招标涉及的耗材产品均实行线上采购，结算单价以中标价为准，实际结算金额=中标单价（或调整后的</w:t>
      </w:r>
      <w:r>
        <w:rPr>
          <w:rFonts w:hint="eastAsia" w:ascii="仿宋" w:hAnsi="仿宋" w:eastAsia="仿宋" w:cs="仿宋"/>
          <w:b w:val="0"/>
          <w:bCs/>
          <w:color w:val="auto"/>
          <w:sz w:val="24"/>
          <w:szCs w:val="24"/>
          <w:highlight w:val="none"/>
          <w:lang w:val="en-US" w:eastAsia="zh-CN"/>
        </w:rPr>
        <w:t>最低挂网价</w:t>
      </w:r>
      <w:r>
        <w:rPr>
          <w:rFonts w:hint="eastAsia" w:ascii="仿宋" w:hAnsi="仿宋" w:eastAsia="仿宋" w:cs="仿宋"/>
          <w:bCs/>
          <w:color w:val="auto"/>
          <w:sz w:val="24"/>
          <w:szCs w:val="24"/>
          <w:highlight w:val="none"/>
          <w:lang w:val="en-US" w:eastAsia="zh-CN"/>
        </w:rPr>
        <w:t>）×实际采购数量。</w:t>
      </w:r>
    </w:p>
    <w:p w14:paraId="49726ED9">
      <w:pPr>
        <w:pStyle w:val="3"/>
        <w:shd w:val="clear"/>
        <w:spacing w:line="52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3.因政策原因，若某品目耗材被纳入上级部门集采范围，则该品目耗材自动退出供货合同。</w:t>
      </w:r>
    </w:p>
    <w:p w14:paraId="2A4CBF74">
      <w:pPr>
        <w:pStyle w:val="3"/>
        <w:shd w:val="clear"/>
        <w:spacing w:line="520" w:lineRule="exact"/>
        <w:ind w:firstLine="482" w:firstLineChars="200"/>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4.若某品目耗材在合同实施期间，重庆药品和医用耗材招采管理系统上对应品目耗材的最低挂网价低于中标价格时，采购人将以重庆药品和医用耗材招采管理系统最低挂网价作为结算单价，中标人不得有异议。</w:t>
      </w:r>
    </w:p>
    <w:p w14:paraId="352ED866">
      <w:pPr>
        <w:pStyle w:val="3"/>
        <w:shd w:val="clear"/>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.因政策原因，若某品目</w:t>
      </w:r>
      <w:r>
        <w:rPr>
          <w:rFonts w:hint="eastAsia" w:ascii="仿宋" w:hAnsi="仿宋" w:eastAsia="仿宋" w:cs="仿宋"/>
          <w:bCs/>
          <w:color w:val="auto"/>
          <w:sz w:val="24"/>
          <w:szCs w:val="24"/>
          <w:highlight w:val="none"/>
          <w:lang w:eastAsia="zh-CN"/>
        </w:rPr>
        <w:t>耗材</w:t>
      </w:r>
      <w:r>
        <w:rPr>
          <w:rFonts w:hint="eastAsia" w:ascii="仿宋" w:hAnsi="仿宋" w:eastAsia="仿宋" w:cs="仿宋"/>
          <w:bCs/>
          <w:color w:val="auto"/>
          <w:sz w:val="24"/>
          <w:szCs w:val="24"/>
          <w:highlight w:val="none"/>
        </w:rPr>
        <w:t>被纳入上级部门集采范围，则该品目</w:t>
      </w:r>
      <w:r>
        <w:rPr>
          <w:rFonts w:hint="eastAsia" w:ascii="仿宋" w:hAnsi="仿宋" w:eastAsia="仿宋" w:cs="仿宋"/>
          <w:bCs/>
          <w:color w:val="auto"/>
          <w:sz w:val="24"/>
          <w:szCs w:val="24"/>
          <w:highlight w:val="none"/>
          <w:lang w:eastAsia="zh-CN"/>
        </w:rPr>
        <w:t>耗材</w:t>
      </w:r>
      <w:r>
        <w:rPr>
          <w:rFonts w:hint="eastAsia" w:ascii="仿宋" w:hAnsi="仿宋" w:eastAsia="仿宋" w:cs="仿宋"/>
          <w:bCs/>
          <w:color w:val="auto"/>
          <w:sz w:val="24"/>
          <w:szCs w:val="24"/>
          <w:highlight w:val="none"/>
        </w:rPr>
        <w:t>自动</w:t>
      </w:r>
      <w:r>
        <w:rPr>
          <w:rFonts w:hint="eastAsia" w:ascii="仿宋" w:hAnsi="仿宋" w:eastAsia="仿宋" w:cs="仿宋"/>
          <w:bCs/>
          <w:color w:val="auto"/>
          <w:sz w:val="24"/>
          <w:szCs w:val="24"/>
          <w:highlight w:val="none"/>
          <w:lang w:eastAsia="zh-CN"/>
        </w:rPr>
        <w:t>退出</w:t>
      </w:r>
      <w:r>
        <w:rPr>
          <w:rFonts w:hint="eastAsia" w:ascii="仿宋" w:hAnsi="仿宋" w:eastAsia="仿宋" w:cs="仿宋"/>
          <w:bCs/>
          <w:color w:val="auto"/>
          <w:sz w:val="24"/>
          <w:szCs w:val="24"/>
          <w:highlight w:val="none"/>
        </w:rPr>
        <w:t>供货合同。</w:t>
      </w:r>
    </w:p>
    <w:p w14:paraId="355615CD">
      <w:pPr>
        <w:pStyle w:val="6"/>
        <w:keepNext w:val="0"/>
        <w:keepLines w:val="0"/>
        <w:shd w:val="clear"/>
        <w:spacing w:before="0" w:after="0" w:line="52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考核要求及标准：</w:t>
      </w:r>
    </w:p>
    <w:p w14:paraId="4F244699">
      <w:pPr>
        <w:shd w:val="clear"/>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根据实际工作需要，采购人每季度及年终按照下列标准对供货</w:t>
      </w:r>
      <w:r>
        <w:rPr>
          <w:rFonts w:hint="eastAsia" w:ascii="仿宋" w:hAnsi="仿宋" w:eastAsia="仿宋" w:cs="仿宋"/>
          <w:bCs/>
          <w:color w:val="auto"/>
          <w:sz w:val="24"/>
          <w:szCs w:val="24"/>
          <w:highlight w:val="none"/>
          <w:lang w:eastAsia="zh-CN"/>
        </w:rPr>
        <w:t>耗材</w:t>
      </w:r>
      <w:r>
        <w:rPr>
          <w:rFonts w:hint="eastAsia" w:ascii="仿宋" w:hAnsi="仿宋" w:eastAsia="仿宋" w:cs="仿宋"/>
          <w:bCs/>
          <w:color w:val="auto"/>
          <w:sz w:val="24"/>
          <w:szCs w:val="24"/>
          <w:highlight w:val="none"/>
        </w:rPr>
        <w:t>生产商、配送商进行考核。</w:t>
      </w:r>
    </w:p>
    <w:p w14:paraId="47D914A0">
      <w:pPr>
        <w:shd w:val="clear"/>
        <w:rPr>
          <w:rStyle w:val="50"/>
          <w:rFonts w:hint="eastAsia" w:ascii="仿宋" w:hAnsi="仿宋" w:eastAsia="仿宋" w:cs="仿宋"/>
          <w:b/>
          <w:bCs w:val="0"/>
          <w:color w:val="auto"/>
          <w:highlight w:val="none"/>
          <w:shd w:val="clear" w:color="auto" w:fill="FFFFFF"/>
          <w:lang w:eastAsia="zh-CN"/>
        </w:rPr>
      </w:pPr>
      <w:r>
        <w:rPr>
          <w:rStyle w:val="50"/>
          <w:rFonts w:hint="eastAsia" w:ascii="仿宋" w:hAnsi="仿宋" w:eastAsia="仿宋" w:cs="仿宋"/>
          <w:b/>
          <w:bCs w:val="0"/>
          <w:color w:val="auto"/>
          <w:highlight w:val="none"/>
          <w:shd w:val="clear" w:color="auto" w:fill="FFFFFF"/>
          <w:lang w:eastAsia="zh-CN"/>
        </w:rPr>
        <w:br w:type="page"/>
      </w:r>
    </w:p>
    <w:p w14:paraId="1A520164">
      <w:pPr>
        <w:shd w:val="clear"/>
        <w:spacing w:line="520" w:lineRule="exact"/>
        <w:ind w:firstLine="482" w:firstLineChars="200"/>
        <w:jc w:val="center"/>
        <w:rPr>
          <w:rFonts w:hint="eastAsia" w:ascii="仿宋" w:hAnsi="仿宋" w:eastAsia="仿宋" w:cs="仿宋"/>
          <w:color w:val="auto"/>
          <w:sz w:val="24"/>
          <w:szCs w:val="24"/>
          <w:highlight w:val="none"/>
        </w:rPr>
      </w:pPr>
      <w:r>
        <w:rPr>
          <w:rStyle w:val="50"/>
          <w:rFonts w:hint="eastAsia" w:ascii="仿宋" w:hAnsi="仿宋" w:eastAsia="仿宋" w:cs="仿宋"/>
          <w:b/>
          <w:bCs w:val="0"/>
          <w:color w:val="auto"/>
          <w:highlight w:val="none"/>
          <w:shd w:val="clear" w:color="auto" w:fill="FFFFFF"/>
          <w:lang w:eastAsia="zh-CN"/>
        </w:rPr>
        <w:t>（</w:t>
      </w:r>
      <w:r>
        <w:rPr>
          <w:rStyle w:val="50"/>
          <w:rFonts w:hint="eastAsia" w:ascii="仿宋" w:hAnsi="仿宋" w:eastAsia="仿宋" w:cs="仿宋"/>
          <w:b/>
          <w:bCs w:val="0"/>
          <w:color w:val="auto"/>
          <w:highlight w:val="none"/>
          <w:shd w:val="clear" w:color="auto" w:fill="FFFFFF"/>
          <w:lang w:val="en-US" w:eastAsia="zh-CN"/>
        </w:rPr>
        <w:t>一</w:t>
      </w:r>
      <w:r>
        <w:rPr>
          <w:rStyle w:val="50"/>
          <w:rFonts w:hint="eastAsia" w:ascii="仿宋" w:hAnsi="仿宋" w:eastAsia="仿宋" w:cs="仿宋"/>
          <w:b/>
          <w:bCs w:val="0"/>
          <w:color w:val="auto"/>
          <w:highlight w:val="none"/>
          <w:shd w:val="clear" w:color="auto" w:fill="FFFFFF"/>
          <w:lang w:eastAsia="zh-CN"/>
        </w:rPr>
        <w:t>）</w:t>
      </w:r>
      <w:r>
        <w:rPr>
          <w:rStyle w:val="50"/>
          <w:rFonts w:hint="eastAsia" w:ascii="仿宋" w:hAnsi="仿宋" w:eastAsia="仿宋" w:cs="仿宋"/>
          <w:b/>
          <w:bCs w:val="0"/>
          <w:color w:val="auto"/>
          <w:highlight w:val="none"/>
          <w:shd w:val="clear" w:color="auto" w:fill="FFFFFF"/>
        </w:rPr>
        <w:t>医院核心考评项目（100 分，扣分制）</w:t>
      </w:r>
    </w:p>
    <w:tbl>
      <w:tblPr>
        <w:tblStyle w:val="47"/>
        <w:tblW w:w="50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0"/>
        <w:gridCol w:w="1612"/>
        <w:gridCol w:w="854"/>
        <w:gridCol w:w="4659"/>
        <w:gridCol w:w="2642"/>
      </w:tblGrid>
      <w:tr w14:paraId="73CD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71" w:type="pct"/>
            <w:noWrap w:val="0"/>
            <w:tcMar>
              <w:top w:w="180" w:type="dxa"/>
              <w:left w:w="270" w:type="dxa"/>
              <w:bottom w:w="180" w:type="dxa"/>
              <w:right w:w="270" w:type="dxa"/>
            </w:tcMar>
            <w:vAlign w:val="center"/>
          </w:tcPr>
          <w:p w14:paraId="1C7A4662">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序号</w:t>
            </w:r>
          </w:p>
        </w:tc>
        <w:tc>
          <w:tcPr>
            <w:tcW w:w="780" w:type="pct"/>
            <w:noWrap w:val="0"/>
            <w:tcMar>
              <w:top w:w="180" w:type="dxa"/>
              <w:left w:w="270" w:type="dxa"/>
              <w:bottom w:w="180" w:type="dxa"/>
              <w:right w:w="270" w:type="dxa"/>
            </w:tcMar>
            <w:vAlign w:val="center"/>
          </w:tcPr>
          <w:p w14:paraId="7614A440">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考核项目</w:t>
            </w:r>
          </w:p>
        </w:tc>
        <w:tc>
          <w:tcPr>
            <w:tcW w:w="413" w:type="pct"/>
            <w:noWrap w:val="0"/>
            <w:tcMar>
              <w:top w:w="180" w:type="dxa"/>
              <w:left w:w="270" w:type="dxa"/>
              <w:bottom w:w="180" w:type="dxa"/>
              <w:right w:w="270" w:type="dxa"/>
            </w:tcMar>
            <w:vAlign w:val="center"/>
          </w:tcPr>
          <w:p w14:paraId="1A38201D">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分值</w:t>
            </w:r>
          </w:p>
        </w:tc>
        <w:tc>
          <w:tcPr>
            <w:tcW w:w="2255" w:type="pct"/>
            <w:noWrap w:val="0"/>
            <w:tcMar>
              <w:top w:w="180" w:type="dxa"/>
              <w:left w:w="270" w:type="dxa"/>
              <w:bottom w:w="180" w:type="dxa"/>
              <w:right w:w="270" w:type="dxa"/>
            </w:tcMar>
            <w:vAlign w:val="center"/>
          </w:tcPr>
          <w:p w14:paraId="6B5AD588">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考核内容</w:t>
            </w:r>
          </w:p>
        </w:tc>
        <w:tc>
          <w:tcPr>
            <w:tcW w:w="1279" w:type="pct"/>
            <w:noWrap w:val="0"/>
            <w:tcMar>
              <w:top w:w="180" w:type="dxa"/>
              <w:left w:w="270" w:type="dxa"/>
              <w:bottom w:w="180" w:type="dxa"/>
              <w:right w:w="270" w:type="dxa"/>
            </w:tcMar>
            <w:vAlign w:val="center"/>
          </w:tcPr>
          <w:p w14:paraId="0836F9CF">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扣分标准</w:t>
            </w:r>
          </w:p>
        </w:tc>
      </w:tr>
      <w:tr w14:paraId="4AEB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71" w:type="pct"/>
            <w:noWrap w:val="0"/>
            <w:tcMar>
              <w:top w:w="180" w:type="dxa"/>
              <w:left w:w="270" w:type="dxa"/>
              <w:bottom w:w="180" w:type="dxa"/>
              <w:right w:w="270" w:type="dxa"/>
            </w:tcMar>
            <w:vAlign w:val="center"/>
          </w:tcPr>
          <w:p w14:paraId="5F4CC605">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1</w:t>
            </w:r>
          </w:p>
        </w:tc>
        <w:tc>
          <w:tcPr>
            <w:tcW w:w="780" w:type="pct"/>
            <w:noWrap w:val="0"/>
            <w:tcMar>
              <w:top w:w="180" w:type="dxa"/>
              <w:left w:w="270" w:type="dxa"/>
              <w:bottom w:w="180" w:type="dxa"/>
              <w:right w:w="270" w:type="dxa"/>
            </w:tcMar>
            <w:vAlign w:val="center"/>
          </w:tcPr>
          <w:p w14:paraId="521BC8A1">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资质与证件管理</w:t>
            </w:r>
          </w:p>
        </w:tc>
        <w:tc>
          <w:tcPr>
            <w:tcW w:w="413" w:type="pct"/>
            <w:noWrap w:val="0"/>
            <w:tcMar>
              <w:top w:w="180" w:type="dxa"/>
              <w:left w:w="270" w:type="dxa"/>
              <w:bottom w:w="180" w:type="dxa"/>
              <w:right w:w="270" w:type="dxa"/>
            </w:tcMar>
            <w:vAlign w:val="center"/>
          </w:tcPr>
          <w:p w14:paraId="757D988F">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val="en-US" w:eastAsia="zh-CN" w:bidi="ar"/>
              </w:rPr>
              <w:t>5</w:t>
            </w:r>
          </w:p>
        </w:tc>
        <w:tc>
          <w:tcPr>
            <w:tcW w:w="2255" w:type="pct"/>
            <w:noWrap w:val="0"/>
            <w:tcMar>
              <w:top w:w="180" w:type="dxa"/>
              <w:left w:w="270" w:type="dxa"/>
              <w:bottom w:w="180" w:type="dxa"/>
              <w:right w:w="270" w:type="dxa"/>
            </w:tcMar>
            <w:vAlign w:val="center"/>
          </w:tcPr>
          <w:p w14:paraId="12C319AF">
            <w:pPr>
              <w:keepNext w:val="0"/>
              <w:keepLines w:val="0"/>
              <w:pageBreakBefore w:val="0"/>
              <w:widowControl/>
              <w:shd w:val="clea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提供真实有效且齐全的资质材料（营业执照、经营许可证、生产/经营授权等）；</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资质变更或过期时，需在 3 个工作日内更新存档。</w:t>
            </w:r>
          </w:p>
        </w:tc>
        <w:tc>
          <w:tcPr>
            <w:tcW w:w="1279" w:type="pct"/>
            <w:noWrap w:val="0"/>
            <w:tcMar>
              <w:top w:w="180" w:type="dxa"/>
              <w:left w:w="270" w:type="dxa"/>
              <w:bottom w:w="180" w:type="dxa"/>
              <w:right w:w="270" w:type="dxa"/>
            </w:tcMar>
            <w:vAlign w:val="center"/>
          </w:tcPr>
          <w:p w14:paraId="33A5034D">
            <w:pPr>
              <w:keepNext w:val="0"/>
              <w:keepLines w:val="0"/>
              <w:pageBreakBefore w:val="0"/>
              <w:widowControl/>
              <w:shd w:val="clea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资质缺失或过期</w:t>
            </w:r>
            <w:r>
              <w:rPr>
                <w:rFonts w:hint="eastAsia" w:ascii="仿宋" w:hAnsi="仿宋" w:eastAsia="仿宋" w:cs="仿宋"/>
                <w:color w:val="auto"/>
                <w:sz w:val="21"/>
                <w:szCs w:val="21"/>
                <w:highlight w:val="none"/>
                <w:lang w:val="en-US" w:eastAsia="zh-CN" w:bidi="ar"/>
              </w:rPr>
              <w:t>未及时更新</w:t>
            </w:r>
            <w:r>
              <w:rPr>
                <w:rFonts w:hint="eastAsia" w:ascii="仿宋" w:hAnsi="仿宋" w:eastAsia="仿宋" w:cs="仿宋"/>
                <w:color w:val="auto"/>
                <w:sz w:val="21"/>
                <w:szCs w:val="21"/>
                <w:highlight w:val="none"/>
                <w:lang w:bidi="ar"/>
              </w:rPr>
              <w:t>，每项扣 5 分；</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未及时更新，每次扣 3 分。</w:t>
            </w:r>
          </w:p>
        </w:tc>
      </w:tr>
      <w:tr w14:paraId="3E64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71" w:type="pct"/>
            <w:noWrap w:val="0"/>
            <w:tcMar>
              <w:top w:w="180" w:type="dxa"/>
              <w:left w:w="270" w:type="dxa"/>
              <w:bottom w:w="180" w:type="dxa"/>
              <w:right w:w="270" w:type="dxa"/>
            </w:tcMar>
            <w:vAlign w:val="center"/>
          </w:tcPr>
          <w:p w14:paraId="76AA593D">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2</w:t>
            </w:r>
          </w:p>
        </w:tc>
        <w:tc>
          <w:tcPr>
            <w:tcW w:w="780" w:type="pct"/>
            <w:noWrap w:val="0"/>
            <w:tcMar>
              <w:top w:w="180" w:type="dxa"/>
              <w:left w:w="270" w:type="dxa"/>
              <w:bottom w:w="180" w:type="dxa"/>
              <w:right w:w="270" w:type="dxa"/>
            </w:tcMar>
            <w:vAlign w:val="center"/>
          </w:tcPr>
          <w:p w14:paraId="3BA54E9C">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订单响应效率</w:t>
            </w:r>
          </w:p>
        </w:tc>
        <w:tc>
          <w:tcPr>
            <w:tcW w:w="413" w:type="pct"/>
            <w:noWrap w:val="0"/>
            <w:tcMar>
              <w:top w:w="180" w:type="dxa"/>
              <w:left w:w="270" w:type="dxa"/>
              <w:bottom w:w="180" w:type="dxa"/>
              <w:right w:w="270" w:type="dxa"/>
            </w:tcMar>
            <w:vAlign w:val="center"/>
          </w:tcPr>
          <w:p w14:paraId="01F67246">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10</w:t>
            </w:r>
          </w:p>
        </w:tc>
        <w:tc>
          <w:tcPr>
            <w:tcW w:w="2255" w:type="pct"/>
            <w:noWrap w:val="0"/>
            <w:tcMar>
              <w:top w:w="180" w:type="dxa"/>
              <w:left w:w="270" w:type="dxa"/>
              <w:bottom w:w="180" w:type="dxa"/>
              <w:right w:w="270" w:type="dxa"/>
            </w:tcMar>
            <w:vAlign w:val="center"/>
          </w:tcPr>
          <w:p w14:paraId="5381ABC4">
            <w:pPr>
              <w:keepNext w:val="0"/>
              <w:keepLines w:val="0"/>
              <w:pageBreakBefore w:val="0"/>
              <w:widowControl/>
              <w:shd w:val="clea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合同 / 订单响应时限≤24 小时（不可抗力除外）；</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紧急订单</w:t>
            </w:r>
            <w:r>
              <w:rPr>
                <w:rFonts w:hint="eastAsia" w:ascii="仿宋" w:hAnsi="仿宋" w:eastAsia="仿宋" w:cs="仿宋"/>
                <w:color w:val="auto"/>
                <w:sz w:val="21"/>
                <w:szCs w:val="21"/>
                <w:highlight w:val="none"/>
                <w:lang w:eastAsia="zh-CN" w:bidi="ar"/>
              </w:rPr>
              <w:t>需在</w:t>
            </w:r>
            <w:r>
              <w:rPr>
                <w:rFonts w:hint="eastAsia" w:ascii="仿宋" w:hAnsi="仿宋" w:eastAsia="仿宋" w:cs="仿宋"/>
                <w:color w:val="auto"/>
                <w:sz w:val="21"/>
                <w:szCs w:val="21"/>
                <w:highlight w:val="none"/>
                <w:lang w:bidi="ar"/>
              </w:rPr>
              <w:t xml:space="preserve"> 30 分钟内响应。</w:t>
            </w:r>
          </w:p>
        </w:tc>
        <w:tc>
          <w:tcPr>
            <w:tcW w:w="1279" w:type="pct"/>
            <w:noWrap w:val="0"/>
            <w:tcMar>
              <w:top w:w="180" w:type="dxa"/>
              <w:left w:w="270" w:type="dxa"/>
              <w:bottom w:w="180" w:type="dxa"/>
              <w:right w:w="270" w:type="dxa"/>
            </w:tcMar>
            <w:vAlign w:val="center"/>
          </w:tcPr>
          <w:p w14:paraId="49A85439">
            <w:pPr>
              <w:keepNext w:val="0"/>
              <w:keepLines w:val="0"/>
              <w:pageBreakBefore w:val="0"/>
              <w:widowControl/>
              <w:shd w:val="clea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常规订单延迟响应，每次扣 2 分；</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紧急订单未按时响应，每次扣 5 分。</w:t>
            </w:r>
          </w:p>
        </w:tc>
      </w:tr>
      <w:tr w14:paraId="6F46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71" w:type="pct"/>
            <w:noWrap w:val="0"/>
            <w:tcMar>
              <w:top w:w="180" w:type="dxa"/>
              <w:left w:w="270" w:type="dxa"/>
              <w:bottom w:w="180" w:type="dxa"/>
              <w:right w:w="270" w:type="dxa"/>
            </w:tcMar>
            <w:vAlign w:val="center"/>
          </w:tcPr>
          <w:p w14:paraId="63DAB277">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3</w:t>
            </w:r>
          </w:p>
        </w:tc>
        <w:tc>
          <w:tcPr>
            <w:tcW w:w="780" w:type="pct"/>
            <w:noWrap w:val="0"/>
            <w:tcMar>
              <w:top w:w="180" w:type="dxa"/>
              <w:left w:w="270" w:type="dxa"/>
              <w:bottom w:w="180" w:type="dxa"/>
              <w:right w:w="270" w:type="dxa"/>
            </w:tcMar>
            <w:vAlign w:val="center"/>
          </w:tcPr>
          <w:p w14:paraId="11ECDC84">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配送及时性</w:t>
            </w:r>
          </w:p>
        </w:tc>
        <w:tc>
          <w:tcPr>
            <w:tcW w:w="413" w:type="pct"/>
            <w:noWrap w:val="0"/>
            <w:tcMar>
              <w:top w:w="180" w:type="dxa"/>
              <w:left w:w="270" w:type="dxa"/>
              <w:bottom w:w="180" w:type="dxa"/>
              <w:right w:w="270" w:type="dxa"/>
            </w:tcMar>
            <w:vAlign w:val="center"/>
          </w:tcPr>
          <w:p w14:paraId="51A41FD3">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20</w:t>
            </w:r>
          </w:p>
        </w:tc>
        <w:tc>
          <w:tcPr>
            <w:tcW w:w="2255" w:type="pct"/>
            <w:noWrap w:val="0"/>
            <w:tcMar>
              <w:top w:w="180" w:type="dxa"/>
              <w:left w:w="270" w:type="dxa"/>
              <w:bottom w:w="180" w:type="dxa"/>
              <w:right w:w="270" w:type="dxa"/>
            </w:tcMar>
            <w:vAlign w:val="center"/>
          </w:tcPr>
          <w:p w14:paraId="470111A5">
            <w:pPr>
              <w:keepNext w:val="0"/>
              <w:keepLines w:val="0"/>
              <w:pageBreakBefore w:val="0"/>
              <w:widowControl/>
              <w:shd w:val="clea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常规订单≤2个工作日送达，加急订单≤24 小时送达；</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节假日按医院需求配送，不得拒绝。</w:t>
            </w:r>
          </w:p>
        </w:tc>
        <w:tc>
          <w:tcPr>
            <w:tcW w:w="1279" w:type="pct"/>
            <w:noWrap w:val="0"/>
            <w:tcMar>
              <w:top w:w="180" w:type="dxa"/>
              <w:left w:w="270" w:type="dxa"/>
              <w:bottom w:w="180" w:type="dxa"/>
              <w:right w:w="270" w:type="dxa"/>
            </w:tcMar>
            <w:vAlign w:val="center"/>
          </w:tcPr>
          <w:p w14:paraId="7B9417E1">
            <w:pPr>
              <w:keepNext w:val="0"/>
              <w:keepLines w:val="0"/>
              <w:pageBreakBefore w:val="0"/>
              <w:widowControl/>
              <w:shd w:val="clea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常规订单延迟，每次扣 3 分；</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加急订单延迟，每次扣 5 分；</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③ 节假日拒绝配送，每次扣 5 分。</w:t>
            </w:r>
          </w:p>
        </w:tc>
      </w:tr>
      <w:tr w14:paraId="3912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71" w:type="pct"/>
            <w:noWrap w:val="0"/>
            <w:tcMar>
              <w:top w:w="180" w:type="dxa"/>
              <w:left w:w="270" w:type="dxa"/>
              <w:bottom w:w="180" w:type="dxa"/>
              <w:right w:w="270" w:type="dxa"/>
            </w:tcMar>
            <w:vAlign w:val="center"/>
          </w:tcPr>
          <w:p w14:paraId="77580302">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4</w:t>
            </w:r>
          </w:p>
        </w:tc>
        <w:tc>
          <w:tcPr>
            <w:tcW w:w="780" w:type="pct"/>
            <w:noWrap w:val="0"/>
            <w:tcMar>
              <w:top w:w="180" w:type="dxa"/>
              <w:left w:w="270" w:type="dxa"/>
              <w:bottom w:w="180" w:type="dxa"/>
              <w:right w:w="270" w:type="dxa"/>
            </w:tcMar>
            <w:vAlign w:val="center"/>
          </w:tcPr>
          <w:p w14:paraId="4F53E880">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产品质量与合规</w:t>
            </w:r>
          </w:p>
        </w:tc>
        <w:tc>
          <w:tcPr>
            <w:tcW w:w="413" w:type="pct"/>
            <w:noWrap w:val="0"/>
            <w:tcMar>
              <w:top w:w="180" w:type="dxa"/>
              <w:left w:w="270" w:type="dxa"/>
              <w:bottom w:w="180" w:type="dxa"/>
              <w:right w:w="270" w:type="dxa"/>
            </w:tcMar>
            <w:vAlign w:val="center"/>
          </w:tcPr>
          <w:p w14:paraId="41C6AA12">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30</w:t>
            </w:r>
          </w:p>
        </w:tc>
        <w:tc>
          <w:tcPr>
            <w:tcW w:w="2255" w:type="pct"/>
            <w:noWrap w:val="0"/>
            <w:tcMar>
              <w:top w:w="180" w:type="dxa"/>
              <w:left w:w="270" w:type="dxa"/>
              <w:bottom w:w="180" w:type="dxa"/>
              <w:right w:w="270" w:type="dxa"/>
            </w:tcMar>
            <w:vAlign w:val="center"/>
          </w:tcPr>
          <w:p w14:paraId="04D90E2D">
            <w:pPr>
              <w:pStyle w:val="180"/>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val="en-US" w:eastAsia="zh-CN" w:bidi="ar"/>
              </w:rPr>
              <w:t>①耗材</w:t>
            </w:r>
            <w:r>
              <w:rPr>
                <w:rFonts w:hint="eastAsia" w:ascii="仿宋" w:hAnsi="仿宋" w:eastAsia="仿宋" w:cs="仿宋"/>
                <w:color w:val="auto"/>
                <w:sz w:val="21"/>
                <w:szCs w:val="21"/>
                <w:highlight w:val="none"/>
                <w:lang w:bidi="ar"/>
              </w:rPr>
              <w:t>规格、数量</w:t>
            </w:r>
            <w:r>
              <w:rPr>
                <w:rFonts w:hint="eastAsia" w:ascii="仿宋" w:hAnsi="仿宋" w:eastAsia="仿宋" w:cs="仿宋"/>
                <w:color w:val="auto"/>
                <w:sz w:val="21"/>
                <w:szCs w:val="21"/>
                <w:highlight w:val="none"/>
                <w:lang w:eastAsia="zh-CN" w:bidi="ar"/>
              </w:rPr>
              <w:t>、有</w:t>
            </w:r>
            <w:r>
              <w:rPr>
                <w:rFonts w:hint="eastAsia" w:ascii="仿宋" w:hAnsi="仿宋" w:eastAsia="仿宋" w:cs="仿宋"/>
                <w:color w:val="auto"/>
                <w:sz w:val="21"/>
                <w:szCs w:val="21"/>
                <w:highlight w:val="none"/>
                <w:lang w:bidi="ar"/>
              </w:rPr>
              <w:t>效期等与订单一致；</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冷链产品全程温度达标率100%，储存条件符合要求；</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③ 随货资料（检验报告、随货单）齐全且信息准确</w:t>
            </w:r>
            <w:r>
              <w:rPr>
                <w:rFonts w:hint="eastAsia" w:ascii="仿宋" w:hAnsi="仿宋" w:eastAsia="仿宋" w:cs="仿宋"/>
                <w:color w:val="auto"/>
                <w:sz w:val="21"/>
                <w:szCs w:val="21"/>
                <w:highlight w:val="none"/>
                <w:lang w:eastAsia="zh-CN" w:bidi="ar"/>
              </w:rPr>
              <w:t>；</w:t>
            </w:r>
          </w:p>
          <w:p w14:paraId="4636A602">
            <w:pPr>
              <w:pStyle w:val="180"/>
              <w:keepNext w:val="0"/>
              <w:keepLines w:val="0"/>
              <w:pageBreakBefore w:val="0"/>
              <w:widowControl/>
              <w:numPr>
                <w:ilvl w:val="-1"/>
                <w:numId w:val="0"/>
              </w:numPr>
              <w:shd w:val="clear"/>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④因质量问题导致的使用中的不良事件。</w:t>
            </w:r>
          </w:p>
        </w:tc>
        <w:tc>
          <w:tcPr>
            <w:tcW w:w="1279" w:type="pct"/>
            <w:noWrap w:val="0"/>
            <w:tcMar>
              <w:top w:w="180" w:type="dxa"/>
              <w:left w:w="270" w:type="dxa"/>
              <w:bottom w:w="180" w:type="dxa"/>
              <w:right w:w="270" w:type="dxa"/>
            </w:tcMar>
            <w:vAlign w:val="center"/>
          </w:tcPr>
          <w:p w14:paraId="408AFD4D">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val="en-US" w:eastAsia="zh-CN" w:bidi="ar"/>
              </w:rPr>
              <w:t>①</w:t>
            </w:r>
            <w:r>
              <w:rPr>
                <w:rFonts w:hint="eastAsia" w:ascii="仿宋" w:hAnsi="仿宋" w:eastAsia="仿宋" w:cs="仿宋"/>
                <w:color w:val="auto"/>
                <w:sz w:val="21"/>
                <w:szCs w:val="21"/>
                <w:highlight w:val="none"/>
                <w:lang w:bidi="ar"/>
              </w:rPr>
              <w:t>规格 / 数量不符，每次扣 5 分；</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 xml:space="preserve">② 批号超量 / 效期不足，每次扣 </w:t>
            </w:r>
            <w:r>
              <w:rPr>
                <w:rFonts w:hint="eastAsia" w:ascii="仿宋" w:hAnsi="仿宋" w:eastAsia="仿宋" w:cs="仿宋"/>
                <w:color w:val="auto"/>
                <w:sz w:val="21"/>
                <w:szCs w:val="21"/>
                <w:highlight w:val="none"/>
                <w:lang w:val="en-US" w:eastAsia="zh-CN" w:bidi="ar"/>
              </w:rPr>
              <w:t>5</w:t>
            </w:r>
            <w:r>
              <w:rPr>
                <w:rFonts w:hint="eastAsia" w:ascii="仿宋" w:hAnsi="仿宋" w:eastAsia="仿宋" w:cs="仿宋"/>
                <w:color w:val="auto"/>
                <w:sz w:val="21"/>
                <w:szCs w:val="21"/>
                <w:highlight w:val="none"/>
                <w:lang w:bidi="ar"/>
              </w:rPr>
              <w:t xml:space="preserve"> 分；</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③ 冷链不达标 / 资料缺失，每次扣 5 分。</w:t>
            </w:r>
          </w:p>
          <w:p w14:paraId="30F47D7D">
            <w:pPr>
              <w:keepNext w:val="0"/>
              <w:keepLines w:val="0"/>
              <w:pageBreakBefore w:val="0"/>
              <w:widowControl/>
              <w:numPr>
                <w:ilvl w:val="-1"/>
                <w:numId w:val="0"/>
              </w:numPr>
              <w:shd w:val="clear"/>
              <w:kinsoku/>
              <w:wordWrap/>
              <w:overflowPunct/>
              <w:topLinePunct w:val="0"/>
              <w:autoSpaceDE/>
              <w:autoSpaceDN/>
              <w:bidi w:val="0"/>
              <w:adjustRightInd/>
              <w:snapToGrid/>
              <w:spacing w:line="240" w:lineRule="auto"/>
              <w:jc w:val="left"/>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color w:val="auto"/>
                <w:sz w:val="21"/>
                <w:szCs w:val="21"/>
                <w:highlight w:val="none"/>
                <w:lang w:val="en-US" w:eastAsia="zh-CN" w:bidi="ar"/>
              </w:rPr>
              <w:t xml:space="preserve">④每发生一次因质量问题导致的使用中的不良事件，扣10分；发生医疗损害，取消中标资格并承担相应责任。 </w:t>
            </w:r>
          </w:p>
        </w:tc>
      </w:tr>
      <w:tr w14:paraId="7949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71" w:type="pct"/>
            <w:noWrap w:val="0"/>
            <w:tcMar>
              <w:top w:w="180" w:type="dxa"/>
              <w:left w:w="270" w:type="dxa"/>
              <w:bottom w:w="180" w:type="dxa"/>
              <w:right w:w="270" w:type="dxa"/>
            </w:tcMar>
            <w:vAlign w:val="center"/>
          </w:tcPr>
          <w:p w14:paraId="541BB902">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5</w:t>
            </w:r>
          </w:p>
        </w:tc>
        <w:tc>
          <w:tcPr>
            <w:tcW w:w="780" w:type="pct"/>
            <w:noWrap w:val="0"/>
            <w:tcMar>
              <w:top w:w="180" w:type="dxa"/>
              <w:left w:w="270" w:type="dxa"/>
              <w:bottom w:w="180" w:type="dxa"/>
              <w:right w:w="270" w:type="dxa"/>
            </w:tcMar>
            <w:vAlign w:val="center"/>
          </w:tcPr>
          <w:p w14:paraId="29A345AF">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发票与票据管理</w:t>
            </w:r>
          </w:p>
        </w:tc>
        <w:tc>
          <w:tcPr>
            <w:tcW w:w="413" w:type="pct"/>
            <w:noWrap w:val="0"/>
            <w:tcMar>
              <w:top w:w="180" w:type="dxa"/>
              <w:left w:w="270" w:type="dxa"/>
              <w:bottom w:w="180" w:type="dxa"/>
              <w:right w:w="270" w:type="dxa"/>
            </w:tcMar>
            <w:vAlign w:val="center"/>
          </w:tcPr>
          <w:p w14:paraId="3076D44E">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5</w:t>
            </w:r>
          </w:p>
        </w:tc>
        <w:tc>
          <w:tcPr>
            <w:tcW w:w="2255" w:type="pct"/>
            <w:noWrap w:val="0"/>
            <w:tcMar>
              <w:top w:w="180" w:type="dxa"/>
              <w:left w:w="270" w:type="dxa"/>
              <w:bottom w:w="180" w:type="dxa"/>
              <w:right w:w="270" w:type="dxa"/>
            </w:tcMar>
            <w:vAlign w:val="center"/>
          </w:tcPr>
          <w:p w14:paraId="18657DA9">
            <w:pPr>
              <w:keepNext w:val="0"/>
              <w:keepLines w:val="0"/>
              <w:pageBreakBefore w:val="0"/>
              <w:widowControl/>
              <w:shd w:val="clea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对账后 3 个工作日内上传正确发票；</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随货单与货物同步送达，临时票据≤2 个工作</w:t>
            </w:r>
            <w:r>
              <w:rPr>
                <w:rFonts w:hint="eastAsia" w:ascii="仿宋" w:hAnsi="仿宋" w:eastAsia="仿宋" w:cs="仿宋"/>
                <w:color w:val="auto"/>
                <w:sz w:val="21"/>
                <w:szCs w:val="21"/>
                <w:highlight w:val="none"/>
                <w:lang w:eastAsia="zh-CN" w:bidi="ar"/>
              </w:rPr>
              <w:t>日内</w:t>
            </w:r>
            <w:r>
              <w:rPr>
                <w:rFonts w:hint="eastAsia" w:ascii="仿宋" w:hAnsi="仿宋" w:eastAsia="仿宋" w:cs="仿宋"/>
                <w:color w:val="auto"/>
                <w:sz w:val="21"/>
                <w:szCs w:val="21"/>
                <w:highlight w:val="none"/>
                <w:lang w:bidi="ar"/>
              </w:rPr>
              <w:t>补齐。</w:t>
            </w:r>
          </w:p>
        </w:tc>
        <w:tc>
          <w:tcPr>
            <w:tcW w:w="1279" w:type="pct"/>
            <w:noWrap w:val="0"/>
            <w:tcMar>
              <w:top w:w="180" w:type="dxa"/>
              <w:left w:w="270" w:type="dxa"/>
              <w:bottom w:w="180" w:type="dxa"/>
              <w:right w:w="270" w:type="dxa"/>
            </w:tcMar>
            <w:vAlign w:val="center"/>
          </w:tcPr>
          <w:p w14:paraId="101C4BC7">
            <w:pPr>
              <w:keepNext w:val="0"/>
              <w:keepLines w:val="0"/>
              <w:pageBreakBefore w:val="0"/>
              <w:widowControl/>
              <w:shd w:val="clea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发票延迟 / 错误，每次扣 2 分；</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票据未按时补齐，每次扣 1 分。</w:t>
            </w:r>
          </w:p>
        </w:tc>
      </w:tr>
      <w:tr w14:paraId="1FAE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71" w:type="pct"/>
            <w:noWrap w:val="0"/>
            <w:tcMar>
              <w:top w:w="180" w:type="dxa"/>
              <w:left w:w="270" w:type="dxa"/>
              <w:bottom w:w="180" w:type="dxa"/>
              <w:right w:w="270" w:type="dxa"/>
            </w:tcMar>
            <w:vAlign w:val="center"/>
          </w:tcPr>
          <w:p w14:paraId="71FA739F">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6</w:t>
            </w:r>
          </w:p>
        </w:tc>
        <w:tc>
          <w:tcPr>
            <w:tcW w:w="780" w:type="pct"/>
            <w:noWrap w:val="0"/>
            <w:tcMar>
              <w:top w:w="180" w:type="dxa"/>
              <w:left w:w="270" w:type="dxa"/>
              <w:bottom w:w="180" w:type="dxa"/>
              <w:right w:w="270" w:type="dxa"/>
            </w:tcMar>
            <w:vAlign w:val="center"/>
          </w:tcPr>
          <w:p w14:paraId="2E68364F">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售后服务质量</w:t>
            </w:r>
          </w:p>
        </w:tc>
        <w:tc>
          <w:tcPr>
            <w:tcW w:w="413" w:type="pct"/>
            <w:noWrap w:val="0"/>
            <w:tcMar>
              <w:top w:w="180" w:type="dxa"/>
              <w:left w:w="270" w:type="dxa"/>
              <w:bottom w:w="180" w:type="dxa"/>
              <w:right w:w="270" w:type="dxa"/>
            </w:tcMar>
            <w:vAlign w:val="center"/>
          </w:tcPr>
          <w:p w14:paraId="3EF5BD1F">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10</w:t>
            </w:r>
          </w:p>
        </w:tc>
        <w:tc>
          <w:tcPr>
            <w:tcW w:w="2255" w:type="pct"/>
            <w:noWrap w:val="0"/>
            <w:tcMar>
              <w:top w:w="180" w:type="dxa"/>
              <w:left w:w="270" w:type="dxa"/>
              <w:bottom w:w="180" w:type="dxa"/>
              <w:right w:w="270" w:type="dxa"/>
            </w:tcMar>
            <w:vAlign w:val="center"/>
          </w:tcPr>
          <w:p w14:paraId="528F0E65">
            <w:pPr>
              <w:keepNext w:val="0"/>
              <w:keepLines w:val="0"/>
              <w:pageBreakBefore w:val="0"/>
              <w:widowControl/>
              <w:shd w:val="clear"/>
              <w:kinsoku/>
              <w:wordWrap/>
              <w:overflowPunct/>
              <w:topLinePunct w:val="0"/>
              <w:autoSpaceDE/>
              <w:autoSpaceDN/>
              <w:bidi w:val="0"/>
              <w:adjustRightInd/>
              <w:snapToGrid/>
              <w:spacing w:line="240" w:lineRule="auto"/>
              <w:jc w:val="left"/>
              <w:textAlignment w:val="center"/>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bidi="ar"/>
              </w:rPr>
              <w:t>① 配送人员文明搬运，协助验货、码放；</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48 小时内处理退换货（近效期、</w:t>
            </w:r>
            <w:r>
              <w:rPr>
                <w:rFonts w:hint="eastAsia" w:ascii="仿宋" w:hAnsi="仿宋" w:eastAsia="仿宋" w:cs="仿宋"/>
                <w:color w:val="auto"/>
                <w:sz w:val="21"/>
                <w:szCs w:val="21"/>
                <w:highlight w:val="none"/>
                <w:lang w:val="en-US" w:eastAsia="zh-CN" w:bidi="ar"/>
              </w:rPr>
              <w:t>已过期、</w:t>
            </w:r>
            <w:r>
              <w:rPr>
                <w:rFonts w:hint="eastAsia" w:ascii="仿宋" w:hAnsi="仿宋" w:eastAsia="仿宋" w:cs="仿宋"/>
                <w:color w:val="auto"/>
                <w:sz w:val="21"/>
                <w:szCs w:val="21"/>
                <w:highlight w:val="none"/>
                <w:lang w:bidi="ar"/>
              </w:rPr>
              <w:t>破损等）；</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③ 24 小时内响应临床问题，配合不良事件调查。</w:t>
            </w:r>
          </w:p>
        </w:tc>
        <w:tc>
          <w:tcPr>
            <w:tcW w:w="1279" w:type="pct"/>
            <w:noWrap w:val="0"/>
            <w:tcMar>
              <w:top w:w="180" w:type="dxa"/>
              <w:left w:w="270" w:type="dxa"/>
              <w:bottom w:w="180" w:type="dxa"/>
              <w:right w:w="270" w:type="dxa"/>
            </w:tcMar>
            <w:vAlign w:val="center"/>
          </w:tcPr>
          <w:p w14:paraId="5110FB2E">
            <w:pPr>
              <w:keepNext w:val="0"/>
              <w:keepLines w:val="0"/>
              <w:pageBreakBefore w:val="0"/>
              <w:widowControl/>
              <w:shd w:val="clea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搬运破损 / 拒绝协助，每次扣 3 分；</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退换货延迟，每次扣 3 分；</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③ 问题响应超时，每次扣 5 分。</w:t>
            </w:r>
          </w:p>
        </w:tc>
      </w:tr>
      <w:tr w14:paraId="6C34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71" w:type="pct"/>
            <w:noWrap w:val="0"/>
            <w:tcMar>
              <w:top w:w="180" w:type="dxa"/>
              <w:left w:w="270" w:type="dxa"/>
              <w:bottom w:w="180" w:type="dxa"/>
              <w:right w:w="270" w:type="dxa"/>
            </w:tcMar>
            <w:vAlign w:val="center"/>
          </w:tcPr>
          <w:p w14:paraId="78399835">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7</w:t>
            </w:r>
          </w:p>
        </w:tc>
        <w:tc>
          <w:tcPr>
            <w:tcW w:w="780" w:type="pct"/>
            <w:noWrap w:val="0"/>
            <w:tcMar>
              <w:top w:w="180" w:type="dxa"/>
              <w:left w:w="270" w:type="dxa"/>
              <w:bottom w:w="180" w:type="dxa"/>
              <w:right w:w="270" w:type="dxa"/>
            </w:tcMar>
            <w:vAlign w:val="center"/>
          </w:tcPr>
          <w:p w14:paraId="529B059B">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价格与廉洁合规</w:t>
            </w:r>
          </w:p>
        </w:tc>
        <w:tc>
          <w:tcPr>
            <w:tcW w:w="413" w:type="pct"/>
            <w:noWrap w:val="0"/>
            <w:tcMar>
              <w:top w:w="180" w:type="dxa"/>
              <w:left w:w="270" w:type="dxa"/>
              <w:bottom w:w="180" w:type="dxa"/>
              <w:right w:w="270" w:type="dxa"/>
            </w:tcMar>
            <w:vAlign w:val="center"/>
          </w:tcPr>
          <w:p w14:paraId="6E870B8B">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10</w:t>
            </w:r>
          </w:p>
        </w:tc>
        <w:tc>
          <w:tcPr>
            <w:tcW w:w="2255" w:type="pct"/>
            <w:noWrap w:val="0"/>
            <w:tcMar>
              <w:top w:w="180" w:type="dxa"/>
              <w:left w:w="270" w:type="dxa"/>
              <w:bottom w:w="180" w:type="dxa"/>
              <w:right w:w="270" w:type="dxa"/>
            </w:tcMar>
            <w:vAlign w:val="center"/>
          </w:tcPr>
          <w:p w14:paraId="0536D122">
            <w:pPr>
              <w:keepNext w:val="0"/>
              <w:keepLines w:val="0"/>
              <w:pageBreakBefore w:val="0"/>
              <w:widowControl/>
              <w:shd w:val="clea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价格变动提前 48 小时书面通知医院，确保采购价为实时最低价；</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不得向医院人员提供不正当利益。</w:t>
            </w:r>
          </w:p>
        </w:tc>
        <w:tc>
          <w:tcPr>
            <w:tcW w:w="1279" w:type="pct"/>
            <w:noWrap w:val="0"/>
            <w:tcMar>
              <w:top w:w="180" w:type="dxa"/>
              <w:left w:w="270" w:type="dxa"/>
              <w:bottom w:w="180" w:type="dxa"/>
              <w:right w:w="270" w:type="dxa"/>
            </w:tcMar>
            <w:vAlign w:val="center"/>
          </w:tcPr>
          <w:p w14:paraId="634CAC00">
            <w:pPr>
              <w:keepNext w:val="0"/>
              <w:keepLines w:val="0"/>
              <w:pageBreakBefore w:val="0"/>
              <w:widowControl/>
              <w:shd w:val="clea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未提前通知价格变动，每次扣 5 分；</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违反廉洁规定，直接启动一票否决。</w:t>
            </w:r>
          </w:p>
        </w:tc>
      </w:tr>
      <w:tr w14:paraId="1529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71" w:type="pct"/>
            <w:noWrap w:val="0"/>
            <w:tcMar>
              <w:top w:w="180" w:type="dxa"/>
              <w:left w:w="270" w:type="dxa"/>
              <w:bottom w:w="180" w:type="dxa"/>
              <w:right w:w="270" w:type="dxa"/>
            </w:tcMar>
            <w:vAlign w:val="center"/>
          </w:tcPr>
          <w:p w14:paraId="7C3DCE84">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8</w:t>
            </w:r>
          </w:p>
        </w:tc>
        <w:tc>
          <w:tcPr>
            <w:tcW w:w="780" w:type="pct"/>
            <w:noWrap w:val="0"/>
            <w:tcMar>
              <w:top w:w="180" w:type="dxa"/>
              <w:left w:w="270" w:type="dxa"/>
              <w:bottom w:w="180" w:type="dxa"/>
              <w:right w:w="270" w:type="dxa"/>
            </w:tcMar>
            <w:vAlign w:val="center"/>
          </w:tcPr>
          <w:p w14:paraId="472E1BF3">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应急保障能力</w:t>
            </w:r>
          </w:p>
        </w:tc>
        <w:tc>
          <w:tcPr>
            <w:tcW w:w="413" w:type="pct"/>
            <w:noWrap w:val="0"/>
            <w:tcMar>
              <w:top w:w="180" w:type="dxa"/>
              <w:left w:w="270" w:type="dxa"/>
              <w:bottom w:w="180" w:type="dxa"/>
              <w:right w:w="270" w:type="dxa"/>
            </w:tcMar>
            <w:vAlign w:val="center"/>
          </w:tcPr>
          <w:p w14:paraId="01DA1CB3">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10</w:t>
            </w:r>
          </w:p>
        </w:tc>
        <w:tc>
          <w:tcPr>
            <w:tcW w:w="2255" w:type="pct"/>
            <w:noWrap w:val="0"/>
            <w:tcMar>
              <w:top w:w="180" w:type="dxa"/>
              <w:left w:w="270" w:type="dxa"/>
              <w:bottom w:w="180" w:type="dxa"/>
              <w:right w:w="270" w:type="dxa"/>
            </w:tcMar>
            <w:vAlign w:val="center"/>
          </w:tcPr>
          <w:p w14:paraId="3D265EF6">
            <w:pPr>
              <w:keepNext w:val="0"/>
              <w:keepLines w:val="0"/>
              <w:pageBreakBefore w:val="0"/>
              <w:widowControl/>
              <w:shd w:val="clear"/>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公共突发事件或临床急需时，2 小时内响应需求，按医院要求时限送达；</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储备常用急救</w:t>
            </w:r>
            <w:r>
              <w:rPr>
                <w:rFonts w:hint="eastAsia" w:ascii="仿宋" w:hAnsi="仿宋" w:eastAsia="仿宋" w:cs="仿宋"/>
                <w:color w:val="auto"/>
                <w:sz w:val="21"/>
                <w:szCs w:val="21"/>
                <w:highlight w:val="none"/>
                <w:lang w:val="en-US" w:eastAsia="zh-CN" w:bidi="ar"/>
              </w:rPr>
              <w:t>耗材</w:t>
            </w:r>
            <w:r>
              <w:rPr>
                <w:rFonts w:hint="eastAsia" w:ascii="仿宋" w:hAnsi="仿宋" w:eastAsia="仿宋" w:cs="仿宋"/>
                <w:color w:val="auto"/>
                <w:sz w:val="21"/>
                <w:szCs w:val="21"/>
                <w:highlight w:val="none"/>
                <w:lang w:bidi="ar"/>
              </w:rPr>
              <w:t>，确保紧急调用。</w:t>
            </w:r>
          </w:p>
        </w:tc>
        <w:tc>
          <w:tcPr>
            <w:tcW w:w="1279" w:type="pct"/>
            <w:noWrap w:val="0"/>
            <w:tcMar>
              <w:top w:w="180" w:type="dxa"/>
              <w:left w:w="270" w:type="dxa"/>
              <w:bottom w:w="180" w:type="dxa"/>
              <w:right w:w="270" w:type="dxa"/>
            </w:tcMar>
            <w:vAlign w:val="center"/>
          </w:tcPr>
          <w:p w14:paraId="1C7C6737">
            <w:pPr>
              <w:keepNext w:val="0"/>
              <w:keepLines w:val="0"/>
              <w:pageBreakBefore w:val="0"/>
              <w:widowControl/>
              <w:shd w:val="clea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紧急需求未响应，每次扣 10 分；</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储备不足导致延误，每次扣 5 分。</w:t>
            </w:r>
          </w:p>
        </w:tc>
      </w:tr>
    </w:tbl>
    <w:p w14:paraId="3191A6E5">
      <w:pPr>
        <w:pStyle w:val="7"/>
        <w:widowControl/>
        <w:shd w:val="clear" w:color="auto"/>
        <w:spacing w:line="440" w:lineRule="exact"/>
        <w:jc w:val="center"/>
        <w:rPr>
          <w:rStyle w:val="50"/>
          <w:rFonts w:hint="eastAsia" w:ascii="仿宋" w:hAnsi="仿宋" w:eastAsia="仿宋" w:cs="仿宋"/>
          <w:b/>
          <w:bCs w:val="0"/>
          <w:color w:val="auto"/>
          <w:highlight w:val="none"/>
          <w:shd w:val="clear" w:color="auto" w:fill="FFFFFF"/>
        </w:rPr>
      </w:pPr>
      <w:r>
        <w:rPr>
          <w:rStyle w:val="50"/>
          <w:rFonts w:hint="eastAsia" w:ascii="仿宋" w:hAnsi="仿宋" w:eastAsia="仿宋" w:cs="仿宋"/>
          <w:b/>
          <w:bCs w:val="0"/>
          <w:color w:val="auto"/>
          <w:highlight w:val="none"/>
          <w:shd w:val="clear" w:color="auto" w:fill="FFFFFF"/>
          <w:lang w:eastAsia="zh-CN"/>
        </w:rPr>
        <w:t>（</w:t>
      </w:r>
      <w:r>
        <w:rPr>
          <w:rStyle w:val="50"/>
          <w:rFonts w:hint="eastAsia" w:ascii="仿宋" w:hAnsi="仿宋" w:eastAsia="仿宋" w:cs="仿宋"/>
          <w:b/>
          <w:bCs w:val="0"/>
          <w:color w:val="auto"/>
          <w:highlight w:val="none"/>
          <w:shd w:val="clear" w:color="auto" w:fill="FFFFFF"/>
        </w:rPr>
        <w:t>二</w:t>
      </w:r>
      <w:r>
        <w:rPr>
          <w:rStyle w:val="50"/>
          <w:rFonts w:hint="eastAsia" w:ascii="仿宋" w:hAnsi="仿宋" w:eastAsia="仿宋" w:cs="仿宋"/>
          <w:b/>
          <w:bCs w:val="0"/>
          <w:color w:val="auto"/>
          <w:highlight w:val="none"/>
          <w:shd w:val="clear" w:color="auto" w:fill="FFFFFF"/>
          <w:lang w:eastAsia="zh-CN"/>
        </w:rPr>
        <w:t>）</w:t>
      </w:r>
      <w:r>
        <w:rPr>
          <w:rStyle w:val="50"/>
          <w:rFonts w:hint="eastAsia" w:ascii="仿宋" w:hAnsi="仿宋" w:eastAsia="仿宋" w:cs="仿宋"/>
          <w:b/>
          <w:bCs w:val="0"/>
          <w:color w:val="auto"/>
          <w:highlight w:val="none"/>
          <w:shd w:val="clear" w:color="auto" w:fill="FFFFFF"/>
        </w:rPr>
        <w:t>加减分项目（直接计入总分，最高 100 分）</w:t>
      </w:r>
    </w:p>
    <w:tbl>
      <w:tblPr>
        <w:tblStyle w:val="47"/>
        <w:tblW w:w="10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3"/>
        <w:gridCol w:w="2278"/>
        <w:gridCol w:w="1192"/>
        <w:gridCol w:w="6078"/>
      </w:tblGrid>
      <w:tr w14:paraId="0DC4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blHeader/>
        </w:trPr>
        <w:tc>
          <w:tcPr>
            <w:tcW w:w="793" w:type="dxa"/>
            <w:noWrap w:val="0"/>
            <w:tcMar>
              <w:top w:w="180" w:type="dxa"/>
              <w:left w:w="270" w:type="dxa"/>
              <w:bottom w:w="180" w:type="dxa"/>
              <w:right w:w="270" w:type="dxa"/>
            </w:tcMar>
            <w:vAlign w:val="center"/>
          </w:tcPr>
          <w:p w14:paraId="40775BC6">
            <w:pPr>
              <w:widowControl/>
              <w:shd w:val="clear"/>
              <w:spacing w:line="300" w:lineRule="exact"/>
              <w:jc w:val="center"/>
              <w:textAlignment w:val="center"/>
              <w:rPr>
                <w:rFonts w:hint="eastAsia"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序号</w:t>
            </w:r>
          </w:p>
        </w:tc>
        <w:tc>
          <w:tcPr>
            <w:tcW w:w="2278" w:type="dxa"/>
            <w:noWrap w:val="0"/>
            <w:tcMar>
              <w:top w:w="180" w:type="dxa"/>
              <w:left w:w="270" w:type="dxa"/>
              <w:bottom w:w="180" w:type="dxa"/>
              <w:right w:w="270" w:type="dxa"/>
            </w:tcMar>
            <w:vAlign w:val="center"/>
          </w:tcPr>
          <w:p w14:paraId="3AC47D23">
            <w:pPr>
              <w:widowControl/>
              <w:shd w:val="clear"/>
              <w:spacing w:line="300" w:lineRule="exact"/>
              <w:jc w:val="center"/>
              <w:textAlignment w:val="center"/>
              <w:rPr>
                <w:rFonts w:hint="eastAsia"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项目类型</w:t>
            </w:r>
          </w:p>
        </w:tc>
        <w:tc>
          <w:tcPr>
            <w:tcW w:w="1192" w:type="dxa"/>
            <w:noWrap w:val="0"/>
            <w:tcMar>
              <w:top w:w="180" w:type="dxa"/>
              <w:left w:w="270" w:type="dxa"/>
              <w:bottom w:w="180" w:type="dxa"/>
              <w:right w:w="270" w:type="dxa"/>
            </w:tcMar>
            <w:vAlign w:val="center"/>
          </w:tcPr>
          <w:p w14:paraId="6C053600">
            <w:pPr>
              <w:widowControl/>
              <w:shd w:val="clear"/>
              <w:spacing w:line="300" w:lineRule="exact"/>
              <w:jc w:val="center"/>
              <w:textAlignment w:val="center"/>
              <w:rPr>
                <w:rFonts w:hint="eastAsia"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分值</w:t>
            </w:r>
          </w:p>
        </w:tc>
        <w:tc>
          <w:tcPr>
            <w:tcW w:w="6078" w:type="dxa"/>
            <w:noWrap w:val="0"/>
            <w:tcMar>
              <w:top w:w="180" w:type="dxa"/>
              <w:left w:w="270" w:type="dxa"/>
              <w:bottom w:w="180" w:type="dxa"/>
              <w:right w:w="270" w:type="dxa"/>
            </w:tcMar>
            <w:vAlign w:val="center"/>
          </w:tcPr>
          <w:p w14:paraId="71AC9675">
            <w:pPr>
              <w:widowControl/>
              <w:shd w:val="clear"/>
              <w:spacing w:line="300" w:lineRule="exact"/>
              <w:jc w:val="center"/>
              <w:textAlignment w:val="center"/>
              <w:rPr>
                <w:rFonts w:hint="eastAsia"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考核内容</w:t>
            </w:r>
          </w:p>
        </w:tc>
      </w:tr>
      <w:tr w14:paraId="533C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793" w:type="dxa"/>
            <w:noWrap w:val="0"/>
            <w:tcMar>
              <w:top w:w="180" w:type="dxa"/>
              <w:left w:w="270" w:type="dxa"/>
              <w:bottom w:w="180" w:type="dxa"/>
              <w:right w:w="270" w:type="dxa"/>
            </w:tcMar>
            <w:vAlign w:val="center"/>
          </w:tcPr>
          <w:p w14:paraId="7E822354">
            <w:pPr>
              <w:widowControl/>
              <w:shd w:val="clear"/>
              <w:spacing w:line="30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9</w:t>
            </w:r>
          </w:p>
        </w:tc>
        <w:tc>
          <w:tcPr>
            <w:tcW w:w="2278" w:type="dxa"/>
            <w:noWrap w:val="0"/>
            <w:tcMar>
              <w:top w:w="180" w:type="dxa"/>
              <w:left w:w="270" w:type="dxa"/>
              <w:bottom w:w="180" w:type="dxa"/>
              <w:right w:w="270" w:type="dxa"/>
            </w:tcMar>
            <w:vAlign w:val="center"/>
          </w:tcPr>
          <w:p w14:paraId="6EC6189E">
            <w:pPr>
              <w:widowControl/>
              <w:shd w:val="clear"/>
              <w:spacing w:line="30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应急保障加分</w:t>
            </w:r>
          </w:p>
        </w:tc>
        <w:tc>
          <w:tcPr>
            <w:tcW w:w="1192" w:type="dxa"/>
            <w:noWrap w:val="0"/>
            <w:tcMar>
              <w:top w:w="180" w:type="dxa"/>
              <w:left w:w="270" w:type="dxa"/>
              <w:bottom w:w="180" w:type="dxa"/>
              <w:right w:w="270" w:type="dxa"/>
            </w:tcMar>
            <w:vAlign w:val="center"/>
          </w:tcPr>
          <w:p w14:paraId="1DF84061">
            <w:pPr>
              <w:widowControl/>
              <w:shd w:val="clear"/>
              <w:spacing w:line="30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+1~+5</w:t>
            </w:r>
          </w:p>
        </w:tc>
        <w:tc>
          <w:tcPr>
            <w:tcW w:w="6078" w:type="dxa"/>
            <w:noWrap w:val="0"/>
            <w:tcMar>
              <w:top w:w="180" w:type="dxa"/>
              <w:left w:w="270" w:type="dxa"/>
              <w:bottom w:w="180" w:type="dxa"/>
              <w:right w:w="270" w:type="dxa"/>
            </w:tcMar>
            <w:vAlign w:val="center"/>
          </w:tcPr>
          <w:p w14:paraId="21C8861E">
            <w:pPr>
              <w:widowControl/>
              <w:shd w:val="clear"/>
              <w:spacing w:line="300" w:lineRule="exact"/>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主动配合紧急采购（如疫情、重大事件），提前完成配送或提供紧缺物资。</w:t>
            </w:r>
          </w:p>
        </w:tc>
      </w:tr>
      <w:tr w14:paraId="609F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793" w:type="dxa"/>
            <w:noWrap w:val="0"/>
            <w:tcMar>
              <w:top w:w="180" w:type="dxa"/>
              <w:left w:w="270" w:type="dxa"/>
              <w:bottom w:w="180" w:type="dxa"/>
              <w:right w:w="270" w:type="dxa"/>
            </w:tcMar>
            <w:vAlign w:val="center"/>
          </w:tcPr>
          <w:p w14:paraId="47685CB5">
            <w:pPr>
              <w:widowControl/>
              <w:shd w:val="clear"/>
              <w:spacing w:line="30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10</w:t>
            </w:r>
          </w:p>
        </w:tc>
        <w:tc>
          <w:tcPr>
            <w:tcW w:w="2278" w:type="dxa"/>
            <w:noWrap w:val="0"/>
            <w:tcMar>
              <w:top w:w="180" w:type="dxa"/>
              <w:left w:w="270" w:type="dxa"/>
              <w:bottom w:w="180" w:type="dxa"/>
              <w:right w:w="270" w:type="dxa"/>
            </w:tcMar>
            <w:vAlign w:val="center"/>
          </w:tcPr>
          <w:p w14:paraId="33980A88">
            <w:pPr>
              <w:widowControl/>
              <w:shd w:val="clear"/>
              <w:spacing w:line="30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约谈参与扣分</w:t>
            </w:r>
          </w:p>
        </w:tc>
        <w:tc>
          <w:tcPr>
            <w:tcW w:w="1192" w:type="dxa"/>
            <w:noWrap w:val="0"/>
            <w:tcMar>
              <w:top w:w="180" w:type="dxa"/>
              <w:left w:w="270" w:type="dxa"/>
              <w:bottom w:w="180" w:type="dxa"/>
              <w:right w:w="270" w:type="dxa"/>
            </w:tcMar>
            <w:vAlign w:val="center"/>
          </w:tcPr>
          <w:p w14:paraId="2A999BC2">
            <w:pPr>
              <w:widowControl/>
              <w:shd w:val="clear"/>
              <w:spacing w:line="30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-50</w:t>
            </w:r>
          </w:p>
        </w:tc>
        <w:tc>
          <w:tcPr>
            <w:tcW w:w="6078" w:type="dxa"/>
            <w:noWrap w:val="0"/>
            <w:tcMar>
              <w:top w:w="180" w:type="dxa"/>
              <w:left w:w="270" w:type="dxa"/>
              <w:bottom w:w="180" w:type="dxa"/>
              <w:right w:w="270" w:type="dxa"/>
            </w:tcMar>
            <w:vAlign w:val="center"/>
          </w:tcPr>
          <w:p w14:paraId="0B1EA1FD">
            <w:pPr>
              <w:widowControl/>
              <w:shd w:val="clear"/>
              <w:spacing w:line="300" w:lineRule="exact"/>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无正当理由未参加医院廉政约谈或行风建设会议。</w:t>
            </w:r>
          </w:p>
        </w:tc>
      </w:tr>
      <w:tr w14:paraId="39EB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793" w:type="dxa"/>
            <w:noWrap w:val="0"/>
            <w:tcMar>
              <w:top w:w="180" w:type="dxa"/>
              <w:left w:w="270" w:type="dxa"/>
              <w:bottom w:w="180" w:type="dxa"/>
              <w:right w:w="270" w:type="dxa"/>
            </w:tcMar>
            <w:vAlign w:val="center"/>
          </w:tcPr>
          <w:p w14:paraId="622E09B2">
            <w:pPr>
              <w:widowControl/>
              <w:shd w:val="clear"/>
              <w:spacing w:line="30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11</w:t>
            </w:r>
          </w:p>
        </w:tc>
        <w:tc>
          <w:tcPr>
            <w:tcW w:w="2278" w:type="dxa"/>
            <w:noWrap w:val="0"/>
            <w:tcMar>
              <w:top w:w="180" w:type="dxa"/>
              <w:left w:w="270" w:type="dxa"/>
              <w:bottom w:w="180" w:type="dxa"/>
              <w:right w:w="270" w:type="dxa"/>
            </w:tcMar>
            <w:vAlign w:val="center"/>
          </w:tcPr>
          <w:p w14:paraId="1ADB1C13">
            <w:pPr>
              <w:widowControl/>
              <w:shd w:val="clear"/>
              <w:spacing w:line="30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一票否决项</w:t>
            </w:r>
          </w:p>
        </w:tc>
        <w:tc>
          <w:tcPr>
            <w:tcW w:w="1192" w:type="dxa"/>
            <w:noWrap w:val="0"/>
            <w:tcMar>
              <w:top w:w="180" w:type="dxa"/>
              <w:left w:w="270" w:type="dxa"/>
              <w:bottom w:w="180" w:type="dxa"/>
              <w:right w:w="270" w:type="dxa"/>
            </w:tcMar>
            <w:vAlign w:val="center"/>
          </w:tcPr>
          <w:p w14:paraId="7C1FFC31">
            <w:pPr>
              <w:widowControl/>
              <w:shd w:val="clear"/>
              <w:spacing w:line="30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-100</w:t>
            </w:r>
          </w:p>
        </w:tc>
        <w:tc>
          <w:tcPr>
            <w:tcW w:w="6078" w:type="dxa"/>
            <w:noWrap w:val="0"/>
            <w:tcMar>
              <w:top w:w="180" w:type="dxa"/>
              <w:left w:w="270" w:type="dxa"/>
              <w:bottom w:w="180" w:type="dxa"/>
              <w:right w:w="270" w:type="dxa"/>
            </w:tcMar>
            <w:vAlign w:val="center"/>
          </w:tcPr>
          <w:p w14:paraId="317E2729">
            <w:pPr>
              <w:widowControl/>
              <w:shd w:val="clear"/>
              <w:spacing w:line="300" w:lineRule="exact"/>
              <w:jc w:val="left"/>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 配送假冒伪劣产品 / 冷链断链致产品失效；</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② 延误导致医疗纠纷；</w:t>
            </w:r>
            <w:r>
              <w:rPr>
                <w:rFonts w:hint="eastAsia" w:ascii="仿宋" w:hAnsi="仿宋" w:eastAsia="仿宋" w:cs="仿宋"/>
                <w:color w:val="auto"/>
                <w:sz w:val="21"/>
                <w:szCs w:val="21"/>
                <w:highlight w:val="none"/>
                <w:lang w:bidi="ar"/>
              </w:rPr>
              <w:br w:type="textWrapping"/>
            </w:r>
            <w:r>
              <w:rPr>
                <w:rFonts w:hint="eastAsia" w:ascii="仿宋" w:hAnsi="仿宋" w:eastAsia="仿宋" w:cs="仿宋"/>
                <w:color w:val="auto"/>
                <w:sz w:val="21"/>
                <w:szCs w:val="21"/>
                <w:highlight w:val="none"/>
                <w:lang w:bidi="ar"/>
              </w:rPr>
              <w:t>③ 商业贿赂或其他严重廉洁问题。</w:t>
            </w:r>
          </w:p>
        </w:tc>
      </w:tr>
    </w:tbl>
    <w:p w14:paraId="0D443E11">
      <w:pPr>
        <w:pStyle w:val="7"/>
        <w:widowControl/>
        <w:shd w:val="clear" w:color="auto"/>
        <w:spacing w:line="440" w:lineRule="exact"/>
        <w:jc w:val="center"/>
        <w:rPr>
          <w:rStyle w:val="50"/>
          <w:rFonts w:hint="eastAsia" w:ascii="仿宋" w:hAnsi="仿宋" w:eastAsia="仿宋" w:cs="仿宋"/>
          <w:b/>
          <w:bCs w:val="0"/>
          <w:color w:val="auto"/>
          <w:highlight w:val="none"/>
          <w:shd w:val="clear" w:color="auto" w:fill="FFFFFF"/>
        </w:rPr>
      </w:pPr>
      <w:r>
        <w:rPr>
          <w:rStyle w:val="50"/>
          <w:rFonts w:hint="eastAsia" w:ascii="仿宋" w:hAnsi="仿宋" w:eastAsia="仿宋" w:cs="仿宋"/>
          <w:b/>
          <w:bCs w:val="0"/>
          <w:color w:val="auto"/>
          <w:highlight w:val="none"/>
          <w:shd w:val="clear" w:color="auto" w:fill="FFFFFF"/>
          <w:lang w:eastAsia="zh-CN"/>
        </w:rPr>
        <w:t>（</w:t>
      </w:r>
      <w:r>
        <w:rPr>
          <w:rStyle w:val="50"/>
          <w:rFonts w:hint="eastAsia" w:ascii="仿宋" w:hAnsi="仿宋" w:eastAsia="仿宋" w:cs="仿宋"/>
          <w:b/>
          <w:bCs w:val="0"/>
          <w:color w:val="auto"/>
          <w:highlight w:val="none"/>
          <w:shd w:val="clear" w:color="auto" w:fill="FFFFFF"/>
          <w:lang w:val="en-US" w:eastAsia="zh-CN"/>
        </w:rPr>
        <w:t>三</w:t>
      </w:r>
      <w:r>
        <w:rPr>
          <w:rStyle w:val="50"/>
          <w:rFonts w:hint="eastAsia" w:ascii="仿宋" w:hAnsi="仿宋" w:eastAsia="仿宋" w:cs="仿宋"/>
          <w:b/>
          <w:bCs w:val="0"/>
          <w:color w:val="auto"/>
          <w:highlight w:val="none"/>
          <w:shd w:val="clear" w:color="auto" w:fill="FFFFFF"/>
          <w:lang w:eastAsia="zh-CN"/>
        </w:rPr>
        <w:t>）</w:t>
      </w:r>
      <w:r>
        <w:rPr>
          <w:rStyle w:val="50"/>
          <w:rFonts w:hint="eastAsia" w:ascii="仿宋" w:hAnsi="仿宋" w:eastAsia="仿宋" w:cs="仿宋"/>
          <w:b/>
          <w:bCs w:val="0"/>
          <w:color w:val="auto"/>
          <w:highlight w:val="none"/>
          <w:shd w:val="clear" w:color="auto" w:fill="FFFFFF"/>
        </w:rPr>
        <w:t>考核结果判定</w:t>
      </w:r>
    </w:p>
    <w:tbl>
      <w:tblPr>
        <w:tblStyle w:val="47"/>
        <w:tblW w:w="10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98"/>
        <w:gridCol w:w="1314"/>
        <w:gridCol w:w="7301"/>
      </w:tblGrid>
      <w:tr w14:paraId="3B61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Header/>
        </w:trPr>
        <w:tc>
          <w:tcPr>
            <w:tcW w:w="1698" w:type="dxa"/>
            <w:noWrap w:val="0"/>
            <w:tcMar>
              <w:top w:w="180" w:type="dxa"/>
              <w:left w:w="270" w:type="dxa"/>
              <w:bottom w:w="180" w:type="dxa"/>
              <w:right w:w="270" w:type="dxa"/>
            </w:tcMar>
            <w:vAlign w:val="center"/>
          </w:tcPr>
          <w:p w14:paraId="29404F34">
            <w:pPr>
              <w:widowControl/>
              <w:shd w:val="clear"/>
              <w:spacing w:line="300" w:lineRule="exact"/>
              <w:jc w:val="center"/>
              <w:textAlignment w:val="center"/>
              <w:rPr>
                <w:rFonts w:hint="eastAsia" w:ascii="仿宋" w:hAnsi="仿宋" w:eastAsia="仿宋" w:cs="仿宋"/>
                <w:b/>
                <w:bCs/>
                <w:color w:val="auto"/>
                <w:sz w:val="22"/>
                <w:szCs w:val="22"/>
                <w:highlight w:val="none"/>
                <w:lang w:bidi="ar"/>
              </w:rPr>
            </w:pPr>
            <w:r>
              <w:rPr>
                <w:rFonts w:hint="eastAsia" w:ascii="仿宋" w:hAnsi="仿宋" w:eastAsia="仿宋" w:cs="仿宋"/>
                <w:b/>
                <w:bCs/>
                <w:color w:val="auto"/>
                <w:sz w:val="22"/>
                <w:szCs w:val="22"/>
                <w:highlight w:val="none"/>
                <w:lang w:bidi="ar"/>
              </w:rPr>
              <w:t>总分范围</w:t>
            </w:r>
          </w:p>
        </w:tc>
        <w:tc>
          <w:tcPr>
            <w:tcW w:w="1314" w:type="dxa"/>
            <w:noWrap w:val="0"/>
            <w:tcMar>
              <w:top w:w="180" w:type="dxa"/>
              <w:left w:w="270" w:type="dxa"/>
              <w:bottom w:w="180" w:type="dxa"/>
              <w:right w:w="270" w:type="dxa"/>
            </w:tcMar>
            <w:vAlign w:val="center"/>
          </w:tcPr>
          <w:p w14:paraId="1FB6D958">
            <w:pPr>
              <w:widowControl/>
              <w:shd w:val="clear"/>
              <w:spacing w:line="300" w:lineRule="exact"/>
              <w:jc w:val="center"/>
              <w:textAlignment w:val="center"/>
              <w:rPr>
                <w:rFonts w:hint="eastAsia" w:ascii="仿宋" w:hAnsi="仿宋" w:eastAsia="仿宋" w:cs="仿宋"/>
                <w:b/>
                <w:bCs/>
                <w:color w:val="auto"/>
                <w:sz w:val="22"/>
                <w:szCs w:val="22"/>
                <w:highlight w:val="none"/>
                <w:lang w:bidi="ar"/>
              </w:rPr>
            </w:pPr>
            <w:r>
              <w:rPr>
                <w:rFonts w:hint="eastAsia" w:ascii="仿宋" w:hAnsi="仿宋" w:eastAsia="仿宋" w:cs="仿宋"/>
                <w:b/>
                <w:bCs/>
                <w:color w:val="auto"/>
                <w:sz w:val="22"/>
                <w:szCs w:val="22"/>
                <w:highlight w:val="none"/>
                <w:lang w:bidi="ar"/>
              </w:rPr>
              <w:t>等级</w:t>
            </w:r>
          </w:p>
        </w:tc>
        <w:tc>
          <w:tcPr>
            <w:tcW w:w="7301" w:type="dxa"/>
            <w:noWrap w:val="0"/>
            <w:tcMar>
              <w:top w:w="180" w:type="dxa"/>
              <w:left w:w="270" w:type="dxa"/>
              <w:bottom w:w="180" w:type="dxa"/>
              <w:right w:w="270" w:type="dxa"/>
            </w:tcMar>
            <w:vAlign w:val="center"/>
          </w:tcPr>
          <w:p w14:paraId="0FEC3DCA">
            <w:pPr>
              <w:widowControl/>
              <w:shd w:val="clear"/>
              <w:spacing w:line="300" w:lineRule="exact"/>
              <w:jc w:val="center"/>
              <w:textAlignment w:val="center"/>
              <w:rPr>
                <w:rFonts w:hint="eastAsia" w:ascii="仿宋" w:hAnsi="仿宋" w:eastAsia="仿宋" w:cs="仿宋"/>
                <w:b/>
                <w:bCs/>
                <w:color w:val="auto"/>
                <w:sz w:val="22"/>
                <w:szCs w:val="22"/>
                <w:highlight w:val="none"/>
                <w:lang w:bidi="ar"/>
              </w:rPr>
            </w:pPr>
            <w:r>
              <w:rPr>
                <w:rFonts w:hint="eastAsia" w:ascii="仿宋" w:hAnsi="仿宋" w:eastAsia="仿宋" w:cs="仿宋"/>
                <w:b/>
                <w:bCs/>
                <w:color w:val="auto"/>
                <w:sz w:val="22"/>
                <w:szCs w:val="22"/>
                <w:highlight w:val="none"/>
                <w:lang w:bidi="ar"/>
              </w:rPr>
              <w:t>处理措施</w:t>
            </w:r>
            <w:bookmarkStart w:id="190" w:name="_GoBack"/>
            <w:bookmarkEnd w:id="190"/>
          </w:p>
        </w:tc>
      </w:tr>
      <w:tr w14:paraId="1ACD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698" w:type="dxa"/>
            <w:noWrap w:val="0"/>
            <w:tcMar>
              <w:top w:w="180" w:type="dxa"/>
              <w:left w:w="270" w:type="dxa"/>
              <w:bottom w:w="180" w:type="dxa"/>
              <w:right w:w="270" w:type="dxa"/>
            </w:tcMar>
            <w:vAlign w:val="center"/>
          </w:tcPr>
          <w:p w14:paraId="68DDC282">
            <w:pPr>
              <w:widowControl/>
              <w:shd w:val="clear"/>
              <w:spacing w:line="300" w:lineRule="exact"/>
              <w:jc w:val="center"/>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≥90 分</w:t>
            </w:r>
          </w:p>
        </w:tc>
        <w:tc>
          <w:tcPr>
            <w:tcW w:w="1314" w:type="dxa"/>
            <w:noWrap w:val="0"/>
            <w:tcMar>
              <w:top w:w="180" w:type="dxa"/>
              <w:left w:w="270" w:type="dxa"/>
              <w:bottom w:w="180" w:type="dxa"/>
              <w:right w:w="270" w:type="dxa"/>
            </w:tcMar>
            <w:vAlign w:val="center"/>
          </w:tcPr>
          <w:p w14:paraId="05629CAE">
            <w:pPr>
              <w:widowControl/>
              <w:shd w:val="clear"/>
              <w:spacing w:line="300" w:lineRule="exact"/>
              <w:jc w:val="center"/>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优秀</w:t>
            </w:r>
          </w:p>
        </w:tc>
        <w:tc>
          <w:tcPr>
            <w:tcW w:w="7301" w:type="dxa"/>
            <w:noWrap w:val="0"/>
            <w:tcMar>
              <w:top w:w="180" w:type="dxa"/>
              <w:left w:w="270" w:type="dxa"/>
              <w:bottom w:w="180" w:type="dxa"/>
              <w:right w:w="270" w:type="dxa"/>
            </w:tcMar>
            <w:vAlign w:val="center"/>
          </w:tcPr>
          <w:p w14:paraId="0CD4E846">
            <w:pPr>
              <w:widowControl/>
              <w:shd w:val="clear"/>
              <w:spacing w:line="300" w:lineRule="exact"/>
              <w:jc w:val="left"/>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优先采购，年度合作评级加分。</w:t>
            </w:r>
          </w:p>
        </w:tc>
      </w:tr>
      <w:tr w14:paraId="769C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698" w:type="dxa"/>
            <w:noWrap w:val="0"/>
            <w:tcMar>
              <w:top w:w="180" w:type="dxa"/>
              <w:left w:w="270" w:type="dxa"/>
              <w:bottom w:w="180" w:type="dxa"/>
              <w:right w:w="270" w:type="dxa"/>
            </w:tcMar>
            <w:vAlign w:val="center"/>
          </w:tcPr>
          <w:p w14:paraId="1F569122">
            <w:pPr>
              <w:widowControl/>
              <w:shd w:val="clear"/>
              <w:spacing w:line="300" w:lineRule="exact"/>
              <w:jc w:val="center"/>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80~89 分</w:t>
            </w:r>
          </w:p>
        </w:tc>
        <w:tc>
          <w:tcPr>
            <w:tcW w:w="1314" w:type="dxa"/>
            <w:noWrap w:val="0"/>
            <w:tcMar>
              <w:top w:w="180" w:type="dxa"/>
              <w:left w:w="270" w:type="dxa"/>
              <w:bottom w:w="180" w:type="dxa"/>
              <w:right w:w="270" w:type="dxa"/>
            </w:tcMar>
            <w:vAlign w:val="center"/>
          </w:tcPr>
          <w:p w14:paraId="64D70E4C">
            <w:pPr>
              <w:widowControl/>
              <w:shd w:val="clear"/>
              <w:spacing w:line="300" w:lineRule="exact"/>
              <w:jc w:val="center"/>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良好</w:t>
            </w:r>
          </w:p>
        </w:tc>
        <w:tc>
          <w:tcPr>
            <w:tcW w:w="7301" w:type="dxa"/>
            <w:noWrap w:val="0"/>
            <w:tcMar>
              <w:top w:w="180" w:type="dxa"/>
              <w:left w:w="270" w:type="dxa"/>
              <w:bottom w:w="180" w:type="dxa"/>
              <w:right w:w="270" w:type="dxa"/>
            </w:tcMar>
            <w:vAlign w:val="center"/>
          </w:tcPr>
          <w:p w14:paraId="16F4C7C4">
            <w:pPr>
              <w:widowControl/>
              <w:shd w:val="clear"/>
              <w:spacing w:line="300" w:lineRule="exact"/>
              <w:jc w:val="left"/>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合格，需持续改进薄弱环节。</w:t>
            </w:r>
          </w:p>
        </w:tc>
      </w:tr>
      <w:tr w14:paraId="19EF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698" w:type="dxa"/>
            <w:noWrap w:val="0"/>
            <w:tcMar>
              <w:top w:w="180" w:type="dxa"/>
              <w:left w:w="270" w:type="dxa"/>
              <w:bottom w:w="180" w:type="dxa"/>
              <w:right w:w="270" w:type="dxa"/>
            </w:tcMar>
            <w:vAlign w:val="center"/>
          </w:tcPr>
          <w:p w14:paraId="7A7D3752">
            <w:pPr>
              <w:widowControl/>
              <w:shd w:val="clear"/>
              <w:spacing w:line="300" w:lineRule="exact"/>
              <w:jc w:val="center"/>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70~79 分</w:t>
            </w:r>
          </w:p>
        </w:tc>
        <w:tc>
          <w:tcPr>
            <w:tcW w:w="1314" w:type="dxa"/>
            <w:noWrap w:val="0"/>
            <w:tcMar>
              <w:top w:w="180" w:type="dxa"/>
              <w:left w:w="270" w:type="dxa"/>
              <w:bottom w:w="180" w:type="dxa"/>
              <w:right w:w="270" w:type="dxa"/>
            </w:tcMar>
            <w:vAlign w:val="center"/>
          </w:tcPr>
          <w:p w14:paraId="7AF832C4">
            <w:pPr>
              <w:widowControl/>
              <w:shd w:val="clear"/>
              <w:spacing w:line="300" w:lineRule="exact"/>
              <w:jc w:val="center"/>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合格</w:t>
            </w:r>
          </w:p>
        </w:tc>
        <w:tc>
          <w:tcPr>
            <w:tcW w:w="7301" w:type="dxa"/>
            <w:noWrap w:val="0"/>
            <w:tcMar>
              <w:top w:w="180" w:type="dxa"/>
              <w:left w:w="270" w:type="dxa"/>
              <w:bottom w:w="180" w:type="dxa"/>
              <w:right w:w="270" w:type="dxa"/>
            </w:tcMar>
            <w:vAlign w:val="center"/>
          </w:tcPr>
          <w:p w14:paraId="17A92D81">
            <w:pPr>
              <w:widowControl/>
              <w:shd w:val="clear"/>
              <w:spacing w:line="300" w:lineRule="exact"/>
              <w:jc w:val="left"/>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自行整改，整改期间加强监管。</w:t>
            </w:r>
          </w:p>
        </w:tc>
      </w:tr>
      <w:tr w14:paraId="00DA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698" w:type="dxa"/>
            <w:noWrap w:val="0"/>
            <w:tcMar>
              <w:top w:w="180" w:type="dxa"/>
              <w:left w:w="270" w:type="dxa"/>
              <w:bottom w:w="180" w:type="dxa"/>
              <w:right w:w="270" w:type="dxa"/>
            </w:tcMar>
            <w:vAlign w:val="center"/>
          </w:tcPr>
          <w:p w14:paraId="35D9112D">
            <w:pPr>
              <w:widowControl/>
              <w:shd w:val="clear"/>
              <w:spacing w:line="300" w:lineRule="exact"/>
              <w:jc w:val="center"/>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＜70 分</w:t>
            </w:r>
          </w:p>
        </w:tc>
        <w:tc>
          <w:tcPr>
            <w:tcW w:w="1314" w:type="dxa"/>
            <w:noWrap w:val="0"/>
            <w:tcMar>
              <w:top w:w="180" w:type="dxa"/>
              <w:left w:w="270" w:type="dxa"/>
              <w:bottom w:w="180" w:type="dxa"/>
              <w:right w:w="270" w:type="dxa"/>
            </w:tcMar>
            <w:vAlign w:val="center"/>
          </w:tcPr>
          <w:p w14:paraId="106ACAD0">
            <w:pPr>
              <w:widowControl/>
              <w:shd w:val="clear"/>
              <w:spacing w:line="300" w:lineRule="exact"/>
              <w:jc w:val="center"/>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不合格</w:t>
            </w:r>
          </w:p>
        </w:tc>
        <w:tc>
          <w:tcPr>
            <w:tcW w:w="7301" w:type="dxa"/>
            <w:noWrap w:val="0"/>
            <w:tcMar>
              <w:top w:w="180" w:type="dxa"/>
              <w:left w:w="270" w:type="dxa"/>
              <w:bottom w:w="180" w:type="dxa"/>
              <w:right w:w="270" w:type="dxa"/>
            </w:tcMar>
            <w:vAlign w:val="center"/>
          </w:tcPr>
          <w:p w14:paraId="71CAB420">
            <w:pPr>
              <w:widowControl/>
              <w:shd w:val="clear"/>
              <w:spacing w:line="300" w:lineRule="exact"/>
              <w:jc w:val="left"/>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自行整改，若连续两次不合格，</w:t>
            </w:r>
            <w:r>
              <w:rPr>
                <w:rFonts w:hint="eastAsia" w:ascii="仿宋" w:hAnsi="仿宋" w:eastAsia="仿宋" w:cs="仿宋"/>
                <w:color w:val="auto"/>
                <w:sz w:val="22"/>
                <w:szCs w:val="22"/>
                <w:highlight w:val="none"/>
                <w:lang w:val="en-US" w:eastAsia="zh-CN" w:bidi="ar"/>
              </w:rPr>
              <w:t>1.</w:t>
            </w:r>
            <w:r>
              <w:rPr>
                <w:rFonts w:hint="eastAsia" w:ascii="仿宋" w:hAnsi="仿宋" w:eastAsia="仿宋" w:cs="仿宋"/>
                <w:color w:val="auto"/>
                <w:sz w:val="22"/>
                <w:szCs w:val="22"/>
                <w:highlight w:val="none"/>
                <w:lang w:bidi="ar"/>
              </w:rPr>
              <w:t>若中标人是配送商的，由医院在原有价格不变的基础上，重新遴选配送商。若中标人是厂家的，则由厂家重新指定配送商，若厂家拒绝重新指定配送商，则备供耗材转为主供耗材或重新遴选耗材厂家。</w:t>
            </w:r>
          </w:p>
          <w:p w14:paraId="6055ED13">
            <w:pPr>
              <w:widowControl/>
              <w:shd w:val="clear"/>
              <w:spacing w:line="300" w:lineRule="exact"/>
              <w:jc w:val="left"/>
              <w:textAlignment w:val="center"/>
              <w:rPr>
                <w:rFonts w:hint="default" w:ascii="仿宋" w:hAnsi="仿宋" w:eastAsia="仿宋" w:cs="仿宋"/>
                <w:color w:val="auto"/>
                <w:sz w:val="22"/>
                <w:szCs w:val="22"/>
                <w:highlight w:val="none"/>
                <w:lang w:val="en-US" w:eastAsia="zh-CN" w:bidi="ar"/>
              </w:rPr>
            </w:pPr>
            <w:r>
              <w:rPr>
                <w:rFonts w:hint="eastAsia" w:ascii="仿宋" w:hAnsi="仿宋" w:eastAsia="仿宋" w:cs="仿宋"/>
                <w:color w:val="auto"/>
                <w:sz w:val="22"/>
                <w:szCs w:val="22"/>
                <w:highlight w:val="none"/>
                <w:lang w:val="en-US" w:eastAsia="zh-CN" w:bidi="ar"/>
              </w:rPr>
              <w:t>2.若“4.产品质量与合规”使用某品目的所有单位考核该项均不得分，则取消中标人资格，该品目</w:t>
            </w:r>
            <w:r>
              <w:rPr>
                <w:rFonts w:hint="eastAsia" w:ascii="仿宋" w:hAnsi="仿宋" w:eastAsia="仿宋" w:cs="仿宋"/>
                <w:color w:val="auto"/>
                <w:sz w:val="22"/>
                <w:szCs w:val="22"/>
                <w:highlight w:val="none"/>
                <w:lang w:bidi="ar"/>
              </w:rPr>
              <w:t>备供耗材转为主供耗材或重新遴选耗材厂家。</w:t>
            </w:r>
          </w:p>
        </w:tc>
      </w:tr>
      <w:tr w14:paraId="0D84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698" w:type="dxa"/>
            <w:noWrap w:val="0"/>
            <w:tcMar>
              <w:top w:w="180" w:type="dxa"/>
              <w:left w:w="270" w:type="dxa"/>
              <w:bottom w:w="180" w:type="dxa"/>
              <w:right w:w="270" w:type="dxa"/>
            </w:tcMar>
            <w:vAlign w:val="center"/>
          </w:tcPr>
          <w:p w14:paraId="5DFDEA09">
            <w:pPr>
              <w:widowControl/>
              <w:shd w:val="clear"/>
              <w:spacing w:line="300" w:lineRule="exact"/>
              <w:jc w:val="center"/>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一票否决</w:t>
            </w:r>
          </w:p>
        </w:tc>
        <w:tc>
          <w:tcPr>
            <w:tcW w:w="1314" w:type="dxa"/>
            <w:noWrap w:val="0"/>
            <w:tcMar>
              <w:top w:w="180" w:type="dxa"/>
              <w:left w:w="270" w:type="dxa"/>
              <w:bottom w:w="180" w:type="dxa"/>
              <w:right w:w="270" w:type="dxa"/>
            </w:tcMar>
            <w:vAlign w:val="center"/>
          </w:tcPr>
          <w:p w14:paraId="3E0D878A">
            <w:pPr>
              <w:widowControl/>
              <w:shd w:val="clear"/>
              <w:spacing w:line="300" w:lineRule="exact"/>
              <w:jc w:val="center"/>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不合格</w:t>
            </w:r>
          </w:p>
        </w:tc>
        <w:tc>
          <w:tcPr>
            <w:tcW w:w="7301" w:type="dxa"/>
            <w:noWrap w:val="0"/>
            <w:tcMar>
              <w:top w:w="180" w:type="dxa"/>
              <w:left w:w="270" w:type="dxa"/>
              <w:bottom w:w="180" w:type="dxa"/>
              <w:right w:w="270" w:type="dxa"/>
            </w:tcMar>
            <w:vAlign w:val="center"/>
          </w:tcPr>
          <w:p w14:paraId="34702191">
            <w:pPr>
              <w:widowControl/>
              <w:shd w:val="clear"/>
              <w:spacing w:line="300" w:lineRule="exact"/>
              <w:jc w:val="left"/>
              <w:textAlignment w:val="center"/>
              <w:rPr>
                <w:rFonts w:hint="eastAsia" w:ascii="仿宋" w:hAnsi="仿宋" w:eastAsia="仿宋" w:cs="仿宋"/>
                <w:color w:val="auto"/>
                <w:sz w:val="22"/>
                <w:szCs w:val="22"/>
                <w:highlight w:val="none"/>
                <w:lang w:bidi="ar"/>
              </w:rPr>
            </w:pPr>
            <w:r>
              <w:rPr>
                <w:rFonts w:hint="eastAsia" w:ascii="仿宋" w:hAnsi="仿宋" w:eastAsia="仿宋" w:cs="仿宋"/>
                <w:color w:val="auto"/>
                <w:sz w:val="22"/>
                <w:szCs w:val="22"/>
                <w:highlight w:val="none"/>
                <w:lang w:bidi="ar"/>
              </w:rPr>
              <w:t>立即停止配送服务，列入黑名单，下一个遴选周期不予参与。</w:t>
            </w:r>
          </w:p>
        </w:tc>
      </w:tr>
    </w:tbl>
    <w:p w14:paraId="58530EE3">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考核结果的分数为九龙坡区2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家公立医疗机构递交的考核分数平均值；</w:t>
      </w:r>
    </w:p>
    <w:p w14:paraId="41FBA191">
      <w:pPr>
        <w:keepNext w:val="0"/>
        <w:keepLines w:val="0"/>
        <w:pageBreakBefore w:val="0"/>
        <w:widowControl w:val="0"/>
        <w:shd w:val="clear"/>
        <w:kinsoku/>
        <w:wordWrap/>
        <w:overflowPunct/>
        <w:topLinePunct w:val="0"/>
        <w:autoSpaceDE/>
        <w:autoSpaceDN/>
        <w:bidi w:val="0"/>
        <w:adjustRightInd/>
        <w:snapToGrid/>
        <w:spacing w:line="520" w:lineRule="exact"/>
        <w:ind w:firstLine="960" w:firstLineChars="400"/>
        <w:jc w:val="left"/>
        <w:textAlignment w:val="auto"/>
        <w:outlineLvl w:val="9"/>
        <w:rPr>
          <w:color w:val="auto"/>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考核</w:t>
      </w:r>
      <w:r>
        <w:rPr>
          <w:rFonts w:hint="eastAsia" w:ascii="仿宋" w:hAnsi="仿宋" w:eastAsia="仿宋" w:cs="仿宋"/>
          <w:color w:val="auto"/>
          <w:sz w:val="24"/>
          <w:szCs w:val="24"/>
          <w:highlight w:val="none"/>
        </w:rPr>
        <w:t>结果判定为不合格且退出的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将不予退还履约保证金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0BBA1E62">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center"/>
        <w:textAlignment w:val="auto"/>
        <w:outlineLvl w:val="0"/>
        <w:rPr>
          <w:rFonts w:hint="eastAsia" w:ascii="仿宋" w:hAnsi="仿宋" w:eastAsia="仿宋" w:cs="仿宋"/>
          <w:b/>
          <w:color w:val="auto"/>
          <w:sz w:val="21"/>
          <w:szCs w:val="21"/>
          <w:highlight w:val="none"/>
        </w:rPr>
      </w:pPr>
      <w:r>
        <w:rPr>
          <w:rFonts w:hint="eastAsia" w:ascii="仿宋" w:hAnsi="仿宋" w:eastAsia="仿宋" w:cs="仿宋"/>
          <w:b/>
          <w:bCs/>
          <w:color w:val="auto"/>
          <w:sz w:val="24"/>
          <w:szCs w:val="24"/>
          <w:highlight w:val="none"/>
        </w:rPr>
        <w:br w:type="page"/>
      </w:r>
      <w:bookmarkEnd w:id="174"/>
      <w:bookmarkEnd w:id="175"/>
      <w:bookmarkStart w:id="176" w:name="_Toc26896"/>
      <w:r>
        <w:rPr>
          <w:rStyle w:val="62"/>
          <w:rFonts w:hint="eastAsia" w:ascii="仿宋" w:hAnsi="仿宋" w:eastAsia="仿宋"/>
          <w:color w:val="auto"/>
          <w:sz w:val="32"/>
          <w:szCs w:val="32"/>
          <w:highlight w:val="none"/>
        </w:rPr>
        <w:t xml:space="preserve">第六章 </w:t>
      </w:r>
      <w:r>
        <w:rPr>
          <w:rStyle w:val="62"/>
          <w:rFonts w:ascii="仿宋" w:hAnsi="仿宋" w:eastAsia="仿宋"/>
          <w:color w:val="auto"/>
          <w:sz w:val="32"/>
          <w:szCs w:val="32"/>
          <w:highlight w:val="none"/>
        </w:rPr>
        <w:t xml:space="preserve"> </w:t>
      </w:r>
      <w:r>
        <w:rPr>
          <w:rStyle w:val="62"/>
          <w:rFonts w:hint="eastAsia" w:ascii="仿宋" w:hAnsi="仿宋" w:eastAsia="仿宋"/>
          <w:color w:val="auto"/>
          <w:sz w:val="32"/>
          <w:szCs w:val="32"/>
          <w:highlight w:val="none"/>
        </w:rPr>
        <w:t>审核标准和方法</w:t>
      </w:r>
      <w:bookmarkEnd w:id="176"/>
    </w:p>
    <w:p w14:paraId="0AC18207">
      <w:pPr>
        <w:pStyle w:val="6"/>
        <w:shd w:val="clear"/>
        <w:tabs>
          <w:tab w:val="left" w:pos="484"/>
        </w:tabs>
        <w:spacing w:before="0" w:after="0" w:line="520" w:lineRule="exact"/>
        <w:rPr>
          <w:rFonts w:hint="eastAsia" w:ascii="仿宋" w:hAnsi="仿宋" w:eastAsia="仿宋" w:cs="仿宋"/>
          <w:color w:val="auto"/>
          <w:highlight w:val="none"/>
        </w:rPr>
      </w:pPr>
      <w:bookmarkStart w:id="177" w:name="_Toc21126"/>
      <w:r>
        <w:rPr>
          <w:rFonts w:hint="eastAsia" w:ascii="仿宋" w:hAnsi="仿宋" w:eastAsia="仿宋" w:cs="仿宋"/>
          <w:color w:val="auto"/>
          <w:highlight w:val="none"/>
        </w:rPr>
        <w:t>一、总则</w:t>
      </w:r>
      <w:bookmarkEnd w:id="177"/>
    </w:p>
    <w:p w14:paraId="644067CB">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hint="eastAsia" w:ascii="仿宋" w:hAnsi="仿宋" w:eastAsia="仿宋" w:cs="仿宋"/>
          <w:color w:val="auto"/>
          <w:sz w:val="24"/>
          <w:highlight w:val="none"/>
        </w:rPr>
      </w:pPr>
      <w:bookmarkStart w:id="178" w:name="（1）根据《中华人民共和国政府采购法》、《中华人民共和国政府采购法实施条例》等法"/>
      <w:bookmarkEnd w:id="178"/>
      <w:r>
        <w:rPr>
          <w:rFonts w:hint="eastAsia" w:ascii="仿宋" w:hAnsi="仿宋" w:eastAsia="仿宋" w:cs="仿宋"/>
          <w:color w:val="auto"/>
          <w:spacing w:val="-1"/>
          <w:sz w:val="24"/>
          <w:highlight w:val="none"/>
        </w:rPr>
        <w:t>1.根据相关</w:t>
      </w:r>
      <w:r>
        <w:rPr>
          <w:rFonts w:hint="eastAsia" w:ascii="仿宋" w:hAnsi="仿宋" w:eastAsia="仿宋" w:cs="仿宋"/>
          <w:color w:val="auto"/>
          <w:sz w:val="24"/>
          <w:highlight w:val="none"/>
        </w:rPr>
        <w:t>法律规章，结合采购项目特点制定本审核标准和方法。</w:t>
      </w:r>
    </w:p>
    <w:p w14:paraId="138A9820">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hint="eastAsia" w:ascii="仿宋" w:hAnsi="仿宋" w:eastAsia="仿宋" w:cs="仿宋"/>
          <w:color w:val="auto"/>
          <w:spacing w:val="-1"/>
          <w:sz w:val="24"/>
          <w:highlight w:val="none"/>
        </w:rPr>
      </w:pPr>
      <w:bookmarkStart w:id="179" w:name="（2）根据《中华人民共和国政府采购法》第二十三条规定，本次资格预审，由采购人依据"/>
      <w:bookmarkEnd w:id="179"/>
      <w:r>
        <w:rPr>
          <w:rFonts w:hint="eastAsia" w:ascii="仿宋" w:hAnsi="仿宋" w:eastAsia="仿宋" w:cs="仿宋"/>
          <w:color w:val="auto"/>
          <w:spacing w:val="-1"/>
          <w:sz w:val="24"/>
          <w:highlight w:val="none"/>
        </w:rPr>
        <w:t>2.由</w:t>
      </w:r>
      <w:r>
        <w:rPr>
          <w:rFonts w:hint="eastAsia" w:ascii="仿宋" w:hAnsi="仿宋" w:eastAsia="仿宋" w:cs="仿宋"/>
          <w:color w:val="auto"/>
          <w:spacing w:val="-1"/>
          <w:sz w:val="24"/>
          <w:highlight w:val="none"/>
          <w:lang w:eastAsia="zh-CN"/>
        </w:rPr>
        <w:t>样品评审</w:t>
      </w:r>
      <w:r>
        <w:rPr>
          <w:rFonts w:hint="eastAsia" w:ascii="仿宋" w:hAnsi="仿宋" w:eastAsia="仿宋" w:cs="仿宋"/>
          <w:color w:val="auto"/>
          <w:spacing w:val="-1"/>
          <w:sz w:val="24"/>
          <w:highlight w:val="none"/>
        </w:rPr>
        <w:t>小组</w:t>
      </w:r>
      <w:r>
        <w:rPr>
          <w:rFonts w:hint="eastAsia" w:ascii="仿宋" w:hAnsi="仿宋" w:eastAsia="仿宋" w:cs="仿宋"/>
          <w:color w:val="auto"/>
          <w:sz w:val="24"/>
          <w:highlight w:val="none"/>
        </w:rPr>
        <w:t>依据</w:t>
      </w:r>
      <w:r>
        <w:rPr>
          <w:rFonts w:hint="eastAsia" w:ascii="仿宋" w:hAnsi="仿宋" w:eastAsia="仿宋" w:cs="仿宋"/>
          <w:color w:val="auto"/>
          <w:sz w:val="24"/>
          <w:highlight w:val="none"/>
          <w:lang w:eastAsia="zh-CN"/>
        </w:rPr>
        <w:t>资格预审文件</w:t>
      </w:r>
      <w:r>
        <w:rPr>
          <w:rFonts w:hint="eastAsia" w:ascii="仿宋" w:hAnsi="仿宋" w:eastAsia="仿宋" w:cs="仿宋"/>
          <w:color w:val="auto"/>
          <w:sz w:val="24"/>
          <w:highlight w:val="none"/>
        </w:rPr>
        <w:t>的审查标准和程序，对投标人</w:t>
      </w:r>
      <w:r>
        <w:rPr>
          <w:rFonts w:hint="eastAsia" w:ascii="仿宋" w:hAnsi="仿宋" w:eastAsia="仿宋" w:cs="仿宋"/>
          <w:color w:val="auto"/>
          <w:sz w:val="24"/>
          <w:highlight w:val="none"/>
          <w:lang w:val="en-US" w:eastAsia="zh-CN"/>
        </w:rPr>
        <w:t>递交</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样品</w:t>
      </w:r>
      <w:r>
        <w:rPr>
          <w:rFonts w:hint="eastAsia" w:ascii="仿宋" w:hAnsi="仿宋" w:eastAsia="仿宋" w:cs="仿宋"/>
          <w:color w:val="auto"/>
          <w:sz w:val="24"/>
          <w:highlight w:val="none"/>
        </w:rPr>
        <w:t>进行</w:t>
      </w:r>
      <w:r>
        <w:rPr>
          <w:rFonts w:hint="eastAsia" w:ascii="仿宋" w:hAnsi="仿宋" w:eastAsia="仿宋" w:cs="仿宋"/>
          <w:color w:val="auto"/>
          <w:sz w:val="24"/>
          <w:highlight w:val="none"/>
          <w:lang w:val="en-US" w:eastAsia="zh-CN"/>
        </w:rPr>
        <w:t>评审</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样品评审</w:t>
      </w:r>
      <w:r>
        <w:rPr>
          <w:rFonts w:hint="eastAsia" w:ascii="仿宋" w:hAnsi="仿宋" w:eastAsia="仿宋" w:cs="仿宋"/>
          <w:color w:val="auto"/>
          <w:sz w:val="24"/>
          <w:highlight w:val="none"/>
        </w:rPr>
        <w:t>小组的组建由</w:t>
      </w:r>
      <w:r>
        <w:rPr>
          <w:rFonts w:hint="eastAsia" w:ascii="仿宋" w:hAnsi="仿宋" w:eastAsia="仿宋" w:cs="仿宋"/>
          <w:color w:val="auto"/>
          <w:sz w:val="24"/>
          <w:highlight w:val="none"/>
          <w:lang w:eastAsia="zh-CN"/>
        </w:rPr>
        <w:t>随机抽取的专家</w:t>
      </w:r>
      <w:r>
        <w:rPr>
          <w:rFonts w:hint="eastAsia" w:ascii="仿宋" w:hAnsi="仿宋" w:eastAsia="仿宋" w:cs="仿宋"/>
          <w:color w:val="auto"/>
          <w:sz w:val="24"/>
          <w:highlight w:val="none"/>
        </w:rPr>
        <w:t>组成；</w:t>
      </w:r>
    </w:p>
    <w:p w14:paraId="4DF66AA2">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pacing w:val="-1"/>
          <w:sz w:val="24"/>
          <w:highlight w:val="none"/>
        </w:rPr>
        <w:t>由</w:t>
      </w:r>
      <w:r>
        <w:rPr>
          <w:rFonts w:hint="eastAsia" w:ascii="仿宋" w:hAnsi="仿宋" w:eastAsia="仿宋" w:cs="仿宋"/>
          <w:color w:val="auto"/>
          <w:spacing w:val="-1"/>
          <w:sz w:val="24"/>
          <w:highlight w:val="none"/>
          <w:lang w:eastAsia="zh-CN"/>
        </w:rPr>
        <w:t>资质审查小组</w:t>
      </w:r>
      <w:r>
        <w:rPr>
          <w:rFonts w:hint="eastAsia" w:ascii="仿宋" w:hAnsi="仿宋" w:eastAsia="仿宋" w:cs="仿宋"/>
          <w:color w:val="auto"/>
          <w:sz w:val="24"/>
          <w:highlight w:val="none"/>
        </w:rPr>
        <w:t>依据</w:t>
      </w:r>
      <w:r>
        <w:rPr>
          <w:rFonts w:hint="eastAsia" w:ascii="仿宋" w:hAnsi="仿宋" w:eastAsia="仿宋" w:cs="仿宋"/>
          <w:color w:val="auto"/>
          <w:sz w:val="24"/>
          <w:highlight w:val="none"/>
          <w:lang w:eastAsia="zh-CN"/>
        </w:rPr>
        <w:t>资格预审文件</w:t>
      </w:r>
      <w:r>
        <w:rPr>
          <w:rFonts w:hint="eastAsia" w:ascii="仿宋" w:hAnsi="仿宋" w:eastAsia="仿宋" w:cs="仿宋"/>
          <w:color w:val="auto"/>
          <w:sz w:val="24"/>
          <w:highlight w:val="none"/>
        </w:rPr>
        <w:t>的审查标准和程序，对投标人</w:t>
      </w:r>
      <w:r>
        <w:rPr>
          <w:rFonts w:hint="eastAsia" w:ascii="仿宋" w:hAnsi="仿宋" w:eastAsia="仿宋" w:cs="仿宋"/>
          <w:color w:val="auto"/>
          <w:sz w:val="24"/>
          <w:highlight w:val="none"/>
          <w:lang w:val="en-US" w:eastAsia="zh-CN"/>
        </w:rPr>
        <w:t>递交</w:t>
      </w:r>
      <w:r>
        <w:rPr>
          <w:rFonts w:hint="eastAsia" w:ascii="仿宋" w:hAnsi="仿宋" w:eastAsia="仿宋" w:cs="仿宋"/>
          <w:color w:val="auto"/>
          <w:sz w:val="24"/>
          <w:highlight w:val="none"/>
        </w:rPr>
        <w:t>的申请文件进行资格预审，资质审查小组的组建由本次采购人</w:t>
      </w:r>
      <w:r>
        <w:rPr>
          <w:rFonts w:hint="eastAsia" w:ascii="仿宋" w:hAnsi="仿宋" w:eastAsia="仿宋" w:cs="仿宋"/>
          <w:color w:val="auto"/>
          <w:sz w:val="24"/>
          <w:highlight w:val="none"/>
          <w:lang w:val="en-US" w:eastAsia="zh-CN"/>
        </w:rPr>
        <w:t>邀请</w:t>
      </w:r>
      <w:r>
        <w:rPr>
          <w:rFonts w:hint="eastAsia" w:ascii="仿宋" w:hAnsi="仿宋" w:eastAsia="仿宋" w:cs="仿宋"/>
          <w:color w:val="auto"/>
          <w:sz w:val="24"/>
          <w:highlight w:val="none"/>
        </w:rPr>
        <w:t>的业主专家和随机抽取专家组成。</w:t>
      </w:r>
    </w:p>
    <w:p w14:paraId="747C8752">
      <w:pPr>
        <w:pStyle w:val="143"/>
        <w:keepNext w:val="0"/>
        <w:keepLines w:val="0"/>
        <w:pageBreakBefore w:val="0"/>
        <w:widowControl w:val="0"/>
        <w:numPr>
          <w:ilvl w:val="0"/>
          <w:numId w:val="0"/>
        </w:numPr>
        <w:shd w:val="clear"/>
        <w:tabs>
          <w:tab w:val="left" w:pos="841"/>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highlight w:val="none"/>
          <w:lang w:val="en-US" w:eastAsia="zh-CN"/>
        </w:rPr>
      </w:pPr>
      <w:bookmarkStart w:id="180" w:name="（3）资格预审小组依法对申请人的资格进行审核。"/>
      <w:bookmarkEnd w:id="180"/>
      <w:r>
        <w:rPr>
          <w:rFonts w:hint="eastAsia" w:ascii="仿宋" w:hAnsi="仿宋" w:eastAsia="仿宋" w:cs="仿宋"/>
          <w:color w:val="auto"/>
          <w:sz w:val="24"/>
          <w:highlight w:val="none"/>
          <w:lang w:val="en-US" w:eastAsia="zh-CN" w:bidi="ar-SA"/>
        </w:rPr>
        <w:t>3.</w:t>
      </w:r>
      <w:r>
        <w:rPr>
          <w:rFonts w:hint="eastAsia" w:ascii="仿宋" w:hAnsi="仿宋" w:eastAsia="仿宋" w:cs="仿宋"/>
          <w:color w:val="auto"/>
          <w:sz w:val="24"/>
          <w:highlight w:val="none"/>
          <w:lang w:val="en-US" w:eastAsia="zh-CN"/>
        </w:rPr>
        <w:t>样品评审方法：</w:t>
      </w:r>
    </w:p>
    <w:p w14:paraId="1A83BAF0">
      <w:pPr>
        <w:pStyle w:val="143"/>
        <w:keepNext w:val="0"/>
        <w:keepLines w:val="0"/>
        <w:pageBreakBefore w:val="0"/>
        <w:widowControl w:val="0"/>
        <w:numPr>
          <w:ilvl w:val="0"/>
          <w:numId w:val="0"/>
        </w:numPr>
        <w:shd w:val="clear"/>
        <w:tabs>
          <w:tab w:val="left" w:pos="841"/>
        </w:tabs>
        <w:kinsoku/>
        <w:wordWrap/>
        <w:overflowPunct/>
        <w:topLinePunct w:val="0"/>
        <w:autoSpaceDE/>
        <w:autoSpaceDN/>
        <w:bidi w:val="0"/>
        <w:adjustRightInd/>
        <w:snapToGrid/>
        <w:spacing w:line="520" w:lineRule="exact"/>
        <w:ind w:firstLine="480" w:firstLineChars="200"/>
        <w:jc w:val="both"/>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（1）样品采用盲评，即在评审过程中隐去样品来源信息（如生产者、品牌等）。</w:t>
      </w:r>
    </w:p>
    <w:p w14:paraId="16F3C546">
      <w:pPr>
        <w:pStyle w:val="143"/>
        <w:keepNext w:val="0"/>
        <w:keepLines w:val="0"/>
        <w:pageBreakBefore w:val="0"/>
        <w:widowControl w:val="0"/>
        <w:numPr>
          <w:ilvl w:val="0"/>
          <w:numId w:val="0"/>
        </w:numPr>
        <w:shd w:val="clear"/>
        <w:tabs>
          <w:tab w:val="left" w:pos="841"/>
        </w:tabs>
        <w:kinsoku/>
        <w:wordWrap/>
        <w:overflowPunct/>
        <w:topLinePunct w:val="0"/>
        <w:autoSpaceDE/>
        <w:autoSpaceDN/>
        <w:bidi w:val="0"/>
        <w:adjustRightInd/>
        <w:snapToGrid/>
        <w:spacing w:line="520" w:lineRule="exact"/>
        <w:ind w:firstLine="480" w:firstLineChars="200"/>
        <w:jc w:val="both"/>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（2）评审标准：</w:t>
      </w:r>
    </w:p>
    <w:p w14:paraId="1DCB1074">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1）外观与标识检查：</w:t>
      </w:r>
    </w:p>
    <w:p w14:paraId="0B020441">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①</w:t>
      </w:r>
      <w:r>
        <w:rPr>
          <w:rFonts w:hint="default" w:ascii="仿宋" w:hAnsi="仿宋" w:eastAsia="仿宋" w:cs="仿宋"/>
          <w:color w:val="auto"/>
          <w:spacing w:val="-1"/>
          <w:sz w:val="24"/>
          <w:highlight w:val="none"/>
          <w:lang w:val="en-US" w:eastAsia="zh-CN"/>
        </w:rPr>
        <w:t>外观：样品表面应无</w:t>
      </w:r>
      <w:r>
        <w:rPr>
          <w:rFonts w:hint="eastAsia" w:ascii="仿宋" w:hAnsi="仿宋" w:eastAsia="仿宋" w:cs="仿宋"/>
          <w:color w:val="auto"/>
          <w:spacing w:val="-1"/>
          <w:sz w:val="24"/>
          <w:highlight w:val="none"/>
          <w:lang w:val="en-US" w:eastAsia="zh-CN"/>
        </w:rPr>
        <w:t>开裂</w:t>
      </w:r>
      <w:r>
        <w:rPr>
          <w:rFonts w:hint="default" w:ascii="仿宋" w:hAnsi="仿宋" w:eastAsia="仿宋" w:cs="仿宋"/>
          <w:color w:val="auto"/>
          <w:spacing w:val="-1"/>
          <w:sz w:val="24"/>
          <w:highlight w:val="none"/>
          <w:lang w:val="en-US" w:eastAsia="zh-CN"/>
        </w:rPr>
        <w:t>、</w:t>
      </w:r>
      <w:r>
        <w:rPr>
          <w:rFonts w:hint="eastAsia" w:ascii="仿宋" w:hAnsi="仿宋" w:eastAsia="仿宋" w:cs="仿宋"/>
          <w:color w:val="auto"/>
          <w:spacing w:val="-1"/>
          <w:sz w:val="24"/>
          <w:highlight w:val="none"/>
          <w:lang w:val="en-US" w:eastAsia="zh-CN"/>
        </w:rPr>
        <w:t>无变色、</w:t>
      </w:r>
      <w:r>
        <w:rPr>
          <w:rFonts w:hint="default" w:ascii="仿宋" w:hAnsi="仿宋" w:eastAsia="仿宋" w:cs="仿宋"/>
          <w:color w:val="auto"/>
          <w:spacing w:val="-1"/>
          <w:sz w:val="24"/>
          <w:highlight w:val="none"/>
          <w:lang w:val="en-US" w:eastAsia="zh-CN"/>
        </w:rPr>
        <w:t>无变形及其他明显缺陷</w:t>
      </w:r>
      <w:r>
        <w:rPr>
          <w:rFonts w:hint="eastAsia" w:ascii="仿宋" w:hAnsi="仿宋" w:eastAsia="仿宋" w:cs="仿宋"/>
          <w:color w:val="auto"/>
          <w:spacing w:val="-1"/>
          <w:sz w:val="24"/>
          <w:highlight w:val="none"/>
          <w:lang w:val="en-US" w:eastAsia="zh-CN"/>
        </w:rPr>
        <w:t>，</w:t>
      </w:r>
      <w:r>
        <w:rPr>
          <w:rFonts w:hint="default" w:ascii="仿宋" w:hAnsi="仿宋" w:eastAsia="仿宋" w:cs="仿宋"/>
          <w:color w:val="auto"/>
          <w:spacing w:val="-1"/>
          <w:sz w:val="24"/>
          <w:highlight w:val="none"/>
          <w:lang w:val="en-US" w:eastAsia="zh-CN"/>
        </w:rPr>
        <w:t>任何可能影响产品使用性能或导致安全风险的外观瑕疵，均视为不</w:t>
      </w:r>
      <w:r>
        <w:rPr>
          <w:rFonts w:hint="eastAsia" w:ascii="仿宋" w:hAnsi="仿宋" w:eastAsia="仿宋" w:cs="仿宋"/>
          <w:color w:val="auto"/>
          <w:spacing w:val="-1"/>
          <w:sz w:val="24"/>
          <w:highlight w:val="none"/>
          <w:lang w:val="en-US" w:eastAsia="zh-CN"/>
        </w:rPr>
        <w:t>合格</w:t>
      </w:r>
      <w:r>
        <w:rPr>
          <w:rFonts w:hint="default" w:ascii="仿宋" w:hAnsi="仿宋" w:eastAsia="仿宋" w:cs="仿宋"/>
          <w:color w:val="auto"/>
          <w:spacing w:val="-1"/>
          <w:sz w:val="24"/>
          <w:highlight w:val="none"/>
          <w:lang w:val="en-US" w:eastAsia="zh-CN"/>
        </w:rPr>
        <w:t>。​</w:t>
      </w:r>
    </w:p>
    <w:p w14:paraId="216C7B4E">
      <w:pPr>
        <w:shd w:val="clear"/>
        <w:spacing w:line="520" w:lineRule="exact"/>
        <w:ind w:firstLine="49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pacing w:val="-1"/>
          <w:sz w:val="24"/>
          <w:highlight w:val="none"/>
          <w:lang w:val="en-US" w:eastAsia="zh-CN"/>
        </w:rPr>
        <w:t>②</w:t>
      </w:r>
      <w:r>
        <w:rPr>
          <w:rFonts w:hint="default" w:ascii="仿宋" w:hAnsi="仿宋" w:eastAsia="仿宋" w:cs="仿宋"/>
          <w:b w:val="0"/>
          <w:bCs w:val="0"/>
          <w:color w:val="auto"/>
          <w:spacing w:val="-1"/>
          <w:sz w:val="24"/>
          <w:highlight w:val="none"/>
          <w:lang w:val="en-US" w:eastAsia="zh-CN"/>
        </w:rPr>
        <w:t>标识：</w:t>
      </w:r>
      <w:r>
        <w:rPr>
          <w:rFonts w:hint="eastAsia" w:ascii="仿宋" w:hAnsi="仿宋" w:eastAsia="仿宋" w:cs="仿宋"/>
          <w:b w:val="0"/>
          <w:bCs w:val="0"/>
          <w:color w:val="auto"/>
          <w:spacing w:val="-1"/>
          <w:sz w:val="24"/>
          <w:highlight w:val="none"/>
          <w:lang w:val="en-US" w:eastAsia="zh-CN"/>
        </w:rPr>
        <w:t>详见</w:t>
      </w:r>
      <w:r>
        <w:rPr>
          <w:rFonts w:hint="eastAsia" w:ascii="仿宋" w:hAnsi="仿宋" w:eastAsia="仿宋" w:cs="仿宋"/>
          <w:b w:val="0"/>
          <w:bCs w:val="0"/>
          <w:color w:val="auto"/>
          <w:sz w:val="24"/>
          <w:highlight w:val="none"/>
        </w:rPr>
        <w:t>1</w:t>
      </w: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szCs w:val="24"/>
          <w:highlight w:val="none"/>
          <w:lang w:val="en-US" w:eastAsia="zh-CN"/>
        </w:rPr>
        <w:t>样品要求。</w:t>
      </w:r>
    </w:p>
    <w:p w14:paraId="7C484D67">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2）</w:t>
      </w:r>
      <w:r>
        <w:rPr>
          <w:rFonts w:hint="default" w:ascii="仿宋" w:hAnsi="仿宋" w:eastAsia="仿宋" w:cs="仿宋"/>
          <w:color w:val="auto"/>
          <w:spacing w:val="-1"/>
          <w:sz w:val="24"/>
          <w:highlight w:val="none"/>
          <w:lang w:val="en-US" w:eastAsia="zh-CN"/>
        </w:rPr>
        <w:t>包装</w:t>
      </w:r>
      <w:r>
        <w:rPr>
          <w:rFonts w:hint="eastAsia" w:ascii="仿宋" w:hAnsi="仿宋" w:eastAsia="仿宋" w:cs="仿宋"/>
          <w:color w:val="auto"/>
          <w:spacing w:val="-1"/>
          <w:sz w:val="24"/>
          <w:highlight w:val="none"/>
          <w:lang w:val="en-US" w:eastAsia="zh-CN"/>
        </w:rPr>
        <w:t>：</w:t>
      </w:r>
      <w:r>
        <w:rPr>
          <w:rFonts w:hint="default" w:ascii="仿宋" w:hAnsi="仿宋" w:eastAsia="仿宋" w:cs="仿宋"/>
          <w:color w:val="auto"/>
          <w:spacing w:val="-1"/>
          <w:sz w:val="24"/>
          <w:highlight w:val="none"/>
          <w:lang w:val="en-US" w:eastAsia="zh-CN"/>
        </w:rPr>
        <w:t>​</w:t>
      </w:r>
    </w:p>
    <w:p w14:paraId="1022BE6D">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hint="default" w:ascii="仿宋" w:hAnsi="仿宋" w:eastAsia="仿宋" w:cs="仿宋"/>
          <w:color w:val="auto"/>
          <w:spacing w:val="-1"/>
          <w:sz w:val="24"/>
          <w:highlight w:val="none"/>
          <w:lang w:val="en-US" w:eastAsia="zh-CN"/>
        </w:rPr>
      </w:pPr>
      <w:r>
        <w:rPr>
          <w:rFonts w:hint="default" w:ascii="仿宋" w:hAnsi="仿宋" w:eastAsia="仿宋" w:cs="仿宋"/>
          <w:color w:val="auto"/>
          <w:spacing w:val="-1"/>
          <w:sz w:val="24"/>
          <w:highlight w:val="none"/>
          <w:lang w:val="en-US" w:eastAsia="zh-CN"/>
        </w:rPr>
        <w:t>包装完整性：样品包装应完好无损，具备良好的密封性和防护性，能有效防止产品在运输、储存过程中受到污染或损坏。包装破损、密封不严的样品，</w:t>
      </w:r>
      <w:r>
        <w:rPr>
          <w:rFonts w:hint="eastAsia" w:ascii="仿宋" w:hAnsi="仿宋" w:eastAsia="仿宋" w:cs="仿宋"/>
          <w:color w:val="auto"/>
          <w:spacing w:val="-1"/>
          <w:sz w:val="24"/>
          <w:highlight w:val="none"/>
          <w:lang w:val="en-US" w:eastAsia="zh-CN"/>
        </w:rPr>
        <w:t>不纳入样品评审</w:t>
      </w:r>
      <w:r>
        <w:rPr>
          <w:rFonts w:hint="default" w:ascii="仿宋" w:hAnsi="仿宋" w:eastAsia="仿宋" w:cs="仿宋"/>
          <w:color w:val="auto"/>
          <w:spacing w:val="-1"/>
          <w:sz w:val="24"/>
          <w:highlight w:val="none"/>
          <w:lang w:val="en-US" w:eastAsia="zh-CN"/>
        </w:rPr>
        <w:t>。</w:t>
      </w:r>
    </w:p>
    <w:p w14:paraId="7F882E5A">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样品评审</w:t>
      </w:r>
      <w:r>
        <w:rPr>
          <w:rFonts w:hint="default" w:ascii="仿宋" w:hAnsi="仿宋" w:eastAsia="仿宋" w:cs="仿宋"/>
          <w:color w:val="auto"/>
          <w:spacing w:val="-1"/>
          <w:sz w:val="24"/>
          <w:highlight w:val="none"/>
          <w:lang w:val="en-US" w:eastAsia="zh-CN"/>
        </w:rPr>
        <w:t>小组将采用匿名评审机制对投标人提交的样品进行</w:t>
      </w:r>
      <w:r>
        <w:rPr>
          <w:rFonts w:hint="eastAsia" w:ascii="仿宋" w:hAnsi="仿宋" w:eastAsia="仿宋" w:cs="仿宋"/>
          <w:color w:val="auto"/>
          <w:spacing w:val="-1"/>
          <w:sz w:val="24"/>
          <w:highlight w:val="none"/>
          <w:lang w:val="en-US" w:eastAsia="zh-CN"/>
        </w:rPr>
        <w:t>满足或不满足临床实际使用需求的投票</w:t>
      </w:r>
      <w:r>
        <w:rPr>
          <w:rFonts w:hint="default" w:ascii="仿宋" w:hAnsi="仿宋" w:eastAsia="仿宋" w:cs="仿宋"/>
          <w:color w:val="auto"/>
          <w:spacing w:val="-1"/>
          <w:sz w:val="24"/>
          <w:highlight w:val="none"/>
          <w:lang w:val="en-US" w:eastAsia="zh-CN"/>
        </w:rPr>
        <w:t>表决，具体流程为：所有参评样品均</w:t>
      </w:r>
      <w:r>
        <w:rPr>
          <w:rFonts w:hint="eastAsia" w:ascii="仿宋" w:hAnsi="仿宋" w:eastAsia="仿宋" w:cs="仿宋"/>
          <w:color w:val="auto"/>
          <w:spacing w:val="-1"/>
          <w:sz w:val="24"/>
          <w:highlight w:val="none"/>
          <w:lang w:val="en-US" w:eastAsia="zh-CN"/>
        </w:rPr>
        <w:t>现场</w:t>
      </w:r>
      <w:r>
        <w:rPr>
          <w:rFonts w:hint="default" w:ascii="仿宋" w:hAnsi="仿宋" w:eastAsia="仿宋" w:cs="仿宋"/>
          <w:color w:val="auto"/>
          <w:spacing w:val="-1"/>
          <w:sz w:val="24"/>
          <w:highlight w:val="none"/>
          <w:lang w:val="en-US" w:eastAsia="zh-CN"/>
        </w:rPr>
        <w:t>编号，审查小组在不知晓样品来源信息的情况下进行独立投票。计票结果以有效票数为基准，获得超过半数（不含半数）</w:t>
      </w:r>
      <w:r>
        <w:rPr>
          <w:rFonts w:hint="eastAsia" w:ascii="仿宋" w:hAnsi="仿宋" w:eastAsia="仿宋" w:cs="仿宋"/>
          <w:color w:val="auto"/>
          <w:spacing w:val="-1"/>
          <w:sz w:val="24"/>
          <w:highlight w:val="none"/>
          <w:lang w:val="en-US" w:eastAsia="zh-CN"/>
        </w:rPr>
        <w:t>满足</w:t>
      </w:r>
      <w:r>
        <w:rPr>
          <w:rFonts w:hint="default" w:ascii="仿宋" w:hAnsi="仿宋" w:eastAsia="仿宋" w:cs="仿宋"/>
          <w:color w:val="auto"/>
          <w:spacing w:val="-1"/>
          <w:sz w:val="24"/>
          <w:highlight w:val="none"/>
          <w:lang w:val="en-US" w:eastAsia="zh-CN"/>
        </w:rPr>
        <w:t>票的样品</w:t>
      </w:r>
      <w:r>
        <w:rPr>
          <w:rFonts w:hint="eastAsia" w:ascii="仿宋" w:hAnsi="仿宋" w:eastAsia="仿宋" w:cs="仿宋"/>
          <w:color w:val="auto"/>
          <w:spacing w:val="-1"/>
          <w:sz w:val="24"/>
          <w:highlight w:val="none"/>
          <w:lang w:val="en-US" w:eastAsia="zh-CN"/>
        </w:rPr>
        <w:t>则</w:t>
      </w:r>
      <w:r>
        <w:rPr>
          <w:rFonts w:hint="default" w:ascii="仿宋" w:hAnsi="仿宋" w:eastAsia="仿宋" w:cs="仿宋"/>
          <w:color w:val="auto"/>
          <w:spacing w:val="-1"/>
          <w:sz w:val="24"/>
          <w:highlight w:val="none"/>
          <w:lang w:val="en-US" w:eastAsia="zh-CN"/>
        </w:rPr>
        <w:t>通过</w:t>
      </w:r>
      <w:r>
        <w:rPr>
          <w:rFonts w:hint="eastAsia" w:ascii="仿宋" w:hAnsi="仿宋" w:eastAsia="仿宋" w:cs="仿宋"/>
          <w:color w:val="auto"/>
          <w:spacing w:val="-1"/>
          <w:sz w:val="24"/>
          <w:highlight w:val="none"/>
          <w:lang w:val="en-US" w:eastAsia="zh-CN"/>
        </w:rPr>
        <w:t>样品评审</w:t>
      </w:r>
      <w:r>
        <w:rPr>
          <w:rFonts w:hint="default" w:ascii="仿宋" w:hAnsi="仿宋" w:eastAsia="仿宋" w:cs="仿宋"/>
          <w:color w:val="auto"/>
          <w:spacing w:val="-1"/>
          <w:sz w:val="24"/>
          <w:highlight w:val="none"/>
          <w:lang w:val="en-US" w:eastAsia="zh-CN"/>
        </w:rPr>
        <w:t>，未</w:t>
      </w:r>
      <w:r>
        <w:rPr>
          <w:rFonts w:hint="eastAsia" w:ascii="仿宋" w:hAnsi="仿宋" w:eastAsia="仿宋" w:cs="仿宋"/>
          <w:color w:val="auto"/>
          <w:spacing w:val="-1"/>
          <w:sz w:val="24"/>
          <w:highlight w:val="none"/>
          <w:lang w:val="en-US" w:eastAsia="zh-CN"/>
        </w:rPr>
        <w:t>达到</w:t>
      </w:r>
      <w:r>
        <w:rPr>
          <w:rFonts w:hint="default" w:ascii="仿宋" w:hAnsi="仿宋" w:eastAsia="仿宋" w:cs="仿宋"/>
          <w:color w:val="auto"/>
          <w:spacing w:val="-1"/>
          <w:sz w:val="24"/>
          <w:highlight w:val="none"/>
          <w:lang w:val="en-US" w:eastAsia="zh-CN"/>
        </w:rPr>
        <w:t>此标准的视为不</w:t>
      </w:r>
      <w:r>
        <w:rPr>
          <w:rFonts w:hint="eastAsia" w:ascii="仿宋" w:hAnsi="仿宋" w:eastAsia="仿宋" w:cs="仿宋"/>
          <w:color w:val="auto"/>
          <w:spacing w:val="-1"/>
          <w:sz w:val="24"/>
          <w:highlight w:val="none"/>
          <w:lang w:val="en-US" w:eastAsia="zh-CN"/>
        </w:rPr>
        <w:t>满足</w:t>
      </w:r>
      <w:r>
        <w:rPr>
          <w:rFonts w:hint="default" w:ascii="仿宋" w:hAnsi="仿宋" w:eastAsia="仿宋" w:cs="仿宋"/>
          <w:color w:val="auto"/>
          <w:spacing w:val="-1"/>
          <w:sz w:val="24"/>
          <w:highlight w:val="none"/>
          <w:lang w:val="en-US" w:eastAsia="zh-CN"/>
        </w:rPr>
        <w:t>。</w:t>
      </w:r>
    </w:p>
    <w:p w14:paraId="11943094">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样品评审判定为不合格/不满足或不纳入样品评审的投标人将不予进入资质审查及报价的评审。</w:t>
      </w:r>
    </w:p>
    <w:p w14:paraId="30543559">
      <w:pPr>
        <w:pStyle w:val="143"/>
        <w:keepNext w:val="0"/>
        <w:keepLines w:val="0"/>
        <w:pageBreakBefore w:val="0"/>
        <w:widowControl w:val="0"/>
        <w:numPr>
          <w:ilvl w:val="0"/>
          <w:numId w:val="0"/>
        </w:numPr>
        <w:shd w:val="clear"/>
        <w:tabs>
          <w:tab w:val="left" w:pos="841"/>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SA"/>
        </w:rPr>
        <w:t>4.</w:t>
      </w:r>
      <w:r>
        <w:rPr>
          <w:rFonts w:hint="eastAsia" w:ascii="仿宋" w:hAnsi="仿宋" w:eastAsia="仿宋" w:cs="仿宋"/>
          <w:color w:val="auto"/>
          <w:sz w:val="24"/>
          <w:highlight w:val="none"/>
          <w:lang w:val="en-US" w:eastAsia="zh-CN"/>
        </w:rPr>
        <w:t>资质审查</w:t>
      </w:r>
      <w:r>
        <w:rPr>
          <w:rFonts w:hint="eastAsia" w:ascii="仿宋" w:hAnsi="仿宋" w:eastAsia="仿宋" w:cs="仿宋"/>
          <w:color w:val="auto"/>
          <w:sz w:val="24"/>
          <w:highlight w:val="none"/>
        </w:rPr>
        <w:t>方法：</w:t>
      </w:r>
    </w:p>
    <w:p w14:paraId="67D22F69">
      <w:pPr>
        <w:pStyle w:val="143"/>
        <w:keepNext w:val="0"/>
        <w:keepLines w:val="0"/>
        <w:pageBreakBefore w:val="0"/>
        <w:widowControl w:val="0"/>
        <w:numPr>
          <w:ilvl w:val="0"/>
          <w:numId w:val="0"/>
        </w:numPr>
        <w:shd w:val="clear"/>
        <w:tabs>
          <w:tab w:val="left" w:pos="841"/>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对投标人进行两个阶段的审查：</w:t>
      </w:r>
    </w:p>
    <w:p w14:paraId="21845230">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（1）第一阶段：资质审查小组按资格预审标准要</w:t>
      </w:r>
      <w:r>
        <w:rPr>
          <w:rFonts w:hint="eastAsia" w:ascii="仿宋" w:hAnsi="仿宋" w:eastAsia="仿宋" w:cs="仿宋"/>
          <w:color w:val="auto"/>
          <w:sz w:val="24"/>
          <w:highlight w:val="none"/>
          <w:lang w:eastAsia="zh-CN"/>
        </w:rPr>
        <w:t>求和</w:t>
      </w:r>
      <w:r>
        <w:rPr>
          <w:rFonts w:hint="eastAsia" w:ascii="仿宋" w:hAnsi="仿宋" w:eastAsia="仿宋" w:cs="仿宋"/>
          <w:color w:val="auto"/>
          <w:sz w:val="24"/>
          <w:highlight w:val="none"/>
        </w:rPr>
        <w:t>条件对投标人进行资格预审文件审查。在对投标人的资质审查完毕后，进入第一轮报价审核。</w:t>
      </w:r>
    </w:p>
    <w:p w14:paraId="21A83926">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（2）第二阶段：资质审查通过的投标人进入第一轮报价审核</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即单品目</w:t>
      </w:r>
      <w:r>
        <w:rPr>
          <w:rFonts w:hint="eastAsia" w:ascii="仿宋" w:hAnsi="仿宋" w:eastAsia="仿宋" w:cs="仿宋"/>
          <w:color w:val="auto"/>
          <w:sz w:val="24"/>
          <w:highlight w:val="none"/>
          <w:lang w:eastAsia="zh-CN"/>
        </w:rPr>
        <w:t>耗材</w:t>
      </w:r>
      <w:r>
        <w:rPr>
          <w:rFonts w:hint="eastAsia" w:ascii="仿宋" w:hAnsi="仿宋" w:eastAsia="仿宋" w:cs="仿宋"/>
          <w:color w:val="auto"/>
          <w:sz w:val="24"/>
          <w:highlight w:val="none"/>
        </w:rPr>
        <w:t>报价最低的前五名投标人（不足 5 家时按实际家数确定）可参加后续采购活动。</w:t>
      </w:r>
    </w:p>
    <w:p w14:paraId="146B3A0D">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hint="eastAsia" w:ascii="仿宋" w:hAnsi="仿宋" w:eastAsia="仿宋" w:cs="仿宋"/>
          <w:color w:val="auto"/>
          <w:sz w:val="24"/>
          <w:highlight w:val="none"/>
        </w:rPr>
      </w:pPr>
      <w:bookmarkStart w:id="181" w:name="（4）审核过程独立、保密。申请人非法干预审核过程的行为将导致其资格预审申请文件作"/>
      <w:bookmarkEnd w:id="181"/>
      <w:r>
        <w:rPr>
          <w:rFonts w:hint="eastAsia" w:ascii="仿宋" w:hAnsi="仿宋" w:eastAsia="仿宋" w:cs="仿宋"/>
          <w:color w:val="auto"/>
          <w:spacing w:val="-1"/>
          <w:sz w:val="24"/>
          <w:highlight w:val="none"/>
          <w:lang w:val="en-US" w:eastAsia="zh-CN"/>
        </w:rPr>
        <w:t>5</w:t>
      </w:r>
      <w:r>
        <w:rPr>
          <w:rFonts w:hint="eastAsia" w:ascii="仿宋" w:hAnsi="仿宋" w:eastAsia="仿宋" w:cs="仿宋"/>
          <w:color w:val="auto"/>
          <w:spacing w:val="-1"/>
          <w:sz w:val="24"/>
          <w:highlight w:val="none"/>
        </w:rPr>
        <w:t>.审核过程独立、保密。投标人非法干预审核过程的行为将导致其资格预审</w:t>
      </w:r>
      <w:r>
        <w:rPr>
          <w:rFonts w:hint="eastAsia" w:ascii="仿宋" w:hAnsi="仿宋" w:eastAsia="仿宋" w:cs="仿宋"/>
          <w:color w:val="auto"/>
          <w:sz w:val="24"/>
          <w:highlight w:val="none"/>
        </w:rPr>
        <w:t>申请文件作为无效处理。</w:t>
      </w:r>
    </w:p>
    <w:p w14:paraId="116DCB5E">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highlight w:val="none"/>
        </w:rPr>
      </w:pPr>
      <w:bookmarkStart w:id="182" w:name="（5）资格预审小组审核资格预审申请文件的响应性，对于申请人而言，除审核小组要求其"/>
      <w:bookmarkEnd w:id="182"/>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.资格预审小组审核资格预审申请文件的响应性，对于投标人而言，除资格预审小组</w:t>
      </w:r>
      <w:r>
        <w:rPr>
          <w:rFonts w:hint="eastAsia" w:ascii="仿宋" w:hAnsi="仿宋" w:eastAsia="仿宋" w:cs="仿宋"/>
          <w:color w:val="auto"/>
          <w:spacing w:val="-9"/>
          <w:sz w:val="24"/>
          <w:highlight w:val="none"/>
        </w:rPr>
        <w:t>要求其澄清、说明或者更正而提供的资料外，仅依据资格预审申请文件本身</w:t>
      </w:r>
      <w:r>
        <w:rPr>
          <w:rFonts w:hint="eastAsia" w:ascii="仿宋" w:hAnsi="仿宋" w:eastAsia="仿宋" w:cs="仿宋"/>
          <w:color w:val="auto"/>
          <w:sz w:val="24"/>
          <w:highlight w:val="none"/>
        </w:rPr>
        <w:t>的内容，而不寻求外部的证据。</w:t>
      </w:r>
    </w:p>
    <w:p w14:paraId="66D1385B">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.本项目包括①第一阶段：</w:t>
      </w:r>
      <w:r>
        <w:rPr>
          <w:rFonts w:hint="eastAsia" w:ascii="仿宋" w:hAnsi="仿宋" w:eastAsia="仿宋" w:cs="仿宋"/>
          <w:color w:val="auto"/>
          <w:sz w:val="24"/>
          <w:highlight w:val="none"/>
          <w:lang w:eastAsia="zh-CN"/>
        </w:rPr>
        <w:t>样品评审；</w:t>
      </w:r>
      <w:r>
        <w:rPr>
          <w:rFonts w:hint="eastAsia" w:ascii="仿宋" w:hAnsi="仿宋" w:eastAsia="仿宋" w:cs="仿宋"/>
          <w:color w:val="auto"/>
          <w:sz w:val="24"/>
          <w:highlight w:val="none"/>
          <w:lang w:val="en-US" w:eastAsia="zh-CN"/>
        </w:rPr>
        <w:t>②</w:t>
      </w:r>
      <w:r>
        <w:rPr>
          <w:rFonts w:hint="eastAsia" w:ascii="仿宋" w:hAnsi="仿宋" w:eastAsia="仿宋" w:cs="仿宋"/>
          <w:color w:val="auto"/>
          <w:sz w:val="24"/>
          <w:highlight w:val="none"/>
        </w:rPr>
        <w:t>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阶段：资质审查；②第</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阶段：资质审查通过的投标人进入第一轮报价审核</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即单品目</w:t>
      </w:r>
      <w:r>
        <w:rPr>
          <w:rFonts w:hint="eastAsia" w:ascii="仿宋" w:hAnsi="仿宋" w:eastAsia="仿宋" w:cs="仿宋"/>
          <w:color w:val="auto"/>
          <w:sz w:val="24"/>
          <w:highlight w:val="none"/>
          <w:lang w:eastAsia="zh-CN"/>
        </w:rPr>
        <w:t>耗材</w:t>
      </w:r>
      <w:r>
        <w:rPr>
          <w:rFonts w:hint="eastAsia" w:ascii="仿宋" w:hAnsi="仿宋" w:eastAsia="仿宋" w:cs="仿宋"/>
          <w:color w:val="auto"/>
          <w:sz w:val="24"/>
          <w:highlight w:val="none"/>
        </w:rPr>
        <w:t>报价最低的前五名投标人（不足 5 家时按实际家数确定）可参加后续采购</w:t>
      </w:r>
      <w:r>
        <w:rPr>
          <w:rFonts w:hint="eastAsia" w:ascii="仿宋" w:hAnsi="仿宋" w:eastAsia="仿宋" w:cs="仿宋"/>
          <w:color w:val="auto"/>
          <w:spacing w:val="-1"/>
          <w:sz w:val="24"/>
          <w:highlight w:val="none"/>
        </w:rPr>
        <w:t>（即</w:t>
      </w:r>
      <w:r>
        <w:rPr>
          <w:rFonts w:hint="eastAsia" w:ascii="仿宋" w:hAnsi="仿宋" w:eastAsia="仿宋" w:cs="仿宋"/>
          <w:color w:val="auto"/>
          <w:spacing w:val="-1"/>
          <w:sz w:val="24"/>
          <w:highlight w:val="none"/>
          <w:lang w:eastAsia="zh-CN"/>
        </w:rPr>
        <w:t>第二轮</w:t>
      </w:r>
      <w:r>
        <w:rPr>
          <w:rFonts w:hint="eastAsia" w:ascii="仿宋" w:hAnsi="仿宋" w:eastAsia="仿宋" w:cs="仿宋"/>
          <w:color w:val="auto"/>
          <w:spacing w:val="-1"/>
          <w:sz w:val="24"/>
          <w:highlight w:val="none"/>
        </w:rPr>
        <w:t>报价）</w:t>
      </w:r>
      <w:r>
        <w:rPr>
          <w:rFonts w:hint="eastAsia" w:ascii="仿宋" w:hAnsi="仿宋" w:eastAsia="仿宋" w:cs="仿宋"/>
          <w:color w:val="auto"/>
          <w:sz w:val="24"/>
          <w:highlight w:val="none"/>
        </w:rPr>
        <w:t>活动。</w:t>
      </w:r>
    </w:p>
    <w:p w14:paraId="62698B7E">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60" w:firstLineChars="200"/>
        <w:textAlignment w:val="auto"/>
        <w:rPr>
          <w:rFonts w:hint="eastAsia" w:ascii="仿宋" w:hAnsi="仿宋" w:eastAsia="仿宋" w:cs="仿宋"/>
          <w:color w:val="auto"/>
          <w:sz w:val="24"/>
          <w:highlight w:val="none"/>
        </w:rPr>
      </w:pPr>
      <w:bookmarkStart w:id="183" w:name="（6）如通过资格预审的申请人不足3家的，由项目实施机构调整资格预审公告后重新组织"/>
      <w:bookmarkEnd w:id="183"/>
      <w:r>
        <w:rPr>
          <w:rFonts w:hint="eastAsia" w:ascii="仿宋" w:hAnsi="仿宋" w:eastAsia="仿宋" w:cs="仿宋"/>
          <w:color w:val="auto"/>
          <w:spacing w:val="-5"/>
          <w:sz w:val="24"/>
          <w:highlight w:val="none"/>
          <w:lang w:val="en-US" w:eastAsia="zh-CN"/>
        </w:rPr>
        <w:t>8</w:t>
      </w:r>
      <w:r>
        <w:rPr>
          <w:rFonts w:hint="eastAsia" w:ascii="仿宋" w:hAnsi="仿宋" w:eastAsia="仿宋" w:cs="仿宋"/>
          <w:color w:val="auto"/>
          <w:spacing w:val="-5"/>
          <w:sz w:val="24"/>
          <w:highlight w:val="none"/>
        </w:rPr>
        <w:t>.如通过资格预审的投标人数量不足</w:t>
      </w:r>
      <w:r>
        <w:rPr>
          <w:rFonts w:hint="eastAsia" w:ascii="仿宋" w:hAnsi="仿宋" w:eastAsia="仿宋" w:cs="仿宋"/>
          <w:color w:val="auto"/>
          <w:sz w:val="24"/>
          <w:highlight w:val="none"/>
        </w:rPr>
        <w:t>本文件规定时，</w:t>
      </w:r>
      <w:r>
        <w:rPr>
          <w:rFonts w:hint="eastAsia" w:ascii="仿宋" w:hAnsi="仿宋" w:eastAsia="仿宋" w:cs="仿宋"/>
          <w:color w:val="auto"/>
          <w:spacing w:val="-9"/>
          <w:sz w:val="24"/>
          <w:highlight w:val="none"/>
        </w:rPr>
        <w:t>由项目采购人、采购人代理机构调整</w:t>
      </w:r>
      <w:r>
        <w:rPr>
          <w:rFonts w:hint="eastAsia" w:ascii="仿宋" w:hAnsi="仿宋" w:eastAsia="仿宋" w:cs="仿宋"/>
          <w:color w:val="auto"/>
          <w:sz w:val="24"/>
          <w:highlight w:val="none"/>
          <w:lang w:eastAsia="zh-CN"/>
        </w:rPr>
        <w:t>资格预审</w:t>
      </w:r>
      <w:r>
        <w:rPr>
          <w:rFonts w:hint="eastAsia" w:ascii="仿宋" w:hAnsi="仿宋" w:eastAsia="仿宋" w:cs="仿宋"/>
          <w:color w:val="auto"/>
          <w:spacing w:val="-9"/>
          <w:sz w:val="24"/>
          <w:highlight w:val="none"/>
        </w:rPr>
        <w:t>公告</w:t>
      </w:r>
      <w:r>
        <w:rPr>
          <w:rFonts w:hint="eastAsia" w:ascii="仿宋" w:hAnsi="仿宋" w:eastAsia="仿宋" w:cs="仿宋"/>
          <w:color w:val="auto"/>
          <w:sz w:val="24"/>
          <w:highlight w:val="none"/>
        </w:rPr>
        <w:t>后另行通知。</w:t>
      </w:r>
    </w:p>
    <w:p w14:paraId="578F8665">
      <w:pPr>
        <w:pStyle w:val="6"/>
        <w:shd w:val="clear"/>
        <w:tabs>
          <w:tab w:val="left" w:pos="484"/>
        </w:tabs>
        <w:spacing w:before="0" w:after="0" w:line="520" w:lineRule="exact"/>
        <w:rPr>
          <w:rFonts w:hint="eastAsia" w:ascii="仿宋" w:hAnsi="仿宋" w:eastAsia="仿宋" w:cs="仿宋"/>
          <w:color w:val="auto"/>
          <w:highlight w:val="none"/>
        </w:rPr>
      </w:pPr>
      <w:bookmarkStart w:id="184" w:name="2.审核程序"/>
      <w:bookmarkEnd w:id="184"/>
      <w:bookmarkStart w:id="185" w:name="_Toc5647"/>
      <w:r>
        <w:rPr>
          <w:rFonts w:hint="eastAsia" w:ascii="仿宋" w:hAnsi="仿宋" w:eastAsia="仿宋" w:cs="仿宋"/>
          <w:color w:val="auto"/>
          <w:highlight w:val="none"/>
        </w:rPr>
        <w:t>二、资质审核程序</w:t>
      </w:r>
      <w:bookmarkEnd w:id="185"/>
    </w:p>
    <w:p w14:paraId="0E769CD4">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2"/>
          <w:highlight w:val="none"/>
        </w:rPr>
      </w:pPr>
      <w:bookmarkStart w:id="186" w:name="审核小组应依据法律法规和本资格预审文件的规定，对资格预审申请文件是否按照规定要求"/>
      <w:bookmarkEnd w:id="186"/>
      <w:r>
        <w:rPr>
          <w:rFonts w:hint="eastAsia" w:ascii="仿宋" w:hAnsi="仿宋" w:eastAsia="仿宋" w:cs="仿宋"/>
          <w:color w:val="auto"/>
          <w:sz w:val="24"/>
          <w:szCs w:val="22"/>
          <w:highlight w:val="none"/>
        </w:rPr>
        <w:t>1.资质审查小组应依据法律法规和本</w:t>
      </w:r>
      <w:r>
        <w:rPr>
          <w:rFonts w:hint="eastAsia" w:ascii="仿宋" w:hAnsi="仿宋" w:eastAsia="仿宋" w:cs="仿宋"/>
          <w:color w:val="auto"/>
          <w:sz w:val="24"/>
          <w:szCs w:val="22"/>
          <w:highlight w:val="none"/>
          <w:lang w:eastAsia="zh-CN"/>
        </w:rPr>
        <w:t>资格预审文件</w:t>
      </w:r>
      <w:r>
        <w:rPr>
          <w:rFonts w:hint="eastAsia" w:ascii="仿宋" w:hAnsi="仿宋" w:eastAsia="仿宋" w:cs="仿宋"/>
          <w:color w:val="auto"/>
          <w:sz w:val="24"/>
          <w:szCs w:val="22"/>
          <w:highlight w:val="none"/>
        </w:rPr>
        <w:t>的规定，对资格预审申请文件是否按照规定要求提供资格证明材料、是否属于禁止参加资格预审的投标人等进行审查，以确定投标人是否通过资质审查环节。</w:t>
      </w:r>
    </w:p>
    <w:p w14:paraId="3D5501AC">
      <w:pPr>
        <w:pStyle w:val="143"/>
        <w:keepNext w:val="0"/>
        <w:keepLines w:val="0"/>
        <w:pageBreakBefore w:val="0"/>
        <w:widowControl w:val="0"/>
        <w:shd w:val="clear"/>
        <w:tabs>
          <w:tab w:val="left" w:pos="841"/>
        </w:tabs>
        <w:kinsoku/>
        <w:wordWrap/>
        <w:overflowPunct/>
        <w:topLinePunct w:val="0"/>
        <w:autoSpaceDE/>
        <w:autoSpaceDN/>
        <w:bidi w:val="0"/>
        <w:adjustRightInd/>
        <w:snapToGrid/>
        <w:spacing w:line="520" w:lineRule="exact"/>
        <w:ind w:firstLine="480" w:firstLineChars="200"/>
        <w:textAlignment w:val="auto"/>
        <w:rPr>
          <w:rFonts w:hint="eastAsia" w:ascii="仿宋" w:hAnsi="仿宋" w:cs="仿宋"/>
          <w:color w:val="auto"/>
          <w:sz w:val="24"/>
          <w:szCs w:val="22"/>
          <w:highlight w:val="none"/>
        </w:rPr>
      </w:pPr>
      <w:bookmarkStart w:id="187" w:name="审核小组依法对申请人的资格进行审核结束后，出具资格预审报告。"/>
      <w:bookmarkEnd w:id="187"/>
      <w:r>
        <w:rPr>
          <w:rFonts w:hint="eastAsia" w:ascii="仿宋" w:hAnsi="仿宋" w:eastAsia="仿宋" w:cs="仿宋"/>
          <w:color w:val="auto"/>
          <w:sz w:val="24"/>
          <w:szCs w:val="22"/>
          <w:highlight w:val="none"/>
        </w:rPr>
        <w:t>2.资质审查小组依法对投标人的资格进行审核结束后，出具资格审查报告。</w:t>
      </w:r>
    </w:p>
    <w:p w14:paraId="02F07763">
      <w:pPr>
        <w:pStyle w:val="6"/>
        <w:shd w:val="clear"/>
        <w:tabs>
          <w:tab w:val="left" w:pos="484"/>
        </w:tabs>
        <w:spacing w:before="0" w:after="0" w:line="520" w:lineRule="exact"/>
        <w:rPr>
          <w:rFonts w:hint="eastAsia" w:ascii="仿宋" w:hAnsi="仿宋" w:eastAsia="仿宋" w:cs="仿宋"/>
          <w:color w:val="auto"/>
          <w:highlight w:val="none"/>
        </w:rPr>
      </w:pPr>
      <w:bookmarkStart w:id="188" w:name="_Toc15911"/>
      <w:r>
        <w:rPr>
          <w:rFonts w:hint="eastAsia" w:ascii="仿宋" w:hAnsi="仿宋" w:eastAsia="仿宋" w:cs="仿宋"/>
          <w:color w:val="auto"/>
          <w:highlight w:val="none"/>
        </w:rPr>
        <w:t>三、资质审核标准</w:t>
      </w:r>
      <w:bookmarkEnd w:id="188"/>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4461"/>
        <w:gridCol w:w="4486"/>
      </w:tblGrid>
      <w:tr w14:paraId="7A64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noWrap w:val="0"/>
            <w:vAlign w:val="center"/>
          </w:tcPr>
          <w:p w14:paraId="576FA6DA">
            <w:pPr>
              <w:keepNext w:val="0"/>
              <w:keepLines w:val="0"/>
              <w:pageBreakBefore w:val="0"/>
              <w:shd w:val="clear"/>
              <w:kinsoku/>
              <w:wordWrap/>
              <w:overflowPunct/>
              <w:topLinePunct w:val="0"/>
              <w:bidi w:val="0"/>
              <w:snapToGrid w:val="0"/>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序号</w:t>
            </w:r>
          </w:p>
        </w:tc>
        <w:tc>
          <w:tcPr>
            <w:tcW w:w="4461" w:type="dxa"/>
            <w:noWrap w:val="0"/>
            <w:vAlign w:val="center"/>
          </w:tcPr>
          <w:p w14:paraId="30F9219E">
            <w:pPr>
              <w:keepNext w:val="0"/>
              <w:keepLines w:val="0"/>
              <w:pageBreakBefore w:val="0"/>
              <w:shd w:val="clear"/>
              <w:kinsoku/>
              <w:wordWrap/>
              <w:overflowPunct/>
              <w:topLinePunct w:val="0"/>
              <w:bidi w:val="0"/>
              <w:snapToGrid w:val="0"/>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项目</w:t>
            </w:r>
          </w:p>
        </w:tc>
        <w:tc>
          <w:tcPr>
            <w:tcW w:w="4486" w:type="dxa"/>
            <w:noWrap w:val="0"/>
            <w:vAlign w:val="center"/>
          </w:tcPr>
          <w:p w14:paraId="183C1FDB">
            <w:pPr>
              <w:keepNext w:val="0"/>
              <w:keepLines w:val="0"/>
              <w:pageBreakBefore w:val="0"/>
              <w:shd w:val="clear"/>
              <w:kinsoku/>
              <w:wordWrap/>
              <w:overflowPunct/>
              <w:topLinePunct w:val="0"/>
              <w:bidi w:val="0"/>
              <w:snapToGrid w:val="0"/>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合格条件</w:t>
            </w:r>
          </w:p>
        </w:tc>
      </w:tr>
      <w:tr w14:paraId="7B5A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noWrap w:val="0"/>
            <w:vAlign w:val="center"/>
          </w:tcPr>
          <w:p w14:paraId="11848570">
            <w:pPr>
              <w:keepNext w:val="0"/>
              <w:keepLines w:val="0"/>
              <w:pageBreakBefore w:val="0"/>
              <w:shd w:val="clear"/>
              <w:kinsoku/>
              <w:wordWrap/>
              <w:overflowPunct/>
              <w:topLinePunct w:val="0"/>
              <w:bidi w:val="0"/>
              <w:snapToGrid w:val="0"/>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p>
        </w:tc>
        <w:tc>
          <w:tcPr>
            <w:tcW w:w="4461" w:type="dxa"/>
            <w:noWrap w:val="0"/>
            <w:vAlign w:val="center"/>
          </w:tcPr>
          <w:p w14:paraId="276BB953">
            <w:pPr>
              <w:keepNext w:val="0"/>
              <w:keepLines w:val="0"/>
              <w:pageBreakBefore w:val="0"/>
              <w:widowControl/>
              <w:shd w:val="clear"/>
              <w:kinsoku/>
              <w:wordWrap/>
              <w:overflowPunct/>
              <w:topLinePunct w:val="0"/>
              <w:bidi w:val="0"/>
              <w:snapToGrid w:val="0"/>
              <w:spacing w:line="360" w:lineRule="exact"/>
              <w:jc w:val="center"/>
              <w:textAlignment w:val="baseline"/>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rPr>
              <w:t>在中国境内合法注册</w:t>
            </w:r>
          </w:p>
        </w:tc>
        <w:tc>
          <w:tcPr>
            <w:tcW w:w="4486" w:type="dxa"/>
            <w:noWrap w:val="0"/>
            <w:vAlign w:val="center"/>
          </w:tcPr>
          <w:p w14:paraId="26A2541E">
            <w:pPr>
              <w:pStyle w:val="246"/>
              <w:keepNext w:val="0"/>
              <w:keepLines w:val="0"/>
              <w:pageBreakBefore w:val="0"/>
              <w:shd w:val="clear"/>
              <w:kinsoku/>
              <w:wordWrap/>
              <w:overflowPunct/>
              <w:topLinePunct w:val="0"/>
              <w:bidi w:val="0"/>
              <w:snapToGrid w:val="0"/>
              <w:spacing w:line="360" w:lineRule="exact"/>
              <w:ind w:firstLine="0" w:firstLineChars="0"/>
              <w:jc w:val="left"/>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lang w:bidi="ar"/>
              </w:rPr>
              <w:t>（1）独立法人机构提供下述证明材料：</w:t>
            </w:r>
          </w:p>
          <w:p w14:paraId="7FCBB133">
            <w:pPr>
              <w:pStyle w:val="246"/>
              <w:keepNext w:val="0"/>
              <w:keepLines w:val="0"/>
              <w:pageBreakBefore w:val="0"/>
              <w:shd w:val="clear"/>
              <w:kinsoku/>
              <w:wordWrap/>
              <w:overflowPunct/>
              <w:topLinePunct w:val="0"/>
              <w:bidi w:val="0"/>
              <w:snapToGrid w:val="0"/>
              <w:spacing w:line="360" w:lineRule="exact"/>
              <w:ind w:firstLine="0" w:firstLineChars="0"/>
              <w:jc w:val="left"/>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lang w:bidi="ar"/>
              </w:rPr>
              <w:t>注：①投标人若为企业法人：提供“统一社会信用代码营业执照”；未换证的提供“营业执照、税务登记证、组织机构代码证或三证合一的营业执照”；</w:t>
            </w:r>
          </w:p>
          <w:p w14:paraId="7AAA8C5C">
            <w:pPr>
              <w:pStyle w:val="246"/>
              <w:keepNext w:val="0"/>
              <w:keepLines w:val="0"/>
              <w:pageBreakBefore w:val="0"/>
              <w:shd w:val="clear"/>
              <w:kinsoku/>
              <w:wordWrap/>
              <w:overflowPunct/>
              <w:topLinePunct w:val="0"/>
              <w:bidi w:val="0"/>
              <w:snapToGrid w:val="0"/>
              <w:spacing w:line="360" w:lineRule="exact"/>
              <w:ind w:firstLine="0" w:firstLineChars="0"/>
              <w:jc w:val="left"/>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lang w:bidi="ar"/>
              </w:rPr>
              <w:t>②若为事业法人：提供“统一社会信用代码法人登记证书”；未换证的提交“事业法人登记证书、组织机构代码证”；</w:t>
            </w:r>
          </w:p>
          <w:p w14:paraId="0C89D95D">
            <w:pPr>
              <w:pStyle w:val="246"/>
              <w:keepNext w:val="0"/>
              <w:keepLines w:val="0"/>
              <w:pageBreakBefore w:val="0"/>
              <w:shd w:val="clear"/>
              <w:kinsoku/>
              <w:wordWrap/>
              <w:overflowPunct/>
              <w:topLinePunct w:val="0"/>
              <w:bidi w:val="0"/>
              <w:snapToGrid w:val="0"/>
              <w:spacing w:line="360" w:lineRule="exact"/>
              <w:ind w:firstLine="0" w:firstLineChars="0"/>
              <w:jc w:val="left"/>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lang w:bidi="ar"/>
              </w:rPr>
              <w:t>③若为其他组织：提供“对应主管部门颁发的准许执业证明文件或营业执照”；</w:t>
            </w:r>
          </w:p>
          <w:p w14:paraId="66E3B4DA">
            <w:pPr>
              <w:pStyle w:val="246"/>
              <w:keepNext w:val="0"/>
              <w:keepLines w:val="0"/>
              <w:pageBreakBefore w:val="0"/>
              <w:shd w:val="clear"/>
              <w:kinsoku/>
              <w:wordWrap/>
              <w:overflowPunct/>
              <w:topLinePunct w:val="0"/>
              <w:bidi w:val="0"/>
              <w:snapToGrid w:val="0"/>
              <w:spacing w:line="360" w:lineRule="exact"/>
              <w:ind w:firstLine="0" w:firstLineChars="0"/>
              <w:jc w:val="left"/>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lang w:bidi="ar"/>
              </w:rPr>
              <w:t>④若为自然人：提供“身份证明材料”。以上均提供复印件。</w:t>
            </w:r>
          </w:p>
          <w:p w14:paraId="19474FA5">
            <w:pPr>
              <w:pStyle w:val="246"/>
              <w:keepNext w:val="0"/>
              <w:keepLines w:val="0"/>
              <w:pageBreakBefore w:val="0"/>
              <w:shd w:val="clear"/>
              <w:kinsoku/>
              <w:wordWrap/>
              <w:overflowPunct/>
              <w:topLinePunct w:val="0"/>
              <w:bidi w:val="0"/>
              <w:snapToGrid w:val="0"/>
              <w:spacing w:line="360" w:lineRule="exact"/>
              <w:ind w:firstLine="0" w:firstLineChars="0"/>
              <w:jc w:val="left"/>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lang w:bidi="ar"/>
              </w:rPr>
              <w:t>（2）非独立法人机构提供下述证明材料：</w:t>
            </w:r>
          </w:p>
          <w:p w14:paraId="77060261">
            <w:pPr>
              <w:pStyle w:val="246"/>
              <w:keepNext w:val="0"/>
              <w:keepLines w:val="0"/>
              <w:pageBreakBefore w:val="0"/>
              <w:shd w:val="clear"/>
              <w:kinsoku/>
              <w:wordWrap/>
              <w:overflowPunct/>
              <w:topLinePunct w:val="0"/>
              <w:bidi w:val="0"/>
              <w:snapToGrid w:val="0"/>
              <w:spacing w:line="360" w:lineRule="exact"/>
              <w:ind w:firstLine="0" w:firstLineChars="0"/>
              <w:jc w:val="left"/>
              <w:rPr>
                <w:rFonts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lang w:bidi="ar"/>
              </w:rPr>
              <w:t>注：本项目不接受非独立法人机构参与投标。</w:t>
            </w:r>
          </w:p>
          <w:p w14:paraId="5417DE6C">
            <w:pPr>
              <w:pStyle w:val="246"/>
              <w:keepNext w:val="0"/>
              <w:keepLines w:val="0"/>
              <w:pageBreakBefore w:val="0"/>
              <w:shd w:val="clear"/>
              <w:kinsoku/>
              <w:wordWrap/>
              <w:overflowPunct/>
              <w:topLinePunct w:val="0"/>
              <w:bidi w:val="0"/>
              <w:snapToGrid w:val="0"/>
              <w:spacing w:line="360" w:lineRule="exact"/>
              <w:ind w:firstLine="0" w:firstLineChars="0"/>
              <w:jc w:val="left"/>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lang w:bidi="ar"/>
              </w:rPr>
              <w:t>说明：投标人营业执照或法人证书或身份证明材料住所应在中华人民共和国境内，否则不予认可；</w:t>
            </w:r>
          </w:p>
        </w:tc>
      </w:tr>
      <w:tr w14:paraId="6F85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noWrap w:val="0"/>
            <w:vAlign w:val="center"/>
          </w:tcPr>
          <w:p w14:paraId="4F61D9EC">
            <w:pPr>
              <w:keepNext w:val="0"/>
              <w:keepLines w:val="0"/>
              <w:pageBreakBefore w:val="0"/>
              <w:shd w:val="clear"/>
              <w:kinsoku/>
              <w:wordWrap/>
              <w:overflowPunct/>
              <w:topLinePunct w:val="0"/>
              <w:bidi w:val="0"/>
              <w:snapToGrid w:val="0"/>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w:t>
            </w:r>
          </w:p>
        </w:tc>
        <w:tc>
          <w:tcPr>
            <w:tcW w:w="4461" w:type="dxa"/>
            <w:noWrap w:val="0"/>
            <w:vAlign w:val="center"/>
          </w:tcPr>
          <w:p w14:paraId="641A27D3">
            <w:pPr>
              <w:keepNext w:val="0"/>
              <w:keepLines w:val="0"/>
              <w:pageBreakBefore w:val="0"/>
              <w:widowControl/>
              <w:shd w:val="clear"/>
              <w:kinsoku/>
              <w:wordWrap/>
              <w:overflowPunct/>
              <w:topLinePunct w:val="0"/>
              <w:bidi w:val="0"/>
              <w:snapToGrid w:val="0"/>
              <w:spacing w:line="360" w:lineRule="exact"/>
              <w:jc w:val="center"/>
              <w:textAlignment w:val="baseline"/>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lang w:bidi="ar"/>
              </w:rPr>
              <w:t>具有依法缴纳税收的记录</w:t>
            </w:r>
          </w:p>
        </w:tc>
        <w:tc>
          <w:tcPr>
            <w:tcW w:w="4486" w:type="dxa"/>
            <w:vMerge w:val="restart"/>
            <w:noWrap w:val="0"/>
            <w:vAlign w:val="center"/>
          </w:tcPr>
          <w:p w14:paraId="37C0AA09">
            <w:pPr>
              <w:keepNext w:val="0"/>
              <w:keepLines w:val="0"/>
              <w:pageBreakBefore w:val="0"/>
              <w:widowControl/>
              <w:shd w:val="clear"/>
              <w:kinsoku/>
              <w:wordWrap/>
              <w:overflowPunct/>
              <w:topLinePunct w:val="0"/>
              <w:bidi w:val="0"/>
              <w:snapToGrid w:val="0"/>
              <w:spacing w:line="360" w:lineRule="exact"/>
              <w:ind w:firstLine="28"/>
              <w:jc w:val="center"/>
              <w:textAlignment w:val="baseline"/>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lang w:bidi="ar"/>
              </w:rPr>
              <w:t>投标人提供“资格条件承诺函”（格式详见第四章）</w:t>
            </w:r>
          </w:p>
        </w:tc>
      </w:tr>
      <w:tr w14:paraId="6A26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noWrap w:val="0"/>
            <w:vAlign w:val="center"/>
          </w:tcPr>
          <w:p w14:paraId="5A7ED8B0">
            <w:pPr>
              <w:keepNext w:val="0"/>
              <w:keepLines w:val="0"/>
              <w:pageBreakBefore w:val="0"/>
              <w:shd w:val="clear"/>
              <w:kinsoku/>
              <w:wordWrap/>
              <w:overflowPunct/>
              <w:topLinePunct w:val="0"/>
              <w:bidi w:val="0"/>
              <w:snapToGrid w:val="0"/>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w:t>
            </w:r>
          </w:p>
        </w:tc>
        <w:tc>
          <w:tcPr>
            <w:tcW w:w="4461" w:type="dxa"/>
            <w:noWrap w:val="0"/>
            <w:vAlign w:val="center"/>
          </w:tcPr>
          <w:p w14:paraId="0979F669">
            <w:pPr>
              <w:keepNext w:val="0"/>
              <w:keepLines w:val="0"/>
              <w:pageBreakBefore w:val="0"/>
              <w:widowControl/>
              <w:shd w:val="clear"/>
              <w:kinsoku/>
              <w:wordWrap/>
              <w:overflowPunct/>
              <w:topLinePunct w:val="0"/>
              <w:bidi w:val="0"/>
              <w:snapToGrid w:val="0"/>
              <w:spacing w:line="360" w:lineRule="exact"/>
              <w:jc w:val="center"/>
              <w:textAlignment w:val="baseline"/>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lang w:bidi="ar"/>
              </w:rPr>
              <w:t>具有依法缴纳社会保障资金的记录</w:t>
            </w:r>
          </w:p>
        </w:tc>
        <w:tc>
          <w:tcPr>
            <w:tcW w:w="4486" w:type="dxa"/>
            <w:vMerge w:val="continue"/>
            <w:noWrap w:val="0"/>
            <w:vAlign w:val="center"/>
          </w:tcPr>
          <w:p w14:paraId="12C9A6EA">
            <w:pPr>
              <w:keepNext w:val="0"/>
              <w:keepLines w:val="0"/>
              <w:pageBreakBefore w:val="0"/>
              <w:widowControl/>
              <w:shd w:val="clear"/>
              <w:tabs>
                <w:tab w:val="left" w:pos="1134"/>
              </w:tabs>
              <w:kinsoku/>
              <w:wordWrap/>
              <w:overflowPunct/>
              <w:topLinePunct w:val="0"/>
              <w:bidi w:val="0"/>
              <w:spacing w:line="360" w:lineRule="exact"/>
              <w:jc w:val="center"/>
              <w:outlineLvl w:val="5"/>
              <w:rPr>
                <w:rFonts w:hint="eastAsia" w:ascii="仿宋" w:hAnsi="仿宋" w:eastAsia="仿宋" w:cs="仿宋"/>
                <w:b/>
                <w:color w:val="auto"/>
                <w:sz w:val="21"/>
                <w:szCs w:val="21"/>
                <w:highlight w:val="none"/>
                <w:u w:val="single"/>
              </w:rPr>
            </w:pPr>
          </w:p>
        </w:tc>
      </w:tr>
      <w:tr w14:paraId="451C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noWrap w:val="0"/>
            <w:vAlign w:val="center"/>
          </w:tcPr>
          <w:p w14:paraId="2CDA986C">
            <w:pPr>
              <w:keepNext w:val="0"/>
              <w:keepLines w:val="0"/>
              <w:pageBreakBefore w:val="0"/>
              <w:shd w:val="clear"/>
              <w:kinsoku/>
              <w:wordWrap/>
              <w:overflowPunct/>
              <w:topLinePunct w:val="0"/>
              <w:bidi w:val="0"/>
              <w:snapToGrid w:val="0"/>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w:t>
            </w:r>
          </w:p>
        </w:tc>
        <w:tc>
          <w:tcPr>
            <w:tcW w:w="4461" w:type="dxa"/>
            <w:noWrap w:val="0"/>
            <w:vAlign w:val="center"/>
          </w:tcPr>
          <w:p w14:paraId="73E05EF5">
            <w:pPr>
              <w:keepNext w:val="0"/>
              <w:keepLines w:val="0"/>
              <w:pageBreakBefore w:val="0"/>
              <w:widowControl/>
              <w:shd w:val="clear"/>
              <w:kinsoku/>
              <w:wordWrap/>
              <w:overflowPunct/>
              <w:topLinePunct w:val="0"/>
              <w:bidi w:val="0"/>
              <w:snapToGrid w:val="0"/>
              <w:spacing w:line="360" w:lineRule="exact"/>
              <w:jc w:val="center"/>
              <w:textAlignment w:val="baseline"/>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lang w:bidi="ar"/>
              </w:rPr>
              <w:t>参加采购活动前三年内，在经营活动中没有重大违法记录</w:t>
            </w:r>
          </w:p>
        </w:tc>
        <w:tc>
          <w:tcPr>
            <w:tcW w:w="4486" w:type="dxa"/>
            <w:vMerge w:val="continue"/>
            <w:noWrap w:val="0"/>
            <w:vAlign w:val="center"/>
          </w:tcPr>
          <w:p w14:paraId="4AA51F6F">
            <w:pPr>
              <w:keepNext w:val="0"/>
              <w:keepLines w:val="0"/>
              <w:pageBreakBefore w:val="0"/>
              <w:widowControl/>
              <w:shd w:val="clear"/>
              <w:kinsoku/>
              <w:wordWrap/>
              <w:overflowPunct/>
              <w:topLinePunct w:val="0"/>
              <w:bidi w:val="0"/>
              <w:snapToGrid w:val="0"/>
              <w:spacing w:line="360" w:lineRule="exact"/>
              <w:jc w:val="center"/>
              <w:textAlignment w:val="baseline"/>
              <w:rPr>
                <w:rFonts w:hint="eastAsia" w:ascii="仿宋" w:hAnsi="仿宋" w:eastAsia="仿宋" w:cs="仿宋"/>
                <w:bCs/>
                <w:color w:val="auto"/>
                <w:sz w:val="21"/>
                <w:szCs w:val="21"/>
                <w:highlight w:val="none"/>
                <w:lang w:bidi="ar"/>
              </w:rPr>
            </w:pPr>
          </w:p>
        </w:tc>
      </w:tr>
      <w:tr w14:paraId="0C87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noWrap w:val="0"/>
            <w:vAlign w:val="center"/>
          </w:tcPr>
          <w:p w14:paraId="4D47F0C4">
            <w:pPr>
              <w:keepNext w:val="0"/>
              <w:keepLines w:val="0"/>
              <w:pageBreakBefore w:val="0"/>
              <w:shd w:val="clear"/>
              <w:kinsoku/>
              <w:wordWrap/>
              <w:overflowPunct/>
              <w:topLinePunct w:val="0"/>
              <w:bidi w:val="0"/>
              <w:snapToGrid w:val="0"/>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w:t>
            </w:r>
          </w:p>
        </w:tc>
        <w:tc>
          <w:tcPr>
            <w:tcW w:w="4461" w:type="dxa"/>
            <w:noWrap w:val="0"/>
            <w:vAlign w:val="center"/>
          </w:tcPr>
          <w:p w14:paraId="363A9DE3">
            <w:pPr>
              <w:keepNext w:val="0"/>
              <w:keepLines w:val="0"/>
              <w:pageBreakBefore w:val="0"/>
              <w:widowControl/>
              <w:shd w:val="clear"/>
              <w:kinsoku/>
              <w:wordWrap/>
              <w:overflowPunct/>
              <w:topLinePunct w:val="0"/>
              <w:bidi w:val="0"/>
              <w:snapToGrid w:val="0"/>
              <w:spacing w:line="360" w:lineRule="exact"/>
              <w:jc w:val="center"/>
              <w:textAlignment w:val="baseline"/>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rPr>
              <w:t>法律、行政法规规定的其他条件</w:t>
            </w:r>
          </w:p>
        </w:tc>
        <w:tc>
          <w:tcPr>
            <w:tcW w:w="4486" w:type="dxa"/>
            <w:vMerge w:val="continue"/>
            <w:noWrap w:val="0"/>
            <w:vAlign w:val="center"/>
          </w:tcPr>
          <w:p w14:paraId="1F025BD7">
            <w:pPr>
              <w:keepNext w:val="0"/>
              <w:keepLines w:val="0"/>
              <w:pageBreakBefore w:val="0"/>
              <w:widowControl/>
              <w:shd w:val="clear"/>
              <w:kinsoku/>
              <w:wordWrap/>
              <w:overflowPunct/>
              <w:topLinePunct w:val="0"/>
              <w:bidi w:val="0"/>
              <w:snapToGrid w:val="0"/>
              <w:spacing w:line="360" w:lineRule="exact"/>
              <w:ind w:firstLine="28"/>
              <w:jc w:val="center"/>
              <w:textAlignment w:val="baseline"/>
              <w:rPr>
                <w:rFonts w:hint="eastAsia" w:ascii="仿宋" w:hAnsi="仿宋" w:eastAsia="仿宋" w:cs="仿宋"/>
                <w:bCs/>
                <w:color w:val="auto"/>
                <w:sz w:val="21"/>
                <w:szCs w:val="21"/>
                <w:highlight w:val="none"/>
                <w:lang w:bidi="ar"/>
              </w:rPr>
            </w:pPr>
          </w:p>
        </w:tc>
      </w:tr>
      <w:tr w14:paraId="0FBE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shd w:val="clear" w:color="auto" w:fill="auto"/>
            <w:noWrap w:val="0"/>
            <w:vAlign w:val="center"/>
          </w:tcPr>
          <w:p w14:paraId="54AF0DAA">
            <w:pPr>
              <w:keepNext w:val="0"/>
              <w:keepLines w:val="0"/>
              <w:pageBreakBefore w:val="0"/>
              <w:shd w:val="clear"/>
              <w:kinsoku/>
              <w:wordWrap/>
              <w:overflowPunct/>
              <w:topLinePunct w:val="0"/>
              <w:bidi w:val="0"/>
              <w:snapToGrid w:val="0"/>
              <w:spacing w:line="360" w:lineRule="exact"/>
              <w:jc w:val="center"/>
              <w:rPr>
                <w:rFonts w:hint="eastAsia" w:ascii="仿宋" w:hAnsi="仿宋" w:eastAsia="仿宋" w:cs="仿宋"/>
                <w:bCs/>
                <w:color w:val="auto"/>
                <w:sz w:val="21"/>
                <w:szCs w:val="21"/>
                <w:highlight w:val="none"/>
                <w:lang w:val="en-US" w:eastAsia="zh-CN" w:bidi="ar-SA"/>
              </w:rPr>
            </w:pPr>
            <w:r>
              <w:rPr>
                <w:rFonts w:hint="eastAsia" w:ascii="仿宋" w:hAnsi="仿宋" w:eastAsia="仿宋" w:cs="仿宋"/>
                <w:bCs/>
                <w:color w:val="auto"/>
                <w:sz w:val="21"/>
                <w:szCs w:val="21"/>
                <w:highlight w:val="none"/>
                <w:lang w:val="en-US" w:eastAsia="zh-CN"/>
              </w:rPr>
              <w:t>6</w:t>
            </w:r>
          </w:p>
        </w:tc>
        <w:tc>
          <w:tcPr>
            <w:tcW w:w="4461" w:type="dxa"/>
            <w:noWrap w:val="0"/>
            <w:vAlign w:val="center"/>
          </w:tcPr>
          <w:p w14:paraId="31FD825C">
            <w:pPr>
              <w:keepNext w:val="0"/>
              <w:keepLines w:val="0"/>
              <w:pageBreakBefore w:val="0"/>
              <w:widowControl/>
              <w:shd w:val="clear"/>
              <w:kinsoku/>
              <w:wordWrap/>
              <w:overflowPunct/>
              <w:topLinePunct w:val="0"/>
              <w:bidi w:val="0"/>
              <w:snapToGrid w:val="0"/>
              <w:spacing w:line="360" w:lineRule="exact"/>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（1）采购产品为医疗器械的，投标人须提供书面承诺，承诺交货时提供所投产品注册/备案证明材料。</w:t>
            </w:r>
          </w:p>
          <w:p w14:paraId="1CF9D8BC">
            <w:pPr>
              <w:keepNext w:val="0"/>
              <w:keepLines w:val="0"/>
              <w:pageBreakBefore w:val="0"/>
              <w:widowControl/>
              <w:shd w:val="clear"/>
              <w:kinsoku/>
              <w:wordWrap/>
              <w:overflowPunct/>
              <w:topLinePunct w:val="0"/>
              <w:bidi w:val="0"/>
              <w:snapToGrid w:val="0"/>
              <w:spacing w:line="360" w:lineRule="exact"/>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（2）投标人为生产厂家，须提供医疗器械生产许可证/备案材料；投标人为经销商，须提供医疗器械经营许可证/备案材料；不在《医疗器械分类目录》内的不作强行要求。</w:t>
            </w:r>
          </w:p>
          <w:p w14:paraId="61F25CE8">
            <w:pPr>
              <w:keepNext w:val="0"/>
              <w:keepLines w:val="0"/>
              <w:pageBreakBefore w:val="0"/>
              <w:widowControl/>
              <w:shd w:val="clear"/>
              <w:kinsoku/>
              <w:wordWrap/>
              <w:overflowPunct/>
              <w:topLinePunct w:val="0"/>
              <w:bidi w:val="0"/>
              <w:snapToGrid w:val="0"/>
              <w:spacing w:line="360" w:lineRule="exact"/>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（3）投标人为经销商，对所投耗材须逐项提供生产厂家出具的本项目专项授权书（每品目耗材须单独提供一份（张）授权书）</w:t>
            </w:r>
          </w:p>
        </w:tc>
        <w:tc>
          <w:tcPr>
            <w:tcW w:w="4486" w:type="dxa"/>
            <w:noWrap w:val="0"/>
            <w:vAlign w:val="center"/>
          </w:tcPr>
          <w:p w14:paraId="6B70EF89">
            <w:pPr>
              <w:pStyle w:val="183"/>
              <w:keepNext w:val="0"/>
              <w:keepLines w:val="0"/>
              <w:pageBreakBefore w:val="0"/>
              <w:shd w:val="clear"/>
              <w:kinsoku/>
              <w:wordWrap/>
              <w:overflowPunct/>
              <w:topLinePunct w:val="0"/>
              <w:bidi w:val="0"/>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提供有效期内的证明材料并加盖投标人公章。</w:t>
            </w:r>
          </w:p>
        </w:tc>
      </w:tr>
      <w:tr w14:paraId="512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shd w:val="clear" w:color="auto" w:fill="auto"/>
            <w:noWrap w:val="0"/>
            <w:vAlign w:val="center"/>
          </w:tcPr>
          <w:p w14:paraId="4C588736">
            <w:pPr>
              <w:keepNext w:val="0"/>
              <w:keepLines w:val="0"/>
              <w:pageBreakBefore w:val="0"/>
              <w:shd w:val="clear"/>
              <w:kinsoku/>
              <w:wordWrap/>
              <w:overflowPunct/>
              <w:topLinePunct w:val="0"/>
              <w:bidi w:val="0"/>
              <w:snapToGrid w:val="0"/>
              <w:spacing w:line="360" w:lineRule="exact"/>
              <w:jc w:val="center"/>
              <w:rPr>
                <w:rFonts w:hint="eastAsia" w:ascii="仿宋" w:hAnsi="仿宋" w:eastAsia="仿宋" w:cs="仿宋"/>
                <w:bCs/>
                <w:color w:val="auto"/>
                <w:sz w:val="21"/>
                <w:szCs w:val="21"/>
                <w:highlight w:val="none"/>
                <w:lang w:val="en-US" w:eastAsia="zh-CN" w:bidi="ar-SA"/>
              </w:rPr>
            </w:pPr>
            <w:r>
              <w:rPr>
                <w:rFonts w:hint="eastAsia" w:ascii="仿宋" w:hAnsi="仿宋" w:eastAsia="仿宋" w:cs="仿宋"/>
                <w:bCs/>
                <w:color w:val="auto"/>
                <w:sz w:val="21"/>
                <w:szCs w:val="21"/>
                <w:highlight w:val="none"/>
                <w:lang w:val="en-US" w:eastAsia="zh-CN"/>
              </w:rPr>
              <w:t>7</w:t>
            </w:r>
          </w:p>
        </w:tc>
        <w:tc>
          <w:tcPr>
            <w:tcW w:w="4461" w:type="dxa"/>
            <w:noWrap w:val="0"/>
            <w:vAlign w:val="center"/>
          </w:tcPr>
          <w:p w14:paraId="1FBCBFA6">
            <w:pPr>
              <w:keepNext w:val="0"/>
              <w:keepLines w:val="0"/>
              <w:pageBreakBefore w:val="0"/>
              <w:widowControl/>
              <w:shd w:val="clear"/>
              <w:kinsoku/>
              <w:wordWrap/>
              <w:overflowPunct/>
              <w:topLinePunct w:val="0"/>
              <w:bidi w:val="0"/>
              <w:snapToGrid w:val="0"/>
              <w:spacing w:line="360" w:lineRule="exact"/>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重庆药品和医用耗材招采管理系统耗材挂网信息截图：</w:t>
            </w:r>
          </w:p>
          <w:p w14:paraId="6D400832">
            <w:pPr>
              <w:keepNext w:val="0"/>
              <w:keepLines w:val="0"/>
              <w:pageBreakBefore w:val="0"/>
              <w:widowControl/>
              <w:shd w:val="clear"/>
              <w:kinsoku/>
              <w:wordWrap/>
              <w:overflowPunct/>
              <w:topLinePunct w:val="0"/>
              <w:bidi w:val="0"/>
              <w:snapToGrid w:val="0"/>
              <w:spacing w:line="360" w:lineRule="exact"/>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（1）所报品目耗材截图中体现的</w:t>
            </w:r>
            <w:r>
              <w:rPr>
                <w:rFonts w:hint="eastAsia" w:ascii="仿宋" w:hAnsi="仿宋" w:eastAsia="仿宋" w:cs="仿宋"/>
                <w:bCs/>
                <w:color w:val="auto"/>
                <w:sz w:val="21"/>
                <w:szCs w:val="21"/>
                <w:highlight w:val="none"/>
                <w:lang w:eastAsia="zh-CN"/>
              </w:rPr>
              <w:t>型号规格</w:t>
            </w:r>
            <w:r>
              <w:rPr>
                <w:rFonts w:hint="eastAsia" w:ascii="仿宋" w:hAnsi="仿宋" w:eastAsia="仿宋" w:cs="仿宋"/>
                <w:bCs/>
                <w:color w:val="auto"/>
                <w:sz w:val="21"/>
                <w:szCs w:val="21"/>
                <w:highlight w:val="none"/>
              </w:rPr>
              <w:t>须与《耗材采购清单》中要求一致，且包含每品目耗材的所有</w:t>
            </w:r>
            <w:r>
              <w:rPr>
                <w:rFonts w:hint="eastAsia" w:ascii="仿宋" w:hAnsi="仿宋" w:eastAsia="仿宋" w:cs="仿宋"/>
                <w:bCs/>
                <w:color w:val="auto"/>
                <w:sz w:val="21"/>
                <w:szCs w:val="21"/>
                <w:highlight w:val="none"/>
                <w:lang w:eastAsia="zh-CN"/>
              </w:rPr>
              <w:t>型号规格</w:t>
            </w:r>
            <w:r>
              <w:rPr>
                <w:rFonts w:hint="eastAsia" w:ascii="仿宋" w:hAnsi="仿宋" w:eastAsia="仿宋" w:cs="仿宋"/>
                <w:bCs/>
                <w:color w:val="auto"/>
                <w:sz w:val="21"/>
                <w:szCs w:val="21"/>
                <w:highlight w:val="none"/>
              </w:rPr>
              <w:t>；</w:t>
            </w:r>
          </w:p>
          <w:p w14:paraId="67BEFB83">
            <w:pPr>
              <w:keepNext w:val="0"/>
              <w:keepLines w:val="0"/>
              <w:pageBreakBefore w:val="0"/>
              <w:widowControl/>
              <w:shd w:val="clear"/>
              <w:kinsoku/>
              <w:wordWrap/>
              <w:overflowPunct/>
              <w:topLinePunct w:val="0"/>
              <w:bidi w:val="0"/>
              <w:snapToGrid w:val="0"/>
              <w:spacing w:line="360" w:lineRule="exact"/>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（2）所报品目耗材截图中体现的生产企业须与《第一轮报价表》</w:t>
            </w:r>
            <w:r>
              <w:rPr>
                <w:rFonts w:hint="eastAsia" w:ascii="仿宋" w:hAnsi="仿宋" w:eastAsia="仿宋" w:cs="仿宋"/>
                <w:bCs/>
                <w:color w:val="auto"/>
                <w:sz w:val="21"/>
                <w:szCs w:val="21"/>
                <w:highlight w:val="none"/>
                <w:lang w:eastAsia="zh-CN"/>
              </w:rPr>
              <w:t>填写内容</w:t>
            </w:r>
            <w:r>
              <w:rPr>
                <w:rFonts w:hint="eastAsia" w:ascii="仿宋" w:hAnsi="仿宋" w:eastAsia="仿宋" w:cs="仿宋"/>
                <w:bCs/>
                <w:color w:val="auto"/>
                <w:sz w:val="21"/>
                <w:szCs w:val="21"/>
                <w:highlight w:val="none"/>
              </w:rPr>
              <w:t>一致；</w:t>
            </w:r>
          </w:p>
          <w:p w14:paraId="228B0ECB">
            <w:pPr>
              <w:keepNext w:val="0"/>
              <w:keepLines w:val="0"/>
              <w:pageBreakBefore w:val="0"/>
              <w:widowControl/>
              <w:shd w:val="clear"/>
              <w:kinsoku/>
              <w:wordWrap/>
              <w:overflowPunct/>
              <w:topLinePunct w:val="0"/>
              <w:bidi w:val="0"/>
              <w:snapToGrid w:val="0"/>
              <w:spacing w:line="360" w:lineRule="exact"/>
              <w:jc w:val="left"/>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（3）所报品目耗材单价报价不得超过</w:t>
            </w:r>
            <w:r>
              <w:rPr>
                <w:rFonts w:hint="eastAsia" w:ascii="仿宋" w:hAnsi="仿宋" w:eastAsia="仿宋" w:cs="仿宋"/>
                <w:bCs/>
                <w:color w:val="auto"/>
                <w:sz w:val="21"/>
                <w:szCs w:val="21"/>
                <w:highlight w:val="none"/>
                <w:lang w:eastAsia="zh-CN"/>
              </w:rPr>
              <w:t>重庆药品和医用耗材招采管理系统挂网价</w:t>
            </w:r>
            <w:r>
              <w:rPr>
                <w:rFonts w:hint="eastAsia" w:ascii="仿宋" w:hAnsi="仿宋" w:eastAsia="仿宋" w:cs="仿宋"/>
                <w:bCs/>
                <w:color w:val="auto"/>
                <w:sz w:val="21"/>
                <w:szCs w:val="21"/>
                <w:highlight w:val="none"/>
              </w:rPr>
              <w:t>。</w:t>
            </w:r>
          </w:p>
        </w:tc>
        <w:tc>
          <w:tcPr>
            <w:tcW w:w="4486" w:type="dxa"/>
            <w:noWrap w:val="0"/>
            <w:vAlign w:val="center"/>
          </w:tcPr>
          <w:p w14:paraId="4DF79C90">
            <w:pPr>
              <w:pStyle w:val="183"/>
              <w:keepNext w:val="0"/>
              <w:keepLines w:val="0"/>
              <w:pageBreakBefore w:val="0"/>
              <w:shd w:val="clear"/>
              <w:kinsoku/>
              <w:wordWrap/>
              <w:overflowPunct/>
              <w:topLinePunct w:val="0"/>
              <w:bidi w:val="0"/>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bidi="ar"/>
              </w:rPr>
              <w:t>提供证明材料并加盖投标人公章</w:t>
            </w:r>
            <w:r>
              <w:rPr>
                <w:rFonts w:hint="eastAsia" w:ascii="仿宋" w:hAnsi="仿宋" w:eastAsia="仿宋" w:cs="仿宋"/>
                <w:bCs/>
                <w:color w:val="auto"/>
                <w:sz w:val="21"/>
                <w:szCs w:val="21"/>
                <w:highlight w:val="none"/>
                <w:lang w:eastAsia="zh-CN" w:bidi="ar"/>
              </w:rPr>
              <w:t>。</w:t>
            </w:r>
          </w:p>
        </w:tc>
      </w:tr>
      <w:tr w14:paraId="1420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shd w:val="clear" w:color="auto" w:fill="auto"/>
            <w:noWrap w:val="0"/>
            <w:vAlign w:val="center"/>
          </w:tcPr>
          <w:p w14:paraId="0D102371">
            <w:pPr>
              <w:keepNext w:val="0"/>
              <w:keepLines w:val="0"/>
              <w:pageBreakBefore w:val="0"/>
              <w:shd w:val="clear"/>
              <w:kinsoku/>
              <w:wordWrap/>
              <w:overflowPunct/>
              <w:topLinePunct w:val="0"/>
              <w:bidi w:val="0"/>
              <w:snapToGrid w:val="0"/>
              <w:spacing w:line="360" w:lineRule="exact"/>
              <w:jc w:val="center"/>
              <w:rPr>
                <w:rFonts w:hint="eastAsia" w:ascii="仿宋" w:hAnsi="仿宋" w:eastAsia="仿宋" w:cs="仿宋"/>
                <w:bCs/>
                <w:color w:val="auto"/>
                <w:sz w:val="21"/>
                <w:szCs w:val="21"/>
                <w:highlight w:val="none"/>
                <w:lang w:val="en-US" w:eastAsia="zh-CN" w:bidi="ar-SA"/>
              </w:rPr>
            </w:pPr>
            <w:r>
              <w:rPr>
                <w:rFonts w:hint="eastAsia" w:ascii="仿宋" w:hAnsi="仿宋" w:eastAsia="仿宋" w:cs="仿宋"/>
                <w:bCs/>
                <w:color w:val="auto"/>
                <w:sz w:val="21"/>
                <w:szCs w:val="21"/>
                <w:highlight w:val="none"/>
                <w:lang w:val="en-US" w:eastAsia="zh-CN"/>
              </w:rPr>
              <w:t>8</w:t>
            </w:r>
          </w:p>
        </w:tc>
        <w:tc>
          <w:tcPr>
            <w:tcW w:w="4461" w:type="dxa"/>
            <w:noWrap w:val="0"/>
            <w:vAlign w:val="center"/>
          </w:tcPr>
          <w:p w14:paraId="206A410C">
            <w:pPr>
              <w:keepNext w:val="0"/>
              <w:keepLines w:val="0"/>
              <w:pageBreakBefore w:val="0"/>
              <w:widowControl/>
              <w:shd w:val="clear"/>
              <w:kinsoku/>
              <w:wordWrap/>
              <w:overflowPunct/>
              <w:topLinePunct w:val="0"/>
              <w:bidi w:val="0"/>
              <w:snapToGrid w:val="0"/>
              <w:spacing w:line="360" w:lineRule="exact"/>
              <w:jc w:val="center"/>
              <w:textAlignment w:val="baseline"/>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法定代表人身份证明书。</w:t>
            </w:r>
          </w:p>
        </w:tc>
        <w:tc>
          <w:tcPr>
            <w:tcW w:w="4486" w:type="dxa"/>
            <w:noWrap w:val="0"/>
            <w:vAlign w:val="center"/>
          </w:tcPr>
          <w:p w14:paraId="4A413B00">
            <w:pPr>
              <w:pStyle w:val="183"/>
              <w:keepNext w:val="0"/>
              <w:keepLines w:val="0"/>
              <w:pageBreakBefore w:val="0"/>
              <w:shd w:val="clear"/>
              <w:kinsoku/>
              <w:wordWrap/>
              <w:overflowPunct/>
              <w:topLinePunct w:val="0"/>
              <w:bidi w:val="0"/>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eastAsia="zh-CN"/>
              </w:rPr>
              <w:t>资格预审文件</w:t>
            </w:r>
            <w:r>
              <w:rPr>
                <w:rFonts w:hint="eastAsia" w:ascii="仿宋" w:hAnsi="仿宋" w:eastAsia="仿宋" w:cs="仿宋"/>
                <w:color w:val="auto"/>
                <w:sz w:val="21"/>
                <w:szCs w:val="21"/>
                <w:highlight w:val="none"/>
              </w:rPr>
              <w:t>要求</w:t>
            </w:r>
          </w:p>
        </w:tc>
      </w:tr>
      <w:tr w14:paraId="0A22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shd w:val="clear" w:color="auto" w:fill="auto"/>
            <w:noWrap w:val="0"/>
            <w:vAlign w:val="center"/>
          </w:tcPr>
          <w:p w14:paraId="1484650A">
            <w:pPr>
              <w:keepNext w:val="0"/>
              <w:keepLines w:val="0"/>
              <w:pageBreakBefore w:val="0"/>
              <w:shd w:val="clear"/>
              <w:kinsoku/>
              <w:wordWrap/>
              <w:overflowPunct/>
              <w:topLinePunct w:val="0"/>
              <w:bidi w:val="0"/>
              <w:snapToGrid w:val="0"/>
              <w:spacing w:line="360" w:lineRule="exact"/>
              <w:jc w:val="center"/>
              <w:rPr>
                <w:rFonts w:hint="eastAsia" w:ascii="仿宋" w:hAnsi="仿宋" w:eastAsia="仿宋" w:cs="仿宋"/>
                <w:bCs/>
                <w:color w:val="auto"/>
                <w:sz w:val="21"/>
                <w:szCs w:val="21"/>
                <w:highlight w:val="none"/>
                <w:lang w:val="en-US" w:eastAsia="zh-CN" w:bidi="ar-SA"/>
              </w:rPr>
            </w:pPr>
            <w:r>
              <w:rPr>
                <w:rFonts w:hint="eastAsia" w:ascii="仿宋" w:hAnsi="仿宋" w:eastAsia="仿宋" w:cs="仿宋"/>
                <w:bCs/>
                <w:color w:val="auto"/>
                <w:sz w:val="21"/>
                <w:szCs w:val="21"/>
                <w:highlight w:val="none"/>
                <w:lang w:val="en-US" w:eastAsia="zh-CN"/>
              </w:rPr>
              <w:t>9</w:t>
            </w:r>
          </w:p>
        </w:tc>
        <w:tc>
          <w:tcPr>
            <w:tcW w:w="4461" w:type="dxa"/>
            <w:noWrap w:val="0"/>
            <w:vAlign w:val="center"/>
          </w:tcPr>
          <w:p w14:paraId="1E08468B">
            <w:pPr>
              <w:keepNext w:val="0"/>
              <w:keepLines w:val="0"/>
              <w:pageBreakBefore w:val="0"/>
              <w:widowControl/>
              <w:shd w:val="clear"/>
              <w:kinsoku/>
              <w:wordWrap/>
              <w:overflowPunct/>
              <w:topLinePunct w:val="0"/>
              <w:bidi w:val="0"/>
              <w:snapToGrid w:val="0"/>
              <w:spacing w:line="360" w:lineRule="exact"/>
              <w:jc w:val="center"/>
              <w:textAlignment w:val="baseline"/>
              <w:rPr>
                <w:rFonts w:hint="eastAsia" w:ascii="仿宋" w:hAnsi="仿宋" w:eastAsia="仿宋" w:cs="仿宋"/>
                <w:bCs/>
                <w:color w:val="auto"/>
                <w:sz w:val="21"/>
                <w:szCs w:val="21"/>
                <w:highlight w:val="none"/>
                <w:lang w:bidi="ar"/>
              </w:rPr>
            </w:pPr>
            <w:r>
              <w:rPr>
                <w:rFonts w:hint="eastAsia" w:ascii="仿宋" w:hAnsi="仿宋" w:eastAsia="仿宋" w:cs="仿宋"/>
                <w:bCs/>
                <w:color w:val="auto"/>
                <w:sz w:val="21"/>
                <w:szCs w:val="21"/>
                <w:highlight w:val="none"/>
              </w:rPr>
              <w:t>法定代表人授权委托书（法定代表人参与资格预审时可不提供）</w:t>
            </w:r>
          </w:p>
        </w:tc>
        <w:tc>
          <w:tcPr>
            <w:tcW w:w="4486" w:type="dxa"/>
            <w:noWrap w:val="0"/>
            <w:vAlign w:val="center"/>
          </w:tcPr>
          <w:p w14:paraId="0CA59EA8">
            <w:pPr>
              <w:keepNext w:val="0"/>
              <w:keepLines w:val="0"/>
              <w:pageBreakBefore w:val="0"/>
              <w:widowControl/>
              <w:shd w:val="clear"/>
              <w:kinsoku/>
              <w:wordWrap/>
              <w:overflowPunct/>
              <w:topLinePunct w:val="0"/>
              <w:bidi w:val="0"/>
              <w:snapToGrid w:val="0"/>
              <w:spacing w:line="360" w:lineRule="exact"/>
              <w:ind w:firstLine="28"/>
              <w:jc w:val="center"/>
              <w:textAlignment w:val="baseline"/>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eastAsia="zh-CN"/>
              </w:rPr>
              <w:t>资格预审文件</w:t>
            </w:r>
            <w:r>
              <w:rPr>
                <w:rFonts w:hint="eastAsia" w:ascii="仿宋" w:hAnsi="仿宋" w:eastAsia="仿宋" w:cs="仿宋"/>
                <w:color w:val="auto"/>
                <w:sz w:val="21"/>
                <w:szCs w:val="21"/>
                <w:highlight w:val="none"/>
              </w:rPr>
              <w:t>要求</w:t>
            </w:r>
          </w:p>
        </w:tc>
      </w:tr>
      <w:tr w14:paraId="2D4D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noWrap w:val="0"/>
            <w:vAlign w:val="center"/>
          </w:tcPr>
          <w:p w14:paraId="042F7705">
            <w:pPr>
              <w:keepNext w:val="0"/>
              <w:keepLines w:val="0"/>
              <w:pageBreakBefore w:val="0"/>
              <w:shd w:val="clear"/>
              <w:kinsoku/>
              <w:wordWrap/>
              <w:overflowPunct/>
              <w:topLinePunct w:val="0"/>
              <w:bidi w:val="0"/>
              <w:snapToGrid w:val="0"/>
              <w:spacing w:line="360" w:lineRule="exact"/>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10</w:t>
            </w:r>
          </w:p>
        </w:tc>
        <w:tc>
          <w:tcPr>
            <w:tcW w:w="4461" w:type="dxa"/>
            <w:noWrap w:val="0"/>
            <w:vAlign w:val="center"/>
          </w:tcPr>
          <w:p w14:paraId="6E3106FA">
            <w:pPr>
              <w:keepNext w:val="0"/>
              <w:keepLines w:val="0"/>
              <w:pageBreakBefore w:val="0"/>
              <w:widowControl/>
              <w:shd w:val="clear"/>
              <w:kinsoku/>
              <w:wordWrap/>
              <w:overflowPunct/>
              <w:topLinePunct w:val="0"/>
              <w:bidi w:val="0"/>
              <w:snapToGrid w:val="0"/>
              <w:spacing w:line="360" w:lineRule="exact"/>
              <w:jc w:val="center"/>
              <w:textAlignment w:val="baseline"/>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投标保证金</w:t>
            </w:r>
          </w:p>
        </w:tc>
        <w:tc>
          <w:tcPr>
            <w:tcW w:w="4486" w:type="dxa"/>
            <w:noWrap w:val="0"/>
            <w:vAlign w:val="center"/>
          </w:tcPr>
          <w:p w14:paraId="19770A1E">
            <w:pPr>
              <w:keepNext w:val="0"/>
              <w:keepLines w:val="0"/>
              <w:pageBreakBefore w:val="0"/>
              <w:widowControl/>
              <w:shd w:val="clear"/>
              <w:kinsoku/>
              <w:wordWrap/>
              <w:overflowPunct/>
              <w:topLinePunct w:val="0"/>
              <w:bidi w:val="0"/>
              <w:snapToGrid w:val="0"/>
              <w:spacing w:line="360" w:lineRule="exact"/>
              <w:ind w:firstLine="28"/>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按照</w:t>
            </w:r>
            <w:r>
              <w:rPr>
                <w:rFonts w:hint="eastAsia" w:ascii="仿宋" w:hAnsi="仿宋" w:eastAsia="仿宋" w:cs="仿宋"/>
                <w:color w:val="auto"/>
                <w:sz w:val="21"/>
                <w:szCs w:val="21"/>
                <w:highlight w:val="none"/>
                <w:lang w:eastAsia="zh-CN"/>
              </w:rPr>
              <w:t>资格预审文件</w:t>
            </w:r>
            <w:r>
              <w:rPr>
                <w:rFonts w:hint="eastAsia" w:ascii="仿宋" w:hAnsi="仿宋" w:eastAsia="仿宋" w:cs="仿宋"/>
                <w:color w:val="auto"/>
                <w:sz w:val="21"/>
                <w:szCs w:val="21"/>
                <w:highlight w:val="none"/>
              </w:rPr>
              <w:t>要求足额交纳投标保证金。</w:t>
            </w:r>
          </w:p>
        </w:tc>
      </w:tr>
    </w:tbl>
    <w:p w14:paraId="16DF1A2C">
      <w:pPr>
        <w:pStyle w:val="3"/>
        <w:shd w:val="clear"/>
        <w:spacing w:line="520" w:lineRule="exact"/>
        <w:rPr>
          <w:rFonts w:hint="eastAsia" w:ascii="Tahoma" w:hAnsi="Tahoma"/>
          <w:color w:val="auto"/>
          <w:sz w:val="24"/>
          <w:szCs w:val="24"/>
          <w:highlight w:val="none"/>
        </w:rPr>
      </w:pPr>
      <w:r>
        <w:rPr>
          <w:rFonts w:hint="eastAsia" w:ascii="仿宋" w:hAnsi="仿宋" w:eastAsia="仿宋" w:cs="仿宋"/>
          <w:color w:val="auto"/>
          <w:sz w:val="24"/>
          <w:szCs w:val="15"/>
          <w:highlight w:val="none"/>
        </w:rPr>
        <w:t>注：此表仅供投标人参考审核是否符合</w:t>
      </w:r>
      <w:r>
        <w:rPr>
          <w:rFonts w:hint="eastAsia" w:ascii="仿宋" w:hAnsi="仿宋" w:eastAsia="仿宋" w:cs="仿宋"/>
          <w:color w:val="auto"/>
          <w:sz w:val="24"/>
          <w:szCs w:val="15"/>
          <w:highlight w:val="none"/>
          <w:lang w:eastAsia="zh-CN"/>
        </w:rPr>
        <w:t>资格预审文件</w:t>
      </w:r>
      <w:r>
        <w:rPr>
          <w:rFonts w:hint="eastAsia" w:ascii="仿宋" w:hAnsi="仿宋" w:eastAsia="仿宋" w:cs="仿宋"/>
          <w:color w:val="auto"/>
          <w:sz w:val="24"/>
          <w:szCs w:val="15"/>
          <w:highlight w:val="none"/>
        </w:rPr>
        <w:t>要求。</w:t>
      </w:r>
    </w:p>
    <w:p w14:paraId="03E98B3C">
      <w:pPr>
        <w:pStyle w:val="6"/>
        <w:shd w:val="clear"/>
        <w:tabs>
          <w:tab w:val="left" w:pos="484"/>
        </w:tabs>
        <w:spacing w:before="0" w:after="0" w:line="520" w:lineRule="exact"/>
        <w:rPr>
          <w:rFonts w:hint="default" w:eastAsia="仿宋"/>
          <w:color w:val="auto"/>
          <w:highlight w:val="none"/>
          <w:lang w:val="en-US" w:eastAsia="zh-CN"/>
        </w:rPr>
      </w:pPr>
      <w:r>
        <w:rPr>
          <w:rFonts w:hint="eastAsia" w:ascii="仿宋" w:hAnsi="仿宋" w:eastAsia="仿宋" w:cs="仿宋"/>
          <w:color w:val="auto"/>
          <w:highlight w:val="none"/>
        </w:rPr>
        <w:t>四、资质审查通过的投标人进入第一轮报价审核</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单品目</w:t>
      </w:r>
      <w:r>
        <w:rPr>
          <w:rFonts w:hint="eastAsia" w:ascii="仿宋" w:hAnsi="仿宋" w:eastAsia="仿宋" w:cs="仿宋"/>
          <w:color w:val="auto"/>
          <w:highlight w:val="none"/>
          <w:lang w:eastAsia="zh-CN"/>
        </w:rPr>
        <w:t>耗材</w:t>
      </w:r>
      <w:r>
        <w:rPr>
          <w:rFonts w:hint="eastAsia" w:ascii="仿宋" w:hAnsi="仿宋" w:eastAsia="仿宋" w:cs="仿宋"/>
          <w:color w:val="auto"/>
          <w:highlight w:val="none"/>
        </w:rPr>
        <w:t>报价最低的前五名投标人（不足5家时按实际家数确定）可参加后续采购活动。</w:t>
      </w:r>
    </w:p>
    <w:p w14:paraId="055BD5D5">
      <w:pPr>
        <w:pStyle w:val="3"/>
        <w:keepNext w:val="0"/>
        <w:keepLines w:val="0"/>
        <w:pageBreakBefore w:val="0"/>
        <w:widowControl/>
        <w:shd w:val="clear"/>
        <w:kinsoku/>
        <w:wordWrap/>
        <w:overflowPunct/>
        <w:topLinePunct w:val="0"/>
        <w:autoSpaceDE/>
        <w:autoSpaceDN/>
        <w:bidi w:val="0"/>
        <w:adjustRightInd/>
        <w:snapToGrid/>
        <w:spacing w:line="520" w:lineRule="exact"/>
        <w:ind w:firstLine="46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lang w:eastAsia="zh-CN"/>
        </w:rPr>
        <w:t>1.</w:t>
      </w:r>
      <w:r>
        <w:rPr>
          <w:rFonts w:hint="eastAsia" w:ascii="仿宋" w:hAnsi="仿宋" w:eastAsia="仿宋" w:cs="仿宋"/>
          <w:color w:val="auto"/>
          <w:spacing w:val="-5"/>
          <w:sz w:val="24"/>
          <w:szCs w:val="24"/>
          <w:highlight w:val="none"/>
        </w:rPr>
        <w:t>资质审查小组按资格预审标准要</w:t>
      </w:r>
      <w:r>
        <w:rPr>
          <w:rFonts w:hint="eastAsia" w:ascii="仿宋" w:hAnsi="仿宋" w:eastAsia="仿宋" w:cs="仿宋"/>
          <w:color w:val="auto"/>
          <w:spacing w:val="-5"/>
          <w:sz w:val="24"/>
          <w:szCs w:val="24"/>
          <w:highlight w:val="none"/>
          <w:lang w:eastAsia="zh-CN"/>
        </w:rPr>
        <w:t>求和</w:t>
      </w:r>
      <w:r>
        <w:rPr>
          <w:rFonts w:hint="eastAsia" w:ascii="仿宋" w:hAnsi="仿宋" w:eastAsia="仿宋" w:cs="仿宋"/>
          <w:color w:val="auto"/>
          <w:spacing w:val="-5"/>
          <w:sz w:val="24"/>
          <w:szCs w:val="24"/>
          <w:highlight w:val="none"/>
        </w:rPr>
        <w:t>条件对投标人进行资格预审文件审查。在对投标人的资质审查完毕后，进入第一轮报价审核。</w:t>
      </w:r>
    </w:p>
    <w:p w14:paraId="75F52659">
      <w:pPr>
        <w:pStyle w:val="3"/>
        <w:keepNext w:val="0"/>
        <w:keepLines w:val="0"/>
        <w:pageBreakBefore w:val="0"/>
        <w:widowControl/>
        <w:shd w:val="clear"/>
        <w:kinsoku/>
        <w:wordWrap/>
        <w:overflowPunct/>
        <w:topLinePunct w:val="0"/>
        <w:autoSpaceDE/>
        <w:autoSpaceDN/>
        <w:bidi w:val="0"/>
        <w:adjustRightInd/>
        <w:snapToGrid/>
        <w:spacing w:line="520" w:lineRule="exact"/>
        <w:ind w:firstLine="46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lang w:eastAsia="zh-CN"/>
        </w:rPr>
        <w:t>2.</w:t>
      </w:r>
      <w:r>
        <w:rPr>
          <w:rFonts w:hint="eastAsia" w:ascii="仿宋" w:hAnsi="仿宋" w:eastAsia="仿宋" w:cs="仿宋"/>
          <w:color w:val="auto"/>
          <w:spacing w:val="-5"/>
          <w:sz w:val="24"/>
          <w:szCs w:val="24"/>
          <w:highlight w:val="none"/>
        </w:rPr>
        <w:t>资质审查通过的投标人进入第一轮报价审核即单品目</w:t>
      </w:r>
      <w:r>
        <w:rPr>
          <w:rFonts w:hint="eastAsia" w:ascii="仿宋" w:hAnsi="仿宋" w:eastAsia="仿宋" w:cs="仿宋"/>
          <w:color w:val="auto"/>
          <w:spacing w:val="-5"/>
          <w:sz w:val="24"/>
          <w:szCs w:val="24"/>
          <w:highlight w:val="none"/>
          <w:lang w:eastAsia="zh-CN"/>
        </w:rPr>
        <w:t>耗材</w:t>
      </w:r>
      <w:r>
        <w:rPr>
          <w:rFonts w:hint="eastAsia" w:ascii="仿宋" w:hAnsi="仿宋" w:eastAsia="仿宋" w:cs="仿宋"/>
          <w:color w:val="auto"/>
          <w:spacing w:val="-5"/>
          <w:sz w:val="24"/>
          <w:szCs w:val="24"/>
          <w:highlight w:val="none"/>
        </w:rPr>
        <w:t>报价最低的前五名投标人（不足 5 家时按实际家数确定）可参加后续采购</w:t>
      </w:r>
      <w:r>
        <w:rPr>
          <w:rFonts w:hint="eastAsia" w:ascii="仿宋" w:hAnsi="仿宋" w:eastAsia="仿宋" w:cs="仿宋"/>
          <w:color w:val="auto"/>
          <w:spacing w:val="-1"/>
          <w:sz w:val="24"/>
          <w:highlight w:val="none"/>
        </w:rPr>
        <w:t>（即</w:t>
      </w:r>
      <w:r>
        <w:rPr>
          <w:rFonts w:hint="eastAsia" w:ascii="仿宋" w:hAnsi="仿宋" w:eastAsia="仿宋" w:cs="仿宋"/>
          <w:color w:val="auto"/>
          <w:spacing w:val="-1"/>
          <w:sz w:val="24"/>
          <w:highlight w:val="none"/>
          <w:lang w:eastAsia="zh-CN"/>
        </w:rPr>
        <w:t>第二轮</w:t>
      </w:r>
      <w:r>
        <w:rPr>
          <w:rFonts w:hint="eastAsia" w:ascii="仿宋" w:hAnsi="仿宋" w:eastAsia="仿宋" w:cs="仿宋"/>
          <w:color w:val="auto"/>
          <w:spacing w:val="-1"/>
          <w:sz w:val="24"/>
          <w:highlight w:val="none"/>
        </w:rPr>
        <w:t>报价）</w:t>
      </w:r>
      <w:r>
        <w:rPr>
          <w:rFonts w:hint="eastAsia" w:ascii="仿宋" w:hAnsi="仿宋" w:eastAsia="仿宋" w:cs="仿宋"/>
          <w:color w:val="auto"/>
          <w:spacing w:val="-5"/>
          <w:sz w:val="24"/>
          <w:szCs w:val="24"/>
          <w:highlight w:val="none"/>
        </w:rPr>
        <w:t>活动。</w:t>
      </w:r>
    </w:p>
    <w:p w14:paraId="77588DC1">
      <w:pPr>
        <w:pStyle w:val="3"/>
        <w:keepNext w:val="0"/>
        <w:keepLines w:val="0"/>
        <w:pageBreakBefore w:val="0"/>
        <w:widowControl/>
        <w:shd w:val="clear"/>
        <w:kinsoku/>
        <w:wordWrap/>
        <w:overflowPunct/>
        <w:topLinePunct w:val="0"/>
        <w:autoSpaceDE/>
        <w:autoSpaceDN/>
        <w:bidi w:val="0"/>
        <w:adjustRightInd/>
        <w:snapToGrid/>
        <w:spacing w:line="520" w:lineRule="exact"/>
        <w:ind w:firstLine="462" w:firstLineChars="200"/>
        <w:textAlignment w:val="auto"/>
        <w:rPr>
          <w:rFonts w:ascii="仿宋" w:hAnsi="仿宋" w:eastAsia="仿宋" w:cs="仿宋"/>
          <w:b/>
          <w:bCs/>
          <w:color w:val="auto"/>
          <w:spacing w:val="-5"/>
          <w:sz w:val="24"/>
          <w:szCs w:val="24"/>
          <w:highlight w:val="none"/>
        </w:rPr>
      </w:pPr>
      <w:r>
        <w:rPr>
          <w:rFonts w:hint="eastAsia" w:ascii="仿宋" w:hAnsi="仿宋" w:eastAsia="仿宋" w:cs="仿宋"/>
          <w:b/>
          <w:bCs/>
          <w:color w:val="auto"/>
          <w:spacing w:val="-5"/>
          <w:sz w:val="24"/>
          <w:szCs w:val="24"/>
          <w:highlight w:val="none"/>
        </w:rPr>
        <w:t>注：举例说明：若某投标人在投标时参与了 5 个品目的</w:t>
      </w:r>
      <w:r>
        <w:rPr>
          <w:rFonts w:hint="eastAsia" w:ascii="仿宋" w:hAnsi="仿宋" w:eastAsia="仿宋" w:cs="仿宋"/>
          <w:b/>
          <w:bCs/>
          <w:color w:val="auto"/>
          <w:spacing w:val="-5"/>
          <w:sz w:val="24"/>
          <w:szCs w:val="24"/>
          <w:highlight w:val="none"/>
          <w:lang w:eastAsia="zh-CN"/>
        </w:rPr>
        <w:t>耗材</w:t>
      </w:r>
      <w:r>
        <w:rPr>
          <w:rFonts w:hint="eastAsia" w:ascii="仿宋" w:hAnsi="仿宋" w:eastAsia="仿宋" w:cs="仿宋"/>
          <w:b/>
          <w:bCs/>
          <w:color w:val="auto"/>
          <w:spacing w:val="-5"/>
          <w:sz w:val="24"/>
          <w:szCs w:val="24"/>
          <w:highlight w:val="none"/>
        </w:rPr>
        <w:t>投标，然而经评审后仅有 2个品目进入价格排名前五。在此情形下，该投标人于</w:t>
      </w:r>
      <w:r>
        <w:rPr>
          <w:rFonts w:hint="eastAsia" w:ascii="仿宋" w:hAnsi="仿宋" w:eastAsia="仿宋" w:cs="仿宋"/>
          <w:b/>
          <w:bCs/>
          <w:color w:val="auto"/>
          <w:spacing w:val="-5"/>
          <w:sz w:val="24"/>
          <w:szCs w:val="24"/>
          <w:highlight w:val="none"/>
          <w:lang w:eastAsia="zh-CN"/>
        </w:rPr>
        <w:t>第二轮</w:t>
      </w:r>
      <w:r>
        <w:rPr>
          <w:rFonts w:hint="eastAsia" w:ascii="仿宋" w:hAnsi="仿宋" w:eastAsia="仿宋" w:cs="仿宋"/>
          <w:b/>
          <w:bCs/>
          <w:color w:val="auto"/>
          <w:spacing w:val="-5"/>
          <w:sz w:val="24"/>
          <w:szCs w:val="24"/>
          <w:highlight w:val="none"/>
        </w:rPr>
        <w:t>报价环节，仅具备这 2 个品目的报价资格。</w:t>
      </w:r>
    </w:p>
    <w:p w14:paraId="49ED8A80">
      <w:pPr>
        <w:pStyle w:val="6"/>
        <w:shd w:val="clear"/>
        <w:tabs>
          <w:tab w:val="left" w:pos="484"/>
          <w:tab w:val="left" w:pos="6645"/>
        </w:tabs>
        <w:spacing w:before="0" w:after="0" w:line="520" w:lineRule="exact"/>
        <w:rPr>
          <w:rFonts w:hint="eastAsia" w:ascii="仿宋" w:hAnsi="仿宋" w:eastAsia="仿宋" w:cs="仿宋"/>
          <w:color w:val="auto"/>
          <w:highlight w:val="none"/>
        </w:rPr>
      </w:pPr>
      <w:bookmarkStart w:id="189" w:name="_Toc28473"/>
      <w:r>
        <w:rPr>
          <w:rFonts w:hint="eastAsia" w:ascii="仿宋" w:hAnsi="仿宋" w:eastAsia="仿宋" w:cs="仿宋"/>
          <w:color w:val="auto"/>
          <w:highlight w:val="none"/>
        </w:rPr>
        <w:t>五、出具资格审查报告</w:t>
      </w:r>
      <w:bookmarkEnd w:id="189"/>
      <w:r>
        <w:rPr>
          <w:rFonts w:ascii="仿宋" w:hAnsi="仿宋" w:eastAsia="仿宋" w:cs="仿宋"/>
          <w:color w:val="auto"/>
          <w:highlight w:val="none"/>
        </w:rPr>
        <w:tab/>
      </w:r>
    </w:p>
    <w:p w14:paraId="5312605A">
      <w:pPr>
        <w:pStyle w:val="3"/>
        <w:keepNext w:val="0"/>
        <w:keepLines w:val="0"/>
        <w:pageBreakBefore w:val="0"/>
        <w:shd w:val="clear"/>
        <w:kinsoku/>
        <w:wordWrap/>
        <w:overflowPunct/>
        <w:topLinePunct w:val="0"/>
        <w:autoSpaceDE/>
        <w:autoSpaceDN/>
        <w:bidi w:val="0"/>
        <w:adjustRightInd/>
        <w:snapToGrid/>
        <w:spacing w:line="520" w:lineRule="exact"/>
        <w:ind w:firstLine="46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（一）根据资格预审小组成员签字的原始审核记录编写资格审查报告。资格审查报告应当</w:t>
      </w:r>
      <w:r>
        <w:rPr>
          <w:rFonts w:hint="eastAsia" w:ascii="仿宋" w:hAnsi="仿宋" w:eastAsia="仿宋" w:cs="仿宋"/>
          <w:color w:val="auto"/>
          <w:sz w:val="24"/>
          <w:szCs w:val="24"/>
          <w:highlight w:val="none"/>
        </w:rPr>
        <w:t>包括以下内容：</w:t>
      </w:r>
    </w:p>
    <w:p w14:paraId="2C091957">
      <w:pPr>
        <w:pStyle w:val="143"/>
        <w:keepNext w:val="0"/>
        <w:keepLines w:val="0"/>
        <w:pageBreakBefore w:val="0"/>
        <w:shd w:val="clear"/>
        <w:tabs>
          <w:tab w:val="left" w:pos="841"/>
        </w:tabs>
        <w:kinsoku/>
        <w:wordWrap/>
        <w:overflowPunct/>
        <w:topLinePunct w:val="0"/>
        <w:autoSpaceDE/>
        <w:autoSpaceDN/>
        <w:bidi w:val="0"/>
        <w:adjustRightInd/>
        <w:snapToGrid/>
        <w:spacing w:line="520" w:lineRule="exact"/>
        <w:ind w:firstLine="460" w:firstLineChars="200"/>
        <w:textAlignment w:val="auto"/>
        <w:rPr>
          <w:rFonts w:hint="eastAsia" w:ascii="仿宋" w:hAnsi="仿宋" w:eastAsia="仿宋" w:cs="仿宋"/>
          <w:color w:val="000000" w:themeColor="text1"/>
          <w:spacing w:val="-5"/>
          <w:sz w:val="24"/>
          <w:szCs w:val="22"/>
          <w:highlight w:val="none"/>
          <w14:textFill>
            <w14:solidFill>
              <w14:schemeClr w14:val="tx1"/>
            </w14:solidFill>
          </w14:textFill>
        </w:rPr>
      </w:pPr>
      <w:r>
        <w:rPr>
          <w:rFonts w:ascii="仿宋" w:hAnsi="仿宋" w:eastAsia="仿宋" w:cs="仿宋"/>
          <w:color w:val="000000" w:themeColor="text1"/>
          <w:spacing w:val="-5"/>
          <w:sz w:val="24"/>
          <w:szCs w:val="22"/>
          <w:highlight w:val="none"/>
          <w14:textFill>
            <w14:solidFill>
              <w14:schemeClr w14:val="tx1"/>
            </w14:solidFill>
          </w14:textFill>
        </w:rPr>
        <w:t>1</w:t>
      </w:r>
      <w:r>
        <w:rPr>
          <w:rFonts w:hint="eastAsia" w:ascii="仿宋" w:hAnsi="仿宋" w:eastAsia="仿宋" w:cs="仿宋"/>
          <w:color w:val="000000" w:themeColor="text1"/>
          <w:spacing w:val="-5"/>
          <w:sz w:val="24"/>
          <w:szCs w:val="22"/>
          <w:highlight w:val="none"/>
          <w14:textFill>
            <w14:solidFill>
              <w14:schemeClr w14:val="tx1"/>
            </w14:solidFill>
          </w14:textFill>
        </w:rPr>
        <w:t>.领取</w:t>
      </w:r>
      <w:r>
        <w:rPr>
          <w:rFonts w:hint="eastAsia" w:ascii="仿宋" w:hAnsi="仿宋" w:eastAsia="仿宋" w:cs="仿宋"/>
          <w:color w:val="000000" w:themeColor="text1"/>
          <w:spacing w:val="-5"/>
          <w:sz w:val="24"/>
          <w:szCs w:val="22"/>
          <w:highlight w:val="none"/>
          <w:lang w:eastAsia="zh-CN"/>
          <w14:textFill>
            <w14:solidFill>
              <w14:schemeClr w14:val="tx1"/>
            </w14:solidFill>
          </w14:textFill>
        </w:rPr>
        <w:t>资格预审文件</w:t>
      </w:r>
      <w:r>
        <w:rPr>
          <w:rFonts w:hint="eastAsia" w:ascii="仿宋" w:hAnsi="仿宋" w:eastAsia="仿宋" w:cs="仿宋"/>
          <w:color w:val="000000" w:themeColor="text1"/>
          <w:spacing w:val="-5"/>
          <w:sz w:val="24"/>
          <w:szCs w:val="22"/>
          <w:highlight w:val="none"/>
          <w14:textFill>
            <w14:solidFill>
              <w14:schemeClr w14:val="tx1"/>
            </w14:solidFill>
          </w14:textFill>
        </w:rPr>
        <w:t>的投标人名单、递交资格预审申请文件的投标人名单；</w:t>
      </w:r>
    </w:p>
    <w:p w14:paraId="0E67389E">
      <w:pPr>
        <w:pStyle w:val="143"/>
        <w:keepNext w:val="0"/>
        <w:keepLines w:val="0"/>
        <w:pageBreakBefore w:val="0"/>
        <w:shd w:val="clear"/>
        <w:tabs>
          <w:tab w:val="left" w:pos="841"/>
        </w:tabs>
        <w:kinsoku/>
        <w:wordWrap/>
        <w:overflowPunct/>
        <w:topLinePunct w:val="0"/>
        <w:autoSpaceDE/>
        <w:autoSpaceDN/>
        <w:bidi w:val="0"/>
        <w:adjustRightInd/>
        <w:snapToGrid/>
        <w:spacing w:line="520" w:lineRule="exact"/>
        <w:ind w:firstLine="460" w:firstLineChars="200"/>
        <w:textAlignment w:val="auto"/>
        <w:rPr>
          <w:rFonts w:hint="eastAsia"/>
          <w:color w:val="auto"/>
          <w:highlight w:val="none"/>
        </w:rPr>
      </w:pPr>
      <w:r>
        <w:rPr>
          <w:rFonts w:ascii="仿宋" w:hAnsi="仿宋" w:eastAsia="仿宋" w:cs="仿宋"/>
          <w:color w:val="auto"/>
          <w:spacing w:val="-5"/>
          <w:sz w:val="24"/>
          <w:szCs w:val="22"/>
          <w:highlight w:val="none"/>
        </w:rPr>
        <w:t>2</w:t>
      </w:r>
      <w:r>
        <w:rPr>
          <w:rFonts w:hint="eastAsia" w:ascii="仿宋" w:hAnsi="仿宋" w:eastAsia="仿宋" w:cs="仿宋"/>
          <w:color w:val="auto"/>
          <w:spacing w:val="-5"/>
          <w:sz w:val="24"/>
          <w:szCs w:val="22"/>
          <w:highlight w:val="none"/>
        </w:rPr>
        <w:t>.审核结果；</w:t>
      </w:r>
    </w:p>
    <w:p w14:paraId="78118811">
      <w:pPr>
        <w:pStyle w:val="143"/>
        <w:keepNext w:val="0"/>
        <w:keepLines w:val="0"/>
        <w:pageBreakBefore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hint="eastAsia" w:ascii="仿宋" w:hAnsi="仿宋" w:eastAsia="仿宋" w:cs="仿宋"/>
          <w:color w:val="auto"/>
          <w:sz w:val="24"/>
          <w:highlight w:val="none"/>
        </w:rPr>
      </w:pPr>
      <w:r>
        <w:rPr>
          <w:rFonts w:ascii="仿宋" w:hAnsi="仿宋" w:eastAsia="仿宋" w:cs="仿宋"/>
          <w:color w:val="auto"/>
          <w:spacing w:val="-1"/>
          <w:sz w:val="24"/>
          <w:highlight w:val="none"/>
        </w:rPr>
        <w:t>3</w:t>
      </w:r>
      <w:r>
        <w:rPr>
          <w:rFonts w:hint="eastAsia" w:ascii="仿宋" w:hAnsi="仿宋" w:eastAsia="仿宋" w:cs="仿宋"/>
          <w:color w:val="auto"/>
          <w:spacing w:val="-1"/>
          <w:sz w:val="24"/>
          <w:highlight w:val="none"/>
        </w:rPr>
        <w:t>.其他需要说明的情况，包括审核过程中投标人根据资格预审小组要求进行的澄</w:t>
      </w:r>
      <w:r>
        <w:rPr>
          <w:rFonts w:hint="eastAsia" w:ascii="仿宋" w:hAnsi="仿宋" w:eastAsia="仿宋" w:cs="仿宋"/>
          <w:color w:val="auto"/>
          <w:sz w:val="24"/>
          <w:highlight w:val="none"/>
        </w:rPr>
        <w:t>清、说明或者补正等；</w:t>
      </w:r>
    </w:p>
    <w:p w14:paraId="01C61D71">
      <w:pPr>
        <w:pStyle w:val="143"/>
        <w:keepNext w:val="0"/>
        <w:keepLines w:val="0"/>
        <w:pageBreakBefore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ascii="仿宋" w:hAnsi="仿宋" w:eastAsia="仿宋" w:cs="仿宋"/>
          <w:color w:val="auto"/>
          <w:spacing w:val="-1"/>
          <w:sz w:val="24"/>
          <w:highlight w:val="none"/>
        </w:rPr>
      </w:pPr>
      <w:r>
        <w:rPr>
          <w:rFonts w:hint="eastAsia" w:ascii="仿宋" w:hAnsi="仿宋" w:eastAsia="仿宋" w:cs="仿宋"/>
          <w:color w:val="auto"/>
          <w:spacing w:val="-1"/>
          <w:sz w:val="24"/>
          <w:highlight w:val="none"/>
        </w:rPr>
        <w:t>（二）资格预审小组按照规定的程序对资格预审申请文件完成审查后，确定通过资格预审的投标人名单，并出具书面资格审查报告。资格预审小组人员应当在资格审查报告上签字，对自己的评审意见承担法律责任。资格预审小组成员对需要共同认定的事项存在争议的，应当按照少数服从多数的原则作出结论。持不同意见的资格预审小组成员应当在审核报告上签署不同意见及理由，否则视为同意资格审查报告。</w:t>
      </w:r>
    </w:p>
    <w:p w14:paraId="1C474678">
      <w:pPr>
        <w:pStyle w:val="143"/>
        <w:keepNext w:val="0"/>
        <w:keepLines w:val="0"/>
        <w:pageBreakBefore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hint="eastAsia" w:ascii="仿宋" w:hAnsi="仿宋" w:eastAsia="仿宋" w:cs="仿宋"/>
          <w:color w:val="auto"/>
          <w:spacing w:val="-1"/>
          <w:sz w:val="24"/>
          <w:highlight w:val="none"/>
        </w:rPr>
      </w:pPr>
      <w:r>
        <w:rPr>
          <w:rFonts w:hint="eastAsia" w:ascii="仿宋" w:hAnsi="仿宋" w:eastAsia="仿宋" w:cs="仿宋"/>
          <w:color w:val="auto"/>
          <w:spacing w:val="-1"/>
          <w:sz w:val="24"/>
          <w:highlight w:val="none"/>
        </w:rPr>
        <w:t>（三）停止评审</w:t>
      </w:r>
    </w:p>
    <w:p w14:paraId="1E8CB8CF">
      <w:pPr>
        <w:pStyle w:val="143"/>
        <w:keepNext w:val="0"/>
        <w:keepLines w:val="0"/>
        <w:pageBreakBefore w:val="0"/>
        <w:shd w:val="clear"/>
        <w:tabs>
          <w:tab w:val="left" w:pos="841"/>
        </w:tabs>
        <w:kinsoku/>
        <w:wordWrap/>
        <w:overflowPunct/>
        <w:topLinePunct w:val="0"/>
        <w:autoSpaceDE/>
        <w:autoSpaceDN/>
        <w:bidi w:val="0"/>
        <w:adjustRightInd/>
        <w:snapToGrid/>
        <w:spacing w:line="520" w:lineRule="exact"/>
        <w:ind w:firstLine="476" w:firstLineChars="200"/>
        <w:textAlignment w:val="auto"/>
        <w:rPr>
          <w:rFonts w:ascii="仿宋" w:hAnsi="仿宋" w:eastAsia="仿宋" w:cs="仿宋"/>
          <w:color w:val="auto"/>
          <w:spacing w:val="-1"/>
          <w:sz w:val="24"/>
          <w:highlight w:val="none"/>
        </w:rPr>
      </w:pPr>
      <w:r>
        <w:rPr>
          <w:rFonts w:hint="eastAsia" w:ascii="仿宋" w:hAnsi="仿宋" w:eastAsia="仿宋" w:cs="仿宋"/>
          <w:color w:val="auto"/>
          <w:spacing w:val="-1"/>
          <w:sz w:val="24"/>
          <w:highlight w:val="none"/>
        </w:rPr>
        <w:t>资格预审小组发现</w:t>
      </w:r>
      <w:r>
        <w:rPr>
          <w:rFonts w:hint="eastAsia" w:ascii="仿宋" w:hAnsi="仿宋" w:eastAsia="仿宋" w:cs="仿宋"/>
          <w:color w:val="auto"/>
          <w:spacing w:val="-1"/>
          <w:sz w:val="24"/>
          <w:highlight w:val="none"/>
          <w:lang w:eastAsia="zh-CN"/>
        </w:rPr>
        <w:t>资格预审文件</w:t>
      </w:r>
      <w:r>
        <w:rPr>
          <w:rFonts w:hint="eastAsia" w:ascii="仿宋" w:hAnsi="仿宋" w:eastAsia="仿宋" w:cs="仿宋"/>
          <w:color w:val="auto"/>
          <w:spacing w:val="-1"/>
          <w:sz w:val="24"/>
          <w:highlight w:val="none"/>
        </w:rPr>
        <w:t>内容违反国家有关强制性规定的，应当停止评审。</w:t>
      </w:r>
    </w:p>
    <w:p w14:paraId="19E702B1">
      <w:pPr>
        <w:pStyle w:val="143"/>
        <w:shd w:val="clear"/>
        <w:tabs>
          <w:tab w:val="left" w:pos="841"/>
        </w:tabs>
        <w:spacing w:line="520" w:lineRule="exact"/>
        <w:ind w:firstLine="0" w:firstLineChars="0"/>
        <w:outlineLvl w:val="1"/>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六、审查结果</w:t>
      </w:r>
    </w:p>
    <w:p w14:paraId="3DE6C4D0">
      <w:pPr>
        <w:shd w:val="clear"/>
        <w:spacing w:line="520" w:lineRule="exact"/>
        <w:ind w:firstLine="480"/>
        <w:rPr>
          <w:rFonts w:hint="eastAsia" w:ascii="仿宋" w:hAnsi="仿宋" w:eastAsia="仿宋" w:cs="仿宋"/>
          <w:color w:val="auto"/>
          <w:spacing w:val="-1"/>
          <w:sz w:val="24"/>
          <w:highlight w:val="none"/>
        </w:rPr>
      </w:pPr>
      <w:r>
        <w:rPr>
          <w:rFonts w:hint="eastAsia" w:ascii="仿宋" w:hAnsi="仿宋" w:eastAsia="仿宋" w:cs="仿宋"/>
          <w:color w:val="auto"/>
          <w:spacing w:val="-1"/>
          <w:sz w:val="24"/>
          <w:highlight w:val="none"/>
        </w:rPr>
        <w:t>本项目资格预审审查结果采购代理机构采用书面通知投标人。</w:t>
      </w:r>
    </w:p>
    <w:p w14:paraId="3D968DF1">
      <w:pPr>
        <w:shd w:val="clear"/>
        <w:rPr>
          <w:rFonts w:hint="eastAsia" w:ascii="仿宋" w:hAnsi="仿宋" w:eastAsia="仿宋" w:cs="仿宋"/>
          <w:color w:val="auto"/>
          <w:spacing w:val="-1"/>
          <w:sz w:val="24"/>
          <w:highlight w:val="none"/>
        </w:rPr>
      </w:pPr>
      <w:r>
        <w:rPr>
          <w:rFonts w:hint="eastAsia" w:ascii="仿宋" w:hAnsi="仿宋" w:eastAsia="仿宋" w:cs="仿宋"/>
          <w:color w:val="auto"/>
          <w:spacing w:val="-1"/>
          <w:sz w:val="24"/>
          <w:highlight w:val="none"/>
        </w:rPr>
        <w:br w:type="page"/>
      </w:r>
    </w:p>
    <w:p w14:paraId="677DECF6">
      <w:pPr>
        <w:shd w:val="clear"/>
        <w:tabs>
          <w:tab w:val="left" w:pos="3395"/>
          <w:tab w:val="left" w:pos="5940"/>
        </w:tabs>
        <w:autoSpaceDE w:val="0"/>
        <w:autoSpaceDN w:val="0"/>
        <w:adjustRightInd w:val="0"/>
        <w:snapToGrid w:val="0"/>
        <w:spacing w:line="360" w:lineRule="auto"/>
        <w:jc w:val="both"/>
        <w:rPr>
          <w:rFonts w:hint="default" w:ascii="方正仿宋_GBK" w:hAnsi="宋体" w:eastAsia="方正仿宋_GBK" w:cs="MingLiUfalt"/>
          <w:b/>
          <w:color w:val="auto"/>
          <w:kern w:val="0"/>
          <w:sz w:val="24"/>
          <w:highlight w:val="none"/>
          <w:u w:val="none"/>
          <w:lang w:val="en-US" w:eastAsia="zh-CN"/>
        </w:rPr>
      </w:pPr>
      <w:r>
        <w:rPr>
          <w:rFonts w:hint="eastAsia" w:ascii="方正仿宋_GBK" w:hAnsi="宋体" w:eastAsia="方正仿宋_GBK" w:cs="MingLiUfalt"/>
          <w:b/>
          <w:color w:val="auto"/>
          <w:kern w:val="0"/>
          <w:sz w:val="24"/>
          <w:highlight w:val="none"/>
          <w:u w:val="none"/>
          <w:lang w:val="en-US" w:eastAsia="zh-CN"/>
        </w:rPr>
        <w:t>附件：样品密封袋封面</w:t>
      </w:r>
    </w:p>
    <w:p w14:paraId="5174A6D0">
      <w:pPr>
        <w:widowControl/>
        <w:shd w:val="clear"/>
        <w:spacing w:line="360" w:lineRule="auto"/>
        <w:jc w:val="both"/>
        <w:rPr>
          <w:rFonts w:hint="eastAsia" w:ascii="仿宋" w:hAnsi="仿宋" w:eastAsia="仿宋" w:cs="仿宋"/>
          <w:b/>
          <w:bCs/>
          <w:color w:val="auto"/>
          <w:sz w:val="52"/>
          <w:szCs w:val="52"/>
          <w:highlight w:val="none"/>
          <w:lang w:val="zh-CN"/>
        </w:rPr>
      </w:pPr>
    </w:p>
    <w:p w14:paraId="14EB27F1">
      <w:pPr>
        <w:widowControl/>
        <w:shd w:val="clear"/>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九龙坡区公立医疗机构耗材集中遴选</w:t>
      </w:r>
    </w:p>
    <w:p w14:paraId="122A7445">
      <w:pPr>
        <w:widowControl/>
        <w:shd w:val="clear"/>
        <w:spacing w:line="360" w:lineRule="auto"/>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样品部分</w:t>
      </w:r>
    </w:p>
    <w:p w14:paraId="5FC34E0E">
      <w:pPr>
        <w:shd w:val="clear"/>
        <w:tabs>
          <w:tab w:val="left" w:pos="3395"/>
          <w:tab w:val="left" w:pos="5940"/>
        </w:tabs>
        <w:autoSpaceDE w:val="0"/>
        <w:autoSpaceDN w:val="0"/>
        <w:adjustRightInd w:val="0"/>
        <w:snapToGrid w:val="0"/>
        <w:spacing w:line="360" w:lineRule="auto"/>
        <w:jc w:val="both"/>
        <w:rPr>
          <w:rFonts w:hint="eastAsia" w:ascii="仿宋_GB2312" w:eastAsia="仿宋_GB2312"/>
          <w:b/>
          <w:color w:val="auto"/>
          <w:kern w:val="0"/>
          <w:sz w:val="32"/>
          <w:szCs w:val="32"/>
          <w:highlight w:val="none"/>
          <w:lang w:val="en-US" w:eastAsia="zh-CN"/>
        </w:rPr>
      </w:pPr>
    </w:p>
    <w:p w14:paraId="7D5930B2">
      <w:pPr>
        <w:shd w:val="clear"/>
        <w:tabs>
          <w:tab w:val="left" w:pos="3395"/>
          <w:tab w:val="left" w:pos="5940"/>
        </w:tabs>
        <w:autoSpaceDE w:val="0"/>
        <w:autoSpaceDN w:val="0"/>
        <w:adjustRightInd w:val="0"/>
        <w:snapToGrid w:val="0"/>
        <w:spacing w:line="360" w:lineRule="auto"/>
        <w:jc w:val="both"/>
        <w:rPr>
          <w:rFonts w:hint="eastAsia" w:ascii="方正仿宋_GBK" w:hAnsi="宋体" w:eastAsia="方正仿宋_GBK" w:cs="MingLiUfalt"/>
          <w:b/>
          <w:color w:val="auto"/>
          <w:kern w:val="0"/>
          <w:sz w:val="40"/>
          <w:szCs w:val="28"/>
          <w:highlight w:val="none"/>
          <w:u w:val="none"/>
          <w:lang w:val="en-US" w:eastAsia="zh-CN"/>
        </w:rPr>
      </w:pPr>
      <w:r>
        <w:rPr>
          <w:rFonts w:hint="eastAsia" w:ascii="方正仿宋_GBK" w:hAnsi="宋体" w:eastAsia="方正仿宋_GBK" w:cs="MingLiUfalt"/>
          <w:b/>
          <w:color w:val="auto"/>
          <w:kern w:val="0"/>
          <w:sz w:val="40"/>
          <w:szCs w:val="28"/>
          <w:highlight w:val="none"/>
          <w:u w:val="none"/>
          <w:lang w:val="en-US" w:eastAsia="zh-CN"/>
        </w:rPr>
        <w:t>耗材序号：</w:t>
      </w:r>
    </w:p>
    <w:p w14:paraId="2A10EDA0">
      <w:pPr>
        <w:shd w:val="clear"/>
        <w:tabs>
          <w:tab w:val="left" w:pos="3395"/>
          <w:tab w:val="left" w:pos="5940"/>
        </w:tabs>
        <w:autoSpaceDE w:val="0"/>
        <w:autoSpaceDN w:val="0"/>
        <w:adjustRightInd w:val="0"/>
        <w:snapToGrid w:val="0"/>
        <w:spacing w:line="360" w:lineRule="auto"/>
        <w:jc w:val="both"/>
        <w:rPr>
          <w:rFonts w:hint="default" w:ascii="方正仿宋_GBK" w:hAnsi="宋体" w:eastAsia="方正仿宋_GBK" w:cs="MingLiUfalt"/>
          <w:b/>
          <w:color w:val="auto"/>
          <w:kern w:val="0"/>
          <w:sz w:val="40"/>
          <w:szCs w:val="28"/>
          <w:highlight w:val="none"/>
          <w:u w:val="none"/>
          <w:lang w:val="en-US" w:eastAsia="zh-CN"/>
        </w:rPr>
      </w:pPr>
      <w:r>
        <w:rPr>
          <w:rFonts w:hint="eastAsia" w:ascii="方正仿宋_GBK" w:hAnsi="宋体" w:eastAsia="方正仿宋_GBK" w:cs="MingLiUfalt"/>
          <w:b/>
          <w:color w:val="auto"/>
          <w:kern w:val="0"/>
          <w:sz w:val="40"/>
          <w:szCs w:val="28"/>
          <w:highlight w:val="none"/>
          <w:u w:val="none"/>
          <w:lang w:val="en-US" w:eastAsia="zh-CN"/>
        </w:rPr>
        <w:t>耗材名称：</w:t>
      </w:r>
    </w:p>
    <w:p w14:paraId="1CDB46E4">
      <w:pPr>
        <w:shd w:val="clear"/>
        <w:autoSpaceDE w:val="0"/>
        <w:autoSpaceDN w:val="0"/>
        <w:adjustRightInd w:val="0"/>
        <w:snapToGrid w:val="0"/>
        <w:spacing w:line="360" w:lineRule="auto"/>
        <w:rPr>
          <w:rFonts w:hint="eastAsia" w:ascii="仿宋_GB2312" w:hAnsi="宋体" w:eastAsia="仿宋_GB2312" w:cs="MingLiUfalt"/>
          <w:b/>
          <w:color w:val="auto"/>
          <w:kern w:val="0"/>
          <w:sz w:val="24"/>
          <w:highlight w:val="none"/>
        </w:rPr>
      </w:pPr>
    </w:p>
    <w:p w14:paraId="32275B03">
      <w:pPr>
        <w:shd w:val="clear"/>
        <w:autoSpaceDE w:val="0"/>
        <w:autoSpaceDN w:val="0"/>
        <w:adjustRightInd w:val="0"/>
        <w:snapToGrid w:val="0"/>
        <w:spacing w:line="360" w:lineRule="auto"/>
        <w:jc w:val="left"/>
        <w:rPr>
          <w:rFonts w:hint="eastAsia" w:ascii="仿宋_GB2312" w:hAnsi="宋体" w:eastAsia="仿宋_GB2312" w:cs="MingLiUfalt"/>
          <w:b/>
          <w:color w:val="auto"/>
          <w:kern w:val="0"/>
          <w:sz w:val="24"/>
          <w:highlight w:val="none"/>
        </w:rPr>
      </w:pPr>
    </w:p>
    <w:p w14:paraId="7F2AC799">
      <w:pPr>
        <w:shd w:val="clear"/>
        <w:autoSpaceDE w:val="0"/>
        <w:autoSpaceDN w:val="0"/>
        <w:adjustRightInd w:val="0"/>
        <w:snapToGrid w:val="0"/>
        <w:spacing w:line="360" w:lineRule="auto"/>
        <w:jc w:val="left"/>
        <w:rPr>
          <w:rFonts w:hint="eastAsia" w:ascii="仿宋_GB2312" w:hAnsi="宋体" w:eastAsia="仿宋_GB2312" w:cs="MingLiUfalt"/>
          <w:b/>
          <w:color w:val="auto"/>
          <w:kern w:val="0"/>
          <w:sz w:val="24"/>
          <w:highlight w:val="none"/>
        </w:rPr>
      </w:pPr>
    </w:p>
    <w:p w14:paraId="6E7CEB63">
      <w:pPr>
        <w:shd w:val="clear"/>
        <w:autoSpaceDE w:val="0"/>
        <w:autoSpaceDN w:val="0"/>
        <w:adjustRightInd w:val="0"/>
        <w:snapToGrid w:val="0"/>
        <w:spacing w:line="360" w:lineRule="auto"/>
        <w:jc w:val="left"/>
        <w:rPr>
          <w:rFonts w:hint="eastAsia" w:ascii="仿宋_GB2312" w:hAnsi="宋体" w:eastAsia="仿宋_GB2312" w:cs="MingLiUfalt"/>
          <w:b/>
          <w:color w:val="auto"/>
          <w:kern w:val="0"/>
          <w:sz w:val="24"/>
          <w:highlight w:val="none"/>
        </w:rPr>
      </w:pPr>
    </w:p>
    <w:p w14:paraId="09888BF8">
      <w:pPr>
        <w:shd w:val="clear"/>
        <w:autoSpaceDE w:val="0"/>
        <w:autoSpaceDN w:val="0"/>
        <w:adjustRightInd w:val="0"/>
        <w:snapToGrid w:val="0"/>
        <w:spacing w:line="360" w:lineRule="auto"/>
        <w:jc w:val="left"/>
        <w:rPr>
          <w:rFonts w:hint="eastAsia" w:ascii="仿宋_GB2312" w:hAnsi="宋体" w:eastAsia="仿宋_GB2312" w:cs="MingLiUfalt"/>
          <w:b/>
          <w:color w:val="auto"/>
          <w:kern w:val="0"/>
          <w:sz w:val="24"/>
          <w:highlight w:val="none"/>
        </w:rPr>
      </w:pPr>
    </w:p>
    <w:p w14:paraId="277F4C0C">
      <w:pPr>
        <w:shd w:val="clear"/>
        <w:autoSpaceDE w:val="0"/>
        <w:autoSpaceDN w:val="0"/>
        <w:adjustRightInd w:val="0"/>
        <w:snapToGrid w:val="0"/>
        <w:spacing w:line="360" w:lineRule="auto"/>
        <w:jc w:val="left"/>
        <w:rPr>
          <w:rFonts w:hint="eastAsia" w:ascii="仿宋_GB2312" w:hAnsi="宋体" w:eastAsia="仿宋_GB2312" w:cs="MingLiUfalt"/>
          <w:b/>
          <w:color w:val="auto"/>
          <w:kern w:val="0"/>
          <w:sz w:val="24"/>
          <w:highlight w:val="none"/>
        </w:rPr>
      </w:pPr>
    </w:p>
    <w:p w14:paraId="1D8E741C">
      <w:pPr>
        <w:shd w:val="clear"/>
        <w:autoSpaceDE w:val="0"/>
        <w:autoSpaceDN w:val="0"/>
        <w:adjustRightInd w:val="0"/>
        <w:snapToGrid w:val="0"/>
        <w:spacing w:line="360" w:lineRule="auto"/>
        <w:jc w:val="left"/>
        <w:rPr>
          <w:rFonts w:hint="eastAsia" w:ascii="仿宋_GB2312" w:hAnsi="宋体" w:eastAsia="仿宋_GB2312" w:cs="MingLiUfalt"/>
          <w:b/>
          <w:color w:val="auto"/>
          <w:kern w:val="0"/>
          <w:sz w:val="24"/>
          <w:highlight w:val="none"/>
        </w:rPr>
      </w:pPr>
    </w:p>
    <w:p w14:paraId="69973388">
      <w:pPr>
        <w:shd w:val="clear"/>
        <w:autoSpaceDE w:val="0"/>
        <w:autoSpaceDN w:val="0"/>
        <w:adjustRightInd w:val="0"/>
        <w:snapToGrid w:val="0"/>
        <w:spacing w:line="360" w:lineRule="auto"/>
        <w:jc w:val="left"/>
        <w:rPr>
          <w:rFonts w:hint="eastAsia" w:ascii="仿宋_GB2312" w:hAnsi="宋体" w:eastAsia="仿宋_GB2312" w:cs="MingLiUfalt"/>
          <w:b/>
          <w:color w:val="auto"/>
          <w:kern w:val="0"/>
          <w:sz w:val="24"/>
          <w:highlight w:val="none"/>
        </w:rPr>
      </w:pPr>
    </w:p>
    <w:p w14:paraId="1057CED7">
      <w:pPr>
        <w:shd w:val="clear"/>
        <w:autoSpaceDE w:val="0"/>
        <w:autoSpaceDN w:val="0"/>
        <w:adjustRightInd w:val="0"/>
        <w:snapToGrid w:val="0"/>
        <w:spacing w:line="360" w:lineRule="auto"/>
        <w:jc w:val="left"/>
        <w:rPr>
          <w:rFonts w:hint="eastAsia" w:ascii="仿宋_GB2312" w:hAnsi="宋体" w:eastAsia="仿宋_GB2312" w:cs="MingLiUfalt"/>
          <w:b/>
          <w:color w:val="auto"/>
          <w:kern w:val="0"/>
          <w:sz w:val="24"/>
          <w:highlight w:val="none"/>
        </w:rPr>
      </w:pPr>
    </w:p>
    <w:p w14:paraId="3F646FED">
      <w:pPr>
        <w:shd w:val="clear"/>
        <w:autoSpaceDE w:val="0"/>
        <w:autoSpaceDN w:val="0"/>
        <w:adjustRightInd w:val="0"/>
        <w:snapToGrid w:val="0"/>
        <w:spacing w:line="360" w:lineRule="auto"/>
        <w:jc w:val="left"/>
        <w:rPr>
          <w:rFonts w:hint="eastAsia" w:ascii="仿宋_GB2312" w:hAnsi="宋体" w:eastAsia="仿宋_GB2312" w:cs="MingLiUfalt"/>
          <w:b/>
          <w:color w:val="auto"/>
          <w:kern w:val="0"/>
          <w:sz w:val="24"/>
          <w:highlight w:val="none"/>
        </w:rPr>
      </w:pPr>
    </w:p>
    <w:p w14:paraId="31DE58C0">
      <w:pPr>
        <w:shd w:val="clear"/>
        <w:tabs>
          <w:tab w:val="left" w:pos="6080"/>
          <w:tab w:val="left" w:pos="6640"/>
        </w:tabs>
        <w:autoSpaceDE w:val="0"/>
        <w:autoSpaceDN w:val="0"/>
        <w:adjustRightInd w:val="0"/>
        <w:snapToGrid w:val="0"/>
        <w:spacing w:line="360" w:lineRule="auto"/>
        <w:jc w:val="center"/>
        <w:rPr>
          <w:rFonts w:hint="eastAsia" w:ascii="方正仿宋_GBK" w:hAnsi="方正仿宋_GBK" w:eastAsia="方正仿宋_GBK" w:cs="方正仿宋_GBK"/>
          <w:b/>
          <w:color w:val="auto"/>
          <w:w w:val="99"/>
          <w:kern w:val="0"/>
          <w:sz w:val="32"/>
          <w:szCs w:val="22"/>
          <w:highlight w:val="none"/>
        </w:rPr>
      </w:pPr>
      <w:r>
        <w:rPr>
          <w:rFonts w:hint="eastAsia" w:ascii="方正仿宋_GBK" w:hAnsi="方正仿宋_GBK" w:eastAsia="方正仿宋_GBK" w:cs="方正仿宋_GBK"/>
          <w:b/>
          <w:color w:val="auto"/>
          <w:kern w:val="0"/>
          <w:sz w:val="32"/>
          <w:szCs w:val="22"/>
          <w:highlight w:val="none"/>
          <w:lang w:val="en-US" w:eastAsia="zh-CN"/>
        </w:rPr>
        <w:t>投标人</w:t>
      </w:r>
      <w:r>
        <w:rPr>
          <w:rFonts w:hint="eastAsia" w:ascii="方正仿宋_GBK" w:hAnsi="方正仿宋_GBK" w:eastAsia="方正仿宋_GBK" w:cs="方正仿宋_GBK"/>
          <w:b/>
          <w:color w:val="auto"/>
          <w:spacing w:val="1"/>
          <w:w w:val="99"/>
          <w:kern w:val="0"/>
          <w:sz w:val="32"/>
          <w:szCs w:val="22"/>
          <w:highlight w:val="none"/>
        </w:rPr>
        <w:t>：</w:t>
      </w:r>
      <w:r>
        <w:rPr>
          <w:rFonts w:hint="eastAsia" w:ascii="方正仿宋_GBK" w:hAnsi="方正仿宋_GBK" w:eastAsia="方正仿宋_GBK" w:cs="方正仿宋_GBK"/>
          <w:b/>
          <w:color w:val="auto"/>
          <w:w w:val="198"/>
          <w:kern w:val="0"/>
          <w:sz w:val="32"/>
          <w:szCs w:val="22"/>
          <w:highlight w:val="none"/>
          <w:u w:val="single"/>
        </w:rPr>
        <w:t xml:space="preserve"> 　　　　 　　</w:t>
      </w:r>
      <w:r>
        <w:rPr>
          <w:rFonts w:hint="eastAsia" w:ascii="方正仿宋_GBK" w:hAnsi="方正仿宋_GBK" w:eastAsia="方正仿宋_GBK" w:cs="方正仿宋_GBK"/>
          <w:b/>
          <w:color w:val="auto"/>
          <w:w w:val="99"/>
          <w:kern w:val="0"/>
          <w:sz w:val="32"/>
          <w:szCs w:val="22"/>
          <w:highlight w:val="none"/>
        </w:rPr>
        <w:t>（盖单位公章）</w:t>
      </w:r>
    </w:p>
    <w:p w14:paraId="31FCA5A8">
      <w:pPr>
        <w:shd w:val="clear"/>
        <w:tabs>
          <w:tab w:val="left" w:pos="3280"/>
          <w:tab w:val="left" w:pos="4680"/>
          <w:tab w:val="left" w:pos="6080"/>
        </w:tabs>
        <w:autoSpaceDE w:val="0"/>
        <w:autoSpaceDN w:val="0"/>
        <w:adjustRightInd w:val="0"/>
        <w:snapToGrid w:val="0"/>
        <w:spacing w:line="360" w:lineRule="auto"/>
        <w:jc w:val="center"/>
        <w:rPr>
          <w:rFonts w:hint="eastAsia" w:ascii="方正仿宋_GBK" w:hAnsi="方正仿宋_GBK" w:eastAsia="方正仿宋_GBK" w:cs="方正仿宋_GBK"/>
          <w:b/>
          <w:color w:val="auto"/>
          <w:w w:val="99"/>
          <w:kern w:val="0"/>
          <w:sz w:val="32"/>
          <w:szCs w:val="22"/>
          <w:highlight w:val="none"/>
          <w:u w:val="none"/>
        </w:rPr>
      </w:pPr>
      <w:r>
        <w:rPr>
          <w:rFonts w:hint="eastAsia" w:ascii="方正仿宋_GBK" w:hAnsi="方正仿宋_GBK" w:eastAsia="方正仿宋_GBK" w:cs="方正仿宋_GBK"/>
          <w:b/>
          <w:color w:val="auto"/>
          <w:w w:val="99"/>
          <w:kern w:val="0"/>
          <w:sz w:val="32"/>
          <w:szCs w:val="22"/>
          <w:highlight w:val="none"/>
          <w:u w:val="single"/>
        </w:rPr>
        <w:t xml:space="preserve">     　</w:t>
      </w:r>
      <w:r>
        <w:rPr>
          <w:rFonts w:hint="eastAsia" w:ascii="方正仿宋_GBK" w:hAnsi="方正仿宋_GBK" w:eastAsia="方正仿宋_GBK" w:cs="方正仿宋_GBK"/>
          <w:b/>
          <w:color w:val="auto"/>
          <w:w w:val="99"/>
          <w:kern w:val="0"/>
          <w:sz w:val="32"/>
          <w:szCs w:val="22"/>
          <w:highlight w:val="none"/>
        </w:rPr>
        <w:t>年</w:t>
      </w:r>
      <w:r>
        <w:rPr>
          <w:rFonts w:hint="eastAsia" w:ascii="方正仿宋_GBK" w:hAnsi="方正仿宋_GBK" w:eastAsia="方正仿宋_GBK" w:cs="方正仿宋_GBK"/>
          <w:b/>
          <w:color w:val="auto"/>
          <w:w w:val="99"/>
          <w:kern w:val="0"/>
          <w:sz w:val="32"/>
          <w:szCs w:val="22"/>
          <w:highlight w:val="none"/>
          <w:u w:val="single"/>
        </w:rPr>
        <w:t xml:space="preserve">     </w:t>
      </w:r>
      <w:r>
        <w:rPr>
          <w:rFonts w:hint="eastAsia" w:ascii="方正仿宋_GBK" w:hAnsi="方正仿宋_GBK" w:eastAsia="方正仿宋_GBK" w:cs="方正仿宋_GBK"/>
          <w:b/>
          <w:color w:val="auto"/>
          <w:w w:val="99"/>
          <w:kern w:val="0"/>
          <w:sz w:val="32"/>
          <w:szCs w:val="22"/>
          <w:highlight w:val="none"/>
        </w:rPr>
        <w:t xml:space="preserve">月 </w:t>
      </w:r>
      <w:r>
        <w:rPr>
          <w:rFonts w:hint="eastAsia" w:ascii="方正仿宋_GBK" w:hAnsi="方正仿宋_GBK" w:eastAsia="方正仿宋_GBK" w:cs="方正仿宋_GBK"/>
          <w:b/>
          <w:color w:val="auto"/>
          <w:w w:val="99"/>
          <w:kern w:val="0"/>
          <w:sz w:val="32"/>
          <w:szCs w:val="22"/>
          <w:highlight w:val="none"/>
          <w:u w:val="single"/>
        </w:rPr>
        <w:t xml:space="preserve">     </w:t>
      </w:r>
      <w:r>
        <w:rPr>
          <w:rFonts w:hint="eastAsia" w:ascii="方正仿宋_GBK" w:hAnsi="方正仿宋_GBK" w:eastAsia="方正仿宋_GBK" w:cs="方正仿宋_GBK"/>
          <w:b/>
          <w:color w:val="auto"/>
          <w:w w:val="99"/>
          <w:kern w:val="0"/>
          <w:sz w:val="32"/>
          <w:szCs w:val="22"/>
          <w:highlight w:val="none"/>
          <w:u w:val="none"/>
          <w:lang w:val="en-US" w:eastAsia="zh-CN"/>
        </w:rPr>
        <w:t>日</w:t>
      </w:r>
      <w:r>
        <w:rPr>
          <w:rFonts w:hint="eastAsia" w:ascii="方正仿宋_GBK" w:hAnsi="方正仿宋_GBK" w:eastAsia="方正仿宋_GBK" w:cs="方正仿宋_GBK"/>
          <w:b/>
          <w:color w:val="auto"/>
          <w:w w:val="99"/>
          <w:kern w:val="0"/>
          <w:sz w:val="32"/>
          <w:szCs w:val="22"/>
          <w:highlight w:val="none"/>
          <w:u w:val="none"/>
        </w:rPr>
        <w:t xml:space="preserve"> </w:t>
      </w:r>
    </w:p>
    <w:p w14:paraId="72172A46">
      <w:pPr>
        <w:shd w:val="clear"/>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br w:type="page"/>
      </w:r>
    </w:p>
    <w:p w14:paraId="7F45CE22">
      <w:pPr>
        <w:shd w:val="clear"/>
        <w:rPr>
          <w:rFonts w:hint="eastAsia" w:ascii="仿宋" w:hAnsi="仿宋" w:eastAsia="仿宋" w:cs="仿宋"/>
          <w:b/>
          <w:bCs/>
          <w:color w:val="auto"/>
          <w:spacing w:val="-1"/>
          <w:sz w:val="24"/>
          <w:highlight w:val="none"/>
          <w:lang w:val="en-US" w:eastAsia="zh-CN"/>
        </w:rPr>
      </w:pPr>
      <w:r>
        <w:rPr>
          <w:rFonts w:hint="eastAsia" w:ascii="仿宋" w:hAnsi="仿宋" w:eastAsia="仿宋" w:cs="仿宋"/>
          <w:b/>
          <w:bCs/>
          <w:color w:val="auto"/>
          <w:spacing w:val="-1"/>
          <w:sz w:val="24"/>
          <w:highlight w:val="none"/>
          <w:lang w:val="en-US" w:eastAsia="zh-CN"/>
        </w:rPr>
        <w:t>附件：统一遮盖标签格式</w:t>
      </w:r>
    </w:p>
    <w:p w14:paraId="00A0091E">
      <w:pPr>
        <w:pStyle w:val="2"/>
        <w:shd w:val="clear"/>
        <w:ind w:left="0" w:leftChars="0" w:firstLine="0" w:firstLineChars="0"/>
        <w:rPr>
          <w:rFonts w:hint="eastAsia" w:ascii="仿宋" w:hAnsi="仿宋" w:eastAsia="仿宋" w:cs="仿宋"/>
          <w:color w:val="auto"/>
          <w:spacing w:val="-1"/>
          <w:sz w:val="24"/>
          <w:highlight w:val="none"/>
          <w:lang w:val="en-US" w:eastAsia="zh-CN"/>
        </w:rPr>
      </w:pPr>
    </w:p>
    <w:p w14:paraId="358C0D95">
      <w:pPr>
        <w:pStyle w:val="2"/>
        <w:shd w:val="clear"/>
        <w:ind w:left="0" w:leftChars="0" w:firstLine="0" w:firstLineChars="0"/>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1号标签：</w:t>
      </w:r>
    </w:p>
    <w:tbl>
      <w:tblPr>
        <w:tblStyle w:val="48"/>
        <w:tblpPr w:leftFromText="180" w:rightFromText="180" w:vertAnchor="text" w:horzAnchor="page" w:tblpX="4229" w:tblpY="14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tblGrid>
      <w:tr w14:paraId="7CA5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14:paraId="05A006C8">
            <w:pPr>
              <w:pStyle w:val="2"/>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pacing w:val="-1"/>
                <w:sz w:val="22"/>
                <w:szCs w:val="22"/>
                <w:highlight w:val="none"/>
                <w:vertAlign w:val="baseline"/>
                <w:lang w:val="en-US" w:eastAsia="zh-CN"/>
              </w:rPr>
            </w:pPr>
            <w:r>
              <w:rPr>
                <w:rFonts w:hint="eastAsia" w:ascii="仿宋" w:hAnsi="仿宋" w:eastAsia="仿宋" w:cs="仿宋"/>
                <w:color w:val="auto"/>
                <w:spacing w:val="-1"/>
                <w:sz w:val="22"/>
                <w:szCs w:val="22"/>
                <w:highlight w:val="none"/>
                <w:vertAlign w:val="baseline"/>
                <w:lang w:val="en-US" w:eastAsia="zh-CN"/>
              </w:rPr>
              <w:t>遮盖标签</w:t>
            </w:r>
          </w:p>
        </w:tc>
      </w:tr>
    </w:tbl>
    <w:p w14:paraId="74AD6F5E">
      <w:pPr>
        <w:pStyle w:val="2"/>
        <w:shd w:val="clear"/>
        <w:ind w:left="0" w:leftChars="0" w:firstLine="0" w:firstLineChars="0"/>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字体：仿宋</w:t>
      </w:r>
    </w:p>
    <w:p w14:paraId="3B8A83A0">
      <w:pPr>
        <w:pStyle w:val="2"/>
        <w:shd w:val="clear"/>
        <w:ind w:left="0" w:leftChars="0" w:firstLine="0" w:firstLineChars="0"/>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字号：五号</w:t>
      </w:r>
      <w:r>
        <w:rPr>
          <w:rFonts w:hint="eastAsia" w:ascii="仿宋" w:hAnsi="仿宋" w:eastAsia="仿宋" w:cs="仿宋"/>
          <w:color w:val="auto"/>
          <w:spacing w:val="-1"/>
          <w:sz w:val="24"/>
          <w:highlight w:val="none"/>
          <w:lang w:val="en-US" w:eastAsia="zh-CN"/>
        </w:rPr>
        <w:br w:type="textWrapping"/>
      </w:r>
      <w:r>
        <w:rPr>
          <w:rFonts w:hint="eastAsia" w:ascii="仿宋" w:hAnsi="仿宋" w:eastAsia="仿宋" w:cs="仿宋"/>
          <w:color w:val="auto"/>
          <w:spacing w:val="-1"/>
          <w:sz w:val="24"/>
          <w:highlight w:val="none"/>
          <w:lang w:val="en-US" w:eastAsia="zh-CN"/>
        </w:rPr>
        <w:t>尺寸：2.0*0.8cm</w:t>
      </w:r>
    </w:p>
    <w:p w14:paraId="007390F0">
      <w:pPr>
        <w:pStyle w:val="2"/>
        <w:shd w:val="clear"/>
        <w:rPr>
          <w:rFonts w:hint="eastAsia" w:ascii="仿宋" w:hAnsi="仿宋" w:eastAsia="仿宋" w:cs="仿宋"/>
          <w:color w:val="auto"/>
          <w:spacing w:val="-1"/>
          <w:sz w:val="24"/>
          <w:highlight w:val="none"/>
          <w:lang w:val="en-US" w:eastAsia="zh-CN"/>
        </w:rPr>
      </w:pPr>
    </w:p>
    <w:p w14:paraId="223321E9">
      <w:pPr>
        <w:pStyle w:val="2"/>
        <w:shd w:val="clear"/>
        <w:ind w:left="0" w:leftChars="0" w:firstLine="0" w:firstLineChars="0"/>
        <w:rPr>
          <w:rFonts w:hint="eastAsia" w:ascii="仿宋" w:hAnsi="仿宋" w:eastAsia="仿宋" w:cs="仿宋"/>
          <w:color w:val="auto"/>
          <w:spacing w:val="-1"/>
          <w:sz w:val="24"/>
          <w:highlight w:val="none"/>
          <w:lang w:val="en-US" w:eastAsia="zh-CN"/>
        </w:rPr>
      </w:pPr>
    </w:p>
    <w:tbl>
      <w:tblPr>
        <w:tblStyle w:val="48"/>
        <w:tblpPr w:leftFromText="180" w:rightFromText="180" w:vertAnchor="text" w:horzAnchor="page" w:tblpX="4474" w:tblpY="38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tblGrid>
      <w:tr w14:paraId="1C0F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02" w:type="dxa"/>
            <w:vAlign w:val="center"/>
          </w:tcPr>
          <w:p w14:paraId="59C40688">
            <w:pPr>
              <w:pStyle w:val="2"/>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pacing w:val="-1"/>
                <w:sz w:val="40"/>
                <w:szCs w:val="40"/>
                <w:highlight w:val="none"/>
                <w:vertAlign w:val="baseline"/>
                <w:lang w:val="en-US" w:eastAsia="zh-CN"/>
              </w:rPr>
            </w:pPr>
            <w:r>
              <w:rPr>
                <w:rFonts w:hint="eastAsia" w:ascii="仿宋" w:hAnsi="仿宋" w:eastAsia="仿宋" w:cs="仿宋"/>
                <w:color w:val="auto"/>
                <w:spacing w:val="-1"/>
                <w:sz w:val="48"/>
                <w:szCs w:val="48"/>
                <w:highlight w:val="none"/>
                <w:vertAlign w:val="baseline"/>
                <w:lang w:val="en-US" w:eastAsia="zh-CN"/>
              </w:rPr>
              <w:t>遮盖标签</w:t>
            </w:r>
          </w:p>
        </w:tc>
      </w:tr>
    </w:tbl>
    <w:p w14:paraId="485C848B">
      <w:pPr>
        <w:pStyle w:val="2"/>
        <w:shd w:val="clear"/>
        <w:ind w:left="0" w:leftChars="0" w:firstLine="0" w:firstLineChars="0"/>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2号标签</w:t>
      </w:r>
    </w:p>
    <w:p w14:paraId="4DA7F708">
      <w:pPr>
        <w:pStyle w:val="2"/>
        <w:shd w:val="clear"/>
        <w:ind w:left="0" w:leftChars="0" w:firstLine="0" w:firstLineChars="0"/>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字体：仿宋</w:t>
      </w:r>
    </w:p>
    <w:p w14:paraId="25EF6377">
      <w:pPr>
        <w:pStyle w:val="2"/>
        <w:shd w:val="clear"/>
        <w:ind w:left="0" w:leftChars="0" w:firstLine="0" w:firstLineChars="0"/>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字号：小一</w:t>
      </w:r>
      <w:r>
        <w:rPr>
          <w:rFonts w:hint="eastAsia" w:ascii="仿宋" w:hAnsi="仿宋" w:eastAsia="仿宋" w:cs="仿宋"/>
          <w:color w:val="auto"/>
          <w:spacing w:val="-1"/>
          <w:sz w:val="24"/>
          <w:highlight w:val="none"/>
          <w:lang w:val="en-US" w:eastAsia="zh-CN"/>
        </w:rPr>
        <w:br w:type="textWrapping"/>
      </w:r>
      <w:r>
        <w:rPr>
          <w:rFonts w:hint="eastAsia" w:ascii="仿宋" w:hAnsi="仿宋" w:eastAsia="仿宋" w:cs="仿宋"/>
          <w:color w:val="auto"/>
          <w:spacing w:val="-1"/>
          <w:sz w:val="24"/>
          <w:highlight w:val="none"/>
          <w:lang w:val="en-US" w:eastAsia="zh-CN"/>
        </w:rPr>
        <w:t>尺寸：6.0*2.0cm</w:t>
      </w:r>
    </w:p>
    <w:p w14:paraId="6D0FB2A1">
      <w:pPr>
        <w:pStyle w:val="2"/>
        <w:shd w:val="clear"/>
        <w:rPr>
          <w:rFonts w:hint="eastAsia" w:ascii="仿宋" w:hAnsi="仿宋" w:eastAsia="仿宋" w:cs="仿宋"/>
          <w:color w:val="auto"/>
          <w:spacing w:val="-1"/>
          <w:sz w:val="24"/>
          <w:highlight w:val="none"/>
          <w:lang w:val="en-US" w:eastAsia="zh-CN"/>
        </w:rPr>
      </w:pPr>
    </w:p>
    <w:p w14:paraId="61BAF418">
      <w:pPr>
        <w:pStyle w:val="2"/>
        <w:shd w:val="clear"/>
        <w:rPr>
          <w:rFonts w:hint="eastAsia" w:ascii="仿宋" w:hAnsi="仿宋" w:eastAsia="仿宋" w:cs="仿宋"/>
          <w:color w:val="auto"/>
          <w:spacing w:val="-1"/>
          <w:sz w:val="24"/>
          <w:highlight w:val="none"/>
          <w:lang w:val="en-US" w:eastAsia="zh-CN"/>
        </w:rPr>
      </w:pPr>
    </w:p>
    <w:tbl>
      <w:tblPr>
        <w:tblStyle w:val="48"/>
        <w:tblpPr w:leftFromText="180" w:rightFromText="180" w:vertAnchor="text" w:horzAnchor="page" w:tblpX="3687" w:tblpY="5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3"/>
      </w:tblGrid>
      <w:tr w14:paraId="3477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6803" w:type="dxa"/>
            <w:vAlign w:val="center"/>
          </w:tcPr>
          <w:p w14:paraId="7FE3861C">
            <w:pPr>
              <w:pStyle w:val="2"/>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pacing w:val="-1"/>
                <w:sz w:val="40"/>
                <w:szCs w:val="40"/>
                <w:highlight w:val="none"/>
                <w:vertAlign w:val="baseline"/>
                <w:lang w:val="en-US" w:eastAsia="zh-CN"/>
              </w:rPr>
            </w:pPr>
            <w:r>
              <w:rPr>
                <w:rFonts w:hint="eastAsia" w:ascii="仿宋" w:hAnsi="仿宋" w:eastAsia="仿宋" w:cs="仿宋"/>
                <w:color w:val="auto"/>
                <w:spacing w:val="-1"/>
                <w:sz w:val="112"/>
                <w:szCs w:val="112"/>
                <w:highlight w:val="none"/>
                <w:vertAlign w:val="baseline"/>
                <w:lang w:val="en-US" w:eastAsia="zh-CN"/>
              </w:rPr>
              <w:t>遮盖标签</w:t>
            </w:r>
          </w:p>
        </w:tc>
      </w:tr>
    </w:tbl>
    <w:p w14:paraId="7E9E3A3F">
      <w:pPr>
        <w:pStyle w:val="2"/>
        <w:shd w:val="clear"/>
        <w:ind w:left="0" w:leftChars="0" w:firstLine="0" w:firstLineChars="0"/>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3号标签：</w:t>
      </w:r>
    </w:p>
    <w:p w14:paraId="146B4C0A">
      <w:pPr>
        <w:pStyle w:val="2"/>
        <w:shd w:val="clear"/>
        <w:ind w:left="0" w:leftChars="0" w:firstLine="0" w:firstLineChars="0"/>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字体：56</w:t>
      </w:r>
    </w:p>
    <w:p w14:paraId="604759B1">
      <w:pPr>
        <w:pStyle w:val="2"/>
        <w:shd w:val="clear"/>
        <w:ind w:left="0" w:leftChars="0" w:firstLine="0" w:firstLineChars="0"/>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字号：小一</w:t>
      </w:r>
      <w:r>
        <w:rPr>
          <w:rFonts w:hint="eastAsia" w:ascii="仿宋" w:hAnsi="仿宋" w:eastAsia="仿宋" w:cs="仿宋"/>
          <w:color w:val="auto"/>
          <w:spacing w:val="-1"/>
          <w:sz w:val="24"/>
          <w:highlight w:val="none"/>
          <w:lang w:val="en-US" w:eastAsia="zh-CN"/>
        </w:rPr>
        <w:br w:type="textWrapping"/>
      </w:r>
      <w:r>
        <w:rPr>
          <w:rFonts w:hint="eastAsia" w:ascii="仿宋" w:hAnsi="仿宋" w:eastAsia="仿宋" w:cs="仿宋"/>
          <w:color w:val="auto"/>
          <w:spacing w:val="-1"/>
          <w:sz w:val="24"/>
          <w:highlight w:val="none"/>
          <w:lang w:val="en-US" w:eastAsia="zh-CN"/>
        </w:rPr>
        <w:t>尺寸：12.0*5.0cm</w:t>
      </w:r>
    </w:p>
    <w:p w14:paraId="05846E7C">
      <w:pPr>
        <w:pStyle w:val="2"/>
        <w:shd w:val="clear"/>
        <w:ind w:left="0" w:leftChars="0" w:firstLine="0" w:firstLineChars="0"/>
        <w:rPr>
          <w:rFonts w:hint="eastAsia" w:ascii="仿宋" w:hAnsi="仿宋" w:eastAsia="仿宋" w:cs="仿宋"/>
          <w:color w:val="auto"/>
          <w:spacing w:val="-1"/>
          <w:sz w:val="24"/>
          <w:highlight w:val="none"/>
          <w:lang w:val="en-US" w:eastAsia="zh-CN"/>
        </w:rPr>
      </w:pPr>
    </w:p>
    <w:p w14:paraId="5E25FDA0">
      <w:pPr>
        <w:pStyle w:val="2"/>
        <w:shd w:val="clear"/>
        <w:ind w:left="0" w:leftChars="0" w:firstLine="0" w:firstLineChars="0"/>
        <w:rPr>
          <w:rFonts w:hint="eastAsia" w:ascii="仿宋" w:hAnsi="仿宋" w:eastAsia="仿宋" w:cs="仿宋"/>
          <w:color w:val="auto"/>
          <w:spacing w:val="-1"/>
          <w:sz w:val="24"/>
          <w:highlight w:val="none"/>
          <w:lang w:val="en-US" w:eastAsia="zh-CN"/>
        </w:rPr>
      </w:pPr>
    </w:p>
    <w:p w14:paraId="00FCC06B">
      <w:pPr>
        <w:pStyle w:val="2"/>
        <w:shd w:val="clear"/>
        <w:ind w:left="0" w:leftChars="0" w:firstLine="0" w:firstLineChars="0"/>
        <w:rPr>
          <w:rFonts w:hint="eastAsia" w:ascii="仿宋" w:hAnsi="仿宋" w:eastAsia="仿宋" w:cs="仿宋"/>
          <w:color w:val="auto"/>
          <w:spacing w:val="-1"/>
          <w:sz w:val="24"/>
          <w:highlight w:val="none"/>
          <w:lang w:val="en-US" w:eastAsia="zh-CN"/>
        </w:rPr>
      </w:pPr>
    </w:p>
    <w:p w14:paraId="622EE0B5">
      <w:pPr>
        <w:pStyle w:val="2"/>
        <w:shd w:val="clear"/>
        <w:ind w:left="0" w:leftChars="0" w:firstLine="0" w:firstLineChars="0"/>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使用规则：</w:t>
      </w:r>
    </w:p>
    <w:p w14:paraId="02C44ADF">
      <w:pPr>
        <w:pStyle w:val="2"/>
        <w:shd w:val="clear"/>
        <w:ind w:left="0" w:leftChars="0" w:firstLine="0" w:firstLineChars="0"/>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颜色：A4打印纸白色</w:t>
      </w:r>
    </w:p>
    <w:p w14:paraId="1F0B3EB7">
      <w:pPr>
        <w:pStyle w:val="2"/>
        <w:shd w:val="clear"/>
        <w:ind w:left="0" w:leftChars="0" w:firstLine="0" w:firstLineChars="0"/>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打印裁剪：投标人根据样品尺寸及需要遮盖的面积大小自行选择对应尺寸的标签打印，沿线框裁剪标签（标签过大可适当裁剪）。</w:t>
      </w:r>
    </w:p>
    <w:p w14:paraId="1096B402">
      <w:pPr>
        <w:pStyle w:val="2"/>
        <w:shd w:val="clear"/>
        <w:ind w:left="0" w:leftChars="0" w:firstLine="0" w:firstLineChars="0"/>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粘贴方式：使用牢固胶水或双面胶等粘贴在相关标识或信息处（须完全覆盖相关信息）。</w:t>
      </w:r>
    </w:p>
    <w:p w14:paraId="4F0B8F33">
      <w:pPr>
        <w:shd w:val="clear"/>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br w:type="page"/>
      </w:r>
    </w:p>
    <w:p w14:paraId="0203ACA6">
      <w:pPr>
        <w:shd w:val="clear"/>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附件：统一样品标签格式</w:t>
      </w:r>
    </w:p>
    <w:p w14:paraId="1A35E3DB">
      <w:pPr>
        <w:pStyle w:val="2"/>
        <w:shd w:val="clear"/>
        <w:ind w:left="0" w:leftChars="0" w:firstLine="0" w:firstLineChars="0"/>
        <w:rPr>
          <w:rFonts w:hint="eastAsia" w:ascii="仿宋" w:hAnsi="仿宋" w:eastAsia="仿宋" w:cs="仿宋"/>
          <w:color w:val="auto"/>
          <w:spacing w:val="-1"/>
          <w:sz w:val="24"/>
          <w:highlight w:val="none"/>
          <w:lang w:val="en-US" w:eastAsia="zh-CN"/>
        </w:rPr>
      </w:pPr>
    </w:p>
    <w:p w14:paraId="66A9BD1C">
      <w:pPr>
        <w:pStyle w:val="2"/>
        <w:shd w:val="clear"/>
        <w:ind w:left="0" w:leftChars="0" w:firstLine="0" w:firstLineChars="0"/>
        <w:rPr>
          <w:rFonts w:hint="eastAsia" w:ascii="仿宋" w:hAnsi="仿宋" w:eastAsia="仿宋" w:cs="仿宋"/>
          <w:color w:val="auto"/>
          <w:spacing w:val="-1"/>
          <w:sz w:val="24"/>
          <w:highlight w:val="none"/>
          <w:lang w:val="en-US" w:eastAsia="zh-CN"/>
        </w:rPr>
      </w:pPr>
    </w:p>
    <w:p w14:paraId="5876B9F4">
      <w:pPr>
        <w:pStyle w:val="2"/>
        <w:shd w:val="clear"/>
        <w:ind w:left="0" w:leftChars="0" w:firstLine="0" w:firstLineChars="0"/>
        <w:rPr>
          <w:rFonts w:hint="eastAsia" w:ascii="仿宋" w:hAnsi="仿宋" w:eastAsia="仿宋" w:cs="仿宋"/>
          <w:color w:val="auto"/>
          <w:spacing w:val="-1"/>
          <w:sz w:val="24"/>
          <w:highlight w:val="none"/>
          <w:lang w:val="en-US" w:eastAsia="zh-CN"/>
        </w:rPr>
      </w:pPr>
    </w:p>
    <w:p w14:paraId="3AF5806F">
      <w:pPr>
        <w:pStyle w:val="2"/>
        <w:shd w:val="clear"/>
        <w:ind w:left="0" w:leftChars="0" w:firstLine="0" w:firstLineChars="0"/>
        <w:rPr>
          <w:rFonts w:hint="eastAsia" w:ascii="仿宋" w:hAnsi="仿宋" w:eastAsia="仿宋" w:cs="仿宋"/>
          <w:color w:val="auto"/>
          <w:spacing w:val="-1"/>
          <w:sz w:val="24"/>
          <w:highlight w:val="none"/>
          <w:lang w:val="en-US" w:eastAsia="zh-CN"/>
        </w:rPr>
      </w:pPr>
    </w:p>
    <w:p w14:paraId="4006D889">
      <w:pPr>
        <w:pStyle w:val="2"/>
        <w:shd w:val="clear"/>
        <w:ind w:left="0" w:leftChars="0" w:firstLine="0" w:firstLineChars="0"/>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统一样品标签</w:t>
      </w:r>
    </w:p>
    <w:tbl>
      <w:tblPr>
        <w:tblStyle w:val="48"/>
        <w:tblpPr w:leftFromText="180" w:rightFromText="180" w:vertAnchor="text" w:horzAnchor="page" w:tblpX="4229" w:tblpY="14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0"/>
      </w:tblGrid>
      <w:tr w14:paraId="30C2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400" w:type="dxa"/>
            <w:vAlign w:val="top"/>
          </w:tcPr>
          <w:p w14:paraId="102F302B">
            <w:pPr>
              <w:pStyle w:val="2"/>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pacing w:val="-1"/>
                <w:sz w:val="24"/>
                <w:szCs w:val="24"/>
                <w:highlight w:val="none"/>
                <w:vertAlign w:val="baseline"/>
                <w:lang w:val="en-US" w:eastAsia="zh-CN"/>
              </w:rPr>
            </w:pPr>
            <w:r>
              <w:rPr>
                <w:rFonts w:hint="eastAsia" w:ascii="仿宋" w:hAnsi="仿宋" w:eastAsia="仿宋" w:cs="仿宋"/>
                <w:color w:val="auto"/>
                <w:spacing w:val="-1"/>
                <w:sz w:val="24"/>
                <w:szCs w:val="24"/>
                <w:highlight w:val="none"/>
                <w:vertAlign w:val="baseline"/>
                <w:lang w:val="en-US" w:eastAsia="zh-CN"/>
              </w:rPr>
              <w:t>序号：</w:t>
            </w:r>
          </w:p>
          <w:p w14:paraId="69E97B7A">
            <w:pPr>
              <w:pStyle w:val="2"/>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color w:val="auto"/>
                <w:spacing w:val="-1"/>
                <w:sz w:val="22"/>
                <w:szCs w:val="22"/>
                <w:highlight w:val="none"/>
                <w:vertAlign w:val="baseline"/>
                <w:lang w:val="en-US" w:eastAsia="zh-CN"/>
              </w:rPr>
            </w:pPr>
            <w:r>
              <w:rPr>
                <w:rFonts w:hint="eastAsia" w:ascii="仿宋" w:hAnsi="仿宋" w:eastAsia="仿宋" w:cs="仿宋"/>
                <w:color w:val="auto"/>
                <w:spacing w:val="-1"/>
                <w:sz w:val="24"/>
                <w:szCs w:val="24"/>
                <w:highlight w:val="none"/>
                <w:vertAlign w:val="baseline"/>
                <w:lang w:val="en-US" w:eastAsia="zh-CN"/>
              </w:rPr>
              <w:t>规格：</w:t>
            </w:r>
          </w:p>
        </w:tc>
      </w:tr>
    </w:tbl>
    <w:p w14:paraId="1C5677CC">
      <w:pPr>
        <w:pStyle w:val="2"/>
        <w:shd w:val="clear"/>
        <w:ind w:left="0" w:leftChars="0" w:firstLine="0" w:firstLineChars="0"/>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字体：仿宋</w:t>
      </w:r>
    </w:p>
    <w:p w14:paraId="2575FFB4">
      <w:pPr>
        <w:pStyle w:val="2"/>
        <w:shd w:val="clear"/>
        <w:ind w:left="0" w:leftChars="0" w:firstLine="0" w:firstLineChars="0"/>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字号：小四</w:t>
      </w:r>
      <w:r>
        <w:rPr>
          <w:rFonts w:hint="eastAsia" w:ascii="仿宋" w:hAnsi="仿宋" w:eastAsia="仿宋" w:cs="仿宋"/>
          <w:color w:val="auto"/>
          <w:spacing w:val="-1"/>
          <w:sz w:val="24"/>
          <w:highlight w:val="none"/>
          <w:lang w:val="en-US" w:eastAsia="zh-CN"/>
        </w:rPr>
        <w:br w:type="textWrapping"/>
      </w:r>
    </w:p>
    <w:p w14:paraId="052E2B2F">
      <w:pPr>
        <w:pStyle w:val="2"/>
        <w:shd w:val="clear"/>
        <w:rPr>
          <w:rFonts w:hint="eastAsia" w:ascii="仿宋" w:hAnsi="仿宋" w:eastAsia="仿宋" w:cs="仿宋"/>
          <w:color w:val="auto"/>
          <w:spacing w:val="-1"/>
          <w:sz w:val="24"/>
          <w:highlight w:val="none"/>
          <w:lang w:val="en-US" w:eastAsia="zh-CN"/>
        </w:rPr>
      </w:pPr>
    </w:p>
    <w:p w14:paraId="6A031A4D">
      <w:pPr>
        <w:pStyle w:val="2"/>
        <w:shd w:val="clear"/>
        <w:ind w:left="0" w:leftChars="0" w:firstLine="0" w:firstLineChars="0"/>
        <w:rPr>
          <w:rFonts w:hint="eastAsia" w:ascii="仿宋" w:hAnsi="仿宋" w:eastAsia="仿宋" w:cs="仿宋"/>
          <w:color w:val="auto"/>
          <w:spacing w:val="-1"/>
          <w:sz w:val="24"/>
          <w:highlight w:val="none"/>
          <w:lang w:val="en-US" w:eastAsia="zh-CN"/>
        </w:rPr>
      </w:pPr>
    </w:p>
    <w:p w14:paraId="40803D0C">
      <w:pPr>
        <w:pStyle w:val="2"/>
        <w:shd w:val="clear"/>
        <w:ind w:left="0" w:leftChars="0" w:firstLine="0" w:firstLineChars="0"/>
        <w:rPr>
          <w:rFonts w:hint="eastAsia" w:ascii="仿宋" w:hAnsi="仿宋" w:eastAsia="仿宋" w:cs="仿宋"/>
          <w:color w:val="auto"/>
          <w:spacing w:val="-1"/>
          <w:sz w:val="24"/>
          <w:highlight w:val="none"/>
          <w:lang w:val="en-US" w:eastAsia="zh-CN"/>
        </w:rPr>
      </w:pPr>
    </w:p>
    <w:p w14:paraId="19442E57">
      <w:pPr>
        <w:pStyle w:val="2"/>
        <w:shd w:val="clear"/>
        <w:ind w:left="0" w:leftChars="0" w:firstLine="0" w:firstLineChars="0"/>
        <w:rPr>
          <w:rFonts w:hint="eastAsia" w:ascii="仿宋" w:hAnsi="仿宋" w:eastAsia="仿宋" w:cs="仿宋"/>
          <w:color w:val="auto"/>
          <w:spacing w:val="-1"/>
          <w:sz w:val="24"/>
          <w:highlight w:val="none"/>
          <w:lang w:val="en-US" w:eastAsia="zh-CN"/>
        </w:rPr>
      </w:pPr>
    </w:p>
    <w:p w14:paraId="29291FD1">
      <w:pPr>
        <w:pStyle w:val="2"/>
        <w:shd w:val="clear"/>
        <w:ind w:left="0" w:leftChars="0" w:firstLine="0" w:firstLineChars="0"/>
        <w:rPr>
          <w:rFonts w:hint="eastAsia" w:ascii="仿宋" w:hAnsi="仿宋" w:eastAsia="仿宋" w:cs="仿宋"/>
          <w:color w:val="auto"/>
          <w:spacing w:val="-1"/>
          <w:sz w:val="24"/>
          <w:highlight w:val="none"/>
          <w:lang w:val="en-US" w:eastAsia="zh-CN"/>
        </w:rPr>
      </w:pPr>
    </w:p>
    <w:p w14:paraId="636FEB02">
      <w:pPr>
        <w:pStyle w:val="2"/>
        <w:shd w:val="clear"/>
        <w:ind w:left="0" w:leftChars="0" w:firstLine="0" w:firstLineChars="0"/>
        <w:rPr>
          <w:rFonts w:hint="default"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使用规则：</w:t>
      </w:r>
    </w:p>
    <w:p w14:paraId="5CC07CE4">
      <w:pPr>
        <w:pStyle w:val="2"/>
        <w:shd w:val="clear"/>
        <w:ind w:left="0" w:leftChars="0" w:firstLine="0" w:firstLineChars="0"/>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颜色：A4打印纸白色</w:t>
      </w:r>
    </w:p>
    <w:p w14:paraId="6816778B">
      <w:pPr>
        <w:pStyle w:val="2"/>
        <w:shd w:val="clear"/>
        <w:ind w:left="0" w:leftChars="0" w:firstLine="0" w:firstLineChars="0"/>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打印裁剪：投标人打印统一样品标签，沿线框裁剪标签后粘贴在样品合适位置（标签过大可适当裁剪）。</w:t>
      </w:r>
    </w:p>
    <w:p w14:paraId="4BDF9944">
      <w:pPr>
        <w:pStyle w:val="2"/>
        <w:shd w:val="clear"/>
        <w:ind w:left="0" w:leftChars="0" w:firstLine="0" w:firstLineChars="0"/>
        <w:rPr>
          <w:rFonts w:hint="eastAsia" w:ascii="仿宋" w:hAnsi="仿宋" w:eastAsia="仿宋" w:cs="仿宋"/>
          <w:color w:val="auto"/>
          <w:spacing w:val="-1"/>
          <w:sz w:val="24"/>
          <w:highlight w:val="none"/>
          <w:lang w:val="en-US" w:eastAsia="zh-CN"/>
        </w:rPr>
      </w:pPr>
      <w:r>
        <w:rPr>
          <w:rFonts w:hint="eastAsia" w:ascii="仿宋" w:hAnsi="仿宋" w:eastAsia="仿宋" w:cs="仿宋"/>
          <w:color w:val="auto"/>
          <w:spacing w:val="-1"/>
          <w:sz w:val="24"/>
          <w:highlight w:val="none"/>
          <w:lang w:val="en-US" w:eastAsia="zh-CN"/>
        </w:rPr>
        <w:t>粘贴方式：使用牢固胶水或双面胶等粘贴在样品合适位置。</w:t>
      </w:r>
    </w:p>
    <w:p w14:paraId="7D837F7E">
      <w:pPr>
        <w:pStyle w:val="2"/>
        <w:shd w:val="clear"/>
        <w:ind w:left="0" w:leftChars="0" w:firstLine="0" w:firstLineChars="0"/>
        <w:rPr>
          <w:rFonts w:hint="default" w:ascii="仿宋" w:hAnsi="仿宋" w:eastAsia="仿宋" w:cs="仿宋"/>
          <w:color w:val="auto"/>
          <w:spacing w:val="-1"/>
          <w:sz w:val="24"/>
          <w:highlight w:val="none"/>
          <w:lang w:val="en-US" w:eastAsia="zh-CN"/>
        </w:rPr>
      </w:pPr>
    </w:p>
    <w:sectPr>
      <w:pgSz w:w="11906" w:h="16838"/>
      <w:pgMar w:top="1440" w:right="1080" w:bottom="1440" w:left="1080" w:header="1134" w:footer="102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10AD3A4-D8F2-4485-ADAA-95BE24AA9A46}"/>
  </w:font>
  <w:font w:name="Tahoma">
    <w:panose1 w:val="020B0604030504040204"/>
    <w:charset w:val="00"/>
    <w:family w:val="swiss"/>
    <w:pitch w:val="default"/>
    <w:sig w:usb0="E1002EFF" w:usb1="C000605B" w:usb2="00000029" w:usb3="00000000" w:csb0="200101FF" w:csb1="20280000"/>
    <w:embedRegular r:id="rId2" w:fontKey="{D13F5D6A-3DD0-4DA8-BA67-A141E37D04F4}"/>
  </w:font>
  <w:font w:name="仿宋">
    <w:panose1 w:val="02010609060101010101"/>
    <w:charset w:val="86"/>
    <w:family w:val="modern"/>
    <w:pitch w:val="default"/>
    <w:sig w:usb0="800002BF" w:usb1="38CF7CFA" w:usb2="00000016" w:usb3="00000000" w:csb0="00040001" w:csb1="00000000"/>
    <w:embedRegular r:id="rId3" w:fontKey="{BD359321-3E00-419C-AE05-028C2CA5C0B4}"/>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4" w:fontKey="{CF35CBC4-35D9-4F6C-8D1B-16F6246D7785}"/>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5" w:fontKey="{96CFF4F1-397B-4952-A35D-29B7D782656A}"/>
  </w:font>
  <w:font w:name="Arial Unicode MS">
    <w:altName w:val="宋体"/>
    <w:panose1 w:val="020B0604020202020204"/>
    <w:charset w:val="86"/>
    <w:family w:val="roman"/>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6" w:fontKey="{21C08608-F0E8-41FD-95A9-39898A3648A4}"/>
  </w:font>
  <w:font w:name="MingLiUfalt">
    <w:altName w:val="MingLiU-ExtB"/>
    <w:panose1 w:val="00000000000000000000"/>
    <w:charset w:val="88"/>
    <w:family w:val="auto"/>
    <w:pitch w:val="default"/>
    <w:sig w:usb0="00000000" w:usb1="00000000" w:usb2="00000010" w:usb3="00000000" w:csb0="00100000" w:csb1="00000000"/>
    <w:embedRegular r:id="rId7" w:fontKey="{7E658A06-41CA-4EA5-9F92-0CAE2E172D1B}"/>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776C2">
    <w:pPr>
      <w:pStyle w:val="32"/>
      <w:framePr w:wrap="around" w:vAnchor="text" w:hAnchor="margin" w:xAlign="center" w:y="1"/>
      <w:rPr>
        <w:rStyle w:val="51"/>
        <w:rFonts w:ascii="宋体" w:hAnsi="宋体"/>
        <w:szCs w:val="18"/>
      </w:rPr>
    </w:pPr>
    <w:r>
      <w:rPr>
        <w:rFonts w:ascii="宋体" w:hAnsi="宋体"/>
        <w:szCs w:val="18"/>
      </w:rPr>
      <w:fldChar w:fldCharType="begin"/>
    </w:r>
    <w:r>
      <w:rPr>
        <w:rStyle w:val="51"/>
        <w:rFonts w:ascii="宋体" w:hAnsi="宋体"/>
        <w:szCs w:val="18"/>
      </w:rPr>
      <w:instrText xml:space="preserve">PAGE  </w:instrText>
    </w:r>
    <w:r>
      <w:rPr>
        <w:rFonts w:ascii="宋体" w:hAnsi="宋体"/>
        <w:szCs w:val="18"/>
      </w:rPr>
      <w:fldChar w:fldCharType="separate"/>
    </w:r>
    <w:r>
      <w:rPr>
        <w:rStyle w:val="51"/>
        <w:rFonts w:ascii="宋体" w:hAnsi="宋体"/>
        <w:szCs w:val="18"/>
      </w:rPr>
      <w:t>2</w:t>
    </w:r>
    <w:r>
      <w:rPr>
        <w:rFonts w:ascii="宋体" w:hAnsi="宋体"/>
        <w:szCs w:val="18"/>
      </w:rPr>
      <w:fldChar w:fldCharType="end"/>
    </w:r>
  </w:p>
  <w:p w14:paraId="01BCAE88">
    <w:pPr>
      <w:pStyle w:val="3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D1AD8">
    <w:pPr>
      <w:pStyle w:val="32"/>
      <w:framePr w:wrap="around" w:vAnchor="text" w:hAnchor="margin" w:xAlign="center" w:y="1"/>
      <w:rPr>
        <w:rStyle w:val="51"/>
        <w:rFonts w:ascii="宋体" w:hAnsi="宋体"/>
        <w:szCs w:val="18"/>
      </w:rPr>
    </w:pPr>
    <w:r>
      <w:rPr>
        <w:rFonts w:ascii="宋体" w:hAnsi="宋体"/>
        <w:szCs w:val="18"/>
      </w:rPr>
      <w:fldChar w:fldCharType="begin"/>
    </w:r>
    <w:r>
      <w:rPr>
        <w:rStyle w:val="51"/>
        <w:rFonts w:ascii="宋体" w:hAnsi="宋体"/>
        <w:szCs w:val="18"/>
      </w:rPr>
      <w:instrText xml:space="preserve">PAGE  </w:instrText>
    </w:r>
    <w:r>
      <w:rPr>
        <w:rFonts w:ascii="宋体" w:hAnsi="宋体"/>
        <w:szCs w:val="18"/>
      </w:rPr>
      <w:fldChar w:fldCharType="separate"/>
    </w:r>
    <w:r>
      <w:rPr>
        <w:rStyle w:val="51"/>
        <w:rFonts w:ascii="宋体" w:hAnsi="宋体"/>
        <w:szCs w:val="18"/>
      </w:rPr>
      <w:t>2</w:t>
    </w:r>
    <w:r>
      <w:rPr>
        <w:rFonts w:ascii="宋体" w:hAnsi="宋体"/>
        <w:szCs w:val="18"/>
      </w:rPr>
      <w:fldChar w:fldCharType="end"/>
    </w:r>
  </w:p>
  <w:p w14:paraId="01AA3D90">
    <w:pPr>
      <w:pStyle w:val="3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5ED5F">
    <w:pPr>
      <w:pBdr>
        <w:bottom w:val="thinThickSmallGap" w:color="auto" w:sz="12" w:space="0"/>
      </w:pBdr>
      <w:jc w:val="right"/>
      <w:rPr>
        <w:rFonts w:ascii="Tahoma" w:hAnsi="Tahoma"/>
        <w:sz w:val="24"/>
        <w:szCs w:val="24"/>
      </w:rPr>
    </w:pPr>
    <w:r>
      <w:rPr>
        <w:rFonts w:hint="eastAsia" w:ascii="Tahoma" w:hAnsi="Tahoma"/>
        <w:sz w:val="24"/>
        <w:szCs w:val="24"/>
      </w:rPr>
      <w:drawing>
        <wp:anchor distT="0" distB="0" distL="114300" distR="114300" simplePos="0" relativeHeight="251659264" behindDoc="0" locked="0" layoutInCell="1" allowOverlap="1">
          <wp:simplePos x="0" y="0"/>
          <wp:positionH relativeFrom="column">
            <wp:posOffset>62865</wp:posOffset>
          </wp:positionH>
          <wp:positionV relativeFrom="paragraph">
            <wp:posOffset>-88265</wp:posOffset>
          </wp:positionV>
          <wp:extent cx="748030" cy="295910"/>
          <wp:effectExtent l="0" t="0" r="13970" b="8255"/>
          <wp:wrapSquare wrapText="bothSides"/>
          <wp:docPr id="1" name="图片 2060" descr="亿集招标-03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60" descr="亿集招标-03 - 副本"/>
                  <pic:cNvPicPr>
                    <a:picLocks noChangeAspect="1"/>
                  </pic:cNvPicPr>
                </pic:nvPicPr>
                <pic:blipFill>
                  <a:blip r:embed="rId1"/>
                  <a:stretch>
                    <a:fillRect/>
                  </a:stretch>
                </pic:blipFill>
                <pic:spPr>
                  <a:xfrm>
                    <a:off x="0" y="0"/>
                    <a:ext cx="748030" cy="2959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2FDE">
    <w:pPr>
      <w:pBdr>
        <w:bottom w:val="thinThickSmallGap" w:color="auto" w:sz="12" w:space="0"/>
      </w:pBdr>
      <w:jc w:val="right"/>
      <w:rPr>
        <w:rFonts w:ascii="Tahoma" w:hAnsi="Tahoma"/>
        <w:sz w:val="24"/>
        <w:szCs w:val="24"/>
      </w:rPr>
    </w:pPr>
    <w:r>
      <w:rPr>
        <w:rFonts w:hint="eastAsia" w:ascii="Tahoma" w:hAnsi="Tahoma"/>
        <w:sz w:val="24"/>
        <w:szCs w:val="24"/>
      </w:rPr>
      <w:drawing>
        <wp:anchor distT="0" distB="0" distL="114300" distR="114300" simplePos="0" relativeHeight="251659264" behindDoc="0" locked="0" layoutInCell="1" allowOverlap="1">
          <wp:simplePos x="0" y="0"/>
          <wp:positionH relativeFrom="column">
            <wp:posOffset>62865</wp:posOffset>
          </wp:positionH>
          <wp:positionV relativeFrom="paragraph">
            <wp:posOffset>-88265</wp:posOffset>
          </wp:positionV>
          <wp:extent cx="748030" cy="295910"/>
          <wp:effectExtent l="0" t="0" r="13970" b="8255"/>
          <wp:wrapSquare wrapText="bothSides"/>
          <wp:docPr id="9" name="图片 2060" descr="亿集招标-03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60" descr="亿集招标-03 - 副本"/>
                  <pic:cNvPicPr>
                    <a:picLocks noChangeAspect="1"/>
                  </pic:cNvPicPr>
                </pic:nvPicPr>
                <pic:blipFill>
                  <a:blip r:embed="rId1"/>
                  <a:stretch>
                    <a:fillRect/>
                  </a:stretch>
                </pic:blipFill>
                <pic:spPr>
                  <a:xfrm>
                    <a:off x="0" y="0"/>
                    <a:ext cx="748030" cy="2959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pStyle w:val="24"/>
      <w:lvlText w:val="第%1章"/>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1"/>
    <w:multiLevelType w:val="multilevel"/>
    <w:tmpl w:val="00000001"/>
    <w:lvl w:ilvl="0" w:tentative="0">
      <w:start w:val="1"/>
      <w:numFmt w:val="decimal"/>
      <w:pStyle w:val="21"/>
      <w:lvlText w:val="%1、"/>
      <w:lvlJc w:val="left"/>
      <w:pPr>
        <w:tabs>
          <w:tab w:val="left" w:pos="1620"/>
        </w:tabs>
        <w:ind w:left="162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
    <w:nsid w:val="00000002"/>
    <w:multiLevelType w:val="multilevel"/>
    <w:tmpl w:val="00000002"/>
    <w:lvl w:ilvl="0" w:tentative="0">
      <w:start w:val="1"/>
      <w:numFmt w:val="decimal"/>
      <w:pStyle w:val="203"/>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207"/>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14"/>
    <w:multiLevelType w:val="singleLevel"/>
    <w:tmpl w:val="00000014"/>
    <w:lvl w:ilvl="0" w:tentative="0">
      <w:start w:val="1"/>
      <w:numFmt w:val="decimal"/>
      <w:pStyle w:val="158"/>
      <w:lvlText w:val="%1."/>
      <w:lvlJc w:val="left"/>
      <w:pPr>
        <w:tabs>
          <w:tab w:val="left" w:pos="425"/>
        </w:tabs>
        <w:ind w:left="425" w:hanging="425"/>
      </w:pPr>
      <w:rPr>
        <w:rFonts w:hint="default"/>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7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NmJiYTIxY2E4NmUzZjFmMTcwYTZkNzcxZmUzNmUifQ=="/>
  </w:docVars>
  <w:rsids>
    <w:rsidRoot w:val="00172A27"/>
    <w:rsid w:val="000015C8"/>
    <w:rsid w:val="000032E7"/>
    <w:rsid w:val="00007038"/>
    <w:rsid w:val="0001101B"/>
    <w:rsid w:val="00014F89"/>
    <w:rsid w:val="00015B0C"/>
    <w:rsid w:val="00015C12"/>
    <w:rsid w:val="000162A4"/>
    <w:rsid w:val="00017286"/>
    <w:rsid w:val="000216D6"/>
    <w:rsid w:val="00027055"/>
    <w:rsid w:val="0003098A"/>
    <w:rsid w:val="00036A96"/>
    <w:rsid w:val="00037824"/>
    <w:rsid w:val="000431F9"/>
    <w:rsid w:val="00045427"/>
    <w:rsid w:val="0005096C"/>
    <w:rsid w:val="00061BBB"/>
    <w:rsid w:val="00062357"/>
    <w:rsid w:val="00063F51"/>
    <w:rsid w:val="000644B2"/>
    <w:rsid w:val="00065E72"/>
    <w:rsid w:val="0006707C"/>
    <w:rsid w:val="00072C07"/>
    <w:rsid w:val="00073637"/>
    <w:rsid w:val="00077CBA"/>
    <w:rsid w:val="000805D4"/>
    <w:rsid w:val="00080C6C"/>
    <w:rsid w:val="00080E4C"/>
    <w:rsid w:val="00085A3B"/>
    <w:rsid w:val="00087D58"/>
    <w:rsid w:val="00090120"/>
    <w:rsid w:val="000964B5"/>
    <w:rsid w:val="000A04B8"/>
    <w:rsid w:val="000A1E7D"/>
    <w:rsid w:val="000B1B78"/>
    <w:rsid w:val="000B3032"/>
    <w:rsid w:val="000B6B90"/>
    <w:rsid w:val="000C7B71"/>
    <w:rsid w:val="000E2ABF"/>
    <w:rsid w:val="000F4913"/>
    <w:rsid w:val="000F6E54"/>
    <w:rsid w:val="000F716B"/>
    <w:rsid w:val="0010121B"/>
    <w:rsid w:val="001027CB"/>
    <w:rsid w:val="0011088B"/>
    <w:rsid w:val="0011117B"/>
    <w:rsid w:val="001144CB"/>
    <w:rsid w:val="001176C5"/>
    <w:rsid w:val="00122CA7"/>
    <w:rsid w:val="00126F38"/>
    <w:rsid w:val="0013076E"/>
    <w:rsid w:val="00137950"/>
    <w:rsid w:val="00137F0D"/>
    <w:rsid w:val="00143B34"/>
    <w:rsid w:val="00145FF3"/>
    <w:rsid w:val="001471D0"/>
    <w:rsid w:val="00147913"/>
    <w:rsid w:val="0014793A"/>
    <w:rsid w:val="001507A5"/>
    <w:rsid w:val="00156B5F"/>
    <w:rsid w:val="0016511E"/>
    <w:rsid w:val="0016605D"/>
    <w:rsid w:val="001708DC"/>
    <w:rsid w:val="00172BB6"/>
    <w:rsid w:val="0017395D"/>
    <w:rsid w:val="0017478E"/>
    <w:rsid w:val="00177563"/>
    <w:rsid w:val="00177EE0"/>
    <w:rsid w:val="0018111F"/>
    <w:rsid w:val="0018242E"/>
    <w:rsid w:val="0018290E"/>
    <w:rsid w:val="001859CD"/>
    <w:rsid w:val="00187B44"/>
    <w:rsid w:val="0019176B"/>
    <w:rsid w:val="001919C3"/>
    <w:rsid w:val="0019656F"/>
    <w:rsid w:val="001A4084"/>
    <w:rsid w:val="001A6A70"/>
    <w:rsid w:val="001A7EC9"/>
    <w:rsid w:val="001B07C9"/>
    <w:rsid w:val="001B1C86"/>
    <w:rsid w:val="001B6738"/>
    <w:rsid w:val="001B6923"/>
    <w:rsid w:val="001C52A5"/>
    <w:rsid w:val="001D28FE"/>
    <w:rsid w:val="001D3845"/>
    <w:rsid w:val="001D3B17"/>
    <w:rsid w:val="001D649E"/>
    <w:rsid w:val="001D6D07"/>
    <w:rsid w:val="001D7846"/>
    <w:rsid w:val="001E2BAE"/>
    <w:rsid w:val="001E5120"/>
    <w:rsid w:val="001E56C3"/>
    <w:rsid w:val="001E7D73"/>
    <w:rsid w:val="001F1551"/>
    <w:rsid w:val="001F1C0D"/>
    <w:rsid w:val="001F5CCA"/>
    <w:rsid w:val="00200646"/>
    <w:rsid w:val="002007CE"/>
    <w:rsid w:val="00203438"/>
    <w:rsid w:val="002038B8"/>
    <w:rsid w:val="00206088"/>
    <w:rsid w:val="00206DD6"/>
    <w:rsid w:val="002108D0"/>
    <w:rsid w:val="002158C4"/>
    <w:rsid w:val="00217297"/>
    <w:rsid w:val="0022002E"/>
    <w:rsid w:val="00221DA1"/>
    <w:rsid w:val="002256C9"/>
    <w:rsid w:val="0022587A"/>
    <w:rsid w:val="00225974"/>
    <w:rsid w:val="00226E8B"/>
    <w:rsid w:val="00235863"/>
    <w:rsid w:val="00240AF0"/>
    <w:rsid w:val="00246968"/>
    <w:rsid w:val="00246F16"/>
    <w:rsid w:val="00263861"/>
    <w:rsid w:val="0027542E"/>
    <w:rsid w:val="002762EC"/>
    <w:rsid w:val="00281586"/>
    <w:rsid w:val="00281FBD"/>
    <w:rsid w:val="00285ED2"/>
    <w:rsid w:val="00287A73"/>
    <w:rsid w:val="002932DF"/>
    <w:rsid w:val="00295D34"/>
    <w:rsid w:val="002A1DD8"/>
    <w:rsid w:val="002A3EE0"/>
    <w:rsid w:val="002A52EA"/>
    <w:rsid w:val="002A5327"/>
    <w:rsid w:val="002A6D6B"/>
    <w:rsid w:val="002B222A"/>
    <w:rsid w:val="002B4B50"/>
    <w:rsid w:val="002B5569"/>
    <w:rsid w:val="002B72CE"/>
    <w:rsid w:val="002C0F51"/>
    <w:rsid w:val="002C1EB5"/>
    <w:rsid w:val="002C2F8C"/>
    <w:rsid w:val="002C3C09"/>
    <w:rsid w:val="002C620A"/>
    <w:rsid w:val="002D0B48"/>
    <w:rsid w:val="002D0EB9"/>
    <w:rsid w:val="002D3B93"/>
    <w:rsid w:val="002D4F45"/>
    <w:rsid w:val="002D7C05"/>
    <w:rsid w:val="002E1DAA"/>
    <w:rsid w:val="002E293D"/>
    <w:rsid w:val="002E7332"/>
    <w:rsid w:val="00301215"/>
    <w:rsid w:val="00302836"/>
    <w:rsid w:val="00305F4C"/>
    <w:rsid w:val="00306902"/>
    <w:rsid w:val="003078F3"/>
    <w:rsid w:val="00310EE3"/>
    <w:rsid w:val="003123A1"/>
    <w:rsid w:val="003174C3"/>
    <w:rsid w:val="00321917"/>
    <w:rsid w:val="00323C18"/>
    <w:rsid w:val="00326FD8"/>
    <w:rsid w:val="00334077"/>
    <w:rsid w:val="003355FF"/>
    <w:rsid w:val="003370A3"/>
    <w:rsid w:val="003408DD"/>
    <w:rsid w:val="003447ED"/>
    <w:rsid w:val="00344B0A"/>
    <w:rsid w:val="00345A53"/>
    <w:rsid w:val="00345C65"/>
    <w:rsid w:val="00345F5D"/>
    <w:rsid w:val="003465A5"/>
    <w:rsid w:val="00351BB4"/>
    <w:rsid w:val="00353884"/>
    <w:rsid w:val="00353C98"/>
    <w:rsid w:val="00356A06"/>
    <w:rsid w:val="00357CAC"/>
    <w:rsid w:val="00362D40"/>
    <w:rsid w:val="00362D66"/>
    <w:rsid w:val="00366816"/>
    <w:rsid w:val="003829B0"/>
    <w:rsid w:val="00382F4B"/>
    <w:rsid w:val="003956EA"/>
    <w:rsid w:val="00396C77"/>
    <w:rsid w:val="003A1D38"/>
    <w:rsid w:val="003A415A"/>
    <w:rsid w:val="003A441B"/>
    <w:rsid w:val="003A47AC"/>
    <w:rsid w:val="003A4FDF"/>
    <w:rsid w:val="003A56B4"/>
    <w:rsid w:val="003A742D"/>
    <w:rsid w:val="003A7D37"/>
    <w:rsid w:val="003B241D"/>
    <w:rsid w:val="003B3506"/>
    <w:rsid w:val="003B7EC0"/>
    <w:rsid w:val="003C4D16"/>
    <w:rsid w:val="003C7EBB"/>
    <w:rsid w:val="003D2612"/>
    <w:rsid w:val="003D487D"/>
    <w:rsid w:val="003E0875"/>
    <w:rsid w:val="003E2759"/>
    <w:rsid w:val="003E58ED"/>
    <w:rsid w:val="003E65A2"/>
    <w:rsid w:val="003F0CE1"/>
    <w:rsid w:val="003F421A"/>
    <w:rsid w:val="003F6FB0"/>
    <w:rsid w:val="004018A3"/>
    <w:rsid w:val="004076FD"/>
    <w:rsid w:val="00415EFB"/>
    <w:rsid w:val="0041695F"/>
    <w:rsid w:val="004172B6"/>
    <w:rsid w:val="004210EC"/>
    <w:rsid w:val="004212C8"/>
    <w:rsid w:val="0042581D"/>
    <w:rsid w:val="00430A7C"/>
    <w:rsid w:val="00430BEC"/>
    <w:rsid w:val="0043284E"/>
    <w:rsid w:val="00435617"/>
    <w:rsid w:val="0043633E"/>
    <w:rsid w:val="004407B8"/>
    <w:rsid w:val="004461F6"/>
    <w:rsid w:val="00447102"/>
    <w:rsid w:val="00451187"/>
    <w:rsid w:val="00452A5A"/>
    <w:rsid w:val="00453016"/>
    <w:rsid w:val="004577E0"/>
    <w:rsid w:val="0046328D"/>
    <w:rsid w:val="00465216"/>
    <w:rsid w:val="00466708"/>
    <w:rsid w:val="00470E97"/>
    <w:rsid w:val="004722D4"/>
    <w:rsid w:val="004766BA"/>
    <w:rsid w:val="00485A02"/>
    <w:rsid w:val="00485DFA"/>
    <w:rsid w:val="00486A37"/>
    <w:rsid w:val="00487D2E"/>
    <w:rsid w:val="0049032C"/>
    <w:rsid w:val="00491461"/>
    <w:rsid w:val="004965C3"/>
    <w:rsid w:val="0049785B"/>
    <w:rsid w:val="004A1AA5"/>
    <w:rsid w:val="004A32BB"/>
    <w:rsid w:val="004A7114"/>
    <w:rsid w:val="004B2DFF"/>
    <w:rsid w:val="004B44F9"/>
    <w:rsid w:val="004C0FE2"/>
    <w:rsid w:val="004C5C62"/>
    <w:rsid w:val="004D4540"/>
    <w:rsid w:val="004D7C4D"/>
    <w:rsid w:val="004E4BC4"/>
    <w:rsid w:val="004F3183"/>
    <w:rsid w:val="004F77E3"/>
    <w:rsid w:val="00500274"/>
    <w:rsid w:val="00500546"/>
    <w:rsid w:val="00501828"/>
    <w:rsid w:val="00503320"/>
    <w:rsid w:val="00503CAF"/>
    <w:rsid w:val="00505AE4"/>
    <w:rsid w:val="00511327"/>
    <w:rsid w:val="00512E87"/>
    <w:rsid w:val="00514C46"/>
    <w:rsid w:val="00522C6C"/>
    <w:rsid w:val="00524DF8"/>
    <w:rsid w:val="005308A1"/>
    <w:rsid w:val="00544607"/>
    <w:rsid w:val="005470E8"/>
    <w:rsid w:val="00547F2B"/>
    <w:rsid w:val="00560DED"/>
    <w:rsid w:val="00561786"/>
    <w:rsid w:val="00563312"/>
    <w:rsid w:val="005653E8"/>
    <w:rsid w:val="005656B2"/>
    <w:rsid w:val="00565E5F"/>
    <w:rsid w:val="005677BF"/>
    <w:rsid w:val="00570894"/>
    <w:rsid w:val="0057616C"/>
    <w:rsid w:val="00577C88"/>
    <w:rsid w:val="00580AC2"/>
    <w:rsid w:val="00580FF3"/>
    <w:rsid w:val="005823A3"/>
    <w:rsid w:val="00582644"/>
    <w:rsid w:val="00585EE5"/>
    <w:rsid w:val="005873CE"/>
    <w:rsid w:val="00594651"/>
    <w:rsid w:val="00594C59"/>
    <w:rsid w:val="005A2971"/>
    <w:rsid w:val="005A3EFB"/>
    <w:rsid w:val="005B4118"/>
    <w:rsid w:val="005B6178"/>
    <w:rsid w:val="005B7FC2"/>
    <w:rsid w:val="005C38D3"/>
    <w:rsid w:val="005C4333"/>
    <w:rsid w:val="005C7A69"/>
    <w:rsid w:val="005D6025"/>
    <w:rsid w:val="005E0693"/>
    <w:rsid w:val="005E5539"/>
    <w:rsid w:val="005E66F6"/>
    <w:rsid w:val="005F49FE"/>
    <w:rsid w:val="005F6A99"/>
    <w:rsid w:val="00602107"/>
    <w:rsid w:val="00603774"/>
    <w:rsid w:val="00606DDC"/>
    <w:rsid w:val="006073D2"/>
    <w:rsid w:val="00611EED"/>
    <w:rsid w:val="006123AE"/>
    <w:rsid w:val="00617AFB"/>
    <w:rsid w:val="006200F6"/>
    <w:rsid w:val="00620B83"/>
    <w:rsid w:val="0062161A"/>
    <w:rsid w:val="00621B92"/>
    <w:rsid w:val="00625BCB"/>
    <w:rsid w:val="006270B5"/>
    <w:rsid w:val="00633E4B"/>
    <w:rsid w:val="00634BC1"/>
    <w:rsid w:val="00642F58"/>
    <w:rsid w:val="006458E4"/>
    <w:rsid w:val="00647672"/>
    <w:rsid w:val="00650451"/>
    <w:rsid w:val="00651D1E"/>
    <w:rsid w:val="006529B2"/>
    <w:rsid w:val="0065440A"/>
    <w:rsid w:val="00655F23"/>
    <w:rsid w:val="00663A17"/>
    <w:rsid w:val="006649AA"/>
    <w:rsid w:val="00666E6C"/>
    <w:rsid w:val="0066717B"/>
    <w:rsid w:val="00677CDD"/>
    <w:rsid w:val="0068667A"/>
    <w:rsid w:val="00692DCD"/>
    <w:rsid w:val="00692E5C"/>
    <w:rsid w:val="006966E1"/>
    <w:rsid w:val="006973BA"/>
    <w:rsid w:val="006A2141"/>
    <w:rsid w:val="006A2BE4"/>
    <w:rsid w:val="006A4377"/>
    <w:rsid w:val="006B0A56"/>
    <w:rsid w:val="006C7B38"/>
    <w:rsid w:val="006D19B0"/>
    <w:rsid w:val="006D5A44"/>
    <w:rsid w:val="006E18A8"/>
    <w:rsid w:val="006E3E23"/>
    <w:rsid w:val="006E4F59"/>
    <w:rsid w:val="006E7857"/>
    <w:rsid w:val="006F164B"/>
    <w:rsid w:val="006F7811"/>
    <w:rsid w:val="00700141"/>
    <w:rsid w:val="0070303F"/>
    <w:rsid w:val="00703B8F"/>
    <w:rsid w:val="0070655E"/>
    <w:rsid w:val="00710467"/>
    <w:rsid w:val="0072186D"/>
    <w:rsid w:val="00723CFB"/>
    <w:rsid w:val="00724572"/>
    <w:rsid w:val="00726041"/>
    <w:rsid w:val="00727DA3"/>
    <w:rsid w:val="00731F3A"/>
    <w:rsid w:val="007331AB"/>
    <w:rsid w:val="007333BC"/>
    <w:rsid w:val="00734D4B"/>
    <w:rsid w:val="00734E06"/>
    <w:rsid w:val="00735E80"/>
    <w:rsid w:val="007438FE"/>
    <w:rsid w:val="007475E5"/>
    <w:rsid w:val="007512A5"/>
    <w:rsid w:val="00753E5C"/>
    <w:rsid w:val="00754A2D"/>
    <w:rsid w:val="00755A7C"/>
    <w:rsid w:val="00762321"/>
    <w:rsid w:val="00763EE7"/>
    <w:rsid w:val="00764406"/>
    <w:rsid w:val="00764776"/>
    <w:rsid w:val="007660DA"/>
    <w:rsid w:val="00770B4A"/>
    <w:rsid w:val="00771165"/>
    <w:rsid w:val="00777202"/>
    <w:rsid w:val="00780CFE"/>
    <w:rsid w:val="007817BC"/>
    <w:rsid w:val="00794279"/>
    <w:rsid w:val="00795128"/>
    <w:rsid w:val="007A23FD"/>
    <w:rsid w:val="007A4308"/>
    <w:rsid w:val="007B1822"/>
    <w:rsid w:val="007B1AB0"/>
    <w:rsid w:val="007B3B65"/>
    <w:rsid w:val="007B45E6"/>
    <w:rsid w:val="007B5172"/>
    <w:rsid w:val="007B5A5B"/>
    <w:rsid w:val="007C2998"/>
    <w:rsid w:val="007C67CC"/>
    <w:rsid w:val="007C7C9E"/>
    <w:rsid w:val="007D002C"/>
    <w:rsid w:val="007D2BA4"/>
    <w:rsid w:val="007D75C8"/>
    <w:rsid w:val="007E516D"/>
    <w:rsid w:val="007E662A"/>
    <w:rsid w:val="007E6ACE"/>
    <w:rsid w:val="007F4A26"/>
    <w:rsid w:val="007F5241"/>
    <w:rsid w:val="007F73BD"/>
    <w:rsid w:val="00801F19"/>
    <w:rsid w:val="00802077"/>
    <w:rsid w:val="00805722"/>
    <w:rsid w:val="00812A5F"/>
    <w:rsid w:val="00815A1A"/>
    <w:rsid w:val="00821FDB"/>
    <w:rsid w:val="00824D40"/>
    <w:rsid w:val="00825FD4"/>
    <w:rsid w:val="00827FF2"/>
    <w:rsid w:val="00830A01"/>
    <w:rsid w:val="008312DB"/>
    <w:rsid w:val="0083202C"/>
    <w:rsid w:val="008341A3"/>
    <w:rsid w:val="0083651E"/>
    <w:rsid w:val="00843B12"/>
    <w:rsid w:val="008445BE"/>
    <w:rsid w:val="00845C72"/>
    <w:rsid w:val="00846033"/>
    <w:rsid w:val="00847E52"/>
    <w:rsid w:val="0085337C"/>
    <w:rsid w:val="0085353A"/>
    <w:rsid w:val="008565BC"/>
    <w:rsid w:val="00861925"/>
    <w:rsid w:val="00867B45"/>
    <w:rsid w:val="00872C37"/>
    <w:rsid w:val="00874A94"/>
    <w:rsid w:val="00874DE5"/>
    <w:rsid w:val="0088276B"/>
    <w:rsid w:val="00884A53"/>
    <w:rsid w:val="00890FCC"/>
    <w:rsid w:val="008A03D8"/>
    <w:rsid w:val="008A1C5E"/>
    <w:rsid w:val="008A2072"/>
    <w:rsid w:val="008A453C"/>
    <w:rsid w:val="008A5CF9"/>
    <w:rsid w:val="008A6140"/>
    <w:rsid w:val="008B0545"/>
    <w:rsid w:val="008B7857"/>
    <w:rsid w:val="008C26C1"/>
    <w:rsid w:val="008C2F79"/>
    <w:rsid w:val="008D1010"/>
    <w:rsid w:val="008D422A"/>
    <w:rsid w:val="008D4A90"/>
    <w:rsid w:val="008D54CD"/>
    <w:rsid w:val="008D6DA1"/>
    <w:rsid w:val="008E2641"/>
    <w:rsid w:val="008E5B40"/>
    <w:rsid w:val="008E6BED"/>
    <w:rsid w:val="008E6DC7"/>
    <w:rsid w:val="008E7B52"/>
    <w:rsid w:val="008F1172"/>
    <w:rsid w:val="008F4125"/>
    <w:rsid w:val="008F56BC"/>
    <w:rsid w:val="009005C6"/>
    <w:rsid w:val="00903914"/>
    <w:rsid w:val="00906381"/>
    <w:rsid w:val="00906B7D"/>
    <w:rsid w:val="00911AF1"/>
    <w:rsid w:val="00913BC9"/>
    <w:rsid w:val="00923C9B"/>
    <w:rsid w:val="00930B75"/>
    <w:rsid w:val="00941E92"/>
    <w:rsid w:val="00943BC7"/>
    <w:rsid w:val="0094449D"/>
    <w:rsid w:val="00944AFA"/>
    <w:rsid w:val="009501BB"/>
    <w:rsid w:val="009511A2"/>
    <w:rsid w:val="00953BC7"/>
    <w:rsid w:val="00954724"/>
    <w:rsid w:val="0096202E"/>
    <w:rsid w:val="00962D9B"/>
    <w:rsid w:val="009735F5"/>
    <w:rsid w:val="009800E0"/>
    <w:rsid w:val="00980915"/>
    <w:rsid w:val="00982600"/>
    <w:rsid w:val="00983859"/>
    <w:rsid w:val="009847CC"/>
    <w:rsid w:val="009A3507"/>
    <w:rsid w:val="009A7F3B"/>
    <w:rsid w:val="009B2350"/>
    <w:rsid w:val="009B2744"/>
    <w:rsid w:val="009B2A2B"/>
    <w:rsid w:val="009B46FB"/>
    <w:rsid w:val="009B4DFF"/>
    <w:rsid w:val="009B5100"/>
    <w:rsid w:val="009B6AA8"/>
    <w:rsid w:val="009C3AD0"/>
    <w:rsid w:val="009D0326"/>
    <w:rsid w:val="009D20B1"/>
    <w:rsid w:val="009D4799"/>
    <w:rsid w:val="009E40CB"/>
    <w:rsid w:val="009F3630"/>
    <w:rsid w:val="009F3806"/>
    <w:rsid w:val="009F53C9"/>
    <w:rsid w:val="009F54AE"/>
    <w:rsid w:val="009F7BA3"/>
    <w:rsid w:val="00A003E6"/>
    <w:rsid w:val="00A04813"/>
    <w:rsid w:val="00A06C94"/>
    <w:rsid w:val="00A11BE1"/>
    <w:rsid w:val="00A17A02"/>
    <w:rsid w:val="00A2285D"/>
    <w:rsid w:val="00A32752"/>
    <w:rsid w:val="00A34677"/>
    <w:rsid w:val="00A34B60"/>
    <w:rsid w:val="00A34B6A"/>
    <w:rsid w:val="00A34CF8"/>
    <w:rsid w:val="00A353A1"/>
    <w:rsid w:val="00A44E1A"/>
    <w:rsid w:val="00A4595E"/>
    <w:rsid w:val="00A45FA7"/>
    <w:rsid w:val="00A46CB7"/>
    <w:rsid w:val="00A51C9C"/>
    <w:rsid w:val="00A55ADD"/>
    <w:rsid w:val="00A56AEB"/>
    <w:rsid w:val="00A61811"/>
    <w:rsid w:val="00A61DB1"/>
    <w:rsid w:val="00A646AF"/>
    <w:rsid w:val="00A65264"/>
    <w:rsid w:val="00A65F56"/>
    <w:rsid w:val="00A66895"/>
    <w:rsid w:val="00A66BA2"/>
    <w:rsid w:val="00A70584"/>
    <w:rsid w:val="00A70929"/>
    <w:rsid w:val="00A74F83"/>
    <w:rsid w:val="00A77B88"/>
    <w:rsid w:val="00A804EB"/>
    <w:rsid w:val="00A8134E"/>
    <w:rsid w:val="00A87DE2"/>
    <w:rsid w:val="00A921D6"/>
    <w:rsid w:val="00A93DA0"/>
    <w:rsid w:val="00AA1EE9"/>
    <w:rsid w:val="00AA5DD3"/>
    <w:rsid w:val="00AA673F"/>
    <w:rsid w:val="00AB0ADD"/>
    <w:rsid w:val="00AB4C0C"/>
    <w:rsid w:val="00AC42A5"/>
    <w:rsid w:val="00AC5119"/>
    <w:rsid w:val="00AD2FE2"/>
    <w:rsid w:val="00AD5282"/>
    <w:rsid w:val="00AD5EFD"/>
    <w:rsid w:val="00AD70F2"/>
    <w:rsid w:val="00AD770A"/>
    <w:rsid w:val="00AE1CB5"/>
    <w:rsid w:val="00AE4B5A"/>
    <w:rsid w:val="00AF3A90"/>
    <w:rsid w:val="00AF3B3B"/>
    <w:rsid w:val="00AF6762"/>
    <w:rsid w:val="00B00571"/>
    <w:rsid w:val="00B02ACF"/>
    <w:rsid w:val="00B0382A"/>
    <w:rsid w:val="00B1129F"/>
    <w:rsid w:val="00B13E91"/>
    <w:rsid w:val="00B142BF"/>
    <w:rsid w:val="00B2216C"/>
    <w:rsid w:val="00B22FFD"/>
    <w:rsid w:val="00B25698"/>
    <w:rsid w:val="00B2687C"/>
    <w:rsid w:val="00B30678"/>
    <w:rsid w:val="00B30B39"/>
    <w:rsid w:val="00B34DFF"/>
    <w:rsid w:val="00B4044B"/>
    <w:rsid w:val="00B478B9"/>
    <w:rsid w:val="00B653A3"/>
    <w:rsid w:val="00B7652A"/>
    <w:rsid w:val="00B77780"/>
    <w:rsid w:val="00B77B76"/>
    <w:rsid w:val="00B80BAD"/>
    <w:rsid w:val="00B80E20"/>
    <w:rsid w:val="00B81CCF"/>
    <w:rsid w:val="00B862E9"/>
    <w:rsid w:val="00B867E0"/>
    <w:rsid w:val="00B87F6E"/>
    <w:rsid w:val="00B92F66"/>
    <w:rsid w:val="00B96C32"/>
    <w:rsid w:val="00B975AA"/>
    <w:rsid w:val="00BA131E"/>
    <w:rsid w:val="00BA227D"/>
    <w:rsid w:val="00BA3657"/>
    <w:rsid w:val="00BB0DF3"/>
    <w:rsid w:val="00BB0E12"/>
    <w:rsid w:val="00BB5DFB"/>
    <w:rsid w:val="00BB7B6F"/>
    <w:rsid w:val="00BC3982"/>
    <w:rsid w:val="00BC3BFC"/>
    <w:rsid w:val="00BC3D14"/>
    <w:rsid w:val="00BD1BBA"/>
    <w:rsid w:val="00BD1F45"/>
    <w:rsid w:val="00BD4576"/>
    <w:rsid w:val="00BD49D5"/>
    <w:rsid w:val="00BD5D84"/>
    <w:rsid w:val="00BE14DF"/>
    <w:rsid w:val="00BE35D1"/>
    <w:rsid w:val="00BF14AE"/>
    <w:rsid w:val="00BF17E0"/>
    <w:rsid w:val="00BF2741"/>
    <w:rsid w:val="00BF6FFE"/>
    <w:rsid w:val="00BF77AE"/>
    <w:rsid w:val="00C01255"/>
    <w:rsid w:val="00C01A6E"/>
    <w:rsid w:val="00C03390"/>
    <w:rsid w:val="00C06A01"/>
    <w:rsid w:val="00C0718A"/>
    <w:rsid w:val="00C10CDF"/>
    <w:rsid w:val="00C10FAF"/>
    <w:rsid w:val="00C12182"/>
    <w:rsid w:val="00C2099F"/>
    <w:rsid w:val="00C20E17"/>
    <w:rsid w:val="00C21DEC"/>
    <w:rsid w:val="00C2269F"/>
    <w:rsid w:val="00C25232"/>
    <w:rsid w:val="00C26C9D"/>
    <w:rsid w:val="00C27BFC"/>
    <w:rsid w:val="00C30674"/>
    <w:rsid w:val="00C3190B"/>
    <w:rsid w:val="00C32C7F"/>
    <w:rsid w:val="00C406DF"/>
    <w:rsid w:val="00C43E69"/>
    <w:rsid w:val="00C47E8E"/>
    <w:rsid w:val="00C52388"/>
    <w:rsid w:val="00C61DEB"/>
    <w:rsid w:val="00C640F5"/>
    <w:rsid w:val="00C749A2"/>
    <w:rsid w:val="00C8004A"/>
    <w:rsid w:val="00C8094F"/>
    <w:rsid w:val="00C81601"/>
    <w:rsid w:val="00C87F00"/>
    <w:rsid w:val="00CA1DB2"/>
    <w:rsid w:val="00CA2BDE"/>
    <w:rsid w:val="00CA4A94"/>
    <w:rsid w:val="00CB1A5F"/>
    <w:rsid w:val="00CB32B1"/>
    <w:rsid w:val="00CC5B54"/>
    <w:rsid w:val="00CC6FD7"/>
    <w:rsid w:val="00CD40AB"/>
    <w:rsid w:val="00CD5900"/>
    <w:rsid w:val="00CD707F"/>
    <w:rsid w:val="00CD72CD"/>
    <w:rsid w:val="00CE2BD8"/>
    <w:rsid w:val="00CE4608"/>
    <w:rsid w:val="00CE5A5D"/>
    <w:rsid w:val="00CE7EA4"/>
    <w:rsid w:val="00CF0162"/>
    <w:rsid w:val="00CF08E8"/>
    <w:rsid w:val="00CF25CB"/>
    <w:rsid w:val="00CF262E"/>
    <w:rsid w:val="00CF3088"/>
    <w:rsid w:val="00D04C88"/>
    <w:rsid w:val="00D053F7"/>
    <w:rsid w:val="00D0694C"/>
    <w:rsid w:val="00D22F69"/>
    <w:rsid w:val="00D23E02"/>
    <w:rsid w:val="00D24D9A"/>
    <w:rsid w:val="00D30F9E"/>
    <w:rsid w:val="00D320B8"/>
    <w:rsid w:val="00D364B3"/>
    <w:rsid w:val="00D368E6"/>
    <w:rsid w:val="00D417D5"/>
    <w:rsid w:val="00D43FFB"/>
    <w:rsid w:val="00D5579C"/>
    <w:rsid w:val="00D5625E"/>
    <w:rsid w:val="00D60E5A"/>
    <w:rsid w:val="00D61312"/>
    <w:rsid w:val="00D66B53"/>
    <w:rsid w:val="00D705F6"/>
    <w:rsid w:val="00D71471"/>
    <w:rsid w:val="00D724B8"/>
    <w:rsid w:val="00D73DE7"/>
    <w:rsid w:val="00D8302C"/>
    <w:rsid w:val="00D83607"/>
    <w:rsid w:val="00D858BC"/>
    <w:rsid w:val="00D90EE4"/>
    <w:rsid w:val="00D92C31"/>
    <w:rsid w:val="00D92FC7"/>
    <w:rsid w:val="00DA5627"/>
    <w:rsid w:val="00DA7C29"/>
    <w:rsid w:val="00DB55FB"/>
    <w:rsid w:val="00DC328C"/>
    <w:rsid w:val="00DD019B"/>
    <w:rsid w:val="00DD2500"/>
    <w:rsid w:val="00DD3E70"/>
    <w:rsid w:val="00DD4417"/>
    <w:rsid w:val="00DD7A34"/>
    <w:rsid w:val="00DE28E6"/>
    <w:rsid w:val="00DE5141"/>
    <w:rsid w:val="00DF5414"/>
    <w:rsid w:val="00E0277C"/>
    <w:rsid w:val="00E057C0"/>
    <w:rsid w:val="00E10EC2"/>
    <w:rsid w:val="00E11891"/>
    <w:rsid w:val="00E1300B"/>
    <w:rsid w:val="00E14C57"/>
    <w:rsid w:val="00E22524"/>
    <w:rsid w:val="00E24C04"/>
    <w:rsid w:val="00E30866"/>
    <w:rsid w:val="00E30A25"/>
    <w:rsid w:val="00E32E3B"/>
    <w:rsid w:val="00E33F34"/>
    <w:rsid w:val="00E345A2"/>
    <w:rsid w:val="00E34815"/>
    <w:rsid w:val="00E34AAD"/>
    <w:rsid w:val="00E35FC1"/>
    <w:rsid w:val="00E36E9C"/>
    <w:rsid w:val="00E40EBD"/>
    <w:rsid w:val="00E4523C"/>
    <w:rsid w:val="00E45EDC"/>
    <w:rsid w:val="00E50E1F"/>
    <w:rsid w:val="00E6125C"/>
    <w:rsid w:val="00E641C0"/>
    <w:rsid w:val="00E643D4"/>
    <w:rsid w:val="00E66E74"/>
    <w:rsid w:val="00E70435"/>
    <w:rsid w:val="00E70F9B"/>
    <w:rsid w:val="00E73445"/>
    <w:rsid w:val="00E73534"/>
    <w:rsid w:val="00E73C26"/>
    <w:rsid w:val="00E85B69"/>
    <w:rsid w:val="00E97048"/>
    <w:rsid w:val="00EA0BFA"/>
    <w:rsid w:val="00EA1FF6"/>
    <w:rsid w:val="00EA2BDA"/>
    <w:rsid w:val="00EA3433"/>
    <w:rsid w:val="00EC2083"/>
    <w:rsid w:val="00EC4455"/>
    <w:rsid w:val="00EC54FD"/>
    <w:rsid w:val="00EC6ABF"/>
    <w:rsid w:val="00ED0B84"/>
    <w:rsid w:val="00ED18AA"/>
    <w:rsid w:val="00ED2FEC"/>
    <w:rsid w:val="00ED6489"/>
    <w:rsid w:val="00EF1580"/>
    <w:rsid w:val="00EF41D9"/>
    <w:rsid w:val="00EF797C"/>
    <w:rsid w:val="00F00EB9"/>
    <w:rsid w:val="00F03642"/>
    <w:rsid w:val="00F052D0"/>
    <w:rsid w:val="00F05FA1"/>
    <w:rsid w:val="00F07730"/>
    <w:rsid w:val="00F1169E"/>
    <w:rsid w:val="00F126D8"/>
    <w:rsid w:val="00F132F1"/>
    <w:rsid w:val="00F15A9A"/>
    <w:rsid w:val="00F16FA5"/>
    <w:rsid w:val="00F21991"/>
    <w:rsid w:val="00F34364"/>
    <w:rsid w:val="00F34EAC"/>
    <w:rsid w:val="00F359C6"/>
    <w:rsid w:val="00F35E15"/>
    <w:rsid w:val="00F35F7E"/>
    <w:rsid w:val="00F44F09"/>
    <w:rsid w:val="00F61F41"/>
    <w:rsid w:val="00F61FC7"/>
    <w:rsid w:val="00F62576"/>
    <w:rsid w:val="00F627C6"/>
    <w:rsid w:val="00F628DA"/>
    <w:rsid w:val="00F71D1B"/>
    <w:rsid w:val="00F72AE9"/>
    <w:rsid w:val="00F74653"/>
    <w:rsid w:val="00F7720C"/>
    <w:rsid w:val="00F80F8D"/>
    <w:rsid w:val="00F855AA"/>
    <w:rsid w:val="00F90F01"/>
    <w:rsid w:val="00F950D7"/>
    <w:rsid w:val="00F97AC4"/>
    <w:rsid w:val="00FA1A13"/>
    <w:rsid w:val="00FA4523"/>
    <w:rsid w:val="00FA62E0"/>
    <w:rsid w:val="00FB05F8"/>
    <w:rsid w:val="00FB0694"/>
    <w:rsid w:val="00FB11AD"/>
    <w:rsid w:val="00FB3ABB"/>
    <w:rsid w:val="00FB6154"/>
    <w:rsid w:val="00FC5E98"/>
    <w:rsid w:val="00FC7988"/>
    <w:rsid w:val="00FC7CFC"/>
    <w:rsid w:val="00FD2ADF"/>
    <w:rsid w:val="00FD3A17"/>
    <w:rsid w:val="00FD7F27"/>
    <w:rsid w:val="00FE2048"/>
    <w:rsid w:val="00FE5A77"/>
    <w:rsid w:val="00FF2941"/>
    <w:rsid w:val="00FF2FA5"/>
    <w:rsid w:val="00FF3736"/>
    <w:rsid w:val="010669B2"/>
    <w:rsid w:val="017B4C7A"/>
    <w:rsid w:val="01A9136E"/>
    <w:rsid w:val="01C64018"/>
    <w:rsid w:val="01EB4881"/>
    <w:rsid w:val="01FA3EB9"/>
    <w:rsid w:val="01FE2BD2"/>
    <w:rsid w:val="02007B8A"/>
    <w:rsid w:val="020E54D3"/>
    <w:rsid w:val="02296E92"/>
    <w:rsid w:val="022B71B5"/>
    <w:rsid w:val="02532A0F"/>
    <w:rsid w:val="028440C8"/>
    <w:rsid w:val="029370C7"/>
    <w:rsid w:val="02954528"/>
    <w:rsid w:val="0297785B"/>
    <w:rsid w:val="02D04642"/>
    <w:rsid w:val="0309053D"/>
    <w:rsid w:val="030D223C"/>
    <w:rsid w:val="03133069"/>
    <w:rsid w:val="03286B88"/>
    <w:rsid w:val="03322926"/>
    <w:rsid w:val="035C58E2"/>
    <w:rsid w:val="035D6841"/>
    <w:rsid w:val="036737D3"/>
    <w:rsid w:val="03750ED4"/>
    <w:rsid w:val="037D4462"/>
    <w:rsid w:val="03CA22C9"/>
    <w:rsid w:val="03CE7CF1"/>
    <w:rsid w:val="03D50E48"/>
    <w:rsid w:val="03E13FE0"/>
    <w:rsid w:val="03F60F65"/>
    <w:rsid w:val="040B7216"/>
    <w:rsid w:val="041A5C49"/>
    <w:rsid w:val="041E28EE"/>
    <w:rsid w:val="042B7FBD"/>
    <w:rsid w:val="04661342"/>
    <w:rsid w:val="04A22CC7"/>
    <w:rsid w:val="04C67181"/>
    <w:rsid w:val="04D606AC"/>
    <w:rsid w:val="05A36F5B"/>
    <w:rsid w:val="061B004B"/>
    <w:rsid w:val="06425F83"/>
    <w:rsid w:val="065A1D10"/>
    <w:rsid w:val="06852F1F"/>
    <w:rsid w:val="0689456C"/>
    <w:rsid w:val="068E4B7C"/>
    <w:rsid w:val="06A05588"/>
    <w:rsid w:val="06A21735"/>
    <w:rsid w:val="06AF4BC5"/>
    <w:rsid w:val="06C158EB"/>
    <w:rsid w:val="06C53F8F"/>
    <w:rsid w:val="06D47D9C"/>
    <w:rsid w:val="06D53B4E"/>
    <w:rsid w:val="06DEAB44"/>
    <w:rsid w:val="06E363C6"/>
    <w:rsid w:val="06E458F7"/>
    <w:rsid w:val="06F12117"/>
    <w:rsid w:val="06F253F2"/>
    <w:rsid w:val="06F33E79"/>
    <w:rsid w:val="07010F3B"/>
    <w:rsid w:val="07021782"/>
    <w:rsid w:val="0708714D"/>
    <w:rsid w:val="070A49DE"/>
    <w:rsid w:val="071D6829"/>
    <w:rsid w:val="07342561"/>
    <w:rsid w:val="07450CA9"/>
    <w:rsid w:val="075A7981"/>
    <w:rsid w:val="0780067B"/>
    <w:rsid w:val="07A8222E"/>
    <w:rsid w:val="07C441DE"/>
    <w:rsid w:val="07D654D5"/>
    <w:rsid w:val="07EE34FA"/>
    <w:rsid w:val="07F33678"/>
    <w:rsid w:val="08064057"/>
    <w:rsid w:val="0825634E"/>
    <w:rsid w:val="0826717E"/>
    <w:rsid w:val="082955EA"/>
    <w:rsid w:val="082E5202"/>
    <w:rsid w:val="0902761A"/>
    <w:rsid w:val="09265C71"/>
    <w:rsid w:val="093C5DD0"/>
    <w:rsid w:val="094E6960"/>
    <w:rsid w:val="09AE117A"/>
    <w:rsid w:val="09B2776D"/>
    <w:rsid w:val="09D41DD9"/>
    <w:rsid w:val="0A006E13"/>
    <w:rsid w:val="0A081A83"/>
    <w:rsid w:val="0A110454"/>
    <w:rsid w:val="0A1E592A"/>
    <w:rsid w:val="0A434869"/>
    <w:rsid w:val="0A501EB2"/>
    <w:rsid w:val="0ABD3FEB"/>
    <w:rsid w:val="0ABF65E6"/>
    <w:rsid w:val="0AC21C32"/>
    <w:rsid w:val="0AE05D10"/>
    <w:rsid w:val="0AE73D3D"/>
    <w:rsid w:val="0AEB73DB"/>
    <w:rsid w:val="0AF01532"/>
    <w:rsid w:val="0B1D1790"/>
    <w:rsid w:val="0B223F5E"/>
    <w:rsid w:val="0B377B84"/>
    <w:rsid w:val="0B3F07B5"/>
    <w:rsid w:val="0B3F14D4"/>
    <w:rsid w:val="0B516277"/>
    <w:rsid w:val="0B6F65A7"/>
    <w:rsid w:val="0B9E6878"/>
    <w:rsid w:val="0BA227B9"/>
    <w:rsid w:val="0BAB300E"/>
    <w:rsid w:val="0BC107F1"/>
    <w:rsid w:val="0BC2708B"/>
    <w:rsid w:val="0BDB0827"/>
    <w:rsid w:val="0C00261C"/>
    <w:rsid w:val="0C272694"/>
    <w:rsid w:val="0C2D4524"/>
    <w:rsid w:val="0C346CD5"/>
    <w:rsid w:val="0C5D3306"/>
    <w:rsid w:val="0C8A2C23"/>
    <w:rsid w:val="0CC4108F"/>
    <w:rsid w:val="0CCE2B10"/>
    <w:rsid w:val="0CD8573D"/>
    <w:rsid w:val="0CEB1914"/>
    <w:rsid w:val="0D2C755F"/>
    <w:rsid w:val="0D7C6746"/>
    <w:rsid w:val="0DA03BB0"/>
    <w:rsid w:val="0DAA3703"/>
    <w:rsid w:val="0DB4006C"/>
    <w:rsid w:val="0DC90A30"/>
    <w:rsid w:val="0DD43C94"/>
    <w:rsid w:val="0DE02F79"/>
    <w:rsid w:val="0DEC25B4"/>
    <w:rsid w:val="0E045EB5"/>
    <w:rsid w:val="0E050854"/>
    <w:rsid w:val="0E0D1416"/>
    <w:rsid w:val="0E0D6E14"/>
    <w:rsid w:val="0E212105"/>
    <w:rsid w:val="0E630C8D"/>
    <w:rsid w:val="0E8058A5"/>
    <w:rsid w:val="0E820056"/>
    <w:rsid w:val="0E835B7C"/>
    <w:rsid w:val="0E8B3360"/>
    <w:rsid w:val="0EB813F3"/>
    <w:rsid w:val="0ED47CF9"/>
    <w:rsid w:val="0EEE3021"/>
    <w:rsid w:val="0EF84FF9"/>
    <w:rsid w:val="0F49275C"/>
    <w:rsid w:val="0F544ED4"/>
    <w:rsid w:val="0F607BC5"/>
    <w:rsid w:val="0F8301FC"/>
    <w:rsid w:val="0F845BBD"/>
    <w:rsid w:val="0F865924"/>
    <w:rsid w:val="0F966AA7"/>
    <w:rsid w:val="0F9AB67E"/>
    <w:rsid w:val="0F9F59F2"/>
    <w:rsid w:val="0FB51E79"/>
    <w:rsid w:val="0FC31AD0"/>
    <w:rsid w:val="0FC701CC"/>
    <w:rsid w:val="0FCF7213"/>
    <w:rsid w:val="0FD034AD"/>
    <w:rsid w:val="10201905"/>
    <w:rsid w:val="102063D7"/>
    <w:rsid w:val="102D1FB1"/>
    <w:rsid w:val="10404FEB"/>
    <w:rsid w:val="10482BD9"/>
    <w:rsid w:val="10594DE6"/>
    <w:rsid w:val="10822DC2"/>
    <w:rsid w:val="10887B8E"/>
    <w:rsid w:val="10DA0BD4"/>
    <w:rsid w:val="10E741A0"/>
    <w:rsid w:val="112462F7"/>
    <w:rsid w:val="11270A41"/>
    <w:rsid w:val="11277726"/>
    <w:rsid w:val="113F765C"/>
    <w:rsid w:val="11622299"/>
    <w:rsid w:val="116F1FE7"/>
    <w:rsid w:val="117A14B8"/>
    <w:rsid w:val="118220FF"/>
    <w:rsid w:val="11824454"/>
    <w:rsid w:val="11836D8B"/>
    <w:rsid w:val="119249FF"/>
    <w:rsid w:val="11CC5D76"/>
    <w:rsid w:val="11E8345F"/>
    <w:rsid w:val="11F12C8D"/>
    <w:rsid w:val="12006CD0"/>
    <w:rsid w:val="122D0EE4"/>
    <w:rsid w:val="123A0C48"/>
    <w:rsid w:val="12412DBB"/>
    <w:rsid w:val="125053DB"/>
    <w:rsid w:val="126D6B56"/>
    <w:rsid w:val="126F7F9B"/>
    <w:rsid w:val="12765A51"/>
    <w:rsid w:val="12845CEE"/>
    <w:rsid w:val="12B6492D"/>
    <w:rsid w:val="12D90460"/>
    <w:rsid w:val="13054434"/>
    <w:rsid w:val="131A2471"/>
    <w:rsid w:val="1324713C"/>
    <w:rsid w:val="133248CD"/>
    <w:rsid w:val="134F73A9"/>
    <w:rsid w:val="135022DF"/>
    <w:rsid w:val="13574150"/>
    <w:rsid w:val="136A369D"/>
    <w:rsid w:val="136E1EB0"/>
    <w:rsid w:val="138379CA"/>
    <w:rsid w:val="13887B1A"/>
    <w:rsid w:val="138C145B"/>
    <w:rsid w:val="139C5399"/>
    <w:rsid w:val="13A91BE1"/>
    <w:rsid w:val="13D91DB3"/>
    <w:rsid w:val="13E23345"/>
    <w:rsid w:val="13E73975"/>
    <w:rsid w:val="13F34719"/>
    <w:rsid w:val="14381834"/>
    <w:rsid w:val="1441006B"/>
    <w:rsid w:val="1446713C"/>
    <w:rsid w:val="149838F9"/>
    <w:rsid w:val="14E1184E"/>
    <w:rsid w:val="14F0383F"/>
    <w:rsid w:val="1518718D"/>
    <w:rsid w:val="151E5632"/>
    <w:rsid w:val="15576C5E"/>
    <w:rsid w:val="15576D89"/>
    <w:rsid w:val="15593257"/>
    <w:rsid w:val="15673B9E"/>
    <w:rsid w:val="15A72150"/>
    <w:rsid w:val="15B40BD9"/>
    <w:rsid w:val="15B62060"/>
    <w:rsid w:val="15C31776"/>
    <w:rsid w:val="15E42563"/>
    <w:rsid w:val="15F576BF"/>
    <w:rsid w:val="162138DB"/>
    <w:rsid w:val="163B4170"/>
    <w:rsid w:val="163F05DA"/>
    <w:rsid w:val="164D6F43"/>
    <w:rsid w:val="165D4B9C"/>
    <w:rsid w:val="168712EB"/>
    <w:rsid w:val="16B6527D"/>
    <w:rsid w:val="16C16063"/>
    <w:rsid w:val="16C45EA0"/>
    <w:rsid w:val="16CD1DD6"/>
    <w:rsid w:val="16D213A0"/>
    <w:rsid w:val="16D332EA"/>
    <w:rsid w:val="16F413C5"/>
    <w:rsid w:val="171C0DC5"/>
    <w:rsid w:val="174470DE"/>
    <w:rsid w:val="174B779D"/>
    <w:rsid w:val="175E1D7D"/>
    <w:rsid w:val="17667BD1"/>
    <w:rsid w:val="179130B8"/>
    <w:rsid w:val="1798732B"/>
    <w:rsid w:val="17F72EC1"/>
    <w:rsid w:val="180F57CB"/>
    <w:rsid w:val="183028D1"/>
    <w:rsid w:val="1838406B"/>
    <w:rsid w:val="184B1CC6"/>
    <w:rsid w:val="18583EDB"/>
    <w:rsid w:val="1889564E"/>
    <w:rsid w:val="18991284"/>
    <w:rsid w:val="18A61AA4"/>
    <w:rsid w:val="18B260CD"/>
    <w:rsid w:val="18CD3425"/>
    <w:rsid w:val="18CE7A28"/>
    <w:rsid w:val="18F63253"/>
    <w:rsid w:val="18FC6C57"/>
    <w:rsid w:val="19786484"/>
    <w:rsid w:val="19A30E80"/>
    <w:rsid w:val="19DC4EB3"/>
    <w:rsid w:val="19DD152E"/>
    <w:rsid w:val="19DE010A"/>
    <w:rsid w:val="19EF4C6B"/>
    <w:rsid w:val="19FA4659"/>
    <w:rsid w:val="19FE618D"/>
    <w:rsid w:val="1A070E2D"/>
    <w:rsid w:val="1A105E56"/>
    <w:rsid w:val="1A18186E"/>
    <w:rsid w:val="1A3125E6"/>
    <w:rsid w:val="1A4E137A"/>
    <w:rsid w:val="1A705206"/>
    <w:rsid w:val="1AD5150D"/>
    <w:rsid w:val="1ADE2DF7"/>
    <w:rsid w:val="1AEE1B2B"/>
    <w:rsid w:val="1B0622D2"/>
    <w:rsid w:val="1B2466F8"/>
    <w:rsid w:val="1B3E33D7"/>
    <w:rsid w:val="1B4F12C0"/>
    <w:rsid w:val="1B580E24"/>
    <w:rsid w:val="1B767C15"/>
    <w:rsid w:val="1B8F4F76"/>
    <w:rsid w:val="1B8F5B60"/>
    <w:rsid w:val="1BA01D08"/>
    <w:rsid w:val="1BD15C82"/>
    <w:rsid w:val="1BE85270"/>
    <w:rsid w:val="1BEF5A50"/>
    <w:rsid w:val="1C0874AD"/>
    <w:rsid w:val="1C2B49A5"/>
    <w:rsid w:val="1C4C57FF"/>
    <w:rsid w:val="1C714CD1"/>
    <w:rsid w:val="1C7F5BD5"/>
    <w:rsid w:val="1CD70325"/>
    <w:rsid w:val="1CDB6C52"/>
    <w:rsid w:val="1CED2B6F"/>
    <w:rsid w:val="1D1327C1"/>
    <w:rsid w:val="1D142311"/>
    <w:rsid w:val="1D4719A5"/>
    <w:rsid w:val="1D4C6F21"/>
    <w:rsid w:val="1D512D1E"/>
    <w:rsid w:val="1D6E5E37"/>
    <w:rsid w:val="1D6E705D"/>
    <w:rsid w:val="1D725739"/>
    <w:rsid w:val="1D9672F9"/>
    <w:rsid w:val="1DAD6772"/>
    <w:rsid w:val="1DB529B9"/>
    <w:rsid w:val="1DC07467"/>
    <w:rsid w:val="1DC75A85"/>
    <w:rsid w:val="1DDA6E3B"/>
    <w:rsid w:val="1DFB85EB"/>
    <w:rsid w:val="1E101810"/>
    <w:rsid w:val="1E117292"/>
    <w:rsid w:val="1E3D171A"/>
    <w:rsid w:val="1E7F382A"/>
    <w:rsid w:val="1E8F1B36"/>
    <w:rsid w:val="1E94566C"/>
    <w:rsid w:val="1EAC6A29"/>
    <w:rsid w:val="1EB74AAA"/>
    <w:rsid w:val="1ED625B8"/>
    <w:rsid w:val="1EDB10BC"/>
    <w:rsid w:val="1EEF1BA1"/>
    <w:rsid w:val="1EFC205F"/>
    <w:rsid w:val="1F0771F7"/>
    <w:rsid w:val="1F1E7802"/>
    <w:rsid w:val="1F2146C0"/>
    <w:rsid w:val="1F51312D"/>
    <w:rsid w:val="1F624B83"/>
    <w:rsid w:val="1F7E7E40"/>
    <w:rsid w:val="1F94409F"/>
    <w:rsid w:val="1F9A5250"/>
    <w:rsid w:val="1FEF3077"/>
    <w:rsid w:val="1FEF6C4D"/>
    <w:rsid w:val="1FF740BE"/>
    <w:rsid w:val="1FFE1506"/>
    <w:rsid w:val="200D34F7"/>
    <w:rsid w:val="201663EE"/>
    <w:rsid w:val="20233F4B"/>
    <w:rsid w:val="20390771"/>
    <w:rsid w:val="203B0A73"/>
    <w:rsid w:val="203C7744"/>
    <w:rsid w:val="20560C4F"/>
    <w:rsid w:val="20612886"/>
    <w:rsid w:val="206E7688"/>
    <w:rsid w:val="2070469B"/>
    <w:rsid w:val="207C47A5"/>
    <w:rsid w:val="20895DCF"/>
    <w:rsid w:val="20984AB2"/>
    <w:rsid w:val="209B6D55"/>
    <w:rsid w:val="20B96BBD"/>
    <w:rsid w:val="20C35B54"/>
    <w:rsid w:val="20DD58CF"/>
    <w:rsid w:val="211A20DA"/>
    <w:rsid w:val="213827F6"/>
    <w:rsid w:val="21405FF1"/>
    <w:rsid w:val="214B42D7"/>
    <w:rsid w:val="21595753"/>
    <w:rsid w:val="21620A97"/>
    <w:rsid w:val="21724760"/>
    <w:rsid w:val="218F1C1F"/>
    <w:rsid w:val="21A47D3B"/>
    <w:rsid w:val="21AA5BD4"/>
    <w:rsid w:val="21BF6B21"/>
    <w:rsid w:val="21F032CF"/>
    <w:rsid w:val="21FF50C2"/>
    <w:rsid w:val="220B7F0B"/>
    <w:rsid w:val="22150959"/>
    <w:rsid w:val="222F29DA"/>
    <w:rsid w:val="224D407F"/>
    <w:rsid w:val="225C2514"/>
    <w:rsid w:val="22663C78"/>
    <w:rsid w:val="226E6C7B"/>
    <w:rsid w:val="228566B0"/>
    <w:rsid w:val="22872C64"/>
    <w:rsid w:val="228D26CE"/>
    <w:rsid w:val="228D4CD1"/>
    <w:rsid w:val="22B42350"/>
    <w:rsid w:val="22D476BC"/>
    <w:rsid w:val="22D5028F"/>
    <w:rsid w:val="22DA0542"/>
    <w:rsid w:val="22E456BE"/>
    <w:rsid w:val="22EC1AEA"/>
    <w:rsid w:val="22F17100"/>
    <w:rsid w:val="23007343"/>
    <w:rsid w:val="23084464"/>
    <w:rsid w:val="232A03B4"/>
    <w:rsid w:val="233C7D35"/>
    <w:rsid w:val="23660BFE"/>
    <w:rsid w:val="239006C7"/>
    <w:rsid w:val="239C22E4"/>
    <w:rsid w:val="23BB7575"/>
    <w:rsid w:val="23D16DD0"/>
    <w:rsid w:val="23D86E7F"/>
    <w:rsid w:val="23E97DD8"/>
    <w:rsid w:val="242B0644"/>
    <w:rsid w:val="245B58BB"/>
    <w:rsid w:val="246625A6"/>
    <w:rsid w:val="2472601F"/>
    <w:rsid w:val="24852FDF"/>
    <w:rsid w:val="24883D5B"/>
    <w:rsid w:val="24B104D3"/>
    <w:rsid w:val="24E214CA"/>
    <w:rsid w:val="24E513CA"/>
    <w:rsid w:val="2500187D"/>
    <w:rsid w:val="251F7416"/>
    <w:rsid w:val="25264EC9"/>
    <w:rsid w:val="255A5078"/>
    <w:rsid w:val="25785426"/>
    <w:rsid w:val="25835C5C"/>
    <w:rsid w:val="25CA3D5E"/>
    <w:rsid w:val="25D520E7"/>
    <w:rsid w:val="25EE27FC"/>
    <w:rsid w:val="25F211C5"/>
    <w:rsid w:val="261824A5"/>
    <w:rsid w:val="261A516A"/>
    <w:rsid w:val="261B6A2A"/>
    <w:rsid w:val="26330B38"/>
    <w:rsid w:val="263F77C2"/>
    <w:rsid w:val="26423F3A"/>
    <w:rsid w:val="26613127"/>
    <w:rsid w:val="266F5CDB"/>
    <w:rsid w:val="26766950"/>
    <w:rsid w:val="268523B3"/>
    <w:rsid w:val="26C46A0E"/>
    <w:rsid w:val="26C519B4"/>
    <w:rsid w:val="26DD567E"/>
    <w:rsid w:val="26E631BF"/>
    <w:rsid w:val="26EB0063"/>
    <w:rsid w:val="26F30182"/>
    <w:rsid w:val="271B2F5C"/>
    <w:rsid w:val="273F3E41"/>
    <w:rsid w:val="27443BCB"/>
    <w:rsid w:val="274E0327"/>
    <w:rsid w:val="275C6D8B"/>
    <w:rsid w:val="27615D27"/>
    <w:rsid w:val="27800A53"/>
    <w:rsid w:val="278134D9"/>
    <w:rsid w:val="27986E44"/>
    <w:rsid w:val="279D33B3"/>
    <w:rsid w:val="27B506FD"/>
    <w:rsid w:val="27B65A7F"/>
    <w:rsid w:val="27B939DB"/>
    <w:rsid w:val="27C44DE4"/>
    <w:rsid w:val="27E4318E"/>
    <w:rsid w:val="28017727"/>
    <w:rsid w:val="28255686"/>
    <w:rsid w:val="28657B53"/>
    <w:rsid w:val="286E44EB"/>
    <w:rsid w:val="288153E5"/>
    <w:rsid w:val="28B21072"/>
    <w:rsid w:val="28D177B8"/>
    <w:rsid w:val="28D80FDD"/>
    <w:rsid w:val="28F82606"/>
    <w:rsid w:val="290744F5"/>
    <w:rsid w:val="292627FB"/>
    <w:rsid w:val="293E4205"/>
    <w:rsid w:val="293F13E5"/>
    <w:rsid w:val="294855A0"/>
    <w:rsid w:val="29987C8B"/>
    <w:rsid w:val="29B04CB2"/>
    <w:rsid w:val="29B50C8E"/>
    <w:rsid w:val="29F3629E"/>
    <w:rsid w:val="29F61C8D"/>
    <w:rsid w:val="29F6226D"/>
    <w:rsid w:val="29FA485E"/>
    <w:rsid w:val="2A037BA7"/>
    <w:rsid w:val="2A215A22"/>
    <w:rsid w:val="2A6546BA"/>
    <w:rsid w:val="2A673975"/>
    <w:rsid w:val="2A952141"/>
    <w:rsid w:val="2AAB6548"/>
    <w:rsid w:val="2AB9534A"/>
    <w:rsid w:val="2AF059A0"/>
    <w:rsid w:val="2B082E10"/>
    <w:rsid w:val="2B4972E0"/>
    <w:rsid w:val="2B5B15BB"/>
    <w:rsid w:val="2B5E554F"/>
    <w:rsid w:val="2BA237BB"/>
    <w:rsid w:val="2BF431E4"/>
    <w:rsid w:val="2C131E96"/>
    <w:rsid w:val="2C3E7B1B"/>
    <w:rsid w:val="2C4402A1"/>
    <w:rsid w:val="2C5410A9"/>
    <w:rsid w:val="2C5865F5"/>
    <w:rsid w:val="2C86763E"/>
    <w:rsid w:val="2CC8199F"/>
    <w:rsid w:val="2CD535EF"/>
    <w:rsid w:val="2CFE722F"/>
    <w:rsid w:val="2D095047"/>
    <w:rsid w:val="2D0D234A"/>
    <w:rsid w:val="2D197980"/>
    <w:rsid w:val="2D1A6E01"/>
    <w:rsid w:val="2D390658"/>
    <w:rsid w:val="2D673926"/>
    <w:rsid w:val="2D856DC3"/>
    <w:rsid w:val="2D917516"/>
    <w:rsid w:val="2D9575D2"/>
    <w:rsid w:val="2DA0064E"/>
    <w:rsid w:val="2DA57073"/>
    <w:rsid w:val="2DB26FA3"/>
    <w:rsid w:val="2DBA4B19"/>
    <w:rsid w:val="2DBD030B"/>
    <w:rsid w:val="2DC20107"/>
    <w:rsid w:val="2DDB2D8F"/>
    <w:rsid w:val="2DEF616B"/>
    <w:rsid w:val="2DF91678"/>
    <w:rsid w:val="2E0E6DB8"/>
    <w:rsid w:val="2E5549E7"/>
    <w:rsid w:val="2E8A57EA"/>
    <w:rsid w:val="2EAE0778"/>
    <w:rsid w:val="2EB0608E"/>
    <w:rsid w:val="2ECD02F9"/>
    <w:rsid w:val="2ED1226E"/>
    <w:rsid w:val="2EED6F38"/>
    <w:rsid w:val="2EFC4E63"/>
    <w:rsid w:val="2F0A6F2F"/>
    <w:rsid w:val="2F5471D3"/>
    <w:rsid w:val="2F582F0E"/>
    <w:rsid w:val="2F6C13FB"/>
    <w:rsid w:val="2F7A6629"/>
    <w:rsid w:val="2F8F6BD6"/>
    <w:rsid w:val="2FA71273"/>
    <w:rsid w:val="2FB24A39"/>
    <w:rsid w:val="2FB95A0F"/>
    <w:rsid w:val="2FBA1F05"/>
    <w:rsid w:val="2FD45DE0"/>
    <w:rsid w:val="2FD95DA2"/>
    <w:rsid w:val="2FDD2EE6"/>
    <w:rsid w:val="2FDDFE40"/>
    <w:rsid w:val="2FE87A0C"/>
    <w:rsid w:val="300334A5"/>
    <w:rsid w:val="300D26EF"/>
    <w:rsid w:val="30176910"/>
    <w:rsid w:val="3022722A"/>
    <w:rsid w:val="30474804"/>
    <w:rsid w:val="306432C8"/>
    <w:rsid w:val="306C7DC6"/>
    <w:rsid w:val="30760C45"/>
    <w:rsid w:val="307E222F"/>
    <w:rsid w:val="30944AAF"/>
    <w:rsid w:val="309F7453"/>
    <w:rsid w:val="30AE7629"/>
    <w:rsid w:val="30B2336E"/>
    <w:rsid w:val="30E07EBD"/>
    <w:rsid w:val="30E16A06"/>
    <w:rsid w:val="30F545DF"/>
    <w:rsid w:val="3106436E"/>
    <w:rsid w:val="31307B27"/>
    <w:rsid w:val="314561AA"/>
    <w:rsid w:val="314F1BC2"/>
    <w:rsid w:val="317233D7"/>
    <w:rsid w:val="317834F0"/>
    <w:rsid w:val="317C0CB2"/>
    <w:rsid w:val="318410A8"/>
    <w:rsid w:val="31866A5D"/>
    <w:rsid w:val="32116E77"/>
    <w:rsid w:val="3212617B"/>
    <w:rsid w:val="32162C42"/>
    <w:rsid w:val="321921D0"/>
    <w:rsid w:val="32214C55"/>
    <w:rsid w:val="3256363B"/>
    <w:rsid w:val="326174EA"/>
    <w:rsid w:val="326E3016"/>
    <w:rsid w:val="328C5C67"/>
    <w:rsid w:val="329462E9"/>
    <w:rsid w:val="32987720"/>
    <w:rsid w:val="32A63A63"/>
    <w:rsid w:val="32B475E9"/>
    <w:rsid w:val="32BB522C"/>
    <w:rsid w:val="32D57EA5"/>
    <w:rsid w:val="32FF4F22"/>
    <w:rsid w:val="33207CB0"/>
    <w:rsid w:val="33456489"/>
    <w:rsid w:val="3365051E"/>
    <w:rsid w:val="336B25B7"/>
    <w:rsid w:val="33754121"/>
    <w:rsid w:val="338055DE"/>
    <w:rsid w:val="33A570EA"/>
    <w:rsid w:val="33AB1655"/>
    <w:rsid w:val="33AB32FB"/>
    <w:rsid w:val="33E706C5"/>
    <w:rsid w:val="347215D2"/>
    <w:rsid w:val="34750972"/>
    <w:rsid w:val="348A4CBF"/>
    <w:rsid w:val="348F6779"/>
    <w:rsid w:val="34BC1492"/>
    <w:rsid w:val="34D22E80"/>
    <w:rsid w:val="34D25718"/>
    <w:rsid w:val="34D426AD"/>
    <w:rsid w:val="34E91A47"/>
    <w:rsid w:val="350534CC"/>
    <w:rsid w:val="35306ECC"/>
    <w:rsid w:val="35450AD1"/>
    <w:rsid w:val="356D703C"/>
    <w:rsid w:val="357C3CF3"/>
    <w:rsid w:val="35970C6A"/>
    <w:rsid w:val="35A2317E"/>
    <w:rsid w:val="35B50859"/>
    <w:rsid w:val="35D75B1A"/>
    <w:rsid w:val="35D9086D"/>
    <w:rsid w:val="35EF256E"/>
    <w:rsid w:val="36056CF3"/>
    <w:rsid w:val="360E16A3"/>
    <w:rsid w:val="361E7DB5"/>
    <w:rsid w:val="36255394"/>
    <w:rsid w:val="36264CB5"/>
    <w:rsid w:val="36370FE2"/>
    <w:rsid w:val="3639169E"/>
    <w:rsid w:val="366C52F8"/>
    <w:rsid w:val="366E68DA"/>
    <w:rsid w:val="36837253"/>
    <w:rsid w:val="369E0E38"/>
    <w:rsid w:val="36A4521C"/>
    <w:rsid w:val="36C24CAE"/>
    <w:rsid w:val="36D112D0"/>
    <w:rsid w:val="36F01482"/>
    <w:rsid w:val="3709296B"/>
    <w:rsid w:val="372D4C9E"/>
    <w:rsid w:val="3744384B"/>
    <w:rsid w:val="37620B66"/>
    <w:rsid w:val="377C1237"/>
    <w:rsid w:val="379FFB53"/>
    <w:rsid w:val="37C624B2"/>
    <w:rsid w:val="37C83693"/>
    <w:rsid w:val="37D63CC9"/>
    <w:rsid w:val="37D67BAB"/>
    <w:rsid w:val="37E36358"/>
    <w:rsid w:val="37F012DD"/>
    <w:rsid w:val="380B25BB"/>
    <w:rsid w:val="381674C3"/>
    <w:rsid w:val="38170FC9"/>
    <w:rsid w:val="381D41D2"/>
    <w:rsid w:val="382D42DF"/>
    <w:rsid w:val="383E4FAE"/>
    <w:rsid w:val="384173E1"/>
    <w:rsid w:val="385446F7"/>
    <w:rsid w:val="385B709E"/>
    <w:rsid w:val="385F270A"/>
    <w:rsid w:val="388B2A86"/>
    <w:rsid w:val="38D797C1"/>
    <w:rsid w:val="38D860CF"/>
    <w:rsid w:val="38E1789E"/>
    <w:rsid w:val="38EF1594"/>
    <w:rsid w:val="39167469"/>
    <w:rsid w:val="391A42AB"/>
    <w:rsid w:val="39346115"/>
    <w:rsid w:val="393E2994"/>
    <w:rsid w:val="3946592E"/>
    <w:rsid w:val="39517490"/>
    <w:rsid w:val="39C83E06"/>
    <w:rsid w:val="39F96B6F"/>
    <w:rsid w:val="3A050D00"/>
    <w:rsid w:val="3A0D6176"/>
    <w:rsid w:val="3A1F054B"/>
    <w:rsid w:val="3A317EC2"/>
    <w:rsid w:val="3A391637"/>
    <w:rsid w:val="3A3D0CE0"/>
    <w:rsid w:val="3A5C5927"/>
    <w:rsid w:val="3A9200D4"/>
    <w:rsid w:val="3AB02BC3"/>
    <w:rsid w:val="3ACD6A31"/>
    <w:rsid w:val="3AD46C94"/>
    <w:rsid w:val="3AD60D98"/>
    <w:rsid w:val="3AD65514"/>
    <w:rsid w:val="3B141AA0"/>
    <w:rsid w:val="3B5411CA"/>
    <w:rsid w:val="3B6C15C2"/>
    <w:rsid w:val="3B7473C4"/>
    <w:rsid w:val="3B7BEFB4"/>
    <w:rsid w:val="3B9E4F5D"/>
    <w:rsid w:val="3BBD3900"/>
    <w:rsid w:val="3BF0078A"/>
    <w:rsid w:val="3BF55114"/>
    <w:rsid w:val="3C3B30EA"/>
    <w:rsid w:val="3C3B6F53"/>
    <w:rsid w:val="3C446D23"/>
    <w:rsid w:val="3C53013A"/>
    <w:rsid w:val="3C6109FB"/>
    <w:rsid w:val="3CAB0685"/>
    <w:rsid w:val="3CB44AA5"/>
    <w:rsid w:val="3CC15711"/>
    <w:rsid w:val="3CDB68FD"/>
    <w:rsid w:val="3CE40C76"/>
    <w:rsid w:val="3CF17FD1"/>
    <w:rsid w:val="3CFE568C"/>
    <w:rsid w:val="3D176BBE"/>
    <w:rsid w:val="3D32644F"/>
    <w:rsid w:val="3D4000E7"/>
    <w:rsid w:val="3D474C1D"/>
    <w:rsid w:val="3D862BD3"/>
    <w:rsid w:val="3D94095C"/>
    <w:rsid w:val="3D996C84"/>
    <w:rsid w:val="3DA41592"/>
    <w:rsid w:val="3DAD7684"/>
    <w:rsid w:val="3DB31485"/>
    <w:rsid w:val="3DD51AD0"/>
    <w:rsid w:val="3DD814E4"/>
    <w:rsid w:val="3DFF2A0B"/>
    <w:rsid w:val="3E1D0A01"/>
    <w:rsid w:val="3E2B7C3B"/>
    <w:rsid w:val="3E301C1B"/>
    <w:rsid w:val="3E7FB261"/>
    <w:rsid w:val="3EA01C3B"/>
    <w:rsid w:val="3EA6303D"/>
    <w:rsid w:val="3EBE0387"/>
    <w:rsid w:val="3EDE6333"/>
    <w:rsid w:val="3EE2618D"/>
    <w:rsid w:val="3F083BC8"/>
    <w:rsid w:val="3F1D36D9"/>
    <w:rsid w:val="3F2D0C52"/>
    <w:rsid w:val="3F4168C2"/>
    <w:rsid w:val="3F4A4C2B"/>
    <w:rsid w:val="3F5A25DB"/>
    <w:rsid w:val="3F631549"/>
    <w:rsid w:val="3F637988"/>
    <w:rsid w:val="3F6444F8"/>
    <w:rsid w:val="3F780536"/>
    <w:rsid w:val="3F88245F"/>
    <w:rsid w:val="3FA0183A"/>
    <w:rsid w:val="3FB663CA"/>
    <w:rsid w:val="3FC72CB2"/>
    <w:rsid w:val="3FD03DC8"/>
    <w:rsid w:val="3FE5469F"/>
    <w:rsid w:val="3FEC4A80"/>
    <w:rsid w:val="401144C1"/>
    <w:rsid w:val="4028190D"/>
    <w:rsid w:val="40405602"/>
    <w:rsid w:val="40417769"/>
    <w:rsid w:val="404E1D8E"/>
    <w:rsid w:val="4051567B"/>
    <w:rsid w:val="406A0907"/>
    <w:rsid w:val="40802832"/>
    <w:rsid w:val="40833F34"/>
    <w:rsid w:val="40A05A6B"/>
    <w:rsid w:val="40BD6BEA"/>
    <w:rsid w:val="40DB4E75"/>
    <w:rsid w:val="41160006"/>
    <w:rsid w:val="412D4EF1"/>
    <w:rsid w:val="41713AE5"/>
    <w:rsid w:val="41A01FC6"/>
    <w:rsid w:val="41B36C7A"/>
    <w:rsid w:val="41C51A2C"/>
    <w:rsid w:val="41DC4AF9"/>
    <w:rsid w:val="421E5E67"/>
    <w:rsid w:val="422229DB"/>
    <w:rsid w:val="42712BAD"/>
    <w:rsid w:val="42721E86"/>
    <w:rsid w:val="4278084D"/>
    <w:rsid w:val="427A6CFD"/>
    <w:rsid w:val="427F1372"/>
    <w:rsid w:val="428D706C"/>
    <w:rsid w:val="429F2D3C"/>
    <w:rsid w:val="42CD6DEA"/>
    <w:rsid w:val="43327A70"/>
    <w:rsid w:val="435C27E0"/>
    <w:rsid w:val="439D4A0F"/>
    <w:rsid w:val="439E0494"/>
    <w:rsid w:val="43D877F5"/>
    <w:rsid w:val="43E46153"/>
    <w:rsid w:val="43F839F3"/>
    <w:rsid w:val="43FD035C"/>
    <w:rsid w:val="44022AC4"/>
    <w:rsid w:val="44444228"/>
    <w:rsid w:val="44466E49"/>
    <w:rsid w:val="445448B1"/>
    <w:rsid w:val="44727456"/>
    <w:rsid w:val="44E1493B"/>
    <w:rsid w:val="4532584D"/>
    <w:rsid w:val="453A43EC"/>
    <w:rsid w:val="45646CAE"/>
    <w:rsid w:val="458A1D10"/>
    <w:rsid w:val="45980880"/>
    <w:rsid w:val="45AD2F03"/>
    <w:rsid w:val="45D46970"/>
    <w:rsid w:val="45DD1728"/>
    <w:rsid w:val="45DE4E6B"/>
    <w:rsid w:val="45E135D9"/>
    <w:rsid w:val="45EE0881"/>
    <w:rsid w:val="45F65982"/>
    <w:rsid w:val="45F909A6"/>
    <w:rsid w:val="460A2104"/>
    <w:rsid w:val="462C1245"/>
    <w:rsid w:val="46305F80"/>
    <w:rsid w:val="46353FF7"/>
    <w:rsid w:val="46511AE0"/>
    <w:rsid w:val="465515D1"/>
    <w:rsid w:val="468B18EA"/>
    <w:rsid w:val="46984D5B"/>
    <w:rsid w:val="46C5140C"/>
    <w:rsid w:val="46D92046"/>
    <w:rsid w:val="46E00242"/>
    <w:rsid w:val="46F92614"/>
    <w:rsid w:val="47096E18"/>
    <w:rsid w:val="47124C99"/>
    <w:rsid w:val="4736440B"/>
    <w:rsid w:val="473F7B8B"/>
    <w:rsid w:val="475E35ED"/>
    <w:rsid w:val="47680E90"/>
    <w:rsid w:val="477C3C98"/>
    <w:rsid w:val="478A262B"/>
    <w:rsid w:val="47972C3C"/>
    <w:rsid w:val="47A45B98"/>
    <w:rsid w:val="47D44777"/>
    <w:rsid w:val="47E55EAB"/>
    <w:rsid w:val="47E61C19"/>
    <w:rsid w:val="47F9440D"/>
    <w:rsid w:val="48152E32"/>
    <w:rsid w:val="482574A3"/>
    <w:rsid w:val="48317564"/>
    <w:rsid w:val="48B4259D"/>
    <w:rsid w:val="48D7509D"/>
    <w:rsid w:val="48DD78D4"/>
    <w:rsid w:val="48E2740B"/>
    <w:rsid w:val="48F0738F"/>
    <w:rsid w:val="49090450"/>
    <w:rsid w:val="49137521"/>
    <w:rsid w:val="4922042F"/>
    <w:rsid w:val="49243EF5"/>
    <w:rsid w:val="49330CDB"/>
    <w:rsid w:val="493D755D"/>
    <w:rsid w:val="49475F7C"/>
    <w:rsid w:val="498C1534"/>
    <w:rsid w:val="49C16F7D"/>
    <w:rsid w:val="49CF34AF"/>
    <w:rsid w:val="4A0B1FA6"/>
    <w:rsid w:val="4A0F0FD3"/>
    <w:rsid w:val="4A1D530D"/>
    <w:rsid w:val="4A462DD1"/>
    <w:rsid w:val="4A8E66BE"/>
    <w:rsid w:val="4A946440"/>
    <w:rsid w:val="4A9B48C7"/>
    <w:rsid w:val="4AA372BF"/>
    <w:rsid w:val="4AB91711"/>
    <w:rsid w:val="4ACC3698"/>
    <w:rsid w:val="4ADD6580"/>
    <w:rsid w:val="4ADE1F0D"/>
    <w:rsid w:val="4AE922E8"/>
    <w:rsid w:val="4AED6CDF"/>
    <w:rsid w:val="4AEF630A"/>
    <w:rsid w:val="4B2561DE"/>
    <w:rsid w:val="4B49547C"/>
    <w:rsid w:val="4B4A7288"/>
    <w:rsid w:val="4B516E4A"/>
    <w:rsid w:val="4B522934"/>
    <w:rsid w:val="4B5C0835"/>
    <w:rsid w:val="4B5E4766"/>
    <w:rsid w:val="4B81739D"/>
    <w:rsid w:val="4B86222C"/>
    <w:rsid w:val="4BAD5069"/>
    <w:rsid w:val="4BBB3EC5"/>
    <w:rsid w:val="4BC114B6"/>
    <w:rsid w:val="4BD81B38"/>
    <w:rsid w:val="4BE05945"/>
    <w:rsid w:val="4BE170AE"/>
    <w:rsid w:val="4BF21AF1"/>
    <w:rsid w:val="4BFE077F"/>
    <w:rsid w:val="4BFF6182"/>
    <w:rsid w:val="4C282097"/>
    <w:rsid w:val="4C406D41"/>
    <w:rsid w:val="4C5B5467"/>
    <w:rsid w:val="4C5B660D"/>
    <w:rsid w:val="4C5C1EB7"/>
    <w:rsid w:val="4C8973AD"/>
    <w:rsid w:val="4CC25774"/>
    <w:rsid w:val="4CC3305C"/>
    <w:rsid w:val="4CDF556E"/>
    <w:rsid w:val="4CEC58CD"/>
    <w:rsid w:val="4CF457E6"/>
    <w:rsid w:val="4CFB40DB"/>
    <w:rsid w:val="4D3857A8"/>
    <w:rsid w:val="4D3B200D"/>
    <w:rsid w:val="4D550108"/>
    <w:rsid w:val="4D8F3F08"/>
    <w:rsid w:val="4D906D39"/>
    <w:rsid w:val="4D935553"/>
    <w:rsid w:val="4D97427D"/>
    <w:rsid w:val="4DC57A0D"/>
    <w:rsid w:val="4DF87831"/>
    <w:rsid w:val="4E1E1E00"/>
    <w:rsid w:val="4E202C93"/>
    <w:rsid w:val="4E227669"/>
    <w:rsid w:val="4E2434B4"/>
    <w:rsid w:val="4E2A3922"/>
    <w:rsid w:val="4E3046D1"/>
    <w:rsid w:val="4E331634"/>
    <w:rsid w:val="4E41580D"/>
    <w:rsid w:val="4E4178F9"/>
    <w:rsid w:val="4E7C5B2E"/>
    <w:rsid w:val="4E846EA4"/>
    <w:rsid w:val="4E96239D"/>
    <w:rsid w:val="4E98779C"/>
    <w:rsid w:val="4EB238CE"/>
    <w:rsid w:val="4EC2041D"/>
    <w:rsid w:val="4EE145BA"/>
    <w:rsid w:val="4EEF633A"/>
    <w:rsid w:val="4F026E5B"/>
    <w:rsid w:val="4F070D45"/>
    <w:rsid w:val="4F0B7A65"/>
    <w:rsid w:val="4F237153"/>
    <w:rsid w:val="4F30407B"/>
    <w:rsid w:val="4F304989"/>
    <w:rsid w:val="4F5C39D0"/>
    <w:rsid w:val="4F7442C4"/>
    <w:rsid w:val="4F7A20A8"/>
    <w:rsid w:val="4F7D2797"/>
    <w:rsid w:val="4FA30301"/>
    <w:rsid w:val="4FCB3DA0"/>
    <w:rsid w:val="4FCF6325"/>
    <w:rsid w:val="4FDC1B55"/>
    <w:rsid w:val="4FDE5BC3"/>
    <w:rsid w:val="4FE13ED5"/>
    <w:rsid w:val="4FE959B0"/>
    <w:rsid w:val="50120532"/>
    <w:rsid w:val="50125767"/>
    <w:rsid w:val="50144E48"/>
    <w:rsid w:val="50294293"/>
    <w:rsid w:val="502B43A4"/>
    <w:rsid w:val="502E0831"/>
    <w:rsid w:val="50341A4D"/>
    <w:rsid w:val="503B6DA8"/>
    <w:rsid w:val="50733371"/>
    <w:rsid w:val="507E1724"/>
    <w:rsid w:val="507F724A"/>
    <w:rsid w:val="508D5E0B"/>
    <w:rsid w:val="50A67897"/>
    <w:rsid w:val="50BD36DB"/>
    <w:rsid w:val="51121C1F"/>
    <w:rsid w:val="512F353E"/>
    <w:rsid w:val="51571571"/>
    <w:rsid w:val="515C7CAA"/>
    <w:rsid w:val="515D3B70"/>
    <w:rsid w:val="516C5A20"/>
    <w:rsid w:val="517C4B19"/>
    <w:rsid w:val="51823F80"/>
    <w:rsid w:val="519521B8"/>
    <w:rsid w:val="51C73627"/>
    <w:rsid w:val="51D2511C"/>
    <w:rsid w:val="51D664B1"/>
    <w:rsid w:val="51DE0900"/>
    <w:rsid w:val="51E30EF9"/>
    <w:rsid w:val="51E6586D"/>
    <w:rsid w:val="51FE52AC"/>
    <w:rsid w:val="52074767"/>
    <w:rsid w:val="520C4A59"/>
    <w:rsid w:val="5215089F"/>
    <w:rsid w:val="521A3FF9"/>
    <w:rsid w:val="52250765"/>
    <w:rsid w:val="522E587F"/>
    <w:rsid w:val="52333E20"/>
    <w:rsid w:val="52511A9A"/>
    <w:rsid w:val="5253156F"/>
    <w:rsid w:val="52736BA5"/>
    <w:rsid w:val="52894B3D"/>
    <w:rsid w:val="52953BFC"/>
    <w:rsid w:val="52D7336D"/>
    <w:rsid w:val="52DBAC23"/>
    <w:rsid w:val="52EE48B8"/>
    <w:rsid w:val="52EF283C"/>
    <w:rsid w:val="52F757BE"/>
    <w:rsid w:val="53013A3B"/>
    <w:rsid w:val="530C2C2A"/>
    <w:rsid w:val="53170BB6"/>
    <w:rsid w:val="53262D56"/>
    <w:rsid w:val="532E7C28"/>
    <w:rsid w:val="53427D28"/>
    <w:rsid w:val="535570BD"/>
    <w:rsid w:val="536249ED"/>
    <w:rsid w:val="53703B40"/>
    <w:rsid w:val="53742774"/>
    <w:rsid w:val="538727B6"/>
    <w:rsid w:val="538E6B22"/>
    <w:rsid w:val="53964FD7"/>
    <w:rsid w:val="53A33245"/>
    <w:rsid w:val="53B927B9"/>
    <w:rsid w:val="54140080"/>
    <w:rsid w:val="54190C98"/>
    <w:rsid w:val="541E5E53"/>
    <w:rsid w:val="543745F5"/>
    <w:rsid w:val="545B4690"/>
    <w:rsid w:val="54694C80"/>
    <w:rsid w:val="548B703B"/>
    <w:rsid w:val="549A1CA9"/>
    <w:rsid w:val="549D6CE0"/>
    <w:rsid w:val="54B12AB0"/>
    <w:rsid w:val="54C15CD4"/>
    <w:rsid w:val="54D41CC0"/>
    <w:rsid w:val="54E3249D"/>
    <w:rsid w:val="54E32663"/>
    <w:rsid w:val="54E3435B"/>
    <w:rsid w:val="54E55701"/>
    <w:rsid w:val="54EF685A"/>
    <w:rsid w:val="5516252F"/>
    <w:rsid w:val="551A023B"/>
    <w:rsid w:val="55276443"/>
    <w:rsid w:val="552A54B1"/>
    <w:rsid w:val="552F123F"/>
    <w:rsid w:val="55576137"/>
    <w:rsid w:val="555F5AFB"/>
    <w:rsid w:val="55741B74"/>
    <w:rsid w:val="559631BE"/>
    <w:rsid w:val="55AA6C66"/>
    <w:rsid w:val="55D818D6"/>
    <w:rsid w:val="55DE4839"/>
    <w:rsid w:val="55F23C8D"/>
    <w:rsid w:val="5601729B"/>
    <w:rsid w:val="561548D9"/>
    <w:rsid w:val="56216537"/>
    <w:rsid w:val="565371AF"/>
    <w:rsid w:val="565D4B10"/>
    <w:rsid w:val="5665455D"/>
    <w:rsid w:val="568D26C1"/>
    <w:rsid w:val="568E4F0A"/>
    <w:rsid w:val="569E466A"/>
    <w:rsid w:val="56A25A40"/>
    <w:rsid w:val="56A461B0"/>
    <w:rsid w:val="56AF37F8"/>
    <w:rsid w:val="56B2575B"/>
    <w:rsid w:val="56B51C18"/>
    <w:rsid w:val="56BA2B88"/>
    <w:rsid w:val="56CE58D2"/>
    <w:rsid w:val="56CF5BAD"/>
    <w:rsid w:val="56D057AF"/>
    <w:rsid w:val="56D86C24"/>
    <w:rsid w:val="56EE7C13"/>
    <w:rsid w:val="57197E9B"/>
    <w:rsid w:val="572172AD"/>
    <w:rsid w:val="572823EA"/>
    <w:rsid w:val="57494A62"/>
    <w:rsid w:val="576254A2"/>
    <w:rsid w:val="577B1B20"/>
    <w:rsid w:val="5796485E"/>
    <w:rsid w:val="5797548E"/>
    <w:rsid w:val="57AA145D"/>
    <w:rsid w:val="57AA6E55"/>
    <w:rsid w:val="57D775C5"/>
    <w:rsid w:val="57E919C7"/>
    <w:rsid w:val="58485243"/>
    <w:rsid w:val="58690F0C"/>
    <w:rsid w:val="58785286"/>
    <w:rsid w:val="58986836"/>
    <w:rsid w:val="58A80E08"/>
    <w:rsid w:val="58B76108"/>
    <w:rsid w:val="58BD6B62"/>
    <w:rsid w:val="591D76F5"/>
    <w:rsid w:val="595B1AEA"/>
    <w:rsid w:val="595F7EE9"/>
    <w:rsid w:val="59752F8D"/>
    <w:rsid w:val="59870472"/>
    <w:rsid w:val="59883613"/>
    <w:rsid w:val="598970D5"/>
    <w:rsid w:val="59927FEE"/>
    <w:rsid w:val="59A8561B"/>
    <w:rsid w:val="59C51248"/>
    <w:rsid w:val="59CE2202"/>
    <w:rsid w:val="59D45ACE"/>
    <w:rsid w:val="59DF55CB"/>
    <w:rsid w:val="5A250E62"/>
    <w:rsid w:val="5A251E89"/>
    <w:rsid w:val="5A26461A"/>
    <w:rsid w:val="5A274BDA"/>
    <w:rsid w:val="5A3A4C63"/>
    <w:rsid w:val="5A4D3CAD"/>
    <w:rsid w:val="5A4E38B8"/>
    <w:rsid w:val="5A530D01"/>
    <w:rsid w:val="5A5321A8"/>
    <w:rsid w:val="5A6006CF"/>
    <w:rsid w:val="5A733680"/>
    <w:rsid w:val="5A820063"/>
    <w:rsid w:val="5A843DDB"/>
    <w:rsid w:val="5A920031"/>
    <w:rsid w:val="5AA93733"/>
    <w:rsid w:val="5AC02939"/>
    <w:rsid w:val="5ACC4B68"/>
    <w:rsid w:val="5AF9704F"/>
    <w:rsid w:val="5B084519"/>
    <w:rsid w:val="5B0D4EF5"/>
    <w:rsid w:val="5B126A23"/>
    <w:rsid w:val="5B217A7D"/>
    <w:rsid w:val="5B235529"/>
    <w:rsid w:val="5B372FAC"/>
    <w:rsid w:val="5B3D5EE4"/>
    <w:rsid w:val="5B490B80"/>
    <w:rsid w:val="5B505F55"/>
    <w:rsid w:val="5B61236E"/>
    <w:rsid w:val="5B61649C"/>
    <w:rsid w:val="5B8D3137"/>
    <w:rsid w:val="5BA00806"/>
    <w:rsid w:val="5BB43D6F"/>
    <w:rsid w:val="5BC03136"/>
    <w:rsid w:val="5BE865EB"/>
    <w:rsid w:val="5BED05B8"/>
    <w:rsid w:val="5BF872D7"/>
    <w:rsid w:val="5BFD50FC"/>
    <w:rsid w:val="5C0C58DA"/>
    <w:rsid w:val="5C0E0563"/>
    <w:rsid w:val="5C1534E1"/>
    <w:rsid w:val="5C162117"/>
    <w:rsid w:val="5C182A2D"/>
    <w:rsid w:val="5C217722"/>
    <w:rsid w:val="5C234BC6"/>
    <w:rsid w:val="5C2C066C"/>
    <w:rsid w:val="5C332354"/>
    <w:rsid w:val="5C645C72"/>
    <w:rsid w:val="5C6C329B"/>
    <w:rsid w:val="5C753FBD"/>
    <w:rsid w:val="5C814CD3"/>
    <w:rsid w:val="5C88499B"/>
    <w:rsid w:val="5C88714D"/>
    <w:rsid w:val="5C8F0DC6"/>
    <w:rsid w:val="5C902F0B"/>
    <w:rsid w:val="5CB169DD"/>
    <w:rsid w:val="5CD8040E"/>
    <w:rsid w:val="5CE57DE0"/>
    <w:rsid w:val="5CF66E7F"/>
    <w:rsid w:val="5CF70B75"/>
    <w:rsid w:val="5CFF1E3E"/>
    <w:rsid w:val="5D062A0E"/>
    <w:rsid w:val="5D0D38CD"/>
    <w:rsid w:val="5D230C5E"/>
    <w:rsid w:val="5D26103C"/>
    <w:rsid w:val="5D267453"/>
    <w:rsid w:val="5D39510D"/>
    <w:rsid w:val="5D475163"/>
    <w:rsid w:val="5D51096B"/>
    <w:rsid w:val="5D5809A6"/>
    <w:rsid w:val="5D652E68"/>
    <w:rsid w:val="5D6E4222"/>
    <w:rsid w:val="5D7810E9"/>
    <w:rsid w:val="5DA31C63"/>
    <w:rsid w:val="5DB52CF0"/>
    <w:rsid w:val="5DDD4BFB"/>
    <w:rsid w:val="5E287173"/>
    <w:rsid w:val="5E4B31A1"/>
    <w:rsid w:val="5E786B06"/>
    <w:rsid w:val="5E7DA00F"/>
    <w:rsid w:val="5E814124"/>
    <w:rsid w:val="5E856373"/>
    <w:rsid w:val="5E9F5BCB"/>
    <w:rsid w:val="5EAFDBFF"/>
    <w:rsid w:val="5EC74619"/>
    <w:rsid w:val="5EDE52DD"/>
    <w:rsid w:val="5EDF3E55"/>
    <w:rsid w:val="5F0415E0"/>
    <w:rsid w:val="5F1E09EF"/>
    <w:rsid w:val="5F2E2567"/>
    <w:rsid w:val="5F3A715E"/>
    <w:rsid w:val="5F3F6522"/>
    <w:rsid w:val="5F59269F"/>
    <w:rsid w:val="5F763AED"/>
    <w:rsid w:val="5F8A63CE"/>
    <w:rsid w:val="5F91DFB2"/>
    <w:rsid w:val="5F9737AE"/>
    <w:rsid w:val="5F985045"/>
    <w:rsid w:val="5FB6840C"/>
    <w:rsid w:val="5FC324AB"/>
    <w:rsid w:val="5FD916F8"/>
    <w:rsid w:val="5FFFCA34"/>
    <w:rsid w:val="60065B83"/>
    <w:rsid w:val="601E082E"/>
    <w:rsid w:val="60275934"/>
    <w:rsid w:val="603D3DD1"/>
    <w:rsid w:val="605C315F"/>
    <w:rsid w:val="606C3347"/>
    <w:rsid w:val="606F4BE5"/>
    <w:rsid w:val="60A3185B"/>
    <w:rsid w:val="60AE62A2"/>
    <w:rsid w:val="60B75D10"/>
    <w:rsid w:val="60D00B9D"/>
    <w:rsid w:val="60D13821"/>
    <w:rsid w:val="60DA4D90"/>
    <w:rsid w:val="60DB4AF6"/>
    <w:rsid w:val="60E7587B"/>
    <w:rsid w:val="60E87BAA"/>
    <w:rsid w:val="60E97F98"/>
    <w:rsid w:val="60F645B6"/>
    <w:rsid w:val="610861D5"/>
    <w:rsid w:val="612E7483"/>
    <w:rsid w:val="61354081"/>
    <w:rsid w:val="617F7E34"/>
    <w:rsid w:val="618D07BA"/>
    <w:rsid w:val="618F02FE"/>
    <w:rsid w:val="6195747B"/>
    <w:rsid w:val="61C4662C"/>
    <w:rsid w:val="61EF7A8D"/>
    <w:rsid w:val="623A1223"/>
    <w:rsid w:val="624864FA"/>
    <w:rsid w:val="62900E47"/>
    <w:rsid w:val="62A969F1"/>
    <w:rsid w:val="62AD5325"/>
    <w:rsid w:val="62D36994"/>
    <w:rsid w:val="62D64CEA"/>
    <w:rsid w:val="62D96C0C"/>
    <w:rsid w:val="62DB0F02"/>
    <w:rsid w:val="63202303"/>
    <w:rsid w:val="6326016F"/>
    <w:rsid w:val="634C3904"/>
    <w:rsid w:val="63885660"/>
    <w:rsid w:val="6391782D"/>
    <w:rsid w:val="63A478DD"/>
    <w:rsid w:val="63A562E5"/>
    <w:rsid w:val="63B662E4"/>
    <w:rsid w:val="63BE3FC8"/>
    <w:rsid w:val="63D731CD"/>
    <w:rsid w:val="63E51D09"/>
    <w:rsid w:val="63EE58A9"/>
    <w:rsid w:val="63FD607A"/>
    <w:rsid w:val="64035667"/>
    <w:rsid w:val="64074F35"/>
    <w:rsid w:val="64204AA0"/>
    <w:rsid w:val="64255809"/>
    <w:rsid w:val="643778EA"/>
    <w:rsid w:val="645667E8"/>
    <w:rsid w:val="647E1BFD"/>
    <w:rsid w:val="648125BD"/>
    <w:rsid w:val="64890217"/>
    <w:rsid w:val="649F258A"/>
    <w:rsid w:val="64B7527F"/>
    <w:rsid w:val="64C85A75"/>
    <w:rsid w:val="64CF1BF3"/>
    <w:rsid w:val="652D3127"/>
    <w:rsid w:val="65351F57"/>
    <w:rsid w:val="654B5FE2"/>
    <w:rsid w:val="65570BAA"/>
    <w:rsid w:val="657213FC"/>
    <w:rsid w:val="65736F26"/>
    <w:rsid w:val="657F47CA"/>
    <w:rsid w:val="65A16370"/>
    <w:rsid w:val="65A67BB0"/>
    <w:rsid w:val="65AC3278"/>
    <w:rsid w:val="65BA3B11"/>
    <w:rsid w:val="65BD582E"/>
    <w:rsid w:val="65DC0944"/>
    <w:rsid w:val="65E57200"/>
    <w:rsid w:val="65F4012B"/>
    <w:rsid w:val="65F70954"/>
    <w:rsid w:val="65FB5114"/>
    <w:rsid w:val="6606035B"/>
    <w:rsid w:val="6611056D"/>
    <w:rsid w:val="661A1A97"/>
    <w:rsid w:val="66363844"/>
    <w:rsid w:val="663C37BC"/>
    <w:rsid w:val="6651339C"/>
    <w:rsid w:val="66565FB4"/>
    <w:rsid w:val="665F451E"/>
    <w:rsid w:val="66681461"/>
    <w:rsid w:val="66AF3F8D"/>
    <w:rsid w:val="66CB1CA2"/>
    <w:rsid w:val="66D01F32"/>
    <w:rsid w:val="66EA339A"/>
    <w:rsid w:val="66EF4102"/>
    <w:rsid w:val="66FA7546"/>
    <w:rsid w:val="66FB09E0"/>
    <w:rsid w:val="670F2550"/>
    <w:rsid w:val="672C5F10"/>
    <w:rsid w:val="67314919"/>
    <w:rsid w:val="67340937"/>
    <w:rsid w:val="67423054"/>
    <w:rsid w:val="675C70A9"/>
    <w:rsid w:val="67825E6B"/>
    <w:rsid w:val="6797C186"/>
    <w:rsid w:val="67C24F26"/>
    <w:rsid w:val="67E25CFE"/>
    <w:rsid w:val="67E975D9"/>
    <w:rsid w:val="67EF705E"/>
    <w:rsid w:val="67F03EDA"/>
    <w:rsid w:val="67F73E3E"/>
    <w:rsid w:val="68015127"/>
    <w:rsid w:val="68193308"/>
    <w:rsid w:val="683C1924"/>
    <w:rsid w:val="684E59A6"/>
    <w:rsid w:val="685A55A7"/>
    <w:rsid w:val="68614624"/>
    <w:rsid w:val="687B798E"/>
    <w:rsid w:val="6889057E"/>
    <w:rsid w:val="688D17F4"/>
    <w:rsid w:val="68B37AC3"/>
    <w:rsid w:val="68B82321"/>
    <w:rsid w:val="68EF2D67"/>
    <w:rsid w:val="68F0088D"/>
    <w:rsid w:val="690821BA"/>
    <w:rsid w:val="692F654B"/>
    <w:rsid w:val="6959156A"/>
    <w:rsid w:val="69597FBE"/>
    <w:rsid w:val="697B0A9F"/>
    <w:rsid w:val="698B61F3"/>
    <w:rsid w:val="69995EF6"/>
    <w:rsid w:val="69A35199"/>
    <w:rsid w:val="69BC1CFF"/>
    <w:rsid w:val="69F05A5E"/>
    <w:rsid w:val="69FA19C4"/>
    <w:rsid w:val="6A1A4A09"/>
    <w:rsid w:val="6A2B319C"/>
    <w:rsid w:val="6A4D4F07"/>
    <w:rsid w:val="6A62200F"/>
    <w:rsid w:val="6A66390C"/>
    <w:rsid w:val="6A8219B9"/>
    <w:rsid w:val="6A9E4A45"/>
    <w:rsid w:val="6AA95FAE"/>
    <w:rsid w:val="6AC11BD1"/>
    <w:rsid w:val="6AD25054"/>
    <w:rsid w:val="6AF070DF"/>
    <w:rsid w:val="6AFD7075"/>
    <w:rsid w:val="6B1C1D28"/>
    <w:rsid w:val="6B453C9E"/>
    <w:rsid w:val="6B490892"/>
    <w:rsid w:val="6B574BF4"/>
    <w:rsid w:val="6B663013"/>
    <w:rsid w:val="6B6A2EDA"/>
    <w:rsid w:val="6B6B5AC7"/>
    <w:rsid w:val="6B7D419B"/>
    <w:rsid w:val="6BAE528C"/>
    <w:rsid w:val="6BAE6CB9"/>
    <w:rsid w:val="6BB747F9"/>
    <w:rsid w:val="6BC71D79"/>
    <w:rsid w:val="6BCF2245"/>
    <w:rsid w:val="6BFF86AE"/>
    <w:rsid w:val="6C126594"/>
    <w:rsid w:val="6C446448"/>
    <w:rsid w:val="6C46573C"/>
    <w:rsid w:val="6C532B86"/>
    <w:rsid w:val="6C871509"/>
    <w:rsid w:val="6C8915E8"/>
    <w:rsid w:val="6C8A3958"/>
    <w:rsid w:val="6C9E6F7E"/>
    <w:rsid w:val="6C9F550E"/>
    <w:rsid w:val="6CA351A2"/>
    <w:rsid w:val="6CB436B8"/>
    <w:rsid w:val="6CC74289"/>
    <w:rsid w:val="6CCB4D57"/>
    <w:rsid w:val="6CD50D51"/>
    <w:rsid w:val="6CD64BE0"/>
    <w:rsid w:val="6CF52241"/>
    <w:rsid w:val="6CFB7E13"/>
    <w:rsid w:val="6D090170"/>
    <w:rsid w:val="6D0A4613"/>
    <w:rsid w:val="6D396640"/>
    <w:rsid w:val="6D4B1F5D"/>
    <w:rsid w:val="6D4D2E0E"/>
    <w:rsid w:val="6D571561"/>
    <w:rsid w:val="6D601F02"/>
    <w:rsid w:val="6D6A4A10"/>
    <w:rsid w:val="6D820173"/>
    <w:rsid w:val="6DAC1227"/>
    <w:rsid w:val="6DE754F7"/>
    <w:rsid w:val="6DF956F7"/>
    <w:rsid w:val="6E396833"/>
    <w:rsid w:val="6E4026BB"/>
    <w:rsid w:val="6E42409F"/>
    <w:rsid w:val="6E4506A1"/>
    <w:rsid w:val="6E59388B"/>
    <w:rsid w:val="6E7064BC"/>
    <w:rsid w:val="6E9F0D8B"/>
    <w:rsid w:val="6EAA3560"/>
    <w:rsid w:val="6EAF6112"/>
    <w:rsid w:val="6ED90BFF"/>
    <w:rsid w:val="6EDC2C2E"/>
    <w:rsid w:val="6EDE54A1"/>
    <w:rsid w:val="6EF722CA"/>
    <w:rsid w:val="6EFFF317"/>
    <w:rsid w:val="6F297EAA"/>
    <w:rsid w:val="6F3643FB"/>
    <w:rsid w:val="6F8165FB"/>
    <w:rsid w:val="6F936C75"/>
    <w:rsid w:val="6FAF607C"/>
    <w:rsid w:val="6FC42F7C"/>
    <w:rsid w:val="6FC51108"/>
    <w:rsid w:val="6FD35191"/>
    <w:rsid w:val="6FDE3323"/>
    <w:rsid w:val="6FDFC53E"/>
    <w:rsid w:val="6FE922EC"/>
    <w:rsid w:val="6FEFCEBB"/>
    <w:rsid w:val="6FFA5D68"/>
    <w:rsid w:val="703668C0"/>
    <w:rsid w:val="703A6FBE"/>
    <w:rsid w:val="703C1D6C"/>
    <w:rsid w:val="70616AEC"/>
    <w:rsid w:val="70703DA4"/>
    <w:rsid w:val="70810BBD"/>
    <w:rsid w:val="709B71EB"/>
    <w:rsid w:val="70A255AB"/>
    <w:rsid w:val="70B34644"/>
    <w:rsid w:val="70C854A1"/>
    <w:rsid w:val="70EB650A"/>
    <w:rsid w:val="711F23A8"/>
    <w:rsid w:val="713C2FEF"/>
    <w:rsid w:val="715D4720"/>
    <w:rsid w:val="717A2C72"/>
    <w:rsid w:val="7186616D"/>
    <w:rsid w:val="718F785B"/>
    <w:rsid w:val="71902C0D"/>
    <w:rsid w:val="71A00E97"/>
    <w:rsid w:val="71B46619"/>
    <w:rsid w:val="71C737E1"/>
    <w:rsid w:val="71E847F7"/>
    <w:rsid w:val="720E3262"/>
    <w:rsid w:val="721311E9"/>
    <w:rsid w:val="721759F8"/>
    <w:rsid w:val="723649A5"/>
    <w:rsid w:val="72C45265"/>
    <w:rsid w:val="72D134DE"/>
    <w:rsid w:val="72DA05E4"/>
    <w:rsid w:val="72ED47BB"/>
    <w:rsid w:val="731971C0"/>
    <w:rsid w:val="733B7C12"/>
    <w:rsid w:val="73586BBE"/>
    <w:rsid w:val="73652B04"/>
    <w:rsid w:val="737E2950"/>
    <w:rsid w:val="738C46D5"/>
    <w:rsid w:val="73912327"/>
    <w:rsid w:val="739D7001"/>
    <w:rsid w:val="73B0560E"/>
    <w:rsid w:val="73C9731E"/>
    <w:rsid w:val="73F86161"/>
    <w:rsid w:val="73FFEF7D"/>
    <w:rsid w:val="741D578E"/>
    <w:rsid w:val="74344FE8"/>
    <w:rsid w:val="743B4AB6"/>
    <w:rsid w:val="74512B28"/>
    <w:rsid w:val="745371E4"/>
    <w:rsid w:val="74634685"/>
    <w:rsid w:val="746F02A8"/>
    <w:rsid w:val="74883FE6"/>
    <w:rsid w:val="748869E7"/>
    <w:rsid w:val="74954FD7"/>
    <w:rsid w:val="74A0585D"/>
    <w:rsid w:val="74AB0875"/>
    <w:rsid w:val="74B4178C"/>
    <w:rsid w:val="74C4154C"/>
    <w:rsid w:val="74F505BD"/>
    <w:rsid w:val="74FB3134"/>
    <w:rsid w:val="7539126A"/>
    <w:rsid w:val="75734D20"/>
    <w:rsid w:val="75954C96"/>
    <w:rsid w:val="759E0CA1"/>
    <w:rsid w:val="75BA294F"/>
    <w:rsid w:val="75E11C8A"/>
    <w:rsid w:val="75EE68EA"/>
    <w:rsid w:val="75F608F4"/>
    <w:rsid w:val="760866B8"/>
    <w:rsid w:val="76267DC8"/>
    <w:rsid w:val="762A4CB7"/>
    <w:rsid w:val="7640248E"/>
    <w:rsid w:val="7646040C"/>
    <w:rsid w:val="76633248"/>
    <w:rsid w:val="769218F6"/>
    <w:rsid w:val="769D5CEA"/>
    <w:rsid w:val="76A81618"/>
    <w:rsid w:val="76B875C9"/>
    <w:rsid w:val="76BF9223"/>
    <w:rsid w:val="76C5118F"/>
    <w:rsid w:val="76EE7066"/>
    <w:rsid w:val="77065E4C"/>
    <w:rsid w:val="77270606"/>
    <w:rsid w:val="77323FFD"/>
    <w:rsid w:val="774258F0"/>
    <w:rsid w:val="774A6E86"/>
    <w:rsid w:val="77573AD7"/>
    <w:rsid w:val="775F555C"/>
    <w:rsid w:val="777E4335"/>
    <w:rsid w:val="77947C05"/>
    <w:rsid w:val="77A17922"/>
    <w:rsid w:val="77C95B3F"/>
    <w:rsid w:val="77D45C56"/>
    <w:rsid w:val="77DD1803"/>
    <w:rsid w:val="77F205C7"/>
    <w:rsid w:val="77F26330"/>
    <w:rsid w:val="77F50FF1"/>
    <w:rsid w:val="77F6A5BE"/>
    <w:rsid w:val="77FF63E0"/>
    <w:rsid w:val="78027127"/>
    <w:rsid w:val="7821234E"/>
    <w:rsid w:val="78280956"/>
    <w:rsid w:val="783B07A4"/>
    <w:rsid w:val="785C10D5"/>
    <w:rsid w:val="785D6A0E"/>
    <w:rsid w:val="785E7D6F"/>
    <w:rsid w:val="78623556"/>
    <w:rsid w:val="78B35D7C"/>
    <w:rsid w:val="78D83818"/>
    <w:rsid w:val="78D855C6"/>
    <w:rsid w:val="78E70891"/>
    <w:rsid w:val="78F170DD"/>
    <w:rsid w:val="790D0558"/>
    <w:rsid w:val="79113E26"/>
    <w:rsid w:val="791979EA"/>
    <w:rsid w:val="79474CE6"/>
    <w:rsid w:val="79502A21"/>
    <w:rsid w:val="7955121E"/>
    <w:rsid w:val="795DB78E"/>
    <w:rsid w:val="79743163"/>
    <w:rsid w:val="798012C0"/>
    <w:rsid w:val="799205A4"/>
    <w:rsid w:val="79951709"/>
    <w:rsid w:val="79A90D10"/>
    <w:rsid w:val="79A96F62"/>
    <w:rsid w:val="79BF7F62"/>
    <w:rsid w:val="79DD5AE2"/>
    <w:rsid w:val="79E1494E"/>
    <w:rsid w:val="79E32474"/>
    <w:rsid w:val="79EF31FA"/>
    <w:rsid w:val="7A245721"/>
    <w:rsid w:val="7A4132F4"/>
    <w:rsid w:val="7A6E1A78"/>
    <w:rsid w:val="7A7255A6"/>
    <w:rsid w:val="7A85352B"/>
    <w:rsid w:val="7A8615F6"/>
    <w:rsid w:val="7A9E02AE"/>
    <w:rsid w:val="7A9F3D81"/>
    <w:rsid w:val="7AA74B24"/>
    <w:rsid w:val="7ABC4A73"/>
    <w:rsid w:val="7ADB314B"/>
    <w:rsid w:val="7B070BE4"/>
    <w:rsid w:val="7B13572D"/>
    <w:rsid w:val="7B3B80C9"/>
    <w:rsid w:val="7B51165F"/>
    <w:rsid w:val="7B5F364B"/>
    <w:rsid w:val="7B692325"/>
    <w:rsid w:val="7B7F4658"/>
    <w:rsid w:val="7BC66DFB"/>
    <w:rsid w:val="7BCE5024"/>
    <w:rsid w:val="7BD67FB8"/>
    <w:rsid w:val="7BD750D3"/>
    <w:rsid w:val="7BDD2F53"/>
    <w:rsid w:val="7BE6AF33"/>
    <w:rsid w:val="7BE89FD7"/>
    <w:rsid w:val="7BEE6EAE"/>
    <w:rsid w:val="7BF78DB5"/>
    <w:rsid w:val="7C131B41"/>
    <w:rsid w:val="7C417466"/>
    <w:rsid w:val="7C570648"/>
    <w:rsid w:val="7C574A09"/>
    <w:rsid w:val="7C8F7D9A"/>
    <w:rsid w:val="7CA81753"/>
    <w:rsid w:val="7CAF4890"/>
    <w:rsid w:val="7CB02D93"/>
    <w:rsid w:val="7CB87D66"/>
    <w:rsid w:val="7CD460A4"/>
    <w:rsid w:val="7CE441D6"/>
    <w:rsid w:val="7D006D58"/>
    <w:rsid w:val="7D060228"/>
    <w:rsid w:val="7D0C1CE2"/>
    <w:rsid w:val="7D2C5EE0"/>
    <w:rsid w:val="7D3D633F"/>
    <w:rsid w:val="7D50792B"/>
    <w:rsid w:val="7D6D548D"/>
    <w:rsid w:val="7D90733C"/>
    <w:rsid w:val="7D943831"/>
    <w:rsid w:val="7DAD59FD"/>
    <w:rsid w:val="7DC01796"/>
    <w:rsid w:val="7DC9773B"/>
    <w:rsid w:val="7E006343"/>
    <w:rsid w:val="7E03539D"/>
    <w:rsid w:val="7E183928"/>
    <w:rsid w:val="7E2D1368"/>
    <w:rsid w:val="7E4C4CB0"/>
    <w:rsid w:val="7E6E7CE9"/>
    <w:rsid w:val="7E8B6C36"/>
    <w:rsid w:val="7EC73829"/>
    <w:rsid w:val="7ED91396"/>
    <w:rsid w:val="7EE21BCC"/>
    <w:rsid w:val="7EF742CC"/>
    <w:rsid w:val="7EFDD15D"/>
    <w:rsid w:val="7F1C489D"/>
    <w:rsid w:val="7F227808"/>
    <w:rsid w:val="7F3D4D5D"/>
    <w:rsid w:val="7F55A119"/>
    <w:rsid w:val="7F563DAD"/>
    <w:rsid w:val="7F5C42F5"/>
    <w:rsid w:val="7F616015"/>
    <w:rsid w:val="7F734A73"/>
    <w:rsid w:val="7F777904"/>
    <w:rsid w:val="7F890AFD"/>
    <w:rsid w:val="7FB7B006"/>
    <w:rsid w:val="7FB8175B"/>
    <w:rsid w:val="7FC52187"/>
    <w:rsid w:val="7FDB2508"/>
    <w:rsid w:val="7FDC7438"/>
    <w:rsid w:val="7FF73610"/>
    <w:rsid w:val="7FFFD387"/>
    <w:rsid w:val="8AEFCC8E"/>
    <w:rsid w:val="8DFF27A0"/>
    <w:rsid w:val="9C63AAD5"/>
    <w:rsid w:val="9FBB9F55"/>
    <w:rsid w:val="AE5F3C25"/>
    <w:rsid w:val="AF8507B3"/>
    <w:rsid w:val="B73F68C6"/>
    <w:rsid w:val="BAD3DD7B"/>
    <w:rsid w:val="BAF88320"/>
    <w:rsid w:val="BDE636FF"/>
    <w:rsid w:val="BEB7367A"/>
    <w:rsid w:val="BEDFE9D9"/>
    <w:rsid w:val="BF7DD3A7"/>
    <w:rsid w:val="BFDD017C"/>
    <w:rsid w:val="BFED57E6"/>
    <w:rsid w:val="C3E73943"/>
    <w:rsid w:val="CD5D6C6E"/>
    <w:rsid w:val="CEEF33EC"/>
    <w:rsid w:val="CF5DE809"/>
    <w:rsid w:val="D07E160D"/>
    <w:rsid w:val="D6DF755F"/>
    <w:rsid w:val="D8DAF365"/>
    <w:rsid w:val="DB3F9C64"/>
    <w:rsid w:val="DEFF652A"/>
    <w:rsid w:val="DFFD3281"/>
    <w:rsid w:val="E2DF5E38"/>
    <w:rsid w:val="E5F68898"/>
    <w:rsid w:val="E7E93E28"/>
    <w:rsid w:val="E7FC09F5"/>
    <w:rsid w:val="ED57679E"/>
    <w:rsid w:val="EFDE91B4"/>
    <w:rsid w:val="F5A5EF9B"/>
    <w:rsid w:val="F6B385C6"/>
    <w:rsid w:val="F6E96444"/>
    <w:rsid w:val="F6FF71C2"/>
    <w:rsid w:val="F79F143E"/>
    <w:rsid w:val="FBF793DC"/>
    <w:rsid w:val="FDA5CBAC"/>
    <w:rsid w:val="FF4F1AE5"/>
    <w:rsid w:val="FFECC8EE"/>
    <w:rsid w:val="FFEF2381"/>
    <w:rsid w:val="FFF50360"/>
    <w:rsid w:val="FFFFFE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5">
    <w:name w:val="heading 1"/>
    <w:basedOn w:val="1"/>
    <w:next w:val="1"/>
    <w:link w:val="62"/>
    <w:qFormat/>
    <w:uiPriority w:val="0"/>
    <w:pPr>
      <w:keepNext/>
      <w:keepLines/>
      <w:spacing w:before="100" w:beforeLines="0" w:after="30" w:afterLines="0" w:line="360" w:lineRule="auto"/>
      <w:jc w:val="center"/>
      <w:outlineLvl w:val="0"/>
    </w:pPr>
    <w:rPr>
      <w:rFonts w:ascii="Tahoma" w:hAnsi="Tahoma" w:eastAsia="仿宋"/>
      <w:b/>
      <w:bCs/>
      <w:kern w:val="44"/>
      <w:sz w:val="36"/>
      <w:szCs w:val="44"/>
    </w:rPr>
  </w:style>
  <w:style w:type="paragraph" w:styleId="6">
    <w:name w:val="heading 2"/>
    <w:basedOn w:val="1"/>
    <w:next w:val="1"/>
    <w:link w:val="63"/>
    <w:qFormat/>
    <w:uiPriority w:val="0"/>
    <w:pPr>
      <w:keepNext/>
      <w:keepLines/>
      <w:spacing w:before="260" w:beforeLines="0" w:after="260" w:afterLines="0" w:line="413" w:lineRule="auto"/>
      <w:outlineLvl w:val="1"/>
    </w:pPr>
    <w:rPr>
      <w:rFonts w:ascii="Arial" w:hAnsi="Arial" w:eastAsia="黑体"/>
      <w:b/>
      <w:bCs/>
      <w:kern w:val="2"/>
      <w:sz w:val="32"/>
      <w:szCs w:val="32"/>
    </w:rPr>
  </w:style>
  <w:style w:type="paragraph" w:styleId="7">
    <w:name w:val="heading 3"/>
    <w:basedOn w:val="1"/>
    <w:next w:val="1"/>
    <w:link w:val="64"/>
    <w:qFormat/>
    <w:uiPriority w:val="0"/>
    <w:pPr>
      <w:keepNext/>
      <w:keepLines/>
      <w:spacing w:before="260" w:beforeLines="0" w:after="260" w:afterLines="0" w:line="413" w:lineRule="auto"/>
      <w:outlineLvl w:val="2"/>
    </w:pPr>
    <w:rPr>
      <w:rFonts w:ascii="Tahoma" w:hAnsi="Tahoma"/>
      <w:b/>
      <w:bCs/>
      <w:kern w:val="2"/>
      <w:sz w:val="32"/>
      <w:szCs w:val="32"/>
    </w:rPr>
  </w:style>
  <w:style w:type="paragraph" w:styleId="8">
    <w:name w:val="heading 4"/>
    <w:basedOn w:val="1"/>
    <w:next w:val="1"/>
    <w:qFormat/>
    <w:uiPriority w:val="0"/>
    <w:pPr>
      <w:keepNext/>
      <w:keepLines/>
      <w:adjustRightInd w:val="0"/>
      <w:spacing w:before="280" w:beforeLines="0" w:after="290" w:afterLines="0" w:line="376" w:lineRule="atLeast"/>
      <w:textAlignment w:val="baseline"/>
      <w:outlineLvl w:val="3"/>
    </w:pPr>
    <w:rPr>
      <w:rFonts w:ascii="Arial" w:hAnsi="Arial" w:eastAsia="黑体"/>
      <w:b/>
      <w:kern w:val="0"/>
      <w:sz w:val="28"/>
    </w:rPr>
  </w:style>
  <w:style w:type="paragraph" w:styleId="9">
    <w:name w:val="heading 5"/>
    <w:basedOn w:val="1"/>
    <w:next w:val="1"/>
    <w:qFormat/>
    <w:uiPriority w:val="0"/>
    <w:pPr>
      <w:keepNext/>
      <w:keepLines/>
      <w:adjustRightInd w:val="0"/>
      <w:spacing w:before="280" w:beforeLines="0" w:after="290" w:afterLines="0" w:line="376" w:lineRule="atLeast"/>
      <w:textAlignment w:val="baseline"/>
      <w:outlineLvl w:val="4"/>
    </w:pPr>
    <w:rPr>
      <w:b/>
      <w:kern w:val="0"/>
      <w:sz w:val="28"/>
    </w:rPr>
  </w:style>
  <w:style w:type="paragraph" w:styleId="10">
    <w:name w:val="heading 6"/>
    <w:basedOn w:val="1"/>
    <w:next w:val="1"/>
    <w:qFormat/>
    <w:uiPriority w:val="0"/>
    <w:pPr>
      <w:keepNext/>
      <w:keepLines/>
      <w:adjustRightInd w:val="0"/>
      <w:spacing w:before="240" w:beforeLines="0" w:after="64" w:afterLines="0" w:line="320" w:lineRule="atLeast"/>
      <w:textAlignment w:val="baseline"/>
      <w:outlineLvl w:val="5"/>
    </w:pPr>
    <w:rPr>
      <w:rFonts w:ascii="Arial" w:hAnsi="Arial" w:eastAsia="黑体"/>
      <w:b/>
      <w:kern w:val="0"/>
      <w:sz w:val="24"/>
    </w:rPr>
  </w:style>
  <w:style w:type="paragraph" w:styleId="11">
    <w:name w:val="heading 7"/>
    <w:basedOn w:val="1"/>
    <w:next w:val="1"/>
    <w:qFormat/>
    <w:uiPriority w:val="0"/>
    <w:pPr>
      <w:keepNext/>
      <w:keepLines/>
      <w:adjustRightInd w:val="0"/>
      <w:spacing w:before="240" w:beforeLines="0" w:after="64" w:afterLines="0" w:line="320" w:lineRule="atLeast"/>
      <w:textAlignment w:val="baseline"/>
      <w:outlineLvl w:val="6"/>
    </w:pPr>
    <w:rPr>
      <w:b/>
      <w:kern w:val="0"/>
      <w:sz w:val="24"/>
    </w:rPr>
  </w:style>
  <w:style w:type="paragraph" w:styleId="12">
    <w:name w:val="heading 8"/>
    <w:basedOn w:val="1"/>
    <w:next w:val="1"/>
    <w:qFormat/>
    <w:uiPriority w:val="0"/>
    <w:pPr>
      <w:keepNext/>
      <w:keepLines/>
      <w:adjustRightInd w:val="0"/>
      <w:spacing w:before="240" w:beforeLines="0" w:after="64" w:afterLines="0" w:line="320" w:lineRule="atLeast"/>
      <w:textAlignment w:val="baseline"/>
      <w:outlineLvl w:val="7"/>
    </w:pPr>
    <w:rPr>
      <w:rFonts w:ascii="Arial" w:hAnsi="Arial" w:eastAsia="黑体"/>
      <w:kern w:val="0"/>
      <w:sz w:val="24"/>
    </w:rPr>
  </w:style>
  <w:style w:type="paragraph" w:styleId="13">
    <w:name w:val="heading 9"/>
    <w:basedOn w:val="1"/>
    <w:next w:val="1"/>
    <w:qFormat/>
    <w:uiPriority w:val="0"/>
    <w:pPr>
      <w:keepNext/>
      <w:keepLines/>
      <w:adjustRightInd w:val="0"/>
      <w:spacing w:before="240" w:beforeLines="0" w:after="64" w:afterLines="0" w:line="320" w:lineRule="atLeast"/>
      <w:textAlignment w:val="baseline"/>
      <w:outlineLvl w:val="8"/>
    </w:pPr>
    <w:rPr>
      <w:rFonts w:ascii="Arial" w:hAnsi="Arial" w:eastAsia="黑体"/>
      <w:kern w:val="0"/>
    </w:rPr>
  </w:style>
  <w:style w:type="character" w:default="1" w:styleId="49">
    <w:name w:val="Default Paragraph Font"/>
    <w:qFormat/>
    <w:uiPriority w:val="0"/>
    <w:rPr>
      <w:rFonts w:ascii="Tahoma" w:hAnsi="Tahoma"/>
      <w:sz w:val="24"/>
      <w:szCs w:val="24"/>
    </w:rPr>
  </w:style>
  <w:style w:type="table" w:default="1" w:styleId="47">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style>
  <w:style w:type="paragraph" w:styleId="3">
    <w:name w:val="Body Text"/>
    <w:basedOn w:val="1"/>
    <w:next w:val="4"/>
    <w:qFormat/>
    <w:uiPriority w:val="99"/>
    <w:pPr>
      <w:widowControl/>
      <w:spacing w:line="360" w:lineRule="auto"/>
    </w:pPr>
    <w:rPr>
      <w:color w:val="FF0000"/>
    </w:rPr>
  </w:style>
  <w:style w:type="paragraph" w:styleId="4">
    <w:name w:val="Body Text First Indent"/>
    <w:basedOn w:val="3"/>
    <w:qFormat/>
    <w:uiPriority w:val="0"/>
    <w:pPr>
      <w:widowControl w:val="0"/>
      <w:spacing w:after="120" w:afterLines="0" w:line="240" w:lineRule="auto"/>
      <w:ind w:firstLine="420" w:firstLineChars="100"/>
    </w:pPr>
    <w:rPr>
      <w:color w:val="auto"/>
    </w:rPr>
  </w:style>
  <w:style w:type="paragraph" w:styleId="14">
    <w:name w:val="toc 7"/>
    <w:basedOn w:val="1"/>
    <w:next w:val="1"/>
    <w:qFormat/>
    <w:uiPriority w:val="0"/>
    <w:pPr>
      <w:ind w:left="2520" w:leftChars="1200"/>
    </w:pPr>
  </w:style>
  <w:style w:type="paragraph" w:styleId="15">
    <w:name w:val="index 8"/>
    <w:basedOn w:val="1"/>
    <w:next w:val="1"/>
    <w:qFormat/>
    <w:uiPriority w:val="0"/>
    <w:pPr>
      <w:ind w:left="1400" w:leftChars="1400"/>
    </w:pPr>
  </w:style>
  <w:style w:type="paragraph" w:styleId="16">
    <w:name w:val="Normal Indent"/>
    <w:basedOn w:val="1"/>
    <w:next w:val="17"/>
    <w:link w:val="65"/>
    <w:qFormat/>
    <w:uiPriority w:val="0"/>
    <w:pPr>
      <w:ind w:firstLine="420"/>
    </w:pPr>
    <w:rPr>
      <w:rFonts w:ascii="Calibri"/>
      <w:kern w:val="2"/>
      <w:sz w:val="21"/>
    </w:rPr>
  </w:style>
  <w:style w:type="paragraph" w:styleId="17">
    <w:name w:val="index 7"/>
    <w:basedOn w:val="1"/>
    <w:next w:val="1"/>
    <w:unhideWhenUsed/>
    <w:qFormat/>
    <w:uiPriority w:val="99"/>
    <w:pPr>
      <w:ind w:left="1200" w:leftChars="1200"/>
    </w:pPr>
  </w:style>
  <w:style w:type="paragraph" w:styleId="18">
    <w:name w:val="Document Map"/>
    <w:basedOn w:val="1"/>
    <w:qFormat/>
    <w:uiPriority w:val="0"/>
    <w:rPr>
      <w:rFonts w:ascii="宋体"/>
      <w:sz w:val="18"/>
      <w:szCs w:val="18"/>
    </w:rPr>
  </w:style>
  <w:style w:type="paragraph" w:styleId="19">
    <w:name w:val="annotation text"/>
    <w:basedOn w:val="1"/>
    <w:link w:val="66"/>
    <w:qFormat/>
    <w:uiPriority w:val="99"/>
    <w:pPr>
      <w:adjustRightInd w:val="0"/>
      <w:spacing w:line="315" w:lineRule="atLeast"/>
      <w:jc w:val="left"/>
      <w:textAlignment w:val="baseline"/>
    </w:pPr>
    <w:rPr>
      <w:rFonts w:hAnsi="Tahoma"/>
      <w:sz w:val="21"/>
      <w:szCs w:val="24"/>
    </w:rPr>
  </w:style>
  <w:style w:type="paragraph" w:styleId="20">
    <w:name w:val="Body Text 3"/>
    <w:basedOn w:val="1"/>
    <w:qFormat/>
    <w:uiPriority w:val="0"/>
    <w:pPr>
      <w:spacing w:line="500" w:lineRule="exact"/>
    </w:pPr>
    <w:rPr>
      <w:b/>
      <w:bCs/>
      <w:sz w:val="24"/>
      <w:szCs w:val="24"/>
    </w:rPr>
  </w:style>
  <w:style w:type="paragraph" w:styleId="21">
    <w:name w:val="List Bullet 3"/>
    <w:basedOn w:val="1"/>
    <w:qFormat/>
    <w:uiPriority w:val="0"/>
    <w:pPr>
      <w:numPr>
        <w:ilvl w:val="0"/>
        <w:numId w:val="1"/>
      </w:numPr>
    </w:pPr>
    <w:rPr>
      <w:szCs w:val="24"/>
    </w:rPr>
  </w:style>
  <w:style w:type="paragraph" w:styleId="22">
    <w:name w:val="Body Text Indent"/>
    <w:basedOn w:val="1"/>
    <w:link w:val="67"/>
    <w:qFormat/>
    <w:uiPriority w:val="99"/>
    <w:pPr>
      <w:ind w:firstLine="795"/>
    </w:pPr>
    <w:rPr>
      <w:rFonts w:ascii="Calibri"/>
      <w:kern w:val="2"/>
      <w:sz w:val="32"/>
    </w:rPr>
  </w:style>
  <w:style w:type="paragraph" w:styleId="23">
    <w:name w:val="Block Text"/>
    <w:basedOn w:val="1"/>
    <w:qFormat/>
    <w:uiPriority w:val="0"/>
    <w:pPr>
      <w:spacing w:line="400" w:lineRule="exact"/>
      <w:ind w:left="-359" w:leftChars="-171" w:right="-687" w:rightChars="-327" w:firstLine="720"/>
    </w:pPr>
    <w:rPr>
      <w:rFonts w:ascii="宋体" w:hAnsi="宋体"/>
      <w:sz w:val="28"/>
      <w:szCs w:val="24"/>
    </w:rPr>
  </w:style>
  <w:style w:type="paragraph" w:styleId="24">
    <w:name w:val="List Bullet 2"/>
    <w:basedOn w:val="1"/>
    <w:qFormat/>
    <w:uiPriority w:val="0"/>
    <w:pPr>
      <w:numPr>
        <w:ilvl w:val="0"/>
        <w:numId w:val="2"/>
      </w:numPr>
    </w:pPr>
    <w:rPr>
      <w:szCs w:val="24"/>
    </w:rPr>
  </w:style>
  <w:style w:type="paragraph" w:styleId="25">
    <w:name w:val="toc 5"/>
    <w:basedOn w:val="1"/>
    <w:next w:val="1"/>
    <w:qFormat/>
    <w:uiPriority w:val="0"/>
    <w:pPr>
      <w:ind w:left="1680" w:leftChars="800"/>
    </w:pPr>
  </w:style>
  <w:style w:type="paragraph" w:styleId="26">
    <w:name w:val="toc 3"/>
    <w:basedOn w:val="1"/>
    <w:next w:val="1"/>
    <w:qFormat/>
    <w:uiPriority w:val="39"/>
    <w:pPr>
      <w:ind w:left="840" w:leftChars="400"/>
    </w:pPr>
  </w:style>
  <w:style w:type="paragraph" w:styleId="27">
    <w:name w:val="Plain Text"/>
    <w:basedOn w:val="1"/>
    <w:link w:val="68"/>
    <w:qFormat/>
    <w:uiPriority w:val="0"/>
    <w:pPr>
      <w:spacing w:line="360" w:lineRule="auto"/>
    </w:pPr>
    <w:rPr>
      <w:rFonts w:hAnsi="Courier New"/>
      <w:kern w:val="2"/>
      <w:sz w:val="24"/>
      <w:szCs w:val="24"/>
    </w:rPr>
  </w:style>
  <w:style w:type="paragraph" w:styleId="28">
    <w:name w:val="toc 8"/>
    <w:basedOn w:val="1"/>
    <w:next w:val="1"/>
    <w:qFormat/>
    <w:uiPriority w:val="0"/>
    <w:pPr>
      <w:ind w:left="2940" w:leftChars="1400"/>
    </w:pPr>
  </w:style>
  <w:style w:type="paragraph" w:styleId="29">
    <w:name w:val="Date"/>
    <w:basedOn w:val="1"/>
    <w:next w:val="1"/>
    <w:link w:val="69"/>
    <w:qFormat/>
    <w:uiPriority w:val="0"/>
    <w:rPr>
      <w:rFonts w:ascii="Tahoma" w:hAnsi="Tahoma" w:eastAsia="楷体"/>
      <w:kern w:val="2"/>
      <w:sz w:val="32"/>
      <w:szCs w:val="24"/>
    </w:rPr>
  </w:style>
  <w:style w:type="paragraph" w:styleId="30">
    <w:name w:val="Body Text Indent 2"/>
    <w:basedOn w:val="1"/>
    <w:qFormat/>
    <w:uiPriority w:val="0"/>
    <w:pPr>
      <w:ind w:left="105" w:firstLine="690"/>
    </w:pPr>
    <w:rPr>
      <w:sz w:val="32"/>
    </w:rPr>
  </w:style>
  <w:style w:type="paragraph" w:styleId="31">
    <w:name w:val="Balloon Text"/>
    <w:basedOn w:val="1"/>
    <w:link w:val="70"/>
    <w:qFormat/>
    <w:uiPriority w:val="99"/>
    <w:rPr>
      <w:sz w:val="18"/>
      <w:szCs w:val="18"/>
    </w:rPr>
  </w:style>
  <w:style w:type="paragraph" w:styleId="32">
    <w:name w:val="footer"/>
    <w:basedOn w:val="1"/>
    <w:link w:val="71"/>
    <w:qFormat/>
    <w:uiPriority w:val="99"/>
    <w:pPr>
      <w:tabs>
        <w:tab w:val="center" w:pos="4153"/>
        <w:tab w:val="right" w:pos="8306"/>
      </w:tabs>
      <w:adjustRightInd w:val="0"/>
      <w:spacing w:line="240" w:lineRule="atLeast"/>
      <w:jc w:val="left"/>
      <w:textAlignment w:val="baseline"/>
    </w:pPr>
    <w:rPr>
      <w:rFonts w:ascii="Tahoma" w:hAnsi="Tahoma"/>
      <w:sz w:val="18"/>
      <w:szCs w:val="24"/>
    </w:rPr>
  </w:style>
  <w:style w:type="paragraph" w:styleId="33">
    <w:name w:val="header"/>
    <w:basedOn w:val="1"/>
    <w:next w:val="1"/>
    <w:link w:val="72"/>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24"/>
    </w:rPr>
  </w:style>
  <w:style w:type="paragraph" w:styleId="34">
    <w:name w:val="toc 1"/>
    <w:basedOn w:val="1"/>
    <w:next w:val="1"/>
    <w:qFormat/>
    <w:uiPriority w:val="39"/>
  </w:style>
  <w:style w:type="paragraph" w:styleId="35">
    <w:name w:val="toc 4"/>
    <w:basedOn w:val="1"/>
    <w:next w:val="1"/>
    <w:qFormat/>
    <w:uiPriority w:val="0"/>
    <w:pPr>
      <w:ind w:left="1260" w:leftChars="600"/>
    </w:pPr>
  </w:style>
  <w:style w:type="paragraph" w:styleId="36">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37">
    <w:name w:val="List"/>
    <w:basedOn w:val="1"/>
    <w:qFormat/>
    <w:uiPriority w:val="0"/>
    <w:pPr>
      <w:ind w:left="420" w:hanging="420"/>
    </w:pPr>
  </w:style>
  <w:style w:type="paragraph" w:styleId="38">
    <w:name w:val="toc 6"/>
    <w:basedOn w:val="1"/>
    <w:next w:val="1"/>
    <w:qFormat/>
    <w:uiPriority w:val="0"/>
    <w:pPr>
      <w:ind w:left="2100" w:leftChars="1000"/>
    </w:pPr>
  </w:style>
  <w:style w:type="paragraph" w:styleId="39">
    <w:name w:val="Body Text Indent 3"/>
    <w:basedOn w:val="1"/>
    <w:qFormat/>
    <w:uiPriority w:val="0"/>
    <w:pPr>
      <w:adjustRightInd w:val="0"/>
      <w:spacing w:line="360" w:lineRule="auto"/>
      <w:ind w:left="960"/>
      <w:jc w:val="left"/>
      <w:textAlignment w:val="baseline"/>
    </w:pPr>
    <w:rPr>
      <w:rFonts w:eastAsia="楷体"/>
      <w:kern w:val="0"/>
      <w:sz w:val="24"/>
    </w:rPr>
  </w:style>
  <w:style w:type="paragraph" w:styleId="40">
    <w:name w:val="toc 2"/>
    <w:basedOn w:val="1"/>
    <w:next w:val="1"/>
    <w:qFormat/>
    <w:uiPriority w:val="39"/>
    <w:pPr>
      <w:ind w:left="420" w:leftChars="200"/>
    </w:pPr>
  </w:style>
  <w:style w:type="paragraph" w:styleId="41">
    <w:name w:val="toc 9"/>
    <w:basedOn w:val="1"/>
    <w:next w:val="1"/>
    <w:qFormat/>
    <w:uiPriority w:val="0"/>
    <w:pPr>
      <w:ind w:left="3360" w:leftChars="1600"/>
    </w:pPr>
  </w:style>
  <w:style w:type="paragraph" w:styleId="42">
    <w:name w:val="Body Text 2"/>
    <w:basedOn w:val="1"/>
    <w:qFormat/>
    <w:uiPriority w:val="0"/>
    <w:pPr>
      <w:spacing w:after="120" w:afterLines="0" w:line="480" w:lineRule="auto"/>
    </w:pPr>
    <w:rPr>
      <w:szCs w:val="24"/>
    </w:rPr>
  </w:style>
  <w:style w:type="paragraph" w:styleId="43">
    <w:name w:val="Normal (Web)"/>
    <w:basedOn w:val="1"/>
    <w:qFormat/>
    <w:uiPriority w:val="99"/>
    <w:pPr>
      <w:widowControl/>
      <w:spacing w:before="100" w:beforeLines="0" w:beforeAutospacing="1" w:after="100" w:afterLines="0" w:afterAutospacing="1" w:line="408" w:lineRule="auto"/>
      <w:jc w:val="left"/>
    </w:pPr>
    <w:rPr>
      <w:rFonts w:ascii="Arial" w:hAnsi="Arial" w:cs="Arial"/>
      <w:kern w:val="0"/>
      <w:sz w:val="18"/>
      <w:szCs w:val="18"/>
    </w:rPr>
  </w:style>
  <w:style w:type="paragraph" w:styleId="44">
    <w:name w:val="Title"/>
    <w:basedOn w:val="1"/>
    <w:qFormat/>
    <w:uiPriority w:val="0"/>
    <w:pPr>
      <w:jc w:val="center"/>
    </w:pPr>
    <w:rPr>
      <w:sz w:val="30"/>
      <w:szCs w:val="24"/>
    </w:rPr>
  </w:style>
  <w:style w:type="paragraph" w:styleId="45">
    <w:name w:val="annotation subject"/>
    <w:basedOn w:val="19"/>
    <w:next w:val="1"/>
    <w:link w:val="73"/>
    <w:qFormat/>
    <w:uiPriority w:val="99"/>
    <w:pPr>
      <w:adjustRightInd/>
      <w:spacing w:line="240" w:lineRule="auto"/>
      <w:textAlignment w:val="auto"/>
    </w:pPr>
    <w:rPr>
      <w:b/>
      <w:bCs/>
      <w:kern w:val="2"/>
    </w:rPr>
  </w:style>
  <w:style w:type="paragraph" w:styleId="46">
    <w:name w:val="Body Text First Indent 2"/>
    <w:basedOn w:val="22"/>
    <w:qFormat/>
    <w:uiPriority w:val="0"/>
    <w:pPr>
      <w:spacing w:after="120" w:afterLines="0"/>
      <w:ind w:left="420" w:leftChars="200" w:firstLine="420" w:firstLineChars="200"/>
    </w:pPr>
    <w:rPr>
      <w:sz w:val="21"/>
      <w:szCs w:val="24"/>
    </w:rPr>
  </w:style>
  <w:style w:type="table" w:styleId="48">
    <w:name w:val="Table Grid"/>
    <w:basedOn w:val="47"/>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rFonts w:ascii="Tahoma" w:hAnsi="Tahoma"/>
      <w:b/>
      <w:bCs/>
      <w:sz w:val="24"/>
      <w:szCs w:val="24"/>
    </w:rPr>
  </w:style>
  <w:style w:type="character" w:styleId="51">
    <w:name w:val="page number"/>
    <w:qFormat/>
    <w:uiPriority w:val="0"/>
  </w:style>
  <w:style w:type="character" w:styleId="52">
    <w:name w:val="FollowedHyperlink"/>
    <w:qFormat/>
    <w:uiPriority w:val="0"/>
    <w:rPr>
      <w:rFonts w:ascii="Tahoma" w:hAnsi="Tahoma"/>
      <w:color w:val="800080"/>
      <w:sz w:val="24"/>
      <w:szCs w:val="24"/>
      <w:u w:val="single"/>
    </w:rPr>
  </w:style>
  <w:style w:type="character" w:styleId="53">
    <w:name w:val="Emphasis"/>
    <w:qFormat/>
    <w:uiPriority w:val="0"/>
    <w:rPr>
      <w:rFonts w:ascii="Tahoma" w:hAnsi="Tahoma"/>
      <w:color w:val="CC0000"/>
      <w:sz w:val="24"/>
      <w:szCs w:val="24"/>
    </w:rPr>
  </w:style>
  <w:style w:type="character" w:styleId="54">
    <w:name w:val="HTML Definition"/>
    <w:qFormat/>
    <w:uiPriority w:val="0"/>
    <w:rPr>
      <w:rFonts w:ascii="Tahoma" w:hAnsi="Tahoma"/>
      <w:sz w:val="24"/>
      <w:szCs w:val="24"/>
    </w:rPr>
  </w:style>
  <w:style w:type="character" w:styleId="55">
    <w:name w:val="HTML Variable"/>
    <w:qFormat/>
    <w:uiPriority w:val="0"/>
    <w:rPr>
      <w:rFonts w:ascii="Tahoma" w:hAnsi="Tahoma"/>
      <w:sz w:val="24"/>
      <w:szCs w:val="24"/>
    </w:rPr>
  </w:style>
  <w:style w:type="character" w:styleId="56">
    <w:name w:val="Hyperlink"/>
    <w:qFormat/>
    <w:uiPriority w:val="99"/>
    <w:rPr>
      <w:rFonts w:ascii="Tahoma" w:hAnsi="Tahoma"/>
      <w:color w:val="0000FF"/>
      <w:sz w:val="24"/>
      <w:szCs w:val="24"/>
      <w:u w:val="single"/>
    </w:rPr>
  </w:style>
  <w:style w:type="character" w:styleId="57">
    <w:name w:val="HTML Code"/>
    <w:qFormat/>
    <w:uiPriority w:val="0"/>
    <w:rPr>
      <w:rFonts w:ascii="Courier New" w:hAnsi="Courier New"/>
      <w:sz w:val="20"/>
      <w:szCs w:val="24"/>
    </w:rPr>
  </w:style>
  <w:style w:type="character" w:styleId="58">
    <w:name w:val="annotation reference"/>
    <w:qFormat/>
    <w:uiPriority w:val="99"/>
    <w:rPr>
      <w:rFonts w:ascii="Tahoma" w:hAnsi="Tahoma"/>
      <w:sz w:val="21"/>
      <w:szCs w:val="24"/>
    </w:rPr>
  </w:style>
  <w:style w:type="character" w:styleId="59">
    <w:name w:val="HTML Cite"/>
    <w:qFormat/>
    <w:uiPriority w:val="0"/>
    <w:rPr>
      <w:rFonts w:ascii="Tahoma" w:hAnsi="Tahoma"/>
      <w:sz w:val="24"/>
      <w:szCs w:val="24"/>
    </w:rPr>
  </w:style>
  <w:style w:type="character" w:customStyle="1" w:styleId="60">
    <w:name w:val="标题 2 Char"/>
    <w:qFormat/>
    <w:uiPriority w:val="99"/>
    <w:rPr>
      <w:rFonts w:ascii="Arial" w:hAnsi="Arial" w:eastAsia="黑体"/>
      <w:b/>
      <w:bCs/>
      <w:kern w:val="2"/>
      <w:sz w:val="32"/>
      <w:szCs w:val="32"/>
      <w:lang w:val="en-US" w:eastAsia="zh-CN" w:bidi="ar-SA"/>
    </w:rPr>
  </w:style>
  <w:style w:type="character" w:customStyle="1" w:styleId="61">
    <w:name w:val="标题 3 Char"/>
    <w:qFormat/>
    <w:uiPriority w:val="0"/>
    <w:rPr>
      <w:rFonts w:ascii="Tahoma" w:hAnsi="Tahoma" w:eastAsia="宋体"/>
      <w:b/>
      <w:bCs/>
      <w:kern w:val="2"/>
      <w:sz w:val="32"/>
      <w:szCs w:val="32"/>
      <w:lang w:val="en-US" w:eastAsia="zh-CN" w:bidi="ar-SA"/>
    </w:rPr>
  </w:style>
  <w:style w:type="character" w:customStyle="1" w:styleId="62">
    <w:name w:val="标题 1 字符"/>
    <w:link w:val="5"/>
    <w:qFormat/>
    <w:uiPriority w:val="0"/>
    <w:rPr>
      <w:rFonts w:ascii="Tahoma" w:hAnsi="Tahoma" w:eastAsia="仿宋"/>
      <w:b/>
      <w:bCs/>
      <w:kern w:val="44"/>
      <w:sz w:val="36"/>
      <w:szCs w:val="44"/>
      <w:lang w:val="en-US" w:eastAsia="zh-CN" w:bidi="ar-SA"/>
    </w:rPr>
  </w:style>
  <w:style w:type="character" w:customStyle="1" w:styleId="63">
    <w:name w:val="标题 2 字符"/>
    <w:link w:val="6"/>
    <w:qFormat/>
    <w:uiPriority w:val="0"/>
    <w:rPr>
      <w:rFonts w:ascii="Arial" w:hAnsi="Arial" w:eastAsia="黑体"/>
      <w:b/>
      <w:bCs/>
      <w:kern w:val="2"/>
      <w:sz w:val="32"/>
      <w:szCs w:val="32"/>
      <w:lang w:val="en-US" w:eastAsia="zh-CN" w:bidi="ar-SA"/>
    </w:rPr>
  </w:style>
  <w:style w:type="character" w:customStyle="1" w:styleId="64">
    <w:name w:val="标题 3 字符"/>
    <w:link w:val="7"/>
    <w:qFormat/>
    <w:uiPriority w:val="0"/>
    <w:rPr>
      <w:rFonts w:ascii="Tahoma" w:hAnsi="Tahoma" w:eastAsia="宋体"/>
      <w:b/>
      <w:bCs/>
      <w:kern w:val="2"/>
      <w:sz w:val="32"/>
      <w:szCs w:val="32"/>
      <w:lang w:val="en-US" w:eastAsia="zh-CN" w:bidi="ar-SA"/>
    </w:rPr>
  </w:style>
  <w:style w:type="character" w:customStyle="1" w:styleId="65">
    <w:name w:val="正文缩进 字符"/>
    <w:link w:val="16"/>
    <w:qFormat/>
    <w:uiPriority w:val="0"/>
    <w:rPr>
      <w:rFonts w:eastAsia="宋体"/>
      <w:kern w:val="2"/>
      <w:sz w:val="21"/>
      <w:lang w:val="en-US" w:eastAsia="zh-CN" w:bidi="ar-SA"/>
    </w:rPr>
  </w:style>
  <w:style w:type="character" w:customStyle="1" w:styleId="66">
    <w:name w:val="批注文字 字符"/>
    <w:link w:val="19"/>
    <w:qFormat/>
    <w:uiPriority w:val="99"/>
    <w:rPr>
      <w:rFonts w:ascii="宋体" w:hAnsi="Tahoma"/>
      <w:sz w:val="21"/>
      <w:szCs w:val="24"/>
    </w:rPr>
  </w:style>
  <w:style w:type="character" w:customStyle="1" w:styleId="67">
    <w:name w:val="正文文本缩进 字符"/>
    <w:link w:val="22"/>
    <w:qFormat/>
    <w:locked/>
    <w:uiPriority w:val="99"/>
    <w:rPr>
      <w:rFonts w:eastAsia="宋体"/>
      <w:kern w:val="2"/>
      <w:sz w:val="32"/>
      <w:lang w:val="en-US" w:eastAsia="zh-CN" w:bidi="ar-SA"/>
    </w:rPr>
  </w:style>
  <w:style w:type="character" w:customStyle="1" w:styleId="68">
    <w:name w:val="纯文本 字符"/>
    <w:link w:val="27"/>
    <w:qFormat/>
    <w:uiPriority w:val="0"/>
    <w:rPr>
      <w:rFonts w:ascii="宋体" w:hAnsi="Courier New" w:eastAsia="宋体"/>
      <w:kern w:val="2"/>
      <w:sz w:val="24"/>
      <w:szCs w:val="24"/>
      <w:lang w:val="en-US" w:eastAsia="zh-CN" w:bidi="ar-SA"/>
    </w:rPr>
  </w:style>
  <w:style w:type="character" w:customStyle="1" w:styleId="69">
    <w:name w:val="日期 字符"/>
    <w:link w:val="29"/>
    <w:qFormat/>
    <w:uiPriority w:val="0"/>
    <w:rPr>
      <w:rFonts w:ascii="Tahoma" w:hAnsi="Tahoma" w:eastAsia="楷体"/>
      <w:kern w:val="2"/>
      <w:sz w:val="32"/>
      <w:szCs w:val="24"/>
      <w:lang w:val="en-US" w:eastAsia="zh-CN" w:bidi="ar-SA"/>
    </w:rPr>
  </w:style>
  <w:style w:type="character" w:customStyle="1" w:styleId="70">
    <w:name w:val="批注框文本 字符"/>
    <w:link w:val="31"/>
    <w:qFormat/>
    <w:uiPriority w:val="99"/>
    <w:rPr>
      <w:rFonts w:ascii="宋体"/>
      <w:sz w:val="18"/>
      <w:szCs w:val="18"/>
    </w:rPr>
  </w:style>
  <w:style w:type="character" w:customStyle="1" w:styleId="71">
    <w:name w:val="页脚 字符"/>
    <w:link w:val="32"/>
    <w:qFormat/>
    <w:uiPriority w:val="99"/>
    <w:rPr>
      <w:rFonts w:ascii="Tahoma" w:hAnsi="Tahoma"/>
      <w:sz w:val="18"/>
      <w:szCs w:val="24"/>
    </w:rPr>
  </w:style>
  <w:style w:type="character" w:customStyle="1" w:styleId="72">
    <w:name w:val="页眉 字符"/>
    <w:link w:val="33"/>
    <w:qFormat/>
    <w:uiPriority w:val="99"/>
    <w:rPr>
      <w:rFonts w:ascii="Tahoma" w:hAnsi="Tahoma"/>
      <w:sz w:val="18"/>
      <w:szCs w:val="24"/>
    </w:rPr>
  </w:style>
  <w:style w:type="character" w:customStyle="1" w:styleId="73">
    <w:name w:val="批注主题 字符"/>
    <w:link w:val="45"/>
    <w:qFormat/>
    <w:uiPriority w:val="99"/>
    <w:rPr>
      <w:rFonts w:ascii="宋体" w:hAnsi="Tahoma"/>
      <w:b/>
      <w:bCs/>
      <w:kern w:val="2"/>
      <w:sz w:val="21"/>
      <w:szCs w:val="24"/>
    </w:rPr>
  </w:style>
  <w:style w:type="character" w:customStyle="1" w:styleId="74">
    <w:name w:val="font121"/>
    <w:qFormat/>
    <w:uiPriority w:val="0"/>
    <w:rPr>
      <w:rFonts w:hint="default" w:ascii="Tahoma" w:hAnsi="Tahoma" w:eastAsia="Tahoma" w:cs="Tahoma"/>
      <w:color w:val="000000"/>
      <w:sz w:val="20"/>
      <w:szCs w:val="20"/>
      <w:u w:val="none"/>
    </w:rPr>
  </w:style>
  <w:style w:type="character" w:customStyle="1" w:styleId="75">
    <w:name w:val="modifier"/>
    <w:qFormat/>
    <w:uiPriority w:val="0"/>
    <w:rPr>
      <w:rFonts w:ascii="Tahoma" w:hAnsi="Tahoma"/>
      <w:color w:val="FF0000"/>
      <w:sz w:val="24"/>
      <w:szCs w:val="24"/>
    </w:rPr>
  </w:style>
  <w:style w:type="character" w:customStyle="1" w:styleId="76">
    <w:name w:val=" Char Char"/>
    <w:qFormat/>
    <w:uiPriority w:val="0"/>
    <w:rPr>
      <w:rFonts w:ascii="宋体" w:hAnsi="Tahoma"/>
      <w:kern w:val="2"/>
      <w:sz w:val="18"/>
      <w:szCs w:val="18"/>
    </w:rPr>
  </w:style>
  <w:style w:type="character" w:customStyle="1" w:styleId="77">
    <w:name w:val="Char Char1"/>
    <w:qFormat/>
    <w:uiPriority w:val="0"/>
    <w:rPr>
      <w:rFonts w:ascii="宋体" w:hAnsi="Courier New" w:eastAsia="宋体"/>
      <w:kern w:val="2"/>
      <w:sz w:val="24"/>
      <w:szCs w:val="24"/>
      <w:lang w:val="en-US" w:eastAsia="zh-CN" w:bidi="ar-SA"/>
    </w:rPr>
  </w:style>
  <w:style w:type="character" w:customStyle="1" w:styleId="78">
    <w:name w:val="纯文本 Char Char1"/>
    <w:qFormat/>
    <w:uiPriority w:val="0"/>
    <w:rPr>
      <w:rFonts w:ascii="宋体" w:hAnsi="Tms Rmn" w:eastAsia="宋体" w:cs="宋体"/>
      <w:sz w:val="21"/>
      <w:szCs w:val="21"/>
      <w:lang w:val="en-US" w:eastAsia="zh-CN" w:bidi="ar-SA"/>
    </w:rPr>
  </w:style>
  <w:style w:type="character" w:customStyle="1" w:styleId="79">
    <w:name w:val="1.1.1样式 Char"/>
    <w:link w:val="80"/>
    <w:qFormat/>
    <w:uiPriority w:val="0"/>
    <w:rPr>
      <w:rFonts w:ascii="宋体" w:hAnsi="宋体" w:eastAsia="宋体"/>
      <w:sz w:val="24"/>
      <w:szCs w:val="24"/>
      <w:lang w:bidi="ar-SA"/>
    </w:rPr>
  </w:style>
  <w:style w:type="paragraph" w:customStyle="1" w:styleId="80">
    <w:name w:val="1.1.1样式"/>
    <w:basedOn w:val="1"/>
    <w:link w:val="79"/>
    <w:qFormat/>
    <w:uiPriority w:val="0"/>
    <w:pPr>
      <w:tabs>
        <w:tab w:val="left" w:pos="720"/>
      </w:tabs>
      <w:spacing w:line="360" w:lineRule="auto"/>
      <w:ind w:left="720" w:hanging="720"/>
    </w:pPr>
    <w:rPr>
      <w:rFonts w:hAnsi="宋体"/>
      <w:sz w:val="24"/>
      <w:szCs w:val="24"/>
    </w:rPr>
  </w:style>
  <w:style w:type="character" w:customStyle="1" w:styleId="81">
    <w:name w:val="text1"/>
    <w:qFormat/>
    <w:uiPriority w:val="0"/>
  </w:style>
  <w:style w:type="character" w:customStyle="1" w:styleId="82">
    <w:name w:val=" Char Char2"/>
    <w:qFormat/>
    <w:uiPriority w:val="0"/>
    <w:rPr>
      <w:rFonts w:ascii="Tahoma" w:hAnsi="Tahoma"/>
      <w:kern w:val="2"/>
      <w:sz w:val="18"/>
      <w:szCs w:val="18"/>
    </w:rPr>
  </w:style>
  <w:style w:type="character" w:customStyle="1" w:styleId="83">
    <w:name w:val="maywed421"/>
    <w:qFormat/>
    <w:uiPriority w:val="0"/>
    <w:rPr>
      <w:rFonts w:ascii="Tahoma" w:hAnsi="Tahoma"/>
      <w:color w:val="366FB6"/>
      <w:sz w:val="24"/>
      <w:szCs w:val="24"/>
      <w:u w:val="none"/>
    </w:rPr>
  </w:style>
  <w:style w:type="character" w:customStyle="1" w:styleId="84">
    <w:name w:val="标题 3 Char Char Char"/>
    <w:qFormat/>
    <w:uiPriority w:val="0"/>
    <w:rPr>
      <w:rFonts w:ascii="Tahoma" w:hAnsi="Tahoma" w:eastAsia="宋体"/>
      <w:b/>
      <w:kern w:val="2"/>
      <w:sz w:val="32"/>
      <w:szCs w:val="24"/>
      <w:lang w:val="en-US" w:eastAsia="zh-CN" w:bidi="ar-SA"/>
    </w:rPr>
  </w:style>
  <w:style w:type="character" w:customStyle="1" w:styleId="85">
    <w:name w:val="纯文本 Char1"/>
    <w:qFormat/>
    <w:uiPriority w:val="0"/>
    <w:rPr>
      <w:rFonts w:ascii="宋体" w:hAnsi="Courier New"/>
      <w:kern w:val="2"/>
      <w:sz w:val="21"/>
      <w:szCs w:val="24"/>
    </w:rPr>
  </w:style>
  <w:style w:type="character" w:customStyle="1" w:styleId="86">
    <w:name w:val="Heading 2 Hidden Char"/>
    <w:qFormat/>
    <w:uiPriority w:val="0"/>
    <w:rPr>
      <w:rFonts w:ascii="Arial" w:hAnsi="Arial" w:eastAsia="黑体"/>
      <w:b/>
      <w:bCs/>
      <w:kern w:val="2"/>
      <w:sz w:val="32"/>
      <w:szCs w:val="32"/>
      <w:lang w:val="en-US" w:eastAsia="zh-CN" w:bidi="ar-SA"/>
    </w:rPr>
  </w:style>
  <w:style w:type="character" w:customStyle="1" w:styleId="87">
    <w:name w:val="font51"/>
    <w:qFormat/>
    <w:uiPriority w:val="0"/>
    <w:rPr>
      <w:rFonts w:hint="eastAsia" w:ascii="宋体" w:hAnsi="宋体" w:eastAsia="宋体" w:cs="宋体"/>
      <w:b/>
      <w:color w:val="000000"/>
      <w:sz w:val="20"/>
      <w:szCs w:val="20"/>
      <w:u w:val="none"/>
    </w:rPr>
  </w:style>
  <w:style w:type="character" w:customStyle="1" w:styleId="88">
    <w:name w:val="正文缩进 Char"/>
    <w:qFormat/>
    <w:uiPriority w:val="99"/>
    <w:rPr>
      <w:rFonts w:ascii="Tahoma" w:hAnsi="Tahoma" w:eastAsia="宋体"/>
      <w:kern w:val="2"/>
      <w:sz w:val="21"/>
      <w:szCs w:val="24"/>
      <w:lang w:val="en-US" w:eastAsia="zh-CN" w:bidi="ar-SA"/>
    </w:rPr>
  </w:style>
  <w:style w:type="character" w:customStyle="1" w:styleId="89">
    <w:name w:val="ca-2"/>
    <w:qFormat/>
    <w:uiPriority w:val="0"/>
  </w:style>
  <w:style w:type="character" w:customStyle="1" w:styleId="90">
    <w:name w:val="ca-111"/>
    <w:qFormat/>
    <w:uiPriority w:val="0"/>
    <w:rPr>
      <w:rFonts w:hint="eastAsia" w:ascii="宋体" w:hAnsi="宋体" w:eastAsia="宋体"/>
      <w:color w:val="000000"/>
      <w:sz w:val="24"/>
      <w:szCs w:val="24"/>
    </w:rPr>
  </w:style>
  <w:style w:type="character" w:customStyle="1" w:styleId="91">
    <w:name w:val="ca-161"/>
    <w:qFormat/>
    <w:uiPriority w:val="0"/>
    <w:rPr>
      <w:rFonts w:ascii="宋体" w:hAnsi="宋体" w:eastAsia="宋体"/>
      <w:sz w:val="22"/>
      <w:szCs w:val="24"/>
    </w:rPr>
  </w:style>
  <w:style w:type="character" w:customStyle="1" w:styleId="92">
    <w:name w:val="img"/>
    <w:qFormat/>
    <w:uiPriority w:val="0"/>
  </w:style>
  <w:style w:type="character" w:customStyle="1" w:styleId="93">
    <w:name w:val="ca-1"/>
    <w:qFormat/>
    <w:uiPriority w:val="0"/>
  </w:style>
  <w:style w:type="character" w:customStyle="1" w:styleId="94">
    <w:name w:val="表正文 Char1"/>
    <w:qFormat/>
    <w:uiPriority w:val="0"/>
    <w:rPr>
      <w:rFonts w:eastAsia="宋体"/>
      <w:kern w:val="2"/>
      <w:sz w:val="21"/>
      <w:lang w:val="en-US" w:eastAsia="zh-CN" w:bidi="ar-SA"/>
    </w:rPr>
  </w:style>
  <w:style w:type="character" w:customStyle="1" w:styleId="95">
    <w:name w:val="批注文字 Char1"/>
    <w:qFormat/>
    <w:locked/>
    <w:uiPriority w:val="99"/>
    <w:rPr>
      <w:rFonts w:ascii="Times New Roman" w:hAnsi="Times New Roman" w:eastAsia="宋体" w:cs="Times New Roman"/>
      <w:sz w:val="24"/>
      <w:szCs w:val="24"/>
    </w:rPr>
  </w:style>
  <w:style w:type="character" w:customStyle="1" w:styleId="96">
    <w:name w:val="unnamed31"/>
    <w:qFormat/>
    <w:uiPriority w:val="0"/>
    <w:rPr>
      <w:rFonts w:ascii="Tahoma" w:hAnsi="Tahoma"/>
      <w:sz w:val="22"/>
      <w:szCs w:val="22"/>
    </w:rPr>
  </w:style>
  <w:style w:type="character" w:customStyle="1" w:styleId="97">
    <w:name w:val="Plain Text Char"/>
    <w:qFormat/>
    <w:locked/>
    <w:uiPriority w:val="0"/>
    <w:rPr>
      <w:rFonts w:ascii="宋体" w:hAnsi="Courier New" w:eastAsia="宋体" w:cs="Courier New"/>
      <w:kern w:val="2"/>
      <w:sz w:val="21"/>
      <w:szCs w:val="21"/>
      <w:lang w:val="en-US" w:eastAsia="zh-CN" w:bidi="ar-SA"/>
    </w:rPr>
  </w:style>
  <w:style w:type="character" w:customStyle="1" w:styleId="98">
    <w:name w:val="style91"/>
    <w:qFormat/>
    <w:uiPriority w:val="0"/>
    <w:rPr>
      <w:rFonts w:ascii="Tahoma" w:hAnsi="Tahoma"/>
      <w:sz w:val="24"/>
      <w:szCs w:val="24"/>
    </w:rPr>
  </w:style>
  <w:style w:type="character" w:customStyle="1" w:styleId="99">
    <w:name w:val="abcde1"/>
    <w:qFormat/>
    <w:uiPriority w:val="0"/>
  </w:style>
  <w:style w:type="character" w:customStyle="1" w:styleId="100">
    <w:name w:val="ca-181"/>
    <w:qFormat/>
    <w:uiPriority w:val="0"/>
    <w:rPr>
      <w:rFonts w:ascii="宋体" w:hAnsi="宋体" w:eastAsia="宋体"/>
      <w:color w:val="000000"/>
      <w:spacing w:val="0"/>
      <w:sz w:val="22"/>
      <w:szCs w:val="24"/>
    </w:rPr>
  </w:style>
  <w:style w:type="character" w:customStyle="1" w:styleId="101">
    <w:name w:val="ca-131"/>
    <w:qFormat/>
    <w:uiPriority w:val="0"/>
    <w:rPr>
      <w:rFonts w:ascii="宋体" w:hAnsi="宋体" w:eastAsia="宋体"/>
      <w:sz w:val="24"/>
      <w:szCs w:val="24"/>
    </w:rPr>
  </w:style>
  <w:style w:type="character" w:customStyle="1" w:styleId="102">
    <w:name w:val=" Char Char9"/>
    <w:qFormat/>
    <w:uiPriority w:val="0"/>
    <w:rPr>
      <w:rFonts w:eastAsia="宋体"/>
      <w:kern w:val="2"/>
      <w:sz w:val="21"/>
      <w:lang w:val="en-US" w:eastAsia="zh-CN" w:bidi="ar-SA"/>
    </w:rPr>
  </w:style>
  <w:style w:type="character" w:customStyle="1" w:styleId="103">
    <w:name w:val="font31"/>
    <w:qFormat/>
    <w:uiPriority w:val="99"/>
    <w:rPr>
      <w:rFonts w:ascii="仿宋_GB2312" w:eastAsia="仿宋_GB2312" w:cs="仿宋_GB2312"/>
      <w:color w:val="000000"/>
      <w:sz w:val="30"/>
      <w:szCs w:val="30"/>
      <w:u w:val="none"/>
    </w:rPr>
  </w:style>
  <w:style w:type="character" w:customStyle="1" w:styleId="104">
    <w:name w:val="PI Char"/>
    <w:qFormat/>
    <w:uiPriority w:val="0"/>
    <w:rPr>
      <w:rFonts w:ascii="楷体_GB2312" w:hAnsi="宋体" w:eastAsia="楷体_GB2312"/>
      <w:sz w:val="28"/>
      <w:szCs w:val="28"/>
      <w:lang w:val="en-US" w:eastAsia="zh-CN" w:bidi="ar-SA"/>
    </w:rPr>
  </w:style>
  <w:style w:type="character" w:customStyle="1" w:styleId="105">
    <w:name w:val="11-a-a"/>
    <w:qFormat/>
    <w:uiPriority w:val="0"/>
  </w:style>
  <w:style w:type="character" w:customStyle="1" w:styleId="106">
    <w:name w:val=" Char Char5"/>
    <w:qFormat/>
    <w:uiPriority w:val="0"/>
    <w:rPr>
      <w:rFonts w:ascii="Tahoma" w:hAnsi="Tahoma"/>
      <w:kern w:val="2"/>
      <w:sz w:val="18"/>
      <w:szCs w:val="18"/>
    </w:rPr>
  </w:style>
  <w:style w:type="character" w:customStyle="1" w:styleId="107">
    <w:name w:val=" Char Char10"/>
    <w:qFormat/>
    <w:uiPriority w:val="0"/>
    <w:rPr>
      <w:rFonts w:ascii="宋体" w:hAnsi="Courier New" w:eastAsia="宋体"/>
      <w:kern w:val="2"/>
      <w:sz w:val="24"/>
      <w:szCs w:val="24"/>
      <w:lang w:val="en-US" w:eastAsia="zh-CN" w:bidi="ar-SA"/>
    </w:rPr>
  </w:style>
  <w:style w:type="character" w:customStyle="1" w:styleId="108">
    <w:name w:val="正文首行缩进两字符 Char"/>
    <w:qFormat/>
    <w:uiPriority w:val="0"/>
    <w:rPr>
      <w:rFonts w:ascii="Tahoma" w:hAnsi="Tahoma" w:eastAsia="宋体"/>
      <w:kern w:val="2"/>
      <w:sz w:val="21"/>
      <w:szCs w:val="24"/>
      <w:lang w:val="en-US" w:eastAsia="zh-CN" w:bidi="ar-SA"/>
    </w:rPr>
  </w:style>
  <w:style w:type="character" w:customStyle="1" w:styleId="109">
    <w:name w:val=" Char Char4"/>
    <w:qFormat/>
    <w:uiPriority w:val="0"/>
    <w:rPr>
      <w:rFonts w:ascii="Tahoma" w:hAnsi="Tahoma"/>
      <w:kern w:val="2"/>
      <w:sz w:val="18"/>
      <w:szCs w:val="18"/>
    </w:rPr>
  </w:style>
  <w:style w:type="character" w:customStyle="1" w:styleId="110">
    <w:name w:val=" Char Char8"/>
    <w:qFormat/>
    <w:locked/>
    <w:uiPriority w:val="0"/>
    <w:rPr>
      <w:rFonts w:eastAsia="宋体"/>
      <w:kern w:val="2"/>
      <w:sz w:val="32"/>
      <w:lang w:val="en-US" w:eastAsia="zh-CN" w:bidi="ar-SA"/>
    </w:rPr>
  </w:style>
  <w:style w:type="character" w:customStyle="1" w:styleId="111">
    <w:name w:val="font01"/>
    <w:qFormat/>
    <w:uiPriority w:val="99"/>
    <w:rPr>
      <w:rFonts w:ascii="仿宋_GB2312" w:eastAsia="仿宋_GB2312" w:cs="仿宋_GB2312"/>
      <w:color w:val="000000"/>
      <w:sz w:val="24"/>
      <w:szCs w:val="24"/>
      <w:u w:val="none"/>
    </w:rPr>
  </w:style>
  <w:style w:type="character" w:customStyle="1" w:styleId="112">
    <w:name w:val="h3 Char"/>
    <w:qFormat/>
    <w:uiPriority w:val="0"/>
    <w:rPr>
      <w:rFonts w:ascii="Tahoma" w:hAnsi="Tahoma" w:eastAsia="宋体"/>
      <w:kern w:val="2"/>
      <w:sz w:val="24"/>
      <w:szCs w:val="24"/>
      <w:lang w:val="en-US" w:eastAsia="zh-CN" w:bidi="ar-SA"/>
    </w:rPr>
  </w:style>
  <w:style w:type="character" w:customStyle="1" w:styleId="113">
    <w:name w:val=" Char Char1"/>
    <w:qFormat/>
    <w:uiPriority w:val="0"/>
    <w:rPr>
      <w:rFonts w:ascii="Tahoma" w:hAnsi="Tahoma"/>
      <w:kern w:val="2"/>
      <w:sz w:val="18"/>
      <w:szCs w:val="18"/>
    </w:rPr>
  </w:style>
  <w:style w:type="character" w:customStyle="1" w:styleId="114">
    <w:name w:val="Para head"/>
    <w:qFormat/>
    <w:uiPriority w:val="0"/>
    <w:rPr>
      <w:rFonts w:ascii="Arial" w:hAnsi="Arial" w:eastAsia="Times New Roman"/>
      <w:sz w:val="20"/>
      <w:szCs w:val="24"/>
    </w:rPr>
  </w:style>
  <w:style w:type="character" w:customStyle="1" w:styleId="115">
    <w:name w:val="font101"/>
    <w:qFormat/>
    <w:uiPriority w:val="0"/>
    <w:rPr>
      <w:rFonts w:hint="default" w:ascii="Tahoma" w:hAnsi="Tahoma" w:eastAsia="Tahoma" w:cs="Tahoma"/>
      <w:color w:val="000000"/>
      <w:sz w:val="20"/>
      <w:szCs w:val="20"/>
      <w:u w:val="none"/>
    </w:rPr>
  </w:style>
  <w:style w:type="character" w:customStyle="1" w:styleId="116">
    <w:name w:val="style181"/>
    <w:qFormat/>
    <w:uiPriority w:val="0"/>
    <w:rPr>
      <w:rFonts w:ascii="Tahoma" w:hAnsi="Tahoma"/>
      <w:sz w:val="18"/>
      <w:szCs w:val="18"/>
    </w:rPr>
  </w:style>
  <w:style w:type="character" w:customStyle="1" w:styleId="117">
    <w:name w:val="正文文本缩进 Char1"/>
    <w:qFormat/>
    <w:uiPriority w:val="99"/>
    <w:rPr>
      <w:kern w:val="2"/>
      <w:sz w:val="24"/>
      <w:szCs w:val="24"/>
    </w:rPr>
  </w:style>
  <w:style w:type="character" w:customStyle="1" w:styleId="118">
    <w:name w:val="font41"/>
    <w:qFormat/>
    <w:uiPriority w:val="99"/>
    <w:rPr>
      <w:rFonts w:ascii="Arial" w:hAnsi="Arial" w:cs="Arial"/>
      <w:color w:val="000000"/>
      <w:sz w:val="24"/>
      <w:szCs w:val="24"/>
      <w:u w:val="none"/>
    </w:rPr>
  </w:style>
  <w:style w:type="character" w:customStyle="1" w:styleId="119">
    <w:name w:val="label"/>
    <w:qFormat/>
    <w:uiPriority w:val="0"/>
    <w:rPr>
      <w:rFonts w:ascii="Tahoma" w:hAnsi="Tahoma"/>
      <w:color w:val="555555"/>
      <w:sz w:val="24"/>
      <w:szCs w:val="24"/>
    </w:rPr>
  </w:style>
  <w:style w:type="character" w:customStyle="1" w:styleId="120">
    <w:name w:val="textnorm_chn1"/>
    <w:qFormat/>
    <w:uiPriority w:val="0"/>
    <w:rPr>
      <w:rFonts w:hint="default" w:ascii="Arial" w:hAnsi="Arial" w:cs="Arial"/>
      <w:color w:val="21254A"/>
      <w:sz w:val="22"/>
      <w:szCs w:val="22"/>
    </w:rPr>
  </w:style>
  <w:style w:type="character" w:customStyle="1" w:styleId="121">
    <w:name w:val="img1"/>
    <w:qFormat/>
    <w:uiPriority w:val="0"/>
  </w:style>
  <w:style w:type="character" w:customStyle="1" w:styleId="122">
    <w:name w:val="apple-style-span"/>
    <w:qFormat/>
    <w:uiPriority w:val="0"/>
    <w:rPr>
      <w:rFonts w:ascii="Times New Roman" w:hAnsi="Tahoma" w:eastAsia="宋体"/>
      <w:color w:val="000000"/>
      <w:spacing w:val="0"/>
      <w:w w:val="100"/>
      <w:sz w:val="21"/>
      <w:szCs w:val="24"/>
      <w:u w:val="none" w:color="000000"/>
      <w:vertAlign w:val="baseline"/>
      <w:lang w:val="en-US" w:eastAsia="zh-CN"/>
    </w:rPr>
  </w:style>
  <w:style w:type="character" w:customStyle="1" w:styleId="123">
    <w:name w:val="text"/>
    <w:qFormat/>
    <w:uiPriority w:val="0"/>
  </w:style>
  <w:style w:type="character" w:customStyle="1" w:styleId="124">
    <w:name w:val="font21"/>
    <w:qFormat/>
    <w:uiPriority w:val="0"/>
    <w:rPr>
      <w:rFonts w:hint="default" w:ascii="方正仿宋_GBK" w:hAnsi="方正仿宋_GBK" w:eastAsia="方正仿宋_GBK" w:cs="方正仿宋_GBK"/>
      <w:color w:val="000000"/>
      <w:sz w:val="22"/>
      <w:szCs w:val="22"/>
      <w:u w:val="none"/>
    </w:rPr>
  </w:style>
  <w:style w:type="paragraph" w:customStyle="1" w:styleId="125">
    <w:name w:val="xl56"/>
    <w:basedOn w:val="1"/>
    <w:qFormat/>
    <w:uiPriority w:val="0"/>
    <w:pPr>
      <w:widowControl/>
      <w:pBdr>
        <w:left w:val="single" w:color="auto" w:sz="4" w:space="0"/>
        <w:bottom w:val="single" w:color="auto" w:sz="8" w:space="0"/>
        <w:right w:val="single" w:color="auto" w:sz="4" w:space="0"/>
      </w:pBdr>
      <w:spacing w:before="100" w:beforeLines="0" w:beforeAutospacing="1" w:after="100" w:afterLines="0" w:afterAutospacing="1"/>
      <w:jc w:val="right"/>
      <w:textAlignment w:val="center"/>
    </w:pPr>
    <w:rPr>
      <w:kern w:val="0"/>
      <w:szCs w:val="21"/>
    </w:rPr>
  </w:style>
  <w:style w:type="paragraph" w:customStyle="1" w:styleId="126">
    <w:name w:val="表格"/>
    <w:basedOn w:val="1"/>
    <w:qFormat/>
    <w:uiPriority w:val="0"/>
    <w:pPr>
      <w:spacing w:line="400" w:lineRule="exact"/>
    </w:pPr>
    <w:rPr>
      <w:sz w:val="24"/>
      <w:szCs w:val="24"/>
    </w:rPr>
  </w:style>
  <w:style w:type="paragraph" w:customStyle="1" w:styleId="127">
    <w:name w:val="样式2"/>
    <w:basedOn w:val="1"/>
    <w:qFormat/>
    <w:uiPriority w:val="0"/>
    <w:pPr>
      <w:adjustRightInd w:val="0"/>
      <w:spacing w:line="410" w:lineRule="atLeast"/>
      <w:textAlignment w:val="baseline"/>
    </w:pPr>
    <w:rPr>
      <w:kern w:val="0"/>
      <w:sz w:val="24"/>
    </w:rPr>
  </w:style>
  <w:style w:type="paragraph" w:customStyle="1" w:styleId="128">
    <w:name w:val="List Paragraph1"/>
    <w:basedOn w:val="1"/>
    <w:qFormat/>
    <w:uiPriority w:val="99"/>
    <w:pPr>
      <w:ind w:firstLine="420" w:firstLineChars="200"/>
    </w:pPr>
  </w:style>
  <w:style w:type="paragraph" w:customStyle="1" w:styleId="129">
    <w:name w:val="(符号)四标题1.1"/>
    <w:basedOn w:val="1"/>
    <w:qFormat/>
    <w:uiPriority w:val="0"/>
    <w:pPr>
      <w:numPr>
        <w:ilvl w:val="1"/>
        <w:numId w:val="3"/>
      </w:numPr>
      <w:tabs>
        <w:tab w:val="left" w:pos="425"/>
      </w:tabs>
      <w:spacing w:line="500" w:lineRule="exact"/>
    </w:pPr>
    <w:rPr>
      <w:rFonts w:ascii="宋体" w:hAnsi="宋体"/>
      <w:color w:val="000000"/>
      <w:kern w:val="0"/>
      <w:sz w:val="24"/>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Arial Unicode MS"/>
      <w:b/>
      <w:bCs/>
      <w:color w:val="000000"/>
      <w:kern w:val="0"/>
      <w:sz w:val="20"/>
    </w:rPr>
  </w:style>
  <w:style w:type="paragraph" w:customStyle="1" w:styleId="131">
    <w:name w:val="font10"/>
    <w:basedOn w:val="1"/>
    <w:qFormat/>
    <w:uiPriority w:val="0"/>
    <w:pPr>
      <w:widowControl/>
      <w:spacing w:before="100" w:beforeLines="0" w:beforeAutospacing="1" w:after="100" w:afterLines="0" w:afterAutospacing="1"/>
      <w:jc w:val="left"/>
    </w:pPr>
    <w:rPr>
      <w:rFonts w:hint="eastAsia" w:ascii="宋体" w:hAnsi="宋体"/>
      <w:kern w:val="0"/>
      <w:sz w:val="20"/>
    </w:rPr>
  </w:style>
  <w:style w:type="paragraph" w:customStyle="1" w:styleId="132">
    <w:name w:val="Body Text 2"/>
    <w:basedOn w:val="1"/>
    <w:qFormat/>
    <w:uiPriority w:val="0"/>
    <w:pPr>
      <w:adjustRightInd w:val="0"/>
      <w:spacing w:line="300" w:lineRule="auto"/>
      <w:jc w:val="center"/>
      <w:textAlignment w:val="baseline"/>
    </w:pPr>
    <w:rPr>
      <w:rFonts w:ascii="宋体" w:hAnsi="宋体"/>
      <w:sz w:val="24"/>
    </w:rPr>
  </w:style>
  <w:style w:type="paragraph" w:customStyle="1" w:styleId="13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3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Arial Unicode MS"/>
      <w:color w:val="000000"/>
      <w:kern w:val="0"/>
      <w:sz w:val="22"/>
      <w:szCs w:val="22"/>
    </w:rPr>
  </w:style>
  <w:style w:type="paragraph" w:customStyle="1" w:styleId="136">
    <w:name w:val=" Char2 Char Char Char"/>
    <w:basedOn w:val="1"/>
    <w:qFormat/>
    <w:uiPriority w:val="0"/>
    <w:rPr>
      <w:rFonts w:ascii="仿宋_GB2312" w:eastAsia="仿宋_GB2312"/>
      <w:b/>
      <w:sz w:val="32"/>
      <w:szCs w:val="32"/>
    </w:rPr>
  </w:style>
  <w:style w:type="paragraph" w:customStyle="1" w:styleId="137">
    <w:name w:val="pa-2"/>
    <w:basedOn w:val="1"/>
    <w:qFormat/>
    <w:uiPriority w:val="0"/>
    <w:pPr>
      <w:widowControl/>
      <w:spacing w:before="150" w:after="150"/>
      <w:jc w:val="left"/>
    </w:pPr>
    <w:rPr>
      <w:rFonts w:ascii="宋体" w:hAnsi="宋体" w:cs="宋体"/>
      <w:kern w:val="0"/>
      <w:sz w:val="24"/>
    </w:rPr>
  </w:style>
  <w:style w:type="paragraph" w:customStyle="1" w:styleId="13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Arial Unicode MS"/>
      <w:color w:val="000000"/>
      <w:kern w:val="0"/>
      <w:sz w:val="20"/>
    </w:rPr>
  </w:style>
  <w:style w:type="paragraph" w:customStyle="1" w:styleId="139">
    <w:name w:val="Table Text"/>
    <w:basedOn w:val="1"/>
    <w:qFormat/>
    <w:uiPriority w:val="0"/>
    <w:pPr>
      <w:widowControl/>
      <w:spacing w:before="60" w:beforeLines="0" w:after="60" w:afterLines="0"/>
      <w:jc w:val="left"/>
    </w:pPr>
    <w:rPr>
      <w:kern w:val="0"/>
      <w:szCs w:val="24"/>
    </w:rPr>
  </w:style>
  <w:style w:type="paragraph" w:customStyle="1" w:styleId="140">
    <w:name w:val="font8"/>
    <w:basedOn w:val="1"/>
    <w:qFormat/>
    <w:uiPriority w:val="0"/>
    <w:pPr>
      <w:widowControl/>
      <w:spacing w:before="100" w:beforeLines="0" w:beforeAutospacing="1" w:after="100" w:afterLines="0" w:afterAutospacing="1"/>
      <w:jc w:val="left"/>
    </w:pPr>
    <w:rPr>
      <w:kern w:val="0"/>
      <w:sz w:val="36"/>
      <w:szCs w:val="36"/>
    </w:rPr>
  </w:style>
  <w:style w:type="paragraph" w:customStyle="1" w:styleId="14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eastAsia="Arial Unicode MS"/>
      <w:color w:val="000000"/>
      <w:kern w:val="0"/>
      <w:sz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rPr>
  </w:style>
  <w:style w:type="paragraph" w:customStyle="1" w:styleId="143">
    <w:name w:val="List Paragraph2"/>
    <w:basedOn w:val="1"/>
    <w:qFormat/>
    <w:uiPriority w:val="34"/>
    <w:pPr>
      <w:ind w:firstLine="420" w:firstLineChars="200"/>
    </w:pPr>
  </w:style>
  <w:style w:type="paragraph" w:customStyle="1" w:styleId="144">
    <w:name w:val="font6"/>
    <w:basedOn w:val="1"/>
    <w:qFormat/>
    <w:uiPriority w:val="0"/>
    <w:pPr>
      <w:widowControl/>
      <w:spacing w:before="100" w:beforeLines="0" w:beforeAutospacing="1" w:after="100" w:afterLines="0" w:afterAutospacing="1"/>
      <w:jc w:val="left"/>
    </w:pPr>
    <w:rPr>
      <w:rFonts w:ascii="宋体" w:hAnsi="宋体" w:cs="宋体"/>
      <w:kern w:val="0"/>
      <w:sz w:val="20"/>
    </w:rPr>
  </w:style>
  <w:style w:type="paragraph" w:customStyle="1" w:styleId="14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color w:val="FFFFFF"/>
      <w:kern w:val="0"/>
      <w:szCs w:val="21"/>
    </w:rPr>
  </w:style>
  <w:style w:type="paragraph" w:customStyle="1" w:styleId="146">
    <w:name w:val="font11"/>
    <w:basedOn w:val="1"/>
    <w:qFormat/>
    <w:uiPriority w:val="0"/>
    <w:pPr>
      <w:widowControl/>
      <w:spacing w:before="100" w:beforeLines="0" w:beforeAutospacing="1" w:after="100" w:afterLines="0" w:afterAutospacing="1"/>
      <w:jc w:val="left"/>
    </w:pPr>
    <w:rPr>
      <w:color w:val="000000"/>
      <w:kern w:val="0"/>
      <w:sz w:val="18"/>
      <w:szCs w:val="18"/>
    </w:rPr>
  </w:style>
  <w:style w:type="paragraph" w:customStyle="1" w:styleId="147">
    <w:name w:val="标题6"/>
    <w:basedOn w:val="10"/>
    <w:qFormat/>
    <w:uiPriority w:val="0"/>
    <w:pPr>
      <w:tabs>
        <w:tab w:val="right" w:leader="dot" w:pos="9061"/>
      </w:tabs>
      <w:adjustRightInd/>
      <w:spacing w:line="319" w:lineRule="auto"/>
      <w:jc w:val="center"/>
      <w:textAlignment w:val="auto"/>
    </w:pPr>
    <w:rPr>
      <w:rFonts w:ascii="宋体" w:eastAsia="宋体"/>
      <w:kern w:val="2"/>
      <w:sz w:val="21"/>
    </w:rPr>
  </w:style>
  <w:style w:type="paragraph" w:customStyle="1" w:styleId="148">
    <w:name w:val="font7"/>
    <w:basedOn w:val="1"/>
    <w:qFormat/>
    <w:uiPriority w:val="0"/>
    <w:pPr>
      <w:widowControl/>
      <w:spacing w:before="100" w:beforeLines="0" w:beforeAutospacing="1" w:after="100" w:afterLines="0" w:afterAutospacing="1"/>
      <w:jc w:val="left"/>
    </w:pPr>
    <w:rPr>
      <w:rFonts w:eastAsia="Arial Unicode MS"/>
      <w:b/>
      <w:bCs/>
      <w:color w:val="000000"/>
      <w:kern w:val="0"/>
      <w:sz w:val="20"/>
    </w:rPr>
  </w:style>
  <w:style w:type="paragraph" w:customStyle="1" w:styleId="149">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kern w:val="0"/>
      <w:szCs w:val="21"/>
    </w:rPr>
  </w:style>
  <w:style w:type="paragraph" w:customStyle="1" w:styleId="150">
    <w:name w:val="正文缩进1"/>
    <w:basedOn w:val="1"/>
    <w:next w:val="1"/>
    <w:qFormat/>
    <w:uiPriority w:val="0"/>
    <w:pPr>
      <w:widowControl/>
      <w:ind w:firstLine="420"/>
    </w:pPr>
    <w:rPr>
      <w:color w:val="000000"/>
    </w:rPr>
  </w:style>
  <w:style w:type="paragraph" w:customStyle="1" w:styleId="151">
    <w:name w:val="table head"/>
    <w:basedOn w:val="1"/>
    <w:qFormat/>
    <w:uiPriority w:val="0"/>
    <w:pPr>
      <w:keepNext/>
      <w:keepLines/>
      <w:adjustRightInd w:val="0"/>
      <w:spacing w:line="312" w:lineRule="atLeast"/>
      <w:jc w:val="center"/>
      <w:textAlignment w:val="baseline"/>
    </w:pPr>
    <w:rPr>
      <w:b/>
      <w:kern w:val="0"/>
    </w:rPr>
  </w:style>
  <w:style w:type="paragraph" w:customStyle="1" w:styleId="152">
    <w:name w:val="_Style 1"/>
    <w:basedOn w:val="1"/>
    <w:qFormat/>
    <w:uiPriority w:val="0"/>
    <w:pPr>
      <w:ind w:firstLine="420" w:firstLineChars="200"/>
    </w:pPr>
    <w:rPr>
      <w:rFonts w:ascii="Calibri" w:hAnsi="Calibri"/>
      <w:kern w:val="0"/>
      <w:sz w:val="20"/>
      <w:lang w:val="zh-CN" w:eastAsia="zh-CN"/>
    </w:rPr>
  </w:style>
  <w:style w:type="paragraph" w:customStyle="1" w:styleId="153">
    <w:name w:val=" Char Char Char Char Char Char1 Char Char Char Char"/>
    <w:basedOn w:val="1"/>
    <w:qFormat/>
    <w:uiPriority w:val="0"/>
    <w:rPr>
      <w:rFonts w:eastAsia="Times New Roman"/>
      <w:kern w:val="0"/>
      <w:sz w:val="20"/>
      <w:szCs w:val="24"/>
    </w:rPr>
  </w:style>
  <w:style w:type="paragraph" w:customStyle="1" w:styleId="154">
    <w:name w:val="LJT正文"/>
    <w:basedOn w:val="22"/>
    <w:qFormat/>
    <w:uiPriority w:val="0"/>
    <w:pPr>
      <w:spacing w:before="120" w:beforeLines="0"/>
      <w:ind w:left="420" w:firstLine="425"/>
    </w:pPr>
    <w:rPr>
      <w:rFonts w:ascii="Arial" w:hAnsi="Arial"/>
      <w:sz w:val="24"/>
    </w:rPr>
  </w:style>
  <w:style w:type="paragraph" w:customStyle="1" w:styleId="155">
    <w:name w:val="plaintext"/>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15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7">
    <w:name w:val="样式1"/>
    <w:basedOn w:val="1"/>
    <w:qFormat/>
    <w:uiPriority w:val="0"/>
    <w:pPr>
      <w:spacing w:before="120" w:beforeLines="0" w:after="120" w:afterLines="0" w:line="300" w:lineRule="auto"/>
    </w:pPr>
    <w:rPr>
      <w:rFonts w:ascii="宋体" w:hAnsi="宋体"/>
      <w:b/>
      <w:sz w:val="24"/>
    </w:rPr>
  </w:style>
  <w:style w:type="paragraph" w:customStyle="1" w:styleId="158">
    <w:name w:val="(符号)三标题1."/>
    <w:basedOn w:val="1"/>
    <w:qFormat/>
    <w:uiPriority w:val="0"/>
    <w:pPr>
      <w:numPr>
        <w:ilvl w:val="0"/>
        <w:numId w:val="3"/>
      </w:numPr>
      <w:spacing w:before="140" w:beforeLines="0" w:after="140" w:afterLines="0" w:line="500" w:lineRule="exact"/>
      <w:outlineLvl w:val="2"/>
    </w:pPr>
    <w:rPr>
      <w:rFonts w:ascii="楷体_GB2312" w:hAnsi="宋体" w:eastAsia="楷体_GB2312"/>
      <w:b/>
      <w:sz w:val="28"/>
    </w:rPr>
  </w:style>
  <w:style w:type="paragraph" w:customStyle="1" w:styleId="159">
    <w:name w:val="标3"/>
    <w:basedOn w:val="1"/>
    <w:qFormat/>
    <w:uiPriority w:val="0"/>
    <w:pPr>
      <w:tabs>
        <w:tab w:val="left" w:pos="1740"/>
      </w:tabs>
      <w:adjustRightInd w:val="0"/>
      <w:snapToGrid w:val="0"/>
      <w:spacing w:before="50" w:beforeLines="0"/>
      <w:ind w:left="1740" w:hanging="420"/>
      <w:outlineLvl w:val="2"/>
    </w:pPr>
    <w:rPr>
      <w:rFonts w:ascii="Arial Narrow" w:hAnsi="Arial Narrow" w:eastAsia="仿宋_GB2312"/>
      <w:sz w:val="28"/>
    </w:rPr>
  </w:style>
  <w:style w:type="paragraph" w:customStyle="1" w:styleId="160">
    <w:name w:val=" Char Char1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6600"/>
      <w:kern w:val="0"/>
      <w:sz w:val="20"/>
    </w:rPr>
  </w:style>
  <w:style w:type="paragraph" w:customStyle="1" w:styleId="162">
    <w:name w:val="xl57"/>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Cs w:val="21"/>
    </w:rPr>
  </w:style>
  <w:style w:type="paragraph" w:customStyle="1" w:styleId="163">
    <w:name w:val="(符号)五标题1.1.1"/>
    <w:basedOn w:val="1"/>
    <w:qFormat/>
    <w:uiPriority w:val="0"/>
    <w:pPr>
      <w:numPr>
        <w:ilvl w:val="2"/>
        <w:numId w:val="4"/>
      </w:numPr>
      <w:spacing w:line="500" w:lineRule="exact"/>
    </w:pPr>
    <w:rPr>
      <w:rFonts w:ascii="宋体" w:hAnsi="宋体" w:cs="宋体"/>
      <w:color w:val="000000"/>
      <w:sz w:val="24"/>
    </w:rPr>
  </w:style>
  <w:style w:type="paragraph" w:customStyle="1" w:styleId="164">
    <w:name w:val="Char1"/>
    <w:basedOn w:val="1"/>
    <w:qFormat/>
    <w:uiPriority w:val="99"/>
    <w:rPr>
      <w:szCs w:val="21"/>
    </w:rPr>
  </w:style>
  <w:style w:type="paragraph" w:customStyle="1" w:styleId="16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top"/>
    </w:pPr>
    <w:rPr>
      <w:rFonts w:ascii="Arial Unicode MS" w:hAnsi="Arial Unicode MS" w:eastAsia="Arial Unicode MS" w:cs="Arial Unicode MS"/>
      <w:b/>
      <w:bCs/>
      <w:color w:val="000000"/>
      <w:kern w:val="0"/>
      <w:sz w:val="20"/>
    </w:rPr>
  </w:style>
  <w:style w:type="paragraph" w:customStyle="1" w:styleId="1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b/>
      <w:bCs/>
      <w:color w:val="000000"/>
      <w:kern w:val="0"/>
      <w:sz w:val="32"/>
      <w:szCs w:val="32"/>
    </w:rPr>
  </w:style>
  <w:style w:type="paragraph" w:customStyle="1" w:styleId="16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ascii="Arial Unicode MS" w:hAnsi="Arial Unicode MS" w:eastAsia="Arial Unicode MS" w:cs="Arial Unicode MS"/>
      <w:color w:val="000000"/>
      <w:kern w:val="0"/>
      <w:sz w:val="20"/>
    </w:rPr>
  </w:style>
  <w:style w:type="paragraph" w:customStyle="1" w:styleId="16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9">
    <w:name w:val="标题5"/>
    <w:basedOn w:val="9"/>
    <w:next w:val="9"/>
    <w:qFormat/>
    <w:uiPriority w:val="0"/>
    <w:pPr>
      <w:adjustRightInd/>
      <w:spacing w:before="0" w:beforeLines="0" w:after="0" w:afterLines="0" w:line="300" w:lineRule="exact"/>
      <w:ind w:firstLine="630" w:firstLineChars="300"/>
      <w:textAlignment w:val="auto"/>
    </w:pPr>
    <w:rPr>
      <w:b w:val="0"/>
      <w:color w:val="000000"/>
      <w:kern w:val="2"/>
      <w:sz w:val="21"/>
      <w:szCs w:val="32"/>
    </w:rPr>
  </w:style>
  <w:style w:type="paragraph" w:customStyle="1" w:styleId="17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color w:val="000000"/>
      <w:kern w:val="0"/>
      <w:sz w:val="20"/>
    </w:rPr>
  </w:style>
  <w:style w:type="paragraph" w:customStyle="1" w:styleId="171">
    <w:name w:val="xl65"/>
    <w:basedOn w:val="1"/>
    <w:qFormat/>
    <w:uiPriority w:val="0"/>
    <w:pPr>
      <w:widowControl/>
      <w:pBdr>
        <w:bottom w:val="single" w:color="000000" w:sz="4" w:space="0"/>
        <w:right w:val="single" w:color="auto" w:sz="8" w:space="0"/>
      </w:pBdr>
      <w:spacing w:before="100" w:beforeLines="0" w:beforeAutospacing="1" w:after="100" w:afterLines="0" w:afterAutospacing="1"/>
      <w:jc w:val="left"/>
      <w:textAlignment w:val="center"/>
    </w:pPr>
    <w:rPr>
      <w:color w:val="FFFFFF"/>
      <w:kern w:val="0"/>
      <w:szCs w:val="21"/>
    </w:rPr>
  </w:style>
  <w:style w:type="paragraph" w:customStyle="1" w:styleId="172">
    <w:name w:val=" Char Char Char Char Char Char"/>
    <w:basedOn w:val="1"/>
    <w:qFormat/>
    <w:uiPriority w:val="0"/>
    <w:rPr>
      <w:rFonts w:ascii="Tahoma" w:hAnsi="Tahoma"/>
      <w:sz w:val="24"/>
    </w:rPr>
  </w:style>
  <w:style w:type="paragraph" w:customStyle="1" w:styleId="173">
    <w:name w:val="xl41"/>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Arial Unicode MS" w:hAnsi="Arial Unicode MS" w:eastAsia="Arial Unicode MS" w:cs="Arial Unicode MS"/>
      <w:color w:val="000000"/>
      <w:kern w:val="0"/>
      <w:sz w:val="20"/>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rPr>
  </w:style>
  <w:style w:type="paragraph" w:customStyle="1" w:styleId="175">
    <w:name w:val="_Style 173"/>
    <w:unhideWhenUsed/>
    <w:qFormat/>
    <w:uiPriority w:val="99"/>
    <w:rPr>
      <w:rFonts w:ascii="宋体" w:hAnsi="Times New Roman" w:eastAsia="宋体" w:cs="Times New Roman"/>
      <w:sz w:val="34"/>
      <w:lang w:val="en-US" w:eastAsia="zh-CN" w:bidi="ar-SA"/>
    </w:rPr>
  </w:style>
  <w:style w:type="paragraph" w:customStyle="1" w:styleId="176">
    <w:name w:val="xl36"/>
    <w:basedOn w:val="1"/>
    <w:qFormat/>
    <w:uiPriority w:val="0"/>
    <w:pPr>
      <w:widowControl/>
      <w:spacing w:before="100" w:beforeLines="0" w:beforeAutospacing="1" w:after="100" w:afterLines="0" w:afterAutospacing="1"/>
      <w:jc w:val="center"/>
    </w:pPr>
    <w:rPr>
      <w:rFonts w:ascii="Arial Unicode MS" w:hAnsi="Arial Unicode MS" w:eastAsia="Arial Unicode MS" w:cs="Arial Unicode MS"/>
      <w:color w:val="000000"/>
      <w:kern w:val="0"/>
      <w:sz w:val="20"/>
    </w:rPr>
  </w:style>
  <w:style w:type="paragraph" w:customStyle="1" w:styleId="177">
    <w:name w:val="xl66"/>
    <w:basedOn w:val="1"/>
    <w:qFormat/>
    <w:uiPriority w:val="0"/>
    <w:pPr>
      <w:widowControl/>
      <w:pBdr>
        <w:right w:val="single" w:color="000000" w:sz="4" w:space="0"/>
      </w:pBdr>
      <w:spacing w:before="100" w:beforeLines="0" w:beforeAutospacing="1" w:after="100" w:afterLines="0" w:afterAutospacing="1"/>
      <w:jc w:val="right"/>
      <w:textAlignment w:val="center"/>
    </w:pPr>
    <w:rPr>
      <w:color w:val="FFFFFF"/>
      <w:kern w:val="0"/>
      <w:szCs w:val="21"/>
    </w:rPr>
  </w:style>
  <w:style w:type="paragraph" w:customStyle="1" w:styleId="178">
    <w:name w:val="Normal1"/>
    <w:qFormat/>
    <w:uiPriority w:val="99"/>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179">
    <w:name w:val="WPSOffice手动目录 1"/>
    <w:qFormat/>
    <w:uiPriority w:val="0"/>
    <w:rPr>
      <w:rFonts w:ascii="Times New Roman" w:hAnsi="Times New Roman" w:eastAsia="宋体" w:cs="Times New Roman"/>
      <w:lang w:val="en-US" w:eastAsia="zh-CN" w:bidi="ar-SA"/>
    </w:rPr>
  </w:style>
  <w:style w:type="paragraph" w:styleId="180">
    <w:name w:val="List Paragraph"/>
    <w:basedOn w:val="1"/>
    <w:qFormat/>
    <w:uiPriority w:val="0"/>
    <w:pPr>
      <w:ind w:firstLine="420" w:firstLineChars="200"/>
    </w:pPr>
    <w:rPr>
      <w:rFonts w:ascii="Calibri" w:hAnsi="Calibri"/>
      <w:szCs w:val="22"/>
    </w:rPr>
  </w:style>
  <w:style w:type="paragraph" w:customStyle="1" w:styleId="18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ascii="Arial Unicode MS" w:hAnsi="Arial Unicode MS" w:eastAsia="Arial Unicode MS" w:cs="Arial Unicode MS"/>
      <w:b/>
      <w:bCs/>
      <w:color w:val="000000"/>
      <w:kern w:val="0"/>
      <w:sz w:val="20"/>
    </w:rPr>
  </w:style>
  <w:style w:type="paragraph" w:customStyle="1" w:styleId="182">
    <w:name w:val="xl63"/>
    <w:basedOn w:val="1"/>
    <w:qFormat/>
    <w:uiPriority w:val="0"/>
    <w:pPr>
      <w:widowControl/>
      <w:pBdr>
        <w:top w:val="single" w:color="auto" w:sz="8" w:space="0"/>
        <w:left w:val="single" w:color="auto" w:sz="4" w:space="0"/>
        <w:bottom w:val="single" w:color="000000" w:sz="4" w:space="0"/>
        <w:right w:val="single" w:color="auto" w:sz="4" w:space="0"/>
      </w:pBdr>
      <w:spacing w:before="100" w:beforeLines="0" w:beforeAutospacing="1" w:after="100" w:afterLines="0" w:afterAutospacing="1"/>
      <w:jc w:val="right"/>
      <w:textAlignment w:val="center"/>
    </w:pPr>
    <w:rPr>
      <w:kern w:val="0"/>
      <w:szCs w:val="21"/>
    </w:rPr>
  </w:style>
  <w:style w:type="paragraph" w:customStyle="1" w:styleId="183">
    <w:name w:val="Default"/>
    <w:qFormat/>
    <w:uiPriority w:val="99"/>
    <w:pPr>
      <w:widowControl w:val="0"/>
      <w:autoSpaceDE w:val="0"/>
      <w:autoSpaceDN w:val="0"/>
      <w:adjustRightInd w:val="0"/>
    </w:pPr>
    <w:rPr>
      <w:rFonts w:ascii="......." w:hAnsi="......." w:eastAsia="......." w:cs="......."/>
      <w:color w:val="000000"/>
      <w:sz w:val="24"/>
      <w:szCs w:val="24"/>
      <w:lang w:val="en-US" w:eastAsia="zh-CN" w:bidi="ar-SA"/>
    </w:rPr>
  </w:style>
  <w:style w:type="paragraph" w:customStyle="1" w:styleId="184">
    <w:name w:val="Table Paragraph"/>
    <w:basedOn w:val="1"/>
    <w:qFormat/>
    <w:uiPriority w:val="1"/>
    <w:rPr>
      <w:rFonts w:ascii="宋体" w:hAnsi="宋体" w:eastAsia="宋体" w:cs="宋体"/>
      <w:lang w:val="zh-CN" w:eastAsia="zh-CN" w:bidi="zh-CN"/>
    </w:rPr>
  </w:style>
  <w:style w:type="paragraph" w:customStyle="1" w:styleId="185">
    <w:name w:val="Char Char"/>
    <w:basedOn w:val="1"/>
    <w:qFormat/>
    <w:uiPriority w:val="0"/>
    <w:rPr>
      <w:szCs w:val="24"/>
    </w:rPr>
  </w:style>
  <w:style w:type="paragraph" w:customStyle="1" w:styleId="186">
    <w:name w:val="菲页(卷)"/>
    <w:basedOn w:val="5"/>
    <w:next w:val="168"/>
    <w:qFormat/>
    <w:uiPriority w:val="0"/>
    <w:pPr>
      <w:keepLines w:val="0"/>
      <w:widowControl/>
      <w:numPr>
        <w:ilvl w:val="0"/>
        <w:numId w:val="4"/>
      </w:numPr>
      <w:spacing w:before="0" w:beforeLines="0" w:after="0" w:afterLines="0" w:line="240" w:lineRule="auto"/>
      <w:jc w:val="center"/>
      <w:outlineLvl w:val="1"/>
    </w:pPr>
    <w:rPr>
      <w:rFonts w:ascii="黑体" w:eastAsia="黑体"/>
      <w:b w:val="0"/>
      <w:bCs w:val="0"/>
      <w:kern w:val="0"/>
      <w:sz w:val="52"/>
      <w:szCs w:val="20"/>
    </w:rPr>
  </w:style>
  <w:style w:type="paragraph" w:customStyle="1" w:styleId="187">
    <w:name w:val="xl37"/>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color w:val="000000"/>
      <w:kern w:val="0"/>
      <w:sz w:val="20"/>
    </w:rPr>
  </w:style>
  <w:style w:type="paragraph" w:customStyle="1" w:styleId="188">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89">
    <w:name w:val="Blockquote"/>
    <w:basedOn w:val="1"/>
    <w:qFormat/>
    <w:uiPriority w:val="0"/>
    <w:pPr>
      <w:autoSpaceDE w:val="0"/>
      <w:autoSpaceDN w:val="0"/>
      <w:adjustRightInd w:val="0"/>
      <w:ind w:left="360" w:right="360"/>
      <w:jc w:val="left"/>
    </w:pPr>
    <w:rPr>
      <w:rFonts w:eastAsia="宋体"/>
      <w:sz w:val="24"/>
    </w:rPr>
  </w:style>
  <w:style w:type="paragraph" w:customStyle="1" w:styleId="190">
    <w:name w:val="样式 首行缩进:  2 字符"/>
    <w:basedOn w:val="1"/>
    <w:qFormat/>
    <w:uiPriority w:val="99"/>
    <w:pPr>
      <w:spacing w:line="400" w:lineRule="exact"/>
      <w:ind w:firstLine="200" w:firstLineChars="200"/>
    </w:pPr>
    <w:rPr>
      <w:rFonts w:cs="宋体"/>
      <w:sz w:val="24"/>
      <w:szCs w:val="24"/>
    </w:rPr>
  </w:style>
  <w:style w:type="paragraph" w:customStyle="1" w:styleId="191">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92">
    <w:name w:val="标题 5（有编号）（绿盟科技）"/>
    <w:basedOn w:val="1"/>
    <w:next w:val="188"/>
    <w:qFormat/>
    <w:uiPriority w:val="0"/>
    <w:pPr>
      <w:keepNext/>
      <w:keepLines/>
      <w:numPr>
        <w:ilvl w:val="4"/>
        <w:numId w:val="5"/>
      </w:numPr>
      <w:spacing w:before="280" w:after="156" w:line="377" w:lineRule="auto"/>
      <w:jc w:val="left"/>
      <w:outlineLvl w:val="4"/>
    </w:pPr>
    <w:rPr>
      <w:rFonts w:ascii="Arial" w:hAnsi="Arial" w:eastAsia="黑体"/>
      <w:b/>
      <w:kern w:val="0"/>
      <w:sz w:val="24"/>
      <w:szCs w:val="28"/>
    </w:rPr>
  </w:style>
  <w:style w:type="paragraph" w:customStyle="1" w:styleId="193">
    <w:name w:val="Char Char Char Char"/>
    <w:basedOn w:val="1"/>
    <w:qFormat/>
    <w:uiPriority w:val="0"/>
    <w:rPr>
      <w:rFonts w:ascii="Tahoma" w:hAnsi="Tahoma"/>
      <w:sz w:val="24"/>
    </w:rPr>
  </w:style>
  <w:style w:type="paragraph" w:customStyle="1" w:styleId="194">
    <w:name w:val="菲页1"/>
    <w:basedOn w:val="6"/>
    <w:qFormat/>
    <w:uiPriority w:val="0"/>
    <w:pPr>
      <w:widowControl/>
      <w:spacing w:line="416" w:lineRule="auto"/>
      <w:jc w:val="center"/>
    </w:pPr>
    <w:rPr>
      <w:rFonts w:ascii="黑体" w:hAnsi="宋体"/>
      <w:b w:val="0"/>
      <w:bCs w:val="0"/>
      <w:kern w:val="0"/>
      <w:sz w:val="52"/>
      <w:szCs w:val="20"/>
    </w:rPr>
  </w:style>
  <w:style w:type="paragraph" w:customStyle="1" w:styleId="195">
    <w:name w:val="_Style 2"/>
    <w:basedOn w:val="1"/>
    <w:qFormat/>
    <w:uiPriority w:val="0"/>
    <w:pPr>
      <w:ind w:firstLine="420" w:firstLineChars="200"/>
    </w:pPr>
    <w:rPr>
      <w:rFonts w:ascii="Calibri" w:hAnsi="Calibri"/>
      <w:szCs w:val="22"/>
    </w:rPr>
  </w:style>
  <w:style w:type="paragraph" w:customStyle="1" w:styleId="196">
    <w:name w:val="font1"/>
    <w:basedOn w:val="1"/>
    <w:qFormat/>
    <w:uiPriority w:val="0"/>
    <w:pPr>
      <w:widowControl/>
      <w:spacing w:before="100" w:beforeLines="0" w:beforeAutospacing="1" w:after="100" w:afterLines="0" w:afterAutospacing="1"/>
      <w:jc w:val="left"/>
    </w:pPr>
    <w:rPr>
      <w:rFonts w:hint="eastAsia" w:ascii="宋体" w:hAnsi="宋体"/>
      <w:kern w:val="0"/>
      <w:sz w:val="24"/>
      <w:szCs w:val="24"/>
    </w:rPr>
  </w:style>
  <w:style w:type="paragraph" w:customStyle="1" w:styleId="197">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98">
    <w:name w:val=" Char Char Char Char Char Char1 Char"/>
    <w:basedOn w:val="18"/>
    <w:qFormat/>
    <w:uiPriority w:val="0"/>
    <w:pPr>
      <w:shd w:val="clear" w:color="auto" w:fill="000080"/>
    </w:pPr>
    <w:rPr>
      <w:rFonts w:ascii="Tahoma" w:hAnsi="Tahoma"/>
      <w:sz w:val="24"/>
      <w:szCs w:val="24"/>
    </w:rPr>
  </w:style>
  <w:style w:type="paragraph" w:customStyle="1" w:styleId="199">
    <w:name w:val="目录文字"/>
    <w:basedOn w:val="1"/>
    <w:qFormat/>
    <w:uiPriority w:val="0"/>
    <w:pPr>
      <w:widowControl/>
      <w:spacing w:line="480" w:lineRule="auto"/>
      <w:jc w:val="left"/>
    </w:pPr>
    <w:rPr>
      <w:rFonts w:ascii="宋体" w:hAnsi="宋体"/>
      <w:kern w:val="0"/>
      <w:sz w:val="24"/>
    </w:rPr>
  </w:style>
  <w:style w:type="paragraph" w:customStyle="1" w:styleId="200">
    <w:name w:val="Char2"/>
    <w:basedOn w:val="1"/>
    <w:qFormat/>
    <w:uiPriority w:val="0"/>
  </w:style>
  <w:style w:type="paragraph" w:customStyle="1" w:styleId="201">
    <w:name w:val="xl4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0"/>
    </w:rPr>
  </w:style>
  <w:style w:type="paragraph" w:customStyle="1" w:styleId="202">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left"/>
      <w:textAlignment w:val="center"/>
    </w:pPr>
    <w:rPr>
      <w:kern w:val="0"/>
      <w:szCs w:val="21"/>
    </w:rPr>
  </w:style>
  <w:style w:type="paragraph" w:customStyle="1" w:styleId="203">
    <w:name w:val="(符号)三标题1.1"/>
    <w:basedOn w:val="1"/>
    <w:qFormat/>
    <w:uiPriority w:val="0"/>
    <w:pPr>
      <w:numPr>
        <w:ilvl w:val="0"/>
        <w:numId w:val="4"/>
      </w:numPr>
      <w:spacing w:before="140" w:beforeLines="0" w:after="140" w:afterLines="0" w:line="500" w:lineRule="exact"/>
      <w:outlineLvl w:val="2"/>
    </w:pPr>
    <w:rPr>
      <w:rFonts w:ascii="楷体_GB2312" w:hAnsi="宋体" w:eastAsia="楷体_GB2312" w:cs="宋体"/>
      <w:b/>
      <w:bCs/>
      <w:sz w:val="28"/>
    </w:rPr>
  </w:style>
  <w:style w:type="paragraph" w:customStyle="1" w:styleId="20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b/>
      <w:bCs/>
      <w:color w:val="000000"/>
      <w:kern w:val="0"/>
      <w:sz w:val="22"/>
      <w:szCs w:val="22"/>
    </w:rPr>
  </w:style>
  <w:style w:type="paragraph" w:customStyle="1" w:styleId="205">
    <w:name w:val="标题A"/>
    <w:basedOn w:val="1"/>
    <w:qFormat/>
    <w:uiPriority w:val="0"/>
    <w:pPr>
      <w:autoSpaceDE w:val="0"/>
      <w:autoSpaceDN w:val="0"/>
      <w:adjustRightInd w:val="0"/>
      <w:ind w:left="720" w:right="-866"/>
      <w:jc w:val="left"/>
    </w:pPr>
    <w:rPr>
      <w:rFonts w:hAnsi="Arial" w:eastAsia="黑体"/>
      <w:i/>
      <w:kern w:val="0"/>
      <w:sz w:val="28"/>
    </w:rPr>
  </w:style>
  <w:style w:type="paragraph" w:customStyle="1" w:styleId="20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0"/>
    </w:rPr>
  </w:style>
  <w:style w:type="paragraph" w:customStyle="1" w:styleId="207">
    <w:name w:val="菲页2"/>
    <w:basedOn w:val="7"/>
    <w:qFormat/>
    <w:uiPriority w:val="0"/>
    <w:pPr>
      <w:widowControl/>
      <w:numPr>
        <w:ilvl w:val="2"/>
        <w:numId w:val="4"/>
      </w:numPr>
      <w:spacing w:before="120" w:beforeLines="0" w:after="120" w:afterLines="0" w:line="360" w:lineRule="auto"/>
      <w:jc w:val="center"/>
    </w:pPr>
    <w:rPr>
      <w:rFonts w:ascii="黑体" w:hAnsi="宋体" w:eastAsia="黑体"/>
      <w:b w:val="0"/>
      <w:bCs w:val="0"/>
      <w:kern w:val="0"/>
      <w:sz w:val="44"/>
      <w:szCs w:val="20"/>
    </w:rPr>
  </w:style>
  <w:style w:type="paragraph" w:customStyle="1" w:styleId="208">
    <w:name w:val="目录"/>
    <w:basedOn w:val="1"/>
    <w:qFormat/>
    <w:uiPriority w:val="0"/>
    <w:pPr>
      <w:widowControl/>
      <w:jc w:val="center"/>
    </w:pPr>
    <w:rPr>
      <w:rFonts w:ascii="宋体"/>
      <w:b/>
      <w:kern w:val="0"/>
      <w:sz w:val="36"/>
    </w:rPr>
  </w:style>
  <w:style w:type="paragraph" w:customStyle="1" w:styleId="209">
    <w:name w:val="xl46"/>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rPr>
  </w:style>
  <w:style w:type="paragraph" w:customStyle="1" w:styleId="210">
    <w:name w:val="Plain Text"/>
    <w:basedOn w:val="1"/>
    <w:qFormat/>
    <w:uiPriority w:val="0"/>
    <w:pPr>
      <w:adjustRightInd w:val="0"/>
      <w:textAlignment w:val="baseline"/>
    </w:pPr>
    <w:rPr>
      <w:rFonts w:ascii="宋体" w:hAnsi="Courier New"/>
    </w:rPr>
  </w:style>
  <w:style w:type="paragraph" w:customStyle="1" w:styleId="2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Arial Unicode MS" w:hAnsi="Arial Unicode MS" w:eastAsia="Arial Unicode MS" w:cs="Arial Unicode MS"/>
      <w:b/>
      <w:bCs/>
      <w:color w:val="000000"/>
      <w:kern w:val="0"/>
      <w:sz w:val="20"/>
    </w:rPr>
  </w:style>
  <w:style w:type="paragraph" w:customStyle="1" w:styleId="212">
    <w:name w:val="标题4"/>
    <w:basedOn w:val="8"/>
    <w:qFormat/>
    <w:uiPriority w:val="0"/>
    <w:pPr>
      <w:adjustRightInd/>
      <w:spacing w:before="140" w:beforeLines="0" w:after="0" w:afterLines="0" w:line="240" w:lineRule="auto"/>
      <w:jc w:val="center"/>
      <w:textAlignment w:val="auto"/>
    </w:pPr>
    <w:rPr>
      <w:rFonts w:ascii="黑体" w:hAnsi="宋体" w:eastAsia="宋体"/>
      <w:kern w:val="2"/>
      <w:sz w:val="32"/>
    </w:rPr>
  </w:style>
  <w:style w:type="paragraph" w:customStyle="1" w:styleId="213">
    <w:name w:val="Char Char1 Char Char Char Char Char Char Char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14">
    <w:name w:val=" Char Char Char Char Char Char Char"/>
    <w:basedOn w:val="18"/>
    <w:qFormat/>
    <w:uiPriority w:val="0"/>
    <w:pPr>
      <w:shd w:val="clear" w:color="auto" w:fill="000080"/>
    </w:pPr>
    <w:rPr>
      <w:rFonts w:ascii="Tahoma" w:hAnsi="Tahoma"/>
      <w:sz w:val="24"/>
      <w:szCs w:val="24"/>
    </w:rPr>
  </w:style>
  <w:style w:type="paragraph" w:customStyle="1" w:styleId="2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0"/>
    </w:rPr>
  </w:style>
  <w:style w:type="paragraph" w:customStyle="1" w:styleId="216">
    <w:name w:val="xl45"/>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rPr>
  </w:style>
  <w:style w:type="paragraph" w:customStyle="1" w:styleId="217">
    <w:name w:val="xl60"/>
    <w:basedOn w:val="1"/>
    <w:qFormat/>
    <w:uiPriority w:val="0"/>
    <w:pPr>
      <w:widowControl/>
      <w:pBdr>
        <w:left w:val="single" w:color="auto" w:sz="4" w:space="0"/>
        <w:bottom w:val="single" w:color="auto" w:sz="8" w:space="0"/>
        <w:right w:val="single" w:color="auto" w:sz="4" w:space="0"/>
      </w:pBdr>
      <w:spacing w:before="100" w:beforeLines="0" w:beforeAutospacing="1" w:after="100" w:afterLines="0" w:afterAutospacing="1"/>
      <w:jc w:val="right"/>
      <w:textAlignment w:val="center"/>
    </w:pPr>
    <w:rPr>
      <w:kern w:val="0"/>
      <w:szCs w:val="21"/>
    </w:rPr>
  </w:style>
  <w:style w:type="paragraph" w:customStyle="1" w:styleId="21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color w:val="000000"/>
      <w:kern w:val="0"/>
      <w:sz w:val="20"/>
    </w:rPr>
  </w:style>
  <w:style w:type="paragraph" w:customStyle="1" w:styleId="219">
    <w:name w:val="xl58"/>
    <w:basedOn w:val="1"/>
    <w:qFormat/>
    <w:uiPriority w:val="0"/>
    <w:pPr>
      <w:widowControl/>
      <w:pBdr>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ascii="宋体" w:hAnsi="宋体"/>
      <w:kern w:val="0"/>
      <w:szCs w:val="21"/>
    </w:rPr>
  </w:style>
  <w:style w:type="paragraph" w:customStyle="1" w:styleId="220">
    <w:name w:val="Heading 6"/>
    <w:basedOn w:val="1"/>
    <w:qFormat/>
    <w:uiPriority w:val="1"/>
    <w:pPr>
      <w:ind w:left="112"/>
      <w:outlineLvl w:val="6"/>
    </w:pPr>
    <w:rPr>
      <w:rFonts w:ascii="仿宋" w:hAnsi="仿宋" w:eastAsia="仿宋"/>
      <w:b/>
      <w:bCs/>
      <w:sz w:val="30"/>
      <w:szCs w:val="30"/>
    </w:rPr>
  </w:style>
  <w:style w:type="paragraph" w:customStyle="1" w:styleId="221">
    <w:name w:val="xl62"/>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ascii="宋体" w:hAnsi="宋体"/>
      <w:kern w:val="0"/>
      <w:szCs w:val="21"/>
    </w:rPr>
  </w:style>
  <w:style w:type="paragraph" w:customStyle="1" w:styleId="222">
    <w:name w:val="xl35"/>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color w:val="000000"/>
      <w:kern w:val="0"/>
      <w:sz w:val="20"/>
    </w:rPr>
  </w:style>
  <w:style w:type="paragraph" w:customStyle="1" w:styleId="223">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224">
    <w:name w:val="xl44"/>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24"/>
      <w:szCs w:val="24"/>
    </w:rPr>
  </w:style>
  <w:style w:type="paragraph" w:customStyle="1" w:styleId="225">
    <w:name w:val="表格内容"/>
    <w:basedOn w:val="1"/>
    <w:qFormat/>
    <w:uiPriority w:val="2"/>
    <w:pPr>
      <w:spacing w:line="240" w:lineRule="auto"/>
      <w:ind w:firstLine="0" w:firstLineChars="0"/>
      <w:jc w:val="center"/>
    </w:pPr>
    <w:rPr>
      <w:sz w:val="21"/>
    </w:rPr>
  </w:style>
  <w:style w:type="paragraph" w:customStyle="1" w:styleId="226">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227">
    <w:name w:val="pa-3"/>
    <w:basedOn w:val="1"/>
    <w:qFormat/>
    <w:uiPriority w:val="0"/>
    <w:pPr>
      <w:widowControl/>
      <w:spacing w:before="150" w:after="150"/>
      <w:jc w:val="left"/>
    </w:pPr>
    <w:rPr>
      <w:rFonts w:ascii="宋体" w:hAnsi="宋体" w:cs="宋体"/>
      <w:kern w:val="0"/>
      <w:sz w:val="24"/>
    </w:rPr>
  </w:style>
  <w:style w:type="paragraph" w:customStyle="1" w:styleId="228">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left"/>
      <w:textAlignment w:val="top"/>
    </w:pPr>
    <w:rPr>
      <w:color w:val="FFFFFF"/>
      <w:kern w:val="0"/>
      <w:szCs w:val="21"/>
    </w:rPr>
  </w:style>
  <w:style w:type="paragraph" w:customStyle="1" w:styleId="22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16"/>
      <w:szCs w:val="16"/>
    </w:rPr>
  </w:style>
  <w:style w:type="paragraph" w:customStyle="1" w:styleId="230">
    <w:name w:val=" Char1 Char Char Char Char Char Char"/>
    <w:basedOn w:val="1"/>
    <w:qFormat/>
    <w:uiPriority w:val="0"/>
  </w:style>
  <w:style w:type="paragraph" w:customStyle="1" w:styleId="231">
    <w:name w:val="正文序号 1"/>
    <w:basedOn w:val="1"/>
    <w:qFormat/>
    <w:uiPriority w:val="0"/>
    <w:pPr>
      <w:spacing w:before="60" w:beforeLines="0"/>
    </w:pPr>
  </w:style>
  <w:style w:type="paragraph" w:customStyle="1" w:styleId="232">
    <w:name w:val="pa-1"/>
    <w:basedOn w:val="1"/>
    <w:qFormat/>
    <w:uiPriority w:val="0"/>
    <w:pPr>
      <w:widowControl/>
      <w:spacing w:before="150" w:beforeLines="0" w:after="150" w:afterLines="0"/>
      <w:jc w:val="left"/>
    </w:pPr>
    <w:rPr>
      <w:rFonts w:ascii="宋体" w:hAnsi="宋体" w:cs="宋体"/>
      <w:kern w:val="0"/>
      <w:sz w:val="24"/>
      <w:szCs w:val="24"/>
    </w:rPr>
  </w:style>
  <w:style w:type="paragraph" w:customStyle="1" w:styleId="233">
    <w:name w:val="BodyText"/>
    <w:basedOn w:val="1"/>
    <w:next w:val="1"/>
    <w:qFormat/>
    <w:uiPriority w:val="0"/>
    <w:pPr>
      <w:spacing w:after="120"/>
      <w:jc w:val="both"/>
      <w:textAlignment w:val="baseline"/>
    </w:pPr>
  </w:style>
  <w:style w:type="paragraph" w:customStyle="1" w:styleId="234">
    <w:name w:val="pa-0"/>
    <w:basedOn w:val="1"/>
    <w:qFormat/>
    <w:uiPriority w:val="0"/>
    <w:pPr>
      <w:widowControl/>
      <w:spacing w:before="150" w:beforeLines="0" w:after="150" w:afterLines="0"/>
      <w:jc w:val="left"/>
    </w:pPr>
    <w:rPr>
      <w:rFonts w:ascii="宋体" w:hAnsi="宋体" w:cs="宋体"/>
      <w:kern w:val="0"/>
      <w:sz w:val="24"/>
      <w:szCs w:val="24"/>
    </w:rPr>
  </w:style>
  <w:style w:type="paragraph" w:customStyle="1" w:styleId="235">
    <w:name w:val="font9"/>
    <w:basedOn w:val="1"/>
    <w:qFormat/>
    <w:uiPriority w:val="0"/>
    <w:pPr>
      <w:widowControl/>
      <w:spacing w:before="100" w:beforeLines="0" w:beforeAutospacing="1" w:after="100" w:afterLines="0" w:afterAutospacing="1"/>
      <w:jc w:val="left"/>
    </w:pPr>
    <w:rPr>
      <w:rFonts w:hint="eastAsia" w:ascii="宋体" w:hAnsi="宋体" w:cs="Arial Unicode MS"/>
      <w:color w:val="000000"/>
      <w:kern w:val="0"/>
      <w:sz w:val="20"/>
    </w:rPr>
  </w:style>
  <w:style w:type="paragraph" w:customStyle="1" w:styleId="236">
    <w:name w:val=" Char"/>
    <w:basedOn w:val="1"/>
    <w:qFormat/>
    <w:uiPriority w:val="0"/>
    <w:pPr>
      <w:adjustRightInd w:val="0"/>
      <w:spacing w:line="360" w:lineRule="auto"/>
    </w:pPr>
    <w:rPr>
      <w:kern w:val="0"/>
      <w:sz w:val="24"/>
    </w:rPr>
  </w:style>
  <w:style w:type="paragraph" w:customStyle="1" w:styleId="237">
    <w:name w:val=" Char1"/>
    <w:basedOn w:val="1"/>
    <w:qFormat/>
    <w:uiPriority w:val="0"/>
    <w:rPr>
      <w:rFonts w:ascii="仿宋_GB2312" w:eastAsia="仿宋_GB2312"/>
      <w:b/>
      <w:sz w:val="32"/>
      <w:szCs w:val="32"/>
    </w:rPr>
  </w:style>
  <w:style w:type="paragraph" w:customStyle="1" w:styleId="238">
    <w:name w:val="pa-18"/>
    <w:basedOn w:val="1"/>
    <w:qFormat/>
    <w:uiPriority w:val="0"/>
    <w:pPr>
      <w:widowControl/>
      <w:spacing w:line="280" w:lineRule="atLeast"/>
      <w:jc w:val="left"/>
    </w:pPr>
    <w:rPr>
      <w:rFonts w:ascii="宋体" w:hAnsi="宋体"/>
      <w:kern w:val="0"/>
      <w:sz w:val="24"/>
    </w:rPr>
  </w:style>
  <w:style w:type="paragraph" w:customStyle="1" w:styleId="239">
    <w:name w:val="xl61"/>
    <w:basedOn w:val="1"/>
    <w:qFormat/>
    <w:uiPriority w:val="0"/>
    <w:pPr>
      <w:widowControl/>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kern w:val="0"/>
      <w:szCs w:val="21"/>
    </w:rPr>
  </w:style>
  <w:style w:type="paragraph" w:customStyle="1" w:styleId="240">
    <w:name w:val="默认段落字体 Para Char Char Char Char Char Char Char Char Char1 Char Char Char Char"/>
    <w:basedOn w:val="1"/>
    <w:qFormat/>
    <w:uiPriority w:val="0"/>
    <w:rPr>
      <w:rFonts w:ascii="Tahoma" w:hAnsi="Tahoma"/>
      <w:sz w:val="24"/>
    </w:rPr>
  </w:style>
  <w:style w:type="paragraph" w:customStyle="1" w:styleId="24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0"/>
    </w:rPr>
  </w:style>
  <w:style w:type="paragraph" w:customStyle="1" w:styleId="2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ascii="Arial Unicode MS" w:hAnsi="Arial Unicode MS" w:eastAsia="Arial Unicode MS" w:cs="Arial Unicode MS"/>
      <w:b/>
      <w:bCs/>
      <w:color w:val="000000"/>
      <w:kern w:val="0"/>
      <w:sz w:val="16"/>
      <w:szCs w:val="16"/>
    </w:rPr>
  </w:style>
  <w:style w:type="paragraph" w:customStyle="1" w:styleId="24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color w:val="FFFFFF"/>
      <w:kern w:val="0"/>
      <w:szCs w:val="21"/>
    </w:rPr>
  </w:style>
  <w:style w:type="paragraph" w:customStyle="1" w:styleId="244">
    <w:name w:val=" Char Char Char Char"/>
    <w:basedOn w:val="1"/>
    <w:qFormat/>
    <w:uiPriority w:val="0"/>
    <w:pPr>
      <w:widowControl/>
      <w:spacing w:before="100" w:beforeLines="0" w:beforeAutospacing="1" w:after="100" w:afterLines="0" w:afterAutospacing="1" w:line="360" w:lineRule="auto"/>
      <w:jc w:val="left"/>
    </w:pPr>
    <w:rPr>
      <w:rFonts w:ascii="Verdana" w:hAnsi="Verdana"/>
      <w:kern w:val="0"/>
      <w:sz w:val="20"/>
      <w:szCs w:val="21"/>
      <w:lang w:eastAsia="en-US"/>
    </w:rPr>
  </w:style>
  <w:style w:type="paragraph" w:customStyle="1" w:styleId="245">
    <w:name w:val="xl64"/>
    <w:basedOn w:val="1"/>
    <w:qFormat/>
    <w:uiPriority w:val="0"/>
    <w:pPr>
      <w:widowControl/>
      <w:pBdr>
        <w:top w:val="single" w:color="auto" w:sz="8" w:space="0"/>
        <w:left w:val="single" w:color="auto" w:sz="4" w:space="0"/>
        <w:bottom w:val="single" w:color="auto" w:sz="4" w:space="0"/>
        <w:right w:val="single" w:color="auto" w:sz="8" w:space="0"/>
      </w:pBdr>
      <w:spacing w:before="100" w:beforeLines="0" w:beforeAutospacing="1" w:after="100" w:afterLines="0" w:afterAutospacing="1"/>
      <w:textAlignment w:val="center"/>
    </w:pPr>
    <w:rPr>
      <w:rFonts w:ascii="宋体" w:hAnsi="宋体"/>
      <w:kern w:val="0"/>
      <w:sz w:val="18"/>
      <w:szCs w:val="18"/>
    </w:rPr>
  </w:style>
  <w:style w:type="paragraph" w:customStyle="1" w:styleId="246">
    <w:name w:val="正文首行缩进两字符"/>
    <w:basedOn w:val="1"/>
    <w:qFormat/>
    <w:uiPriority w:val="99"/>
    <w:pPr>
      <w:spacing w:line="360" w:lineRule="auto"/>
      <w:ind w:firstLine="200" w:firstLineChars="200"/>
    </w:pPr>
    <w:rPr>
      <w:szCs w:val="24"/>
    </w:rPr>
  </w:style>
  <w:style w:type="paragraph" w:customStyle="1" w:styleId="247">
    <w:name w:val="Char2 Char Char Char"/>
    <w:basedOn w:val="1"/>
    <w:qFormat/>
    <w:uiPriority w:val="0"/>
    <w:pPr>
      <w:widowControl/>
      <w:jc w:val="left"/>
    </w:pPr>
    <w:rPr>
      <w:rFonts w:ascii="仿宋_GB2312" w:eastAsia="仿宋_GB2312"/>
      <w:b/>
      <w:kern w:val="0"/>
      <w:sz w:val="32"/>
      <w:szCs w:val="32"/>
    </w:rPr>
  </w:style>
  <w:style w:type="paragraph" w:customStyle="1" w:styleId="248">
    <w:name w:val="列出段落1"/>
    <w:qFormat/>
    <w:uiPriority w:val="99"/>
    <w:pPr>
      <w:ind w:firstLine="420" w:firstLineChars="200"/>
    </w:pPr>
    <w:rPr>
      <w:rFonts w:ascii="Times New Roman" w:hAnsi="Times New Roman" w:eastAsia="宋体" w:cs="Times New Roman"/>
      <w:lang w:val="en-US" w:eastAsia="zh-CN" w:bidi="ar-SA"/>
    </w:rPr>
  </w:style>
  <w:style w:type="paragraph" w:customStyle="1" w:styleId="249">
    <w:name w:val=" Char Char1 Char Char Char Char Char Char Char Char Char Char"/>
    <w:basedOn w:val="1"/>
    <w:qFormat/>
    <w:uiPriority w:val="0"/>
    <w:pPr>
      <w:tabs>
        <w:tab w:val="left" w:pos="360"/>
      </w:tabs>
      <w:ind w:firstLine="420" w:firstLineChars="150"/>
    </w:pPr>
    <w:rPr>
      <w:rFonts w:ascii="Arial" w:hAnsi="Arial" w:cs="Arial"/>
      <w:sz w:val="20"/>
    </w:rPr>
  </w:style>
  <w:style w:type="paragraph" w:customStyle="1" w:styleId="2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eastAsia="Arial Unicode MS"/>
      <w:color w:val="000000"/>
      <w:kern w:val="0"/>
      <w:sz w:val="20"/>
    </w:rPr>
  </w:style>
  <w:style w:type="paragraph" w:customStyle="1" w:styleId="2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2"/>
      <w:szCs w:val="22"/>
    </w:rPr>
  </w:style>
  <w:style w:type="paragraph" w:customStyle="1" w:styleId="252">
    <w:name w:val="样式 行距: 固定值 25 磅 首行缩进:  2 字符"/>
    <w:basedOn w:val="1"/>
    <w:qFormat/>
    <w:uiPriority w:val="0"/>
    <w:pPr>
      <w:adjustRightInd w:val="0"/>
      <w:spacing w:line="500" w:lineRule="exact"/>
      <w:ind w:firstLine="560" w:firstLineChars="200"/>
      <w:textAlignment w:val="baseline"/>
    </w:pPr>
    <w:rPr>
      <w:kern w:val="0"/>
      <w:sz w:val="28"/>
      <w:szCs w:val="28"/>
    </w:rPr>
  </w:style>
  <w:style w:type="paragraph" w:customStyle="1" w:styleId="253">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textAlignment w:val="center"/>
    </w:pPr>
    <w:rPr>
      <w:rFonts w:ascii="宋体" w:hAnsi="宋体"/>
      <w:kern w:val="0"/>
      <w:szCs w:val="21"/>
    </w:rPr>
  </w:style>
  <w:style w:type="paragraph" w:customStyle="1" w:styleId="254">
    <w:name w:val="p5"/>
    <w:basedOn w:val="1"/>
    <w:qFormat/>
    <w:uiPriority w:val="0"/>
    <w:pPr>
      <w:tabs>
        <w:tab w:val="left" w:pos="720"/>
      </w:tabs>
      <w:spacing w:line="240" w:lineRule="atLeast"/>
      <w:jc w:val="left"/>
    </w:pPr>
    <w:rPr>
      <w:snapToGrid w:val="0"/>
      <w:kern w:val="0"/>
      <w:sz w:val="24"/>
      <w:lang w:val="en-GB" w:eastAsia="de-DE"/>
    </w:rPr>
  </w:style>
  <w:style w:type="paragraph" w:customStyle="1" w:styleId="255">
    <w:name w:val="标题3"/>
    <w:basedOn w:val="7"/>
    <w:qFormat/>
    <w:uiPriority w:val="0"/>
    <w:rPr>
      <w:rFonts w:ascii="宋体" w:hAnsi="宋体"/>
      <w:sz w:val="28"/>
      <w:szCs w:val="28"/>
    </w:rPr>
  </w:style>
  <w:style w:type="paragraph" w:customStyle="1" w:styleId="256">
    <w:name w:val=" Char Char1 Char Char Char Char Char Char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table" w:customStyle="1" w:styleId="257">
    <w:name w:val="网格型1"/>
    <w:basedOn w:val="47"/>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8">
    <w:name w:val="标题四"/>
    <w:basedOn w:val="1"/>
    <w:qFormat/>
    <w:uiPriority w:val="0"/>
    <w:rPr>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a0b9eb26-bdd0-4f86-af01-9c4dbafdd6c8</errorID>
      <errorWord>价</errorWord>
      <group>L1_Word</group>
      <groupName>字词问题</groupName>
      <ability>L2_Typo</ability>
      <abilityName>字词错误</abilityName>
      <candidateList>
        <item>价格</item>
      </candidateList>
      <explain/>
      <paraID>3146DE3D</paraID>
      <start>145</start>
      <end>146</end>
      <status>ignored</status>
      <modifiedWord/>
      <trackRevisions>false</trackRevisions>
    </reviewItem>
    <reviewItem>
      <errorID>52a1d945-a91e-4ecb-b973-d95088a2d721</errorID>
      <errorWord>（</errorWord>
      <group>L1_Punc</group>
      <groupName>标点问题</groupName>
      <ability>L2_Punc</ability>
      <abilityName>标点符号检查</abilityName>
      <candidateList/>
      <explain>同一形式括号套用。</explain>
      <paraID>5F39AA34</paraID>
      <start>49</start>
      <end>50</end>
      <status>ignored</status>
      <modifiedWord/>
      <trackRevisions>false</trackRevisions>
    </reviewItem>
    <reviewItem>
      <errorID>87df81bd-2423-49e9-91ee-70f47062c3a6</errorID>
      <errorWord>）</errorWord>
      <group>L1_Punc</group>
      <groupName>标点问题</groupName>
      <ability>L2_Punc</ability>
      <abilityName>标点符号检查</abilityName>
      <candidateList/>
      <explain>同一形式括号套用。</explain>
      <paraID>5F39AA34</paraID>
      <start>51</start>
      <end>52</end>
      <status>ignored</status>
      <modifiedWord/>
      <trackRevisions>false</trackRevisions>
    </reviewItem>
    <reviewItem>
      <errorID>e9a8b9aa-8b61-4580-9b53-087912f42e59</errorID>
      <errorWord>（</errorWord>
      <group>L1_Punc</group>
      <groupName>标点问题</groupName>
      <ability>L2_Punc</ability>
      <abilityName>标点符号检查</abilityName>
      <candidateList/>
      <explain>同一形式括号套用。</explain>
      <paraID>5F39AA34</paraID>
      <start>94</start>
      <end>95</end>
      <status>ignored</status>
      <modifiedWord/>
      <trackRevisions>false</trackRevisions>
    </reviewItem>
    <reviewItem>
      <errorID>7a366d8e-da6c-4bd3-be80-98d5a52b0198</errorID>
      <errorWord>）</errorWord>
      <group>L1_Punc</group>
      <groupName>标点问题</groupName>
      <ability>L2_Punc</ability>
      <abilityName>标点符号检查</abilityName>
      <candidateList/>
      <explain>同一形式括号套用。</explain>
      <paraID>5F39AA34</paraID>
      <start>96</start>
      <end>97</end>
      <status>ignored</status>
      <modifiedWord/>
      <trackRevisions>false</trackRevisions>
    </reviewItem>
    <reviewItem>
      <errorID>02a5ebab-a4c5-4878-a426-a0493a2bb81e</errorID>
      <errorWord>，</errorWord>
      <group>L1_Word</group>
      <groupName>字词问题</groupName>
      <ability>L2_Typo</ability>
      <abilityName>字词错误</abilityName>
      <candidateList>
        <item>，并</item>
      </candidateList>
      <explain/>
      <paraID>1164BB63</paraID>
      <start>37</start>
      <end>39</end>
      <status>modified</status>
      <modifiedWord>，并</modifiedWord>
      <trackRevisions>false</trackRevisions>
    </reviewItem>
    <reviewItem>
      <errorID>59f73ef8-e802-40f9-8cc0-0357eda7cb39</errorID>
      <errorWord>投标规格</errorWord>
      <group>L1_Knowledge</group>
      <groupName>知识性问题</groupName>
      <ability>L2_Term</ability>
      <abilityName>专业术语</abilityName>
      <candidateList>
        <item>投标价格</item>
      </candidateList>
      <explain/>
      <paraID>2AD32014</paraID>
      <start>51</start>
      <end>55</end>
      <status>unmodified</status>
      <modifiedWord/>
      <trackRevisions>false</trackRevisions>
    </reviewItem>
    <reviewItem>
      <errorID>e2537388-9250-4de6-b977-1b13f27f2a96</errorID>
      <errorWord>如为</errorWord>
      <group>L1_Word</group>
      <groupName>字词问题</groupName>
      <ability>L2_Typo</ability>
      <abilityName>字词错误</abilityName>
      <candidateList>
        <item>如</item>
      </candidateList>
      <explain/>
      <paraID>1CB9963B</paraID>
      <start>3</start>
      <end>5</end>
      <status>ignored</status>
      <modifiedWord/>
      <trackRevisions>false</trackRevisions>
    </reviewItem>
    <reviewItem>
      <errorID>0a51fc9a-d168-457d-9b3a-94bb40d83af9</errorID>
      <errorWord>，</errorWord>
      <group>L1_Word</group>
      <groupName>字词问题</groupName>
      <ability>L2_Typo</ability>
      <abilityName>字词错误</abilityName>
      <candidateList>
        <item>，经</item>
      </candidateList>
      <explain/>
      <paraID>3E7975B1</paraID>
      <start>67</start>
      <end>69</end>
      <status>modified</status>
      <modifiedWord>，经</modifiedWord>
      <trackRevisions>false</trackRevisions>
    </reviewItem>
    <reviewItem>
      <errorID>06f956cd-9d34-4077-819e-937a849a0519</errorID>
      <errorWord>下</errorWord>
      <group>L1_Word</group>
      <groupName>字词问题</groupName>
      <ability>L2_Typo</ability>
      <abilityName>字词错误</abilityName>
      <candidateList>
        <item>下以</item>
      </candidateList>
      <explain/>
      <paraID>14108057</paraID>
      <start>105</start>
      <end>107</end>
      <status>modified</status>
      <modifiedWord>下以</modifiedWord>
      <trackRevisions>false</trackRevisions>
    </reviewItem>
    <reviewItem>
      <errorID>6ea26518-ab6c-42ac-81fb-e23382b5a577</errorID>
      <errorWord>提供的</errorWord>
      <group>L1_Word</group>
      <groupName>字词问题</groupName>
      <ability>L2_Typo</ability>
      <abilityName>字词错误</abilityName>
      <candidateList>
        <item>提供</item>
      </candidateList>
      <explain/>
      <paraID>46527A9B</paraID>
      <start>8</start>
      <end>10</end>
      <status>modified</status>
      <modifiedWord>提供</modifiedWord>
      <trackRevisions>false</trackRevisions>
    </reviewItem>
    <reviewItem>
      <errorID>2799310b-43f3-4f76-9063-586025e03eba</errorID>
      <errorWord>求</errorWord>
      <group>L1_Word</group>
      <groupName>字词问题</groupName>
      <ability>L2_Typo</ability>
      <abilityName>字词错误</abilityName>
      <candidateList>
        <item>求和</item>
      </candidateList>
      <explain/>
      <paraID>4B49D7BB</paraID>
      <start>23</start>
      <end>25</end>
      <status>modified</status>
      <modifiedWord>求和</modifiedWord>
      <trackRevisions>false</trackRevisions>
    </reviewItem>
    <reviewItem>
      <errorID>8ee492a5-ff19-4432-a516-d7f5b8805e8c</errorID>
      <errorWord>/，</errorWord>
      <group>L1_Punc</group>
      <groupName>标点问题</groupName>
      <ability>L2_Punc</ability>
      <abilityName>标点符号检查</abilityName>
      <candidateList>
        <item>/</item>
      </candidateList>
      <explain/>
      <paraID> E61D26A</paraID>
      <start>85</start>
      <end>86</end>
      <status>modified</status>
      <modifiedWord>/</modifiedWord>
      <trackRevisions>false</trackRevisions>
    </reviewItem>
    <reviewItem>
      <errorID>8f6cb05c-43c0-4300-a0bc-e4d51c194be9</errorID>
      <errorWord>“/</errorWord>
      <group>L1_Punc</group>
      <groupName>标点问题</groupName>
      <ability>L2_Punc</ability>
      <abilityName>标点符号检查</abilityName>
      <candidateList>
        <item>“</item>
      </candidateList>
      <explain/>
      <paraID> E61D26A</paraID>
      <start>89</start>
      <end>90</end>
      <status>modified</status>
      <modifiedWord>“</modifiedWord>
      <trackRevisions>false</trackRevisions>
    </reviewItem>
    <reviewItem>
      <errorID>630caca2-f0ef-43dc-b3d1-ab6684fad7a5</errorID>
      <errorWord>有意</errorWord>
      <group>L1_Word</group>
      <groupName>字词问题</groupName>
      <ability>L2_Typo</ability>
      <abilityName>字词错误</abilityName>
      <candidateList>
        <item>有</item>
      </candidateList>
      <explain>〈书〉同“又”▲：三十～八年。</explain>
      <paraID>54EBD33F</paraID>
      <start>12</start>
      <end>13</end>
      <status>modified</status>
      <modifiedWord>有</modifiedWord>
      <trackRevisions>false</trackRevisions>
    </reviewItem>
    <reviewItem>
      <errorID>ab85056d-d246-4c26-9ceb-c6e9d3c2781d</errorID>
      <errorWord>（</errorWord>
      <group>L1_Punc</group>
      <groupName>标点问题</groupName>
      <ability>L2_Punc</ability>
      <abilityName>标点符号检查</abilityName>
      <candidateList/>
      <explain>同一形式括号套用。</explain>
      <paraID>2935F820</paraID>
      <start>49</start>
      <end>50</end>
      <status>ignored</status>
      <modifiedWord/>
      <trackRevisions>false</trackRevisions>
    </reviewItem>
    <reviewItem>
      <errorID>2e60a312-5e7d-45a2-8680-614d7058b8e3</errorID>
      <errorWord>）</errorWord>
      <group>L1_Punc</group>
      <groupName>标点问题</groupName>
      <ability>L2_Punc</ability>
      <abilityName>标点符号检查</abilityName>
      <candidateList/>
      <explain>同一形式括号套用。</explain>
      <paraID>2935F820</paraID>
      <start>51</start>
      <end>52</end>
      <status>ignored</status>
      <modifiedWord/>
      <trackRevisions>false</trackRevisions>
    </reviewItem>
    <reviewItem>
      <errorID>1386f00e-28a7-4f4a-9fac-3cd220ad5a51</errorID>
      <errorWord>（</errorWord>
      <group>L1_Punc</group>
      <groupName>标点问题</groupName>
      <ability>L2_Punc</ability>
      <abilityName>标点符号检查</abilityName>
      <candidateList/>
      <explain>同一形式括号套用。</explain>
      <paraID>2935F820</paraID>
      <start>93</start>
      <end>94</end>
      <status>ignored</status>
      <modifiedWord/>
      <trackRevisions>false</trackRevisions>
    </reviewItem>
    <reviewItem>
      <errorID>043c3930-473c-4775-99b2-1f68ad3d2384</errorID>
      <errorWord>）</errorWord>
      <group>L1_Punc</group>
      <groupName>标点问题</groupName>
      <ability>L2_Punc</ability>
      <abilityName>标点符号检查</abilityName>
      <candidateList/>
      <explain>同一形式括号套用。</explain>
      <paraID>2935F820</paraID>
      <start>95</start>
      <end>96</end>
      <status>ignored</status>
      <modifiedWord/>
      <trackRevisions>false</trackRevisions>
    </reviewItem>
    <reviewItem>
      <errorID>882adda5-82fc-413d-8ad7-3cd24f1ee38d</errorID>
      <errorWord>（</errorWord>
      <group>L1_Punc</group>
      <groupName>标点问题</groupName>
      <ability>L2_Punc</ability>
      <abilityName>标点符号检查</abilityName>
      <candidateList/>
      <explain>同一形式括号套用。</explain>
      <paraID>66B6A8D0</paraID>
      <start>34</start>
      <end>35</end>
      <status>ignored</status>
      <modifiedWord/>
      <trackRevisions>false</trackRevisions>
    </reviewItem>
    <reviewItem>
      <errorID>514f02c3-93ff-4c72-9237-9b58683dcd3f</errorID>
      <errorWord>）</errorWord>
      <group>L1_Punc</group>
      <groupName>标点问题</groupName>
      <ability>L2_Punc</ability>
      <abilityName>标点符号检查</abilityName>
      <candidateList/>
      <explain>同一形式括号套用。</explain>
      <paraID>66B6A8D0</paraID>
      <start>47</start>
      <end>48</end>
      <status>ignored</status>
      <modifiedWord/>
      <trackRevisions>false</trackRevisions>
    </reviewItem>
    <reviewItem>
      <errorID>36e64444-41a0-494d-9caa-b83cb5de64e1</errorID>
      <errorWord>（</errorWord>
      <group>L1_Punc</group>
      <groupName>标点问题</groupName>
      <ability>L2_Punc</ability>
      <abilityName>标点符号检查</abilityName>
      <candidateList/>
      <explain>同一形式括号套用。</explain>
      <paraID>66B6A8D0</paraID>
      <start>54</start>
      <end>55</end>
      <status>ignored</status>
      <modifiedWord/>
      <trackRevisions>false</trackRevisions>
    </reviewItem>
    <reviewItem>
      <errorID>bf024759-cc5f-46b5-9c52-ad8a420f0850</errorID>
      <errorWord>）</errorWord>
      <group>L1_Punc</group>
      <groupName>标点问题</groupName>
      <ability>L2_Punc</ability>
      <abilityName>标点符号检查</abilityName>
      <candidateList/>
      <explain>同一形式括号套用。</explain>
      <paraID>66B6A8D0</paraID>
      <start>71</start>
      <end>72</end>
      <status>ignored</status>
      <modifiedWord/>
      <trackRevisions>false</trackRevisions>
    </reviewItem>
    <reviewItem>
      <errorID>c767e807-d4be-4984-a639-53d07aa0834e</errorID>
      <errorWord>（</errorWord>
      <group>L1_Punc</group>
      <groupName>标点问题</groupName>
      <ability>L2_Punc</ability>
      <abilityName>标点符号检查</abilityName>
      <candidateList/>
      <explain>同一形式括号套用。</explain>
      <paraID>643AE492</paraID>
      <start>74</start>
      <end>75</end>
      <status>ignored</status>
      <modifiedWord/>
      <trackRevisions>false</trackRevisions>
    </reviewItem>
    <reviewItem>
      <errorID>5c8edace-0470-4996-ad95-fbb0eac3fe36</errorID>
      <errorWord>）</errorWord>
      <group>L1_Punc</group>
      <groupName>标点问题</groupName>
      <ability>L2_Punc</ability>
      <abilityName>标点符号检查</abilityName>
      <candidateList/>
      <explain>同一形式括号套用。</explain>
      <paraID>643AE492</paraID>
      <start>87</start>
      <end>88</end>
      <status>ignored</status>
      <modifiedWord/>
      <trackRevisions>false</trackRevisions>
    </reviewItem>
    <reviewItem>
      <errorID>bd0e1eee-dba8-4a46-b372-c817224b828b</errorID>
      <errorWord>判</errorWord>
      <group>L1_Word</group>
      <groupName>字词问题</groupName>
      <ability>L2_Typo</ability>
      <abilityName>字词错误</abilityName>
      <candidateList>
        <item>判定</item>
      </candidateList>
      <explain/>
      <paraID>371EDDBF</paraID>
      <start>119</start>
      <end>121</end>
      <status>modified</status>
      <modifiedWord>判定</modifiedWord>
      <trackRevisions>false</trackRevisions>
    </reviewItem>
    <reviewItem>
      <errorID>c84a4746-f8cc-4e86-be52-9038d9056f3c</errorID>
      <errorWord>或</errorWord>
      <group>L1_Word</group>
      <groupName>字词问题</groupName>
      <ability>L2_Typo</ability>
      <abilityName>字词错误</abilityName>
      <candidateList>
        <item>或加</item>
      </candidateList>
      <explain/>
      <paraID>7CBD1315</paraID>
      <start>7</start>
      <end>9</end>
      <status>modified</status>
      <modifiedWord>或加</modifiedWord>
      <trackRevisions>false</trackRevisions>
    </reviewItem>
    <reviewItem>
      <errorID>7ecfad12-5c17-4ff7-92a0-54df92b853cf</errorID>
      <errorWord>（</errorWord>
      <group>L1_Word</group>
      <groupName>字词问题</groupName>
      <ability>L2_Typo</ability>
      <abilityName>字词错误</abilityName>
      <candidateList>
        <item>（加</item>
      </candidateList>
      <explain/>
      <paraID>  83033A</paraID>
      <start>15</start>
      <end>17</end>
      <status>modified</status>
      <modifiedWord>（加</modifiedWord>
      <trackRevisions>false</trackRevisions>
    </reviewItem>
    <reviewItem>
      <errorID>3d6ec68d-76df-4d06-866c-c3d3e7b0b8b7</errorID>
      <errorWord>（</errorWord>
      <group>L1_Punc</group>
      <groupName>标点问题</groupName>
      <ability>L2_Punc</ability>
      <abilityName>标点符号检查</abilityName>
      <candidateList/>
      <explain>同一形式括号套用。</explain>
      <paraID>74267311</paraID>
      <start>49</start>
      <end>50</end>
      <status>ignored</status>
      <modifiedWord/>
      <trackRevisions>false</trackRevisions>
    </reviewItem>
    <reviewItem>
      <errorID>be4abc8c-f5bb-477b-a9c6-f7cc62f1b483</errorID>
      <errorWord>）</errorWord>
      <group>L1_Punc</group>
      <groupName>标点问题</groupName>
      <ability>L2_Punc</ability>
      <abilityName>标点符号检查</abilityName>
      <candidateList/>
      <explain>同一形式括号套用。</explain>
      <paraID>74267311</paraID>
      <start>51</start>
      <end>52</end>
      <status>ignored</status>
      <modifiedWord/>
      <trackRevisions>false</trackRevisions>
    </reviewItem>
    <reviewItem>
      <errorID>b4de6349-0c58-42ee-83a0-cac257f57b0a</errorID>
      <errorWord>（</errorWord>
      <group>L1_Punc</group>
      <groupName>标点问题</groupName>
      <ability>L2_Punc</ability>
      <abilityName>标点符号检查</abilityName>
      <candidateList/>
      <explain>同一形式括号套用。</explain>
      <paraID>74267311</paraID>
      <start>93</start>
      <end>94</end>
      <status>ignored</status>
      <modifiedWord/>
      <trackRevisions>false</trackRevisions>
    </reviewItem>
    <reviewItem>
      <errorID>9b8e59f8-1652-45f8-bb94-7e62cde05090</errorID>
      <errorWord>）</errorWord>
      <group>L1_Punc</group>
      <groupName>标点问题</groupName>
      <ability>L2_Punc</ability>
      <abilityName>标点符号检查</abilityName>
      <candidateList/>
      <explain>同一形式括号套用。</explain>
      <paraID>74267311</paraID>
      <start>95</start>
      <end>96</end>
      <status>ignored</status>
      <modifiedWord/>
      <trackRevisions>false</trackRevisions>
    </reviewItem>
    <reviewItem>
      <errorID>530be5aa-21be-4700-a41d-36806161e4cd</errorID>
      <errorWord>需</errorWord>
      <group>L1_Word</group>
      <groupName>字词问题</groupName>
      <ability>L2_Typo</ability>
      <abilityName>字词错误</abilityName>
      <candidateList>
        <item>需在</item>
      </candidateList>
      <explain/>
      <paraID>5381ABC4</paraID>
      <start>35</start>
      <end>37</end>
      <status>modified</status>
      <modifiedWord>需在</modifiedWord>
      <trackRevisions>false</trackRevisions>
    </reviewItem>
    <reviewItem>
      <errorID>fce73bbc-d5dc-4d8f-92d9-717e67024799</errorID>
      <errorWord>采购人</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4DF66AA2</paraID>
      <start>54</start>
      <end>57</end>
      <status>ignored</status>
      <modifiedWord/>
      <trackRevisions>false</trackRevisions>
    </reviewItem>
    <reviewItem>
      <errorID>354559c0-6806-453f-b58b-d8d82e348ab4</errorID>
      <errorWord>（</errorWord>
      <group>L1_Punc</group>
      <groupName>标点问题</groupName>
      <ability>L2_Punc</ability>
      <abilityName>标点符号检查</abilityName>
      <candidateList/>
      <explain>同一形式括号套用。</explain>
      <paraID>61F25CE8</paraID>
      <start>49</start>
      <end>50</end>
      <status>ignored</status>
      <modifiedWord/>
      <trackRevisions>false</trackRevisions>
    </reviewItem>
    <reviewItem>
      <errorID>d872efd0-f8f4-40b1-9ea7-8bb4873ef8c4</errorID>
      <errorWord>）</errorWord>
      <group>L1_Punc</group>
      <groupName>标点问题</groupName>
      <ability>L2_Punc</ability>
      <abilityName>标点符号检查</abilityName>
      <candidateList/>
      <explain>同一形式括号套用。</explain>
      <paraID>61F25CE8</paraID>
      <start>51</start>
      <end>52</end>
      <status>ignored</status>
      <modifiedWord/>
      <trackRevisions>false</trackRevisions>
    </reviewItem>
  </reviewItems>
  <config/>
</contractReview>
</file>

<file path=customXml/itemProps1.xml><?xml version="1.0" encoding="utf-8"?>
<ds:datastoreItem xmlns:ds="http://schemas.openxmlformats.org/officeDocument/2006/customXml" ds:itemID="{d76533d7-b70a-4893-987b-d1e9f3332fc5}">
  <ds:schemaRefs/>
</ds:datastoreItem>
</file>

<file path=docProps/app.xml><?xml version="1.0" encoding="utf-8"?>
<Properties xmlns="http://schemas.openxmlformats.org/officeDocument/2006/extended-properties" xmlns:vt="http://schemas.openxmlformats.org/officeDocument/2006/docPropsVTypes">
  <Template>Normal</Template>
  <Pages>46</Pages>
  <Words>19626</Words>
  <Characters>20343</Characters>
  <Lines>131</Lines>
  <Paragraphs>37</Paragraphs>
  <TotalTime>4</TotalTime>
  <ScaleCrop>false</ScaleCrop>
  <LinksUpToDate>false</LinksUpToDate>
  <CharactersWithSpaces>21091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2024-06-07T15:31:00Z</dcterms:created>
  <dc:creator>五洲</dc:creator>
  <cp:keywords>医疗设备</cp:keywords>
  <cp:lastModifiedBy>木子心</cp:lastModifiedBy>
  <cp:lastPrinted>2025-04-24T10:48:00Z</cp:lastPrinted>
  <dcterms:modified xsi:type="dcterms:W3CDTF">2025-12-12T13:09:25Z</dcterms:modified>
  <dc:subject>公招</dc:subject>
  <dc:title>设备</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4B75677DF84A4A7B8F5B94DD0589F56A_13</vt:lpwstr>
  </property>
  <property fmtid="{D5CDD505-2E9C-101B-9397-08002B2CF9AE}" pid="4" name="KSOTemplateDocerSaveRecord">
    <vt:lpwstr>eyJoZGlkIjoiNmU4MzM3ZWVhYmZjZDc5MDEzMzc0NGUzY2Q1N2JhY2MiLCJ1c2VySWQiOiIzODY5MjE2NDQifQ==</vt:lpwstr>
  </property>
</Properties>
</file>