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7408"/>
      <w:bookmarkStart w:id="1" w:name="_Toc19609"/>
      <w:bookmarkStart w:id="2" w:name="_Toc30711"/>
      <w:bookmarkStart w:id="3" w:name="_Toc31370"/>
      <w:bookmarkStart w:id="4" w:name="_Toc31917"/>
      <w:bookmarkStart w:id="5" w:name="_Toc16779"/>
      <w:bookmarkStart w:id="6" w:name="_Toc30988"/>
      <w:bookmarkStart w:id="7" w:name="_Toc17591"/>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项目编号：lfjt25C00108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7"/>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绿发实业采购中介机构开展2024年审计服务</w:t>
      </w:r>
    </w:p>
    <w:p w14:paraId="789537CD">
      <w:pPr>
        <w:pStyle w:val="7"/>
        <w:ind w:firstLine="640"/>
        <w:rPr>
          <w:rFonts w:hint="eastAsia" w:ascii="仿宋" w:hAnsi="仿宋" w:eastAsia="仿宋" w:cs="仿宋"/>
          <w:color w:val="auto"/>
          <w:highlight w:val="none"/>
        </w:rPr>
      </w:pPr>
    </w:p>
    <w:p w14:paraId="30F83EFB">
      <w:pPr>
        <w:pStyle w:val="7"/>
        <w:ind w:firstLine="640"/>
        <w:rPr>
          <w:rFonts w:hint="eastAsia" w:ascii="仿宋" w:hAnsi="仿宋" w:eastAsia="仿宋" w:cs="仿宋"/>
          <w:color w:val="auto"/>
          <w:highlight w:val="none"/>
        </w:rPr>
      </w:pPr>
    </w:p>
    <w:p w14:paraId="72E15630">
      <w:pPr>
        <w:pStyle w:val="7"/>
        <w:ind w:firstLine="640"/>
        <w:rPr>
          <w:rFonts w:hint="eastAsia" w:ascii="仿宋" w:hAnsi="仿宋" w:eastAsia="仿宋" w:cs="仿宋"/>
          <w:color w:val="auto"/>
          <w:highlight w:val="none"/>
        </w:rPr>
      </w:pPr>
    </w:p>
    <w:p w14:paraId="53357226">
      <w:pPr>
        <w:pStyle w:val="7"/>
        <w:ind w:firstLine="640"/>
        <w:rPr>
          <w:rFonts w:hint="eastAsia" w:ascii="仿宋" w:hAnsi="仿宋" w:eastAsia="仿宋" w:cs="仿宋"/>
          <w:color w:val="auto"/>
          <w:highlight w:val="none"/>
        </w:rPr>
      </w:pPr>
    </w:p>
    <w:p w14:paraId="0887F96C">
      <w:pPr>
        <w:pStyle w:val="7"/>
        <w:ind w:firstLine="640"/>
        <w:rPr>
          <w:rFonts w:hint="eastAsia" w:ascii="仿宋" w:hAnsi="仿宋" w:eastAsia="仿宋" w:cs="仿宋"/>
          <w:color w:val="auto"/>
          <w:highlight w:val="none"/>
        </w:rPr>
      </w:pPr>
    </w:p>
    <w:p w14:paraId="0F8AB2C7">
      <w:pPr>
        <w:pStyle w:val="7"/>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ind w:firstLine="640"/>
        <w:rPr>
          <w:rFonts w:hint="eastAsia" w:ascii="仿宋" w:hAnsi="仿宋" w:eastAsia="仿宋" w:cs="仿宋"/>
          <w:color w:val="auto"/>
          <w:highlight w:val="none"/>
        </w:rPr>
      </w:pPr>
    </w:p>
    <w:p w14:paraId="56BDD1B6">
      <w:pPr>
        <w:pStyle w:val="7"/>
        <w:ind w:firstLine="640"/>
        <w:rPr>
          <w:rFonts w:hint="eastAsia" w:ascii="仿宋" w:hAnsi="仿宋" w:eastAsia="仿宋" w:cs="仿宋"/>
          <w:color w:val="auto"/>
          <w:highlight w:val="none"/>
        </w:rPr>
      </w:pPr>
    </w:p>
    <w:p w14:paraId="4B230CA8">
      <w:pPr>
        <w:pStyle w:val="7"/>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四</w:t>
      </w:r>
      <w:r>
        <w:rPr>
          <w:rFonts w:hint="eastAsia" w:ascii="仿宋" w:hAnsi="仿宋" w:eastAsia="仿宋" w:cs="仿宋"/>
          <w:color w:val="auto"/>
          <w:sz w:val="36"/>
          <w:szCs w:val="30"/>
          <w:highlight w:val="none"/>
        </w:rPr>
        <w:t>月</w:t>
      </w:r>
    </w:p>
    <w:p w14:paraId="61DE40DB">
      <w:pPr>
        <w:pStyle w:val="7"/>
        <w:ind w:firstLine="640"/>
        <w:rPr>
          <w:rFonts w:hint="eastAsia" w:ascii="仿宋" w:hAnsi="仿宋" w:eastAsia="仿宋" w:cs="仿宋"/>
          <w:color w:val="auto"/>
          <w:highlight w:val="none"/>
        </w:rPr>
      </w:pPr>
    </w:p>
    <w:p w14:paraId="71875AB0">
      <w:pPr>
        <w:pStyle w:val="7"/>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 xml:space="preserve">第五篇 </w:t>
          </w:r>
          <w:r>
            <w:rPr>
              <w:rStyle w:val="23"/>
              <w:rFonts w:hint="eastAsia" w:ascii="仿宋" w:hAnsi="仿宋" w:eastAsia="仿宋" w:cs="仿宋"/>
              <w:color w:val="auto"/>
              <w:highlight w:val="none"/>
              <w:lang w:val="en-US" w:eastAsia="zh-CN"/>
            </w:rPr>
            <w:t xml:space="preserve"> </w:t>
          </w:r>
          <w:r>
            <w:rPr>
              <w:rStyle w:val="23"/>
              <w:rFonts w:hint="eastAsia" w:ascii="仿宋" w:hAnsi="仿宋" w:eastAsia="仿宋" w:cs="仿宋"/>
              <w:color w:val="auto"/>
              <w:highlight w:val="none"/>
              <w:lang w:eastAsia="zh-CN"/>
            </w:rPr>
            <w:t>供应商</w:t>
          </w:r>
          <w:r>
            <w:rPr>
              <w:rStyle w:val="23"/>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1641050"/>
      <w:bookmarkStart w:id="10" w:name="_Toc106030870"/>
      <w:bookmarkStart w:id="11" w:name="_Toc12789052"/>
      <w:bookmarkStart w:id="12" w:name="_Toc76462316"/>
      <w:bookmarkStart w:id="13" w:name="_Toc183783127"/>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重庆绿发实业集团有限公司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绿发实业采购中介机构开展2024年审计服务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18159"/>
      <w:bookmarkStart w:id="15" w:name="_Toc26820"/>
      <w:bookmarkStart w:id="16" w:name="_Toc18881"/>
      <w:bookmarkStart w:id="17" w:name="_Toc3463"/>
      <w:bookmarkStart w:id="18" w:name="_Toc313893526"/>
      <w:bookmarkStart w:id="19" w:name="_Toc7625"/>
      <w:bookmarkStart w:id="20" w:name="_Toc317775175"/>
      <w:bookmarkStart w:id="21" w:name="_Toc183783128"/>
      <w:bookmarkStart w:id="22" w:name="_Toc12808"/>
      <w:bookmarkStart w:id="23" w:name="_Toc25458"/>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绿发实业采购中介机构开展2024年审计服务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95000.00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22399"/>
      <w:bookmarkStart w:id="27" w:name="_Toc6462"/>
      <w:bookmarkStart w:id="28" w:name="_Toc19437"/>
      <w:bookmarkStart w:id="29" w:name="_Toc25190"/>
      <w:bookmarkStart w:id="30" w:name="_Toc1790"/>
      <w:bookmarkStart w:id="31" w:name="_Toc15727"/>
      <w:bookmarkStart w:id="32" w:name="_Toc15576"/>
      <w:bookmarkStart w:id="33" w:name="_Toc317775178"/>
      <w:bookmarkStart w:id="34" w:name="_Toc373860293"/>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95000.00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color w:val="auto"/>
          <w:sz w:val="24"/>
          <w:szCs w:val="24"/>
          <w:highlight w:val="none"/>
        </w:rPr>
      </w:pPr>
      <w:bookmarkStart w:id="36" w:name="_Toc183783131"/>
      <w:r>
        <w:rPr>
          <w:rFonts w:hint="eastAsia" w:ascii="仿宋" w:hAnsi="仿宋" w:eastAsia="仿宋" w:cs="仿宋"/>
          <w:color w:val="auto"/>
          <w:sz w:val="24"/>
          <w:szCs w:val="24"/>
          <w:highlight w:val="none"/>
          <w:lang w:val="en-US" w:eastAsia="zh-CN"/>
        </w:rPr>
        <w:t>具有有效的行政部门颁发的会计师事务所执业证书</w:t>
      </w:r>
      <w:r>
        <w:rPr>
          <w:rFonts w:hint="eastAsia" w:ascii="仿宋" w:hAnsi="仿宋" w:eastAsia="仿宋" w:cs="仿宋"/>
          <w:color w:val="auto"/>
          <w:sz w:val="24"/>
          <w:szCs w:val="24"/>
          <w:highlight w:val="none"/>
        </w:rPr>
        <w:t>。</w:t>
      </w:r>
    </w:p>
    <w:p w14:paraId="7430E7C7">
      <w:pPr>
        <w:pStyle w:val="7"/>
        <w:ind w:firstLine="482" w:firstLineChars="200"/>
        <w:rPr>
          <w:rFonts w:hint="default" w:eastAsia="仿宋"/>
          <w:b/>
          <w:bCs/>
          <w:color w:val="auto"/>
          <w:highlight w:val="none"/>
          <w:lang w:val="en-US" w:eastAsia="zh-CN"/>
        </w:rPr>
      </w:pPr>
      <w:r>
        <w:rPr>
          <w:rFonts w:hint="eastAsia" w:ascii="仿宋" w:hAnsi="仿宋" w:eastAsia="仿宋" w:cs="仿宋"/>
          <w:b/>
          <w:bCs/>
          <w:color w:val="auto"/>
          <w:sz w:val="24"/>
          <w:szCs w:val="24"/>
          <w:highlight w:val="none"/>
          <w:lang w:val="en-US" w:eastAsia="zh-CN"/>
        </w:rPr>
        <w:t>注：提供证书复印件并加盖单位公章。</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20778"/>
      <w:bookmarkStart w:id="39" w:name="_Toc3475"/>
      <w:bookmarkStart w:id="40" w:name="_Toc27955"/>
      <w:bookmarkStart w:id="41" w:name="_Toc11828"/>
      <w:bookmarkStart w:id="42" w:name="_Toc25886"/>
      <w:bookmarkStart w:id="43" w:name="_Toc5085"/>
      <w:bookmarkStart w:id="44" w:name="_Toc9654"/>
      <w:bookmarkStart w:id="45" w:name="_Toc31315"/>
      <w:bookmarkStart w:id="46" w:name="_Toc25516"/>
      <w:bookmarkStart w:id="47" w:name="_Toc15478"/>
      <w:bookmarkStart w:id="48" w:name="_Toc13969"/>
      <w:bookmarkStart w:id="49" w:name="_Toc19730"/>
      <w:bookmarkStart w:id="50" w:name="_Toc9027"/>
      <w:bookmarkStart w:id="51" w:name="_Toc14778"/>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重庆绿发实业集团有限公司</w:t>
      </w:r>
    </w:p>
    <w:p w14:paraId="1169E1B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联系人：余老师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话：18680837335</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20"/>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672"/>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672" w:type="dxa"/>
            <w:vAlign w:val="center"/>
          </w:tcPr>
          <w:p w14:paraId="475813F6">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最高限价金额</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lang w:val="en-US" w:eastAsia="zh-CN"/>
              </w:rPr>
              <w:t>)</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绿发实业采购中介机构开展2024年审计服务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672" w:type="dxa"/>
            <w:vAlign w:val="center"/>
          </w:tcPr>
          <w:p w14:paraId="50A8705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95000</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4F2D0317">
      <w:pPr>
        <w:pStyle w:val="3"/>
        <w:spacing w:line="240" w:lineRule="auto"/>
        <w:ind w:firstLine="480" w:firstLineChars="200"/>
        <w:rPr>
          <w:rFonts w:hint="eastAsia" w:ascii="仿宋" w:hAnsi="仿宋" w:eastAsia="仿宋" w:cs="仿宋"/>
          <w:b w:val="0"/>
          <w:bCs/>
          <w:color w:val="auto"/>
          <w:sz w:val="24"/>
          <w:szCs w:val="24"/>
          <w:highlight w:val="none"/>
          <w:lang w:val="en-US" w:eastAsia="zh-CN"/>
        </w:rPr>
      </w:pPr>
      <w:bookmarkStart w:id="61" w:name="_Toc76462326"/>
      <w:bookmarkStart w:id="62" w:name="_Toc344475116"/>
      <w:bookmarkStart w:id="63" w:name="_Toc106030881"/>
      <w:bookmarkStart w:id="64" w:name="_Toc313536013"/>
      <w:bookmarkStart w:id="65" w:name="_Toc183783137"/>
      <w:r>
        <w:rPr>
          <w:rFonts w:hint="eastAsia" w:ascii="仿宋" w:hAnsi="仿宋" w:eastAsia="仿宋" w:cs="仿宋"/>
          <w:b w:val="0"/>
          <w:bCs/>
          <w:color w:val="auto"/>
          <w:sz w:val="24"/>
          <w:szCs w:val="24"/>
          <w:highlight w:val="none"/>
          <w:lang w:val="en-US" w:eastAsia="zh-CN"/>
        </w:rPr>
        <w:t>(一)对重庆绿发实业集团有限公司编制的2024年度</w:t>
      </w:r>
      <w:r>
        <w:rPr>
          <w:rFonts w:hint="eastAsia" w:ascii="仿宋" w:hAnsi="仿宋" w:eastAsia="仿宋" w:cs="仿宋"/>
          <w:b w:val="0"/>
          <w:bCs/>
          <w:color w:val="auto"/>
          <w:sz w:val="24"/>
          <w:szCs w:val="24"/>
          <w:highlight w:val="none"/>
        </w:rPr>
        <w:t>合并及单体财务报表</w:t>
      </w:r>
      <w:r>
        <w:rPr>
          <w:rFonts w:hint="eastAsia" w:ascii="仿宋" w:hAnsi="仿宋" w:eastAsia="仿宋" w:cs="仿宋"/>
          <w:b w:val="0"/>
          <w:bCs/>
          <w:color w:val="auto"/>
          <w:sz w:val="24"/>
          <w:szCs w:val="24"/>
          <w:highlight w:val="none"/>
          <w:lang w:val="en-US" w:eastAsia="zh-CN"/>
        </w:rPr>
        <w:t>(资产负债表、利润表、所有者权益变动表、现金流量表以及财务报表附注)进行审计，确保准确反映本期发生数、上年同期数、期初数及期末数。</w:t>
      </w:r>
    </w:p>
    <w:p w14:paraId="5A3C6D3F">
      <w:pPr>
        <w:pStyle w:val="3"/>
        <w:spacing w:line="240" w:lineRule="auto"/>
        <w:ind w:firstLine="480" w:firstLineChars="200"/>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(二)在满足行业监管和采购文件要求的时间基础上，由审计机构出具合格的《审计报告》。</w:t>
      </w: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2B34C51E">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（1）项目组需制定审计计划，根据审计计划时间安排开展审计工作，现场审计记录审计日志，按日报送给采购人。</w:t>
      </w:r>
    </w:p>
    <w:p w14:paraId="3456AE86">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（2）审计服务满足审计质量要求。项目组须按照国家、市级、区级各部门制定的政策文件及采购人要求开展相关审计和审计服务工作。按时出具审计报告，报告内容详实、格式规范，审计范围全面、内容彻底。</w:t>
      </w:r>
    </w:p>
    <w:p w14:paraId="02847A1A">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（3）对项目开展过程中遇到的重大问题须及时向采购人报告。</w:t>
      </w:r>
    </w:p>
    <w:p w14:paraId="2D25B30E">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（4）采购人有权对成交供应商的工作质量等方面进行定期或不定期考核。</w:t>
      </w:r>
    </w:p>
    <w:p w14:paraId="172C777E">
      <w:pPr>
        <w:rPr>
          <w:rFonts w:hint="eastAsia" w:ascii="仿宋" w:hAnsi="仿宋" w:eastAsia="仿宋" w:cs="仿宋"/>
          <w:color w:val="auto"/>
          <w:sz w:val="24"/>
          <w:szCs w:val="24"/>
          <w:highlight w:val="none"/>
        </w:rPr>
      </w:pPr>
    </w:p>
    <w:p w14:paraId="02EEAAD1">
      <w:pPr>
        <w:pStyle w:val="7"/>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7"/>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2C86BED7">
      <w:pPr>
        <w:rPr>
          <w:rFonts w:hint="eastAsia" w:ascii="仿宋" w:hAnsi="仿宋" w:eastAsia="仿宋" w:cs="仿宋"/>
          <w:color w:val="auto"/>
          <w:highlight w:val="none"/>
        </w:rPr>
      </w:pPr>
    </w:p>
    <w:p w14:paraId="60C075FB">
      <w:pPr>
        <w:rPr>
          <w:rFonts w:hint="eastAsia" w:ascii="仿宋" w:hAnsi="仿宋" w:eastAsia="仿宋" w:cs="仿宋"/>
          <w:color w:val="auto"/>
          <w:highlight w:val="none"/>
        </w:rPr>
      </w:pPr>
    </w:p>
    <w:p w14:paraId="5BBEAC16">
      <w:pPr>
        <w:rPr>
          <w:rFonts w:hint="eastAsia" w:ascii="仿宋" w:hAnsi="仿宋" w:eastAsia="仿宋" w:cs="仿宋"/>
          <w:color w:val="auto"/>
          <w:highlight w:val="none"/>
        </w:rPr>
      </w:pPr>
    </w:p>
    <w:p w14:paraId="49B502B0">
      <w:pPr>
        <w:rPr>
          <w:rFonts w:hint="eastAsia" w:ascii="仿宋" w:hAnsi="仿宋" w:eastAsia="仿宋" w:cs="仿宋"/>
          <w:color w:val="auto"/>
          <w:highlight w:val="none"/>
        </w:rPr>
      </w:pPr>
    </w:p>
    <w:p w14:paraId="4EB0D831">
      <w:pPr>
        <w:rPr>
          <w:rFonts w:hint="eastAsia" w:ascii="仿宋" w:hAnsi="仿宋" w:eastAsia="仿宋" w:cs="仿宋"/>
          <w:color w:val="auto"/>
          <w:highlight w:val="none"/>
        </w:rPr>
      </w:pPr>
    </w:p>
    <w:p w14:paraId="05FA470A">
      <w:pPr>
        <w:rPr>
          <w:rFonts w:hint="eastAsia" w:ascii="仿宋" w:hAnsi="仿宋" w:eastAsia="仿宋" w:cs="仿宋"/>
          <w:color w:val="auto"/>
          <w:highlight w:val="none"/>
        </w:rPr>
      </w:pPr>
    </w:p>
    <w:p w14:paraId="3862BFF7">
      <w:pPr>
        <w:rPr>
          <w:rFonts w:hint="eastAsia" w:ascii="仿宋" w:hAnsi="仿宋" w:eastAsia="仿宋" w:cs="仿宋"/>
          <w:color w:val="auto"/>
          <w:highlight w:val="none"/>
        </w:rPr>
      </w:pPr>
    </w:p>
    <w:p w14:paraId="0D66C665">
      <w:pPr>
        <w:rPr>
          <w:rFonts w:hint="eastAsia" w:ascii="仿宋" w:hAnsi="仿宋" w:eastAsia="仿宋" w:cs="仿宋"/>
          <w:color w:val="auto"/>
          <w:highlight w:val="none"/>
        </w:rPr>
      </w:pPr>
    </w:p>
    <w:p w14:paraId="7A4473A9">
      <w:pPr>
        <w:rPr>
          <w:rFonts w:hint="eastAsia" w:ascii="仿宋" w:hAnsi="仿宋" w:eastAsia="仿宋" w:cs="仿宋"/>
          <w:color w:val="auto"/>
          <w:highlight w:val="none"/>
        </w:rPr>
      </w:pPr>
    </w:p>
    <w:p w14:paraId="47189FBE">
      <w:pPr>
        <w:rPr>
          <w:rFonts w:hint="eastAsia" w:ascii="仿宋" w:hAnsi="仿宋" w:eastAsia="仿宋" w:cs="仿宋"/>
          <w:color w:val="auto"/>
          <w:highlight w:val="none"/>
        </w:rPr>
      </w:pPr>
    </w:p>
    <w:p w14:paraId="097AB8AF">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6" w:name="_Toc183783138"/>
      <w:bookmarkStart w:id="67" w:name="_Toc76462327"/>
      <w:bookmarkStart w:id="68" w:name="_Toc106030882"/>
      <w:r>
        <w:rPr>
          <w:rFonts w:hint="eastAsia" w:ascii="仿宋" w:hAnsi="仿宋" w:eastAsia="仿宋" w:cs="仿宋"/>
          <w:color w:val="auto"/>
          <w:highlight w:val="none"/>
        </w:rPr>
        <w:t>项目商务需求</w:t>
      </w:r>
      <w:bookmarkEnd w:id="66"/>
      <w:bookmarkEnd w:id="67"/>
      <w:bookmarkEnd w:id="68"/>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69" w:name="_Toc106030883"/>
      <w:bookmarkStart w:id="70" w:name="_Toc76462328"/>
      <w:bookmarkStart w:id="71" w:name="_Toc183783139"/>
      <w:bookmarkStart w:id="72" w:name="_Toc344475120"/>
      <w:r>
        <w:rPr>
          <w:rFonts w:hint="eastAsia" w:ascii="仿宋" w:hAnsi="仿宋" w:eastAsia="仿宋" w:cs="仿宋"/>
          <w:color w:val="auto"/>
          <w:highlight w:val="none"/>
        </w:rPr>
        <w:t>一、服务期、地点及验收方式</w:t>
      </w:r>
      <w:bookmarkEnd w:id="69"/>
      <w:bookmarkEnd w:id="70"/>
      <w:bookmarkEnd w:id="71"/>
      <w:bookmarkEnd w:id="72"/>
    </w:p>
    <w:p w14:paraId="5F42DDAC">
      <w:pPr>
        <w:ind w:firstLine="480"/>
        <w:rPr>
          <w:rFonts w:hint="eastAsia" w:ascii="仿宋" w:hAnsi="仿宋" w:eastAsia="仿宋" w:cs="仿宋"/>
          <w:color w:val="auto"/>
          <w:sz w:val="24"/>
          <w:szCs w:val="18"/>
          <w:highlight w:val="none"/>
        </w:rPr>
      </w:pPr>
      <w:bookmarkStart w:id="73" w:name="_Toc344475121"/>
      <w:bookmarkStart w:id="74" w:name="_Toc76462329"/>
      <w:bookmarkStart w:id="75" w:name="_Toc106030884"/>
      <w:r>
        <w:rPr>
          <w:rFonts w:hint="eastAsia" w:ascii="仿宋" w:hAnsi="仿宋" w:eastAsia="仿宋" w:cs="仿宋"/>
          <w:color w:val="auto"/>
          <w:sz w:val="24"/>
          <w:szCs w:val="18"/>
          <w:highlight w:val="none"/>
        </w:rPr>
        <w:t>（一）服务期：</w:t>
      </w:r>
      <w:bookmarkStart w:id="76" w:name="_Hlk187327333"/>
      <w:r>
        <w:rPr>
          <w:rFonts w:hint="eastAsia" w:ascii="仿宋" w:hAnsi="仿宋" w:eastAsia="仿宋" w:cs="仿宋"/>
          <w:color w:val="auto"/>
          <w:sz w:val="24"/>
          <w:szCs w:val="18"/>
          <w:highlight w:val="none"/>
        </w:rPr>
        <w:t>自签订合同后 30天内出具审计报告。</w:t>
      </w:r>
      <w:bookmarkEnd w:id="76"/>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（三）验收方式：采购人对中标人工作流程、服务质量和审计报告质量进行验收。</w:t>
      </w:r>
    </w:p>
    <w:p w14:paraId="099F4004">
      <w:pPr>
        <w:pStyle w:val="3"/>
        <w:spacing w:line="240" w:lineRule="auto"/>
        <w:ind w:firstLine="643"/>
        <w:rPr>
          <w:rFonts w:hint="eastAsia" w:ascii="仿宋" w:hAnsi="仿宋" w:eastAsia="仿宋" w:cs="仿宋"/>
          <w:color w:val="auto"/>
          <w:highlight w:val="none"/>
        </w:rPr>
      </w:pPr>
      <w:bookmarkStart w:id="77" w:name="_Toc183783140"/>
      <w:r>
        <w:rPr>
          <w:rFonts w:hint="eastAsia" w:ascii="仿宋" w:hAnsi="仿宋" w:eastAsia="仿宋" w:cs="仿宋"/>
          <w:color w:val="auto"/>
          <w:highlight w:val="none"/>
        </w:rPr>
        <w:t>二、</w:t>
      </w:r>
      <w:bookmarkEnd w:id="73"/>
      <w:r>
        <w:rPr>
          <w:rFonts w:hint="eastAsia" w:ascii="仿宋" w:hAnsi="仿宋" w:eastAsia="仿宋" w:cs="仿宋"/>
          <w:color w:val="auto"/>
          <w:highlight w:val="none"/>
        </w:rPr>
        <w:t>报价要求</w:t>
      </w:r>
      <w:bookmarkEnd w:id="74"/>
      <w:bookmarkEnd w:id="75"/>
      <w:bookmarkEnd w:id="77"/>
    </w:p>
    <w:p w14:paraId="45247D87">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人员工资、交通费、通讯费、办公费、税费等到采购人指定地点提供服务的所有费用。因供应商自身原因造成漏报、少报皆由供应商自行承担责任，采购人不再补偿。在审计期间，审计人员食宿、交通、安全等由供应商自行承担。所有报价包含完成本项目的验收合格前的所有费用（含食宿、交通等费用）。供应商在</w:t>
      </w:r>
      <w:r>
        <w:rPr>
          <w:rFonts w:hint="eastAsia" w:ascii="仿宋" w:hAnsi="仿宋" w:eastAsia="仿宋" w:cs="仿宋"/>
          <w:color w:val="auto"/>
          <w:sz w:val="24"/>
          <w:szCs w:val="18"/>
          <w:highlight w:val="none"/>
          <w:lang w:val="en-US" w:eastAsia="zh-CN"/>
        </w:rPr>
        <w:t>响应</w:t>
      </w:r>
      <w:r>
        <w:rPr>
          <w:rFonts w:hint="eastAsia" w:ascii="仿宋" w:hAnsi="仿宋" w:eastAsia="仿宋" w:cs="仿宋"/>
          <w:color w:val="auto"/>
          <w:sz w:val="24"/>
          <w:szCs w:val="18"/>
          <w:highlight w:val="none"/>
          <w:lang w:eastAsia="zh-CN"/>
        </w:rPr>
        <w:t>报价时应充分考虑其中应承担的的风险因素。因供应商自身原因造成漏报、少报皆由其自行承担责任，采购人不再补偿。</w:t>
      </w: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8" w:name="_Toc183783141"/>
      <w:r>
        <w:rPr>
          <w:rFonts w:hint="eastAsia" w:ascii="仿宋" w:hAnsi="仿宋" w:eastAsia="仿宋" w:cs="仿宋"/>
          <w:color w:val="auto"/>
          <w:highlight w:val="none"/>
        </w:rPr>
        <w:t>付款方式</w:t>
      </w:r>
      <w:bookmarkEnd w:id="78"/>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以合同签订为准</w:t>
      </w:r>
      <w:r>
        <w:rPr>
          <w:rFonts w:hint="eastAsia" w:ascii="仿宋" w:hAnsi="仿宋" w:eastAsia="仿宋" w:cs="仿宋"/>
          <w:color w:val="auto"/>
          <w:sz w:val="24"/>
          <w:szCs w:val="18"/>
          <w:highlight w:val="none"/>
          <w:lang w:eastAsia="zh-CN"/>
        </w:rPr>
        <w:t>。</w:t>
      </w:r>
    </w:p>
    <w:p w14:paraId="74612F7F">
      <w:pPr>
        <w:pStyle w:val="3"/>
        <w:numPr>
          <w:ilvl w:val="0"/>
          <w:numId w:val="3"/>
        </w:numPr>
        <w:spacing w:line="240" w:lineRule="auto"/>
        <w:ind w:firstLine="64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售后服务内容</w:t>
      </w:r>
    </w:p>
    <w:p w14:paraId="229FF681">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采购人自行验收。审计完成后保留审计底稿等相关资料备查，并将审计报告和所有取证依据提交采购方</w:t>
      </w:r>
      <w:r>
        <w:rPr>
          <w:rFonts w:hint="default" w:ascii="仿宋" w:hAnsi="仿宋" w:eastAsia="仿宋" w:cs="仿宋"/>
          <w:color w:val="auto"/>
          <w:sz w:val="24"/>
          <w:szCs w:val="18"/>
          <w:highlight w:val="none"/>
          <w:lang w:val="en-US" w:eastAsia="zh-CN"/>
        </w:rPr>
        <w:t>。</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五、知识产权</w:t>
      </w:r>
    </w:p>
    <w:p w14:paraId="37F8F6F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0817E90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注：（若涉及软件开发等服务类项目知识产权的，知识产权归采购人所有）。</w:t>
      </w:r>
    </w:p>
    <w:p w14:paraId="42BB163F">
      <w:pPr>
        <w:pStyle w:val="3"/>
        <w:spacing w:line="240" w:lineRule="auto"/>
        <w:ind w:firstLine="643"/>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六、合格标准</w:t>
      </w:r>
    </w:p>
    <w:p w14:paraId="502BA6FB">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该审计结束后，成交供应商须接受采购人的考核（考核标准详见审计工作情况考核表）。本考核内容共计100分，成交供应商的考核得分应达到90分以上，如未达到，按以下方式执行扣款：</w:t>
      </w:r>
    </w:p>
    <w:p w14:paraId="79E4058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a.考核结果为0的，采购人有权直接解除合同，不予支付该审计项目的任何费用，同时成交供应商承担违约金即该项目预算金额的10%;</w:t>
      </w:r>
    </w:p>
    <w:p w14:paraId="535E48D2">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b.考核结果低于60分的，采购人对其给予警告；且将一次性扣除该审计费用的50%，分值低于30分的，采购人有权不予支付该审计项目的任何费用；</w:t>
      </w:r>
    </w:p>
    <w:p w14:paraId="20B4CFE3">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c.考核结果在60-70分的，采购人将一次性扣除审计费用的30%；</w:t>
      </w:r>
    </w:p>
    <w:p w14:paraId="1A531F9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d.考核结果在70-80分的，采购人将一次性扣除审计费用的20%；</w:t>
      </w:r>
    </w:p>
    <w:p w14:paraId="31DDF20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e.考核结果在80-90分的，采购人将一次性扣除审计费用的10%。</w:t>
      </w:r>
    </w:p>
    <w:p w14:paraId="62BFB7A9">
      <w:pPr>
        <w:pStyle w:val="1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审计工作情况考核表</w:t>
      </w:r>
    </w:p>
    <w:tbl>
      <w:tblPr>
        <w:tblStyle w:val="20"/>
        <w:tblpPr w:leftFromText="180" w:rightFromText="180" w:vertAnchor="text" w:horzAnchor="page" w:tblpX="1832" w:tblpY="286"/>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5"/>
        <w:gridCol w:w="5550"/>
        <w:gridCol w:w="705"/>
        <w:gridCol w:w="900"/>
      </w:tblGrid>
      <w:tr w14:paraId="580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trPr>
        <w:tc>
          <w:tcPr>
            <w:tcW w:w="705" w:type="dxa"/>
            <w:noWrap w:val="0"/>
            <w:vAlign w:val="center"/>
          </w:tcPr>
          <w:p w14:paraId="0F37472A">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185" w:type="dxa"/>
            <w:noWrap w:val="0"/>
            <w:vAlign w:val="center"/>
          </w:tcPr>
          <w:p w14:paraId="229587B4">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类别</w:t>
            </w:r>
          </w:p>
        </w:tc>
        <w:tc>
          <w:tcPr>
            <w:tcW w:w="5550" w:type="dxa"/>
            <w:noWrap w:val="0"/>
            <w:vAlign w:val="center"/>
          </w:tcPr>
          <w:p w14:paraId="3A5B6576">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考核内容</w:t>
            </w:r>
          </w:p>
        </w:tc>
        <w:tc>
          <w:tcPr>
            <w:tcW w:w="705" w:type="dxa"/>
            <w:noWrap w:val="0"/>
            <w:vAlign w:val="center"/>
          </w:tcPr>
          <w:p w14:paraId="2B7987A6">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w:t>
            </w:r>
          </w:p>
        </w:tc>
        <w:tc>
          <w:tcPr>
            <w:tcW w:w="900" w:type="dxa"/>
            <w:noWrap w:val="0"/>
            <w:vAlign w:val="center"/>
          </w:tcPr>
          <w:p w14:paraId="6792C915">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扣分说明</w:t>
            </w:r>
          </w:p>
        </w:tc>
      </w:tr>
      <w:tr w14:paraId="15FD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5" w:type="dxa"/>
            <w:noWrap w:val="0"/>
            <w:vAlign w:val="center"/>
          </w:tcPr>
          <w:p w14:paraId="2CD52F09">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85" w:type="dxa"/>
            <w:vMerge w:val="restart"/>
            <w:noWrap w:val="0"/>
            <w:vAlign w:val="center"/>
          </w:tcPr>
          <w:p w14:paraId="4DA267FB">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工作流程</w:t>
            </w:r>
          </w:p>
        </w:tc>
        <w:tc>
          <w:tcPr>
            <w:tcW w:w="5550" w:type="dxa"/>
            <w:noWrap w:val="0"/>
            <w:vAlign w:val="center"/>
          </w:tcPr>
          <w:p w14:paraId="28EBAC99">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审计工作计划安排不合理，工作不严谨，开展不顺利，未严格遵循行业从业规范及标准，随意删减工作程序的每次扣3分。</w:t>
            </w:r>
          </w:p>
        </w:tc>
        <w:tc>
          <w:tcPr>
            <w:tcW w:w="705" w:type="dxa"/>
            <w:noWrap w:val="0"/>
            <w:vAlign w:val="center"/>
          </w:tcPr>
          <w:p w14:paraId="00345442">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7911C03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2E41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5" w:type="dxa"/>
            <w:noWrap w:val="0"/>
            <w:vAlign w:val="center"/>
          </w:tcPr>
          <w:p w14:paraId="79A2557D">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85" w:type="dxa"/>
            <w:vMerge w:val="continue"/>
            <w:noWrap w:val="0"/>
            <w:vAlign w:val="center"/>
          </w:tcPr>
          <w:p w14:paraId="353241B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6D2A03CC">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工作底稿不完善（包括事项基本情况，开展现场调查、资料收集、出具审计报告等）每项扣3分</w:t>
            </w:r>
          </w:p>
        </w:tc>
        <w:tc>
          <w:tcPr>
            <w:tcW w:w="705" w:type="dxa"/>
            <w:noWrap w:val="0"/>
            <w:vAlign w:val="center"/>
          </w:tcPr>
          <w:p w14:paraId="54305951">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67959484">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6143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noWrap w:val="0"/>
            <w:vAlign w:val="center"/>
          </w:tcPr>
          <w:p w14:paraId="2D579C74">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85" w:type="dxa"/>
            <w:vMerge w:val="continue"/>
            <w:noWrap w:val="0"/>
            <w:vAlign w:val="center"/>
          </w:tcPr>
          <w:p w14:paraId="4CB3B036">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0D84DC1F">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审计项目未能在采购人约定的时间范围内出具报告（包括出具初稿的时间、修正时间以及出具报告的时间等），每出现一次时间不及时的问题扣3分（由于采购人原因需要增加工作时间的除外）</w:t>
            </w:r>
          </w:p>
        </w:tc>
        <w:tc>
          <w:tcPr>
            <w:tcW w:w="705" w:type="dxa"/>
            <w:noWrap w:val="0"/>
            <w:vAlign w:val="center"/>
          </w:tcPr>
          <w:p w14:paraId="41730801">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40364C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32B7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 w:type="dxa"/>
            <w:noWrap w:val="0"/>
            <w:vAlign w:val="center"/>
          </w:tcPr>
          <w:p w14:paraId="70A89B69">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85" w:type="dxa"/>
            <w:vMerge w:val="restart"/>
            <w:noWrap w:val="0"/>
            <w:vAlign w:val="center"/>
          </w:tcPr>
          <w:p w14:paraId="67498B4D">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审计报告</w:t>
            </w:r>
          </w:p>
        </w:tc>
        <w:tc>
          <w:tcPr>
            <w:tcW w:w="5550" w:type="dxa"/>
            <w:noWrap w:val="0"/>
            <w:vAlign w:val="center"/>
          </w:tcPr>
          <w:p w14:paraId="474EE5FC">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告须真实、合法，未如实反映审计范围、审计依据，或已实施的审计程序、审计意见，不符合国家相关审计的标准的，每项扣5分；报告的内容不详实、格式不规范，审计范围不全面、内容不彻底，每项扣3-5分。</w:t>
            </w:r>
          </w:p>
        </w:tc>
        <w:tc>
          <w:tcPr>
            <w:tcW w:w="705" w:type="dxa"/>
            <w:noWrap w:val="0"/>
            <w:vAlign w:val="center"/>
          </w:tcPr>
          <w:p w14:paraId="29AB9BA9">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6F60EC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0875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5" w:type="dxa"/>
            <w:noWrap w:val="0"/>
            <w:vAlign w:val="center"/>
          </w:tcPr>
          <w:p w14:paraId="161AF542">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85" w:type="dxa"/>
            <w:vMerge w:val="continue"/>
            <w:noWrap w:val="0"/>
            <w:vAlign w:val="center"/>
          </w:tcPr>
          <w:p w14:paraId="4098E8FC">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424716B8">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上级部门认为审计报告有重大瑕疵每项扣5分</w:t>
            </w:r>
          </w:p>
        </w:tc>
        <w:tc>
          <w:tcPr>
            <w:tcW w:w="705" w:type="dxa"/>
            <w:noWrap w:val="0"/>
            <w:vAlign w:val="center"/>
          </w:tcPr>
          <w:p w14:paraId="1291AA05">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5F23688E">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5BC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34F1583D">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85" w:type="dxa"/>
            <w:vMerge w:val="restart"/>
            <w:noWrap w:val="0"/>
            <w:vAlign w:val="center"/>
          </w:tcPr>
          <w:p w14:paraId="18942810">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w:t>
            </w:r>
          </w:p>
        </w:tc>
        <w:tc>
          <w:tcPr>
            <w:tcW w:w="5550" w:type="dxa"/>
            <w:noWrap w:val="0"/>
            <w:vAlign w:val="center"/>
          </w:tcPr>
          <w:p w14:paraId="6F8F18F7">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参与审计人员服务意识及服务态度不强，受到采购人具体承办人投诉的视情况每次扣3-10分。</w:t>
            </w:r>
          </w:p>
        </w:tc>
        <w:tc>
          <w:tcPr>
            <w:tcW w:w="705" w:type="dxa"/>
            <w:noWrap w:val="0"/>
            <w:vAlign w:val="center"/>
          </w:tcPr>
          <w:p w14:paraId="65AE3DA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26343FFD">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r w14:paraId="344B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 w:type="dxa"/>
            <w:noWrap w:val="0"/>
            <w:vAlign w:val="center"/>
          </w:tcPr>
          <w:p w14:paraId="034F611F">
            <w:pPr>
              <w:keepNext w:val="0"/>
              <w:keepLines w:val="0"/>
              <w:pageBreakBefore w:val="0"/>
              <w:widowControl w:val="0"/>
              <w:kinsoku/>
              <w:wordWrap/>
              <w:overflowPunct/>
              <w:topLinePunct w:val="0"/>
              <w:autoSpaceDE/>
              <w:autoSpaceDN/>
              <w:bidi w:val="0"/>
              <w:adjustRightInd/>
              <w:snapToGrid w:val="0"/>
              <w:spacing w:line="240" w:lineRule="atLeast"/>
              <w:ind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85" w:type="dxa"/>
            <w:vMerge w:val="continue"/>
            <w:noWrap w:val="0"/>
            <w:vAlign w:val="center"/>
          </w:tcPr>
          <w:p w14:paraId="644C6379">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5550" w:type="dxa"/>
            <w:noWrap w:val="0"/>
            <w:vAlign w:val="center"/>
          </w:tcPr>
          <w:p w14:paraId="512B77E9">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被会计行业协会抽取质量检查，若出现重大质量问题的，该项目考核直接得0分</w:t>
            </w:r>
          </w:p>
        </w:tc>
        <w:tc>
          <w:tcPr>
            <w:tcW w:w="705" w:type="dxa"/>
            <w:noWrap w:val="0"/>
            <w:vAlign w:val="center"/>
          </w:tcPr>
          <w:p w14:paraId="62F11338">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c>
          <w:tcPr>
            <w:tcW w:w="900" w:type="dxa"/>
            <w:noWrap w:val="0"/>
            <w:vAlign w:val="center"/>
          </w:tcPr>
          <w:p w14:paraId="219BA2B4">
            <w:pPr>
              <w:keepNext w:val="0"/>
              <w:keepLines w:val="0"/>
              <w:pageBreakBefore w:val="0"/>
              <w:widowControl w:val="0"/>
              <w:kinsoku/>
              <w:wordWrap/>
              <w:overflowPunct/>
              <w:topLinePunct w:val="0"/>
              <w:autoSpaceDE/>
              <w:autoSpaceDN/>
              <w:bidi w:val="0"/>
              <w:adjustRightInd/>
              <w:snapToGrid w:val="0"/>
              <w:spacing w:line="240" w:lineRule="atLeast"/>
              <w:ind w:firstLine="0"/>
              <w:textAlignment w:val="auto"/>
              <w:rPr>
                <w:rFonts w:hint="eastAsia" w:ascii="仿宋" w:hAnsi="仿宋" w:eastAsia="仿宋" w:cs="仿宋"/>
                <w:color w:val="auto"/>
                <w:sz w:val="24"/>
                <w:szCs w:val="24"/>
                <w:highlight w:val="none"/>
                <w:lang w:val="en-US" w:eastAsia="zh-CN"/>
              </w:rPr>
            </w:pPr>
          </w:p>
        </w:tc>
      </w:tr>
    </w:tbl>
    <w:p w14:paraId="0ED16A3E">
      <w:pPr>
        <w:rPr>
          <w:rFonts w:hint="default"/>
          <w:color w:val="auto"/>
          <w:highlight w:val="none"/>
          <w:lang w:val="en-US" w:eastAsia="zh-CN"/>
        </w:rPr>
      </w:pPr>
    </w:p>
    <w:p w14:paraId="29BB7FFA">
      <w:pPr>
        <w:pStyle w:val="3"/>
        <w:spacing w:line="240" w:lineRule="auto"/>
        <w:ind w:firstLine="643"/>
        <w:rPr>
          <w:rFonts w:hint="eastAsia" w:ascii="仿宋" w:hAnsi="仿宋" w:eastAsia="仿宋" w:cs="仿宋"/>
          <w:color w:val="auto"/>
          <w:highlight w:val="none"/>
        </w:rPr>
      </w:pPr>
      <w:bookmarkStart w:id="79" w:name="_Toc267320054"/>
      <w:bookmarkStart w:id="80" w:name="_Toc6385"/>
      <w:bookmarkStart w:id="81" w:name="_Toc183783143"/>
      <w:bookmarkStart w:id="82" w:name="_Toc28513"/>
      <w:bookmarkStart w:id="83" w:name="_Toc14923"/>
      <w:bookmarkStart w:id="84" w:name="_Toc75793516"/>
      <w:bookmarkStart w:id="85" w:name="_Toc1138"/>
      <w:bookmarkStart w:id="86" w:name="_Toc106030392"/>
      <w:bookmarkStart w:id="87" w:name="_Toc10406"/>
      <w:bookmarkStart w:id="88" w:name="_Toc4353"/>
      <w:bookmarkStart w:id="89" w:name="_Toc6099"/>
      <w:bookmarkStart w:id="90" w:name="_Toc30515"/>
      <w:bookmarkStart w:id="91" w:name="_Toc17569"/>
      <w:bookmarkStart w:id="92" w:name="_Toc32308"/>
      <w:bookmarkStart w:id="93" w:name="_Toc23858"/>
      <w:bookmarkStart w:id="94" w:name="_Toc529"/>
      <w:bookmarkStart w:id="95" w:name="_Toc27175"/>
      <w:bookmarkStart w:id="96" w:name="_Toc13936"/>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w:t>
      </w:r>
      <w:bookmarkEnd w:id="79"/>
      <w:r>
        <w:rPr>
          <w:rFonts w:hint="eastAsia" w:ascii="仿宋" w:hAnsi="仿宋" w:eastAsia="仿宋" w:cs="仿宋"/>
          <w:color w:val="auto"/>
          <w:highlight w:val="none"/>
        </w:rPr>
        <w:t>其他商务要求内容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7" w:name="_Toc109836389"/>
      <w:bookmarkStart w:id="98" w:name="_Toc183783144"/>
      <w:r>
        <w:rPr>
          <w:rFonts w:hint="eastAsia" w:ascii="仿宋" w:hAnsi="仿宋" w:eastAsia="仿宋" w:cs="仿宋"/>
          <w:color w:val="auto"/>
          <w:sz w:val="40"/>
          <w:szCs w:val="18"/>
          <w:highlight w:val="none"/>
        </w:rPr>
        <w:t>第四篇  竞采程序、评标办法</w:t>
      </w:r>
      <w:bookmarkEnd w:id="97"/>
      <w:r>
        <w:rPr>
          <w:rFonts w:hint="eastAsia" w:ascii="仿宋" w:hAnsi="仿宋" w:eastAsia="仿宋" w:cs="仿宋"/>
          <w:color w:val="auto"/>
          <w:sz w:val="40"/>
          <w:szCs w:val="18"/>
          <w:highlight w:val="none"/>
        </w:rPr>
        <w:t>、无效响应及采购终止</w:t>
      </w:r>
      <w:bookmarkEnd w:id="98"/>
    </w:p>
    <w:p w14:paraId="71D6C48D">
      <w:pPr>
        <w:pStyle w:val="3"/>
        <w:spacing w:line="240" w:lineRule="auto"/>
        <w:ind w:firstLine="643"/>
        <w:rPr>
          <w:rFonts w:hint="eastAsia" w:ascii="仿宋" w:hAnsi="仿宋" w:eastAsia="仿宋" w:cs="仿宋"/>
          <w:color w:val="auto"/>
          <w:highlight w:val="none"/>
        </w:rPr>
      </w:pPr>
      <w:bookmarkStart w:id="99" w:name="_Toc10124"/>
      <w:bookmarkStart w:id="100" w:name="_Toc183783145"/>
      <w:r>
        <w:rPr>
          <w:rFonts w:hint="eastAsia" w:ascii="仿宋" w:hAnsi="仿宋" w:eastAsia="仿宋" w:cs="仿宋"/>
          <w:color w:val="auto"/>
          <w:highlight w:val="none"/>
        </w:rPr>
        <w:t>一、</w:t>
      </w:r>
      <w:bookmarkEnd w:id="99"/>
      <w:bookmarkStart w:id="101" w:name="_Toc75793518"/>
      <w:r>
        <w:rPr>
          <w:rFonts w:hint="eastAsia" w:ascii="仿宋" w:hAnsi="仿宋" w:eastAsia="仿宋" w:cs="仿宋"/>
          <w:color w:val="auto"/>
          <w:highlight w:val="none"/>
        </w:rPr>
        <w:t>网上竞采程序</w:t>
      </w:r>
      <w:bookmarkEnd w:id="100"/>
      <w:bookmarkEnd w:id="101"/>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5CFCA0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2" w:name="_Toc183783146"/>
      <w:r>
        <w:rPr>
          <w:rFonts w:hint="eastAsia" w:ascii="仿宋" w:hAnsi="仿宋" w:eastAsia="仿宋" w:cs="仿宋"/>
          <w:color w:val="auto"/>
          <w:highlight w:val="none"/>
        </w:rPr>
        <w:t>二、评审标准</w:t>
      </w:r>
      <w:bookmarkEnd w:id="102"/>
    </w:p>
    <w:p w14:paraId="6098F9DB">
      <w:pPr>
        <w:pStyle w:val="7"/>
        <w:ind w:firstLine="640"/>
        <w:rPr>
          <w:rFonts w:hint="eastAsia" w:ascii="仿宋" w:hAnsi="仿宋" w:eastAsia="仿宋" w:cs="仿宋"/>
          <w:color w:val="auto"/>
          <w:highlight w:val="none"/>
        </w:rPr>
      </w:pPr>
      <w:bookmarkStart w:id="103" w:name="_Hlk27399823"/>
      <w:r>
        <w:rPr>
          <w:rFonts w:hint="eastAsia" w:ascii="仿宋" w:hAnsi="仿宋" w:eastAsia="仿宋" w:cs="仿宋"/>
          <w:color w:val="auto"/>
          <w:highlight w:val="none"/>
        </w:rPr>
        <w:t>（一）评审因素</w:t>
      </w:r>
    </w:p>
    <w:tbl>
      <w:tblPr>
        <w:tblStyle w:val="20"/>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6"/>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高于预算价为无效报价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vAlign w:val="center"/>
          </w:tcPr>
          <w:p w14:paraId="4E0FB98D">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整体服务方案</w:t>
            </w:r>
          </w:p>
          <w:p w14:paraId="46A8E544">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20分</w:t>
            </w:r>
            <w:r>
              <w:rPr>
                <w:rFonts w:hint="eastAsia" w:ascii="仿宋" w:hAnsi="仿宋" w:eastAsia="仿宋" w:cs="仿宋"/>
                <w:color w:val="auto"/>
                <w:sz w:val="24"/>
                <w:szCs w:val="24"/>
                <w:highlight w:val="none"/>
                <w:lang w:eastAsia="zh-CN"/>
              </w:rPr>
              <w:t>）</w:t>
            </w:r>
          </w:p>
        </w:tc>
        <w:tc>
          <w:tcPr>
            <w:tcW w:w="3742" w:type="dxa"/>
            <w:vAlign w:val="center"/>
          </w:tcPr>
          <w:p w14:paraId="4CFF32BC">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①审计人员安排、②审计流程、③项目的重难点等。</w:t>
            </w:r>
            <w:r>
              <w:rPr>
                <w:rFonts w:hint="eastAsia" w:ascii="仿宋" w:hAnsi="仿宋" w:eastAsia="仿宋" w:cs="仿宋"/>
                <w:color w:val="auto"/>
                <w:sz w:val="24"/>
                <w:szCs w:val="24"/>
                <w:highlight w:val="none"/>
                <w:lang w:val="zh-CN"/>
              </w:rPr>
              <w:t>可从方案的合理性、完整性、针对性及可操作性等方面进行评审。</w:t>
            </w:r>
          </w:p>
          <w:p w14:paraId="25997525">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①优（方案合理、完整性、针对性及可操作性强）得</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分；</w:t>
            </w:r>
          </w:p>
          <w:p w14:paraId="78257794">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②良（方案合理、完整性、针对性及可操作性较强）得</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w:t>
            </w:r>
          </w:p>
          <w:p w14:paraId="00F86D29">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③一般（方案合理、完整性、针对性及可操作性一般）得</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分；</w:t>
            </w:r>
          </w:p>
          <w:p w14:paraId="49B47479">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65849D5C">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⑤方案未提供得0分。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7CC96EA3">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进度计划方案</w:t>
            </w:r>
          </w:p>
          <w:p w14:paraId="0C7E871D">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6892E5F6">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“进度计划方案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①整体进度计划、②各时间节点安排等。</w:t>
            </w:r>
            <w:r>
              <w:rPr>
                <w:rFonts w:hint="eastAsia" w:ascii="仿宋" w:hAnsi="仿宋" w:eastAsia="仿宋" w:cs="仿宋"/>
                <w:color w:val="auto"/>
                <w:sz w:val="24"/>
                <w:szCs w:val="24"/>
                <w:highlight w:val="none"/>
                <w:lang w:val="zh-CN"/>
              </w:rPr>
              <w:t>可从方案的合理性、完整性、针对性及可操作性等方面进行评审。</w:t>
            </w:r>
          </w:p>
          <w:p w14:paraId="2EAFDB7C">
            <w:pPr>
              <w:numPr>
                <w:ilvl w:val="0"/>
                <w:numId w:val="4"/>
              </w:num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rPr>
              <w:t>分；</w:t>
            </w:r>
          </w:p>
          <w:p w14:paraId="0F64DB4A">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②良（方案合理、完整性、针对性及可操作性较强）得</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分；</w:t>
            </w:r>
          </w:p>
          <w:p w14:paraId="67E3DE3E">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③一般（方案合理、完整性、针对性及可操作性一般）得</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分；</w:t>
            </w:r>
          </w:p>
          <w:p w14:paraId="7EEF43EE">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5DC9F55E">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⑤方案未提供得0分。</w:t>
            </w:r>
          </w:p>
        </w:tc>
        <w:tc>
          <w:tcPr>
            <w:tcW w:w="1375" w:type="dxa"/>
            <w:vMerge w:val="continue"/>
            <w:vAlign w:val="center"/>
          </w:tcPr>
          <w:p w14:paraId="60175F75">
            <w:pP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3" w:type="dxa"/>
            <w:vMerge w:val="continue"/>
            <w:vAlign w:val="center"/>
          </w:tcPr>
          <w:p w14:paraId="7B4615CD">
            <w:pPr>
              <w:rPr>
                <w:color w:val="auto"/>
                <w:highlight w:val="none"/>
              </w:rPr>
            </w:pPr>
          </w:p>
        </w:tc>
        <w:tc>
          <w:tcPr>
            <w:tcW w:w="1219" w:type="dxa"/>
            <w:vMerge w:val="continue"/>
            <w:vAlign w:val="center"/>
          </w:tcPr>
          <w:p w14:paraId="44016705">
            <w:pPr>
              <w:rPr>
                <w:color w:val="auto"/>
                <w:highlight w:val="none"/>
              </w:rPr>
            </w:pPr>
          </w:p>
        </w:tc>
        <w:tc>
          <w:tcPr>
            <w:tcW w:w="951" w:type="dxa"/>
            <w:vMerge w:val="continue"/>
            <w:vAlign w:val="center"/>
          </w:tcPr>
          <w:p w14:paraId="66015CD3">
            <w:pPr>
              <w:rPr>
                <w:color w:val="auto"/>
                <w:highlight w:val="none"/>
              </w:rPr>
            </w:pPr>
          </w:p>
        </w:tc>
        <w:tc>
          <w:tcPr>
            <w:tcW w:w="832" w:type="dxa"/>
            <w:vAlign w:val="center"/>
          </w:tcPr>
          <w:p w14:paraId="54209DEF">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质量控制方案</w:t>
            </w:r>
          </w:p>
          <w:p w14:paraId="6BD7693E">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1F2BC9BE">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供应商针对本项目工作内容提供“</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”，方案内容包括但不限于：①质量控制计划、②质量管理考核体系及措施等。可从方案的合理性、完整性、针对性及可操作性等方面进行评审。</w:t>
            </w:r>
          </w:p>
          <w:p w14:paraId="7AFAB742">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66E517C0">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良（方案合理、完整性、针对性及可操作性较强）得10分；</w:t>
            </w:r>
          </w:p>
          <w:p w14:paraId="22EDE273">
            <w:pPr>
              <w:numPr>
                <w:ilvl w:val="0"/>
                <w:numId w:val="5"/>
              </w:num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一般（方案合理、完整性、针对性及可操作性一般）得8分；</w:t>
            </w:r>
          </w:p>
          <w:p w14:paraId="4D93005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④差（方案不合理、不完整、没有针对性及可操作性）得5分；</w:t>
            </w:r>
          </w:p>
          <w:p w14:paraId="597CE6D7">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⑤方案未提供得0分</w:t>
            </w:r>
          </w:p>
        </w:tc>
        <w:tc>
          <w:tcPr>
            <w:tcW w:w="1375" w:type="dxa"/>
            <w:vMerge w:val="continue"/>
            <w:vAlign w:val="center"/>
          </w:tcPr>
          <w:p w14:paraId="72F8B05F">
            <w:pP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63" w:type="dxa"/>
            <w:vMerge w:val="restart"/>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Merge w:val="restart"/>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vAlign w:val="center"/>
          </w:tcPr>
          <w:p w14:paraId="00DBE1AD">
            <w:pPr>
              <w:widowControl/>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绩（15 分）</w:t>
            </w:r>
          </w:p>
        </w:tc>
        <w:tc>
          <w:tcPr>
            <w:tcW w:w="4574" w:type="dxa"/>
            <w:gridSpan w:val="2"/>
            <w:vAlign w:val="center"/>
          </w:tcPr>
          <w:p w14:paraId="28B6D68A">
            <w:pPr>
              <w:keepNext w:val="0"/>
              <w:keepLines w:val="0"/>
              <w:widowControl/>
              <w:suppressLineNumbers w:val="0"/>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自</w:t>
            </w:r>
            <w:r>
              <w:rPr>
                <w:rFonts w:hint="eastAsia" w:ascii="仿宋" w:hAnsi="仿宋" w:eastAsia="仿宋" w:cs="仿宋"/>
                <w:color w:val="auto"/>
                <w:kern w:val="0"/>
                <w:sz w:val="20"/>
                <w:szCs w:val="20"/>
                <w:highlight w:val="none"/>
                <w:lang w:val="en-US" w:eastAsia="zh-CN" w:bidi="ar"/>
              </w:rPr>
              <w:t>2023年1月1日至今，为国有企业提供过报表审计服务的，1个业绩3分，得分不超过15 分</w:t>
            </w:r>
          </w:p>
        </w:tc>
        <w:tc>
          <w:tcPr>
            <w:tcW w:w="1375" w:type="dxa"/>
            <w:vAlign w:val="center"/>
          </w:tcPr>
          <w:p w14:paraId="63668128">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提供合同协议书复印件 </w:t>
            </w:r>
          </w:p>
          <w:p w14:paraId="03AA7101">
            <w:pPr>
              <w:widowControl/>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并加盖供应商公章。</w:t>
            </w:r>
          </w:p>
        </w:tc>
      </w:tr>
      <w:tr w14:paraId="1145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continue"/>
            <w:vAlign w:val="center"/>
          </w:tcPr>
          <w:p w14:paraId="36515118">
            <w:pPr>
              <w:ind w:firstLine="28" w:firstLineChars="0"/>
              <w:jc w:val="center"/>
              <w:rPr>
                <w:color w:val="auto"/>
                <w:highlight w:val="none"/>
              </w:rPr>
            </w:pPr>
          </w:p>
        </w:tc>
        <w:tc>
          <w:tcPr>
            <w:tcW w:w="1219" w:type="dxa"/>
            <w:vMerge w:val="continue"/>
            <w:vAlign w:val="center"/>
          </w:tcPr>
          <w:p w14:paraId="344259B2">
            <w:pPr>
              <w:ind w:firstLine="28" w:firstLineChars="0"/>
              <w:jc w:val="center"/>
              <w:rPr>
                <w:color w:val="auto"/>
                <w:highlight w:val="none"/>
              </w:rPr>
            </w:pPr>
          </w:p>
        </w:tc>
        <w:tc>
          <w:tcPr>
            <w:tcW w:w="951" w:type="dxa"/>
            <w:vAlign w:val="center"/>
          </w:tcPr>
          <w:p w14:paraId="6886C0FA">
            <w:pPr>
              <w:ind w:firstLine="28"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项目负责人（5分）</w:t>
            </w:r>
          </w:p>
        </w:tc>
        <w:tc>
          <w:tcPr>
            <w:tcW w:w="4574" w:type="dxa"/>
            <w:gridSpan w:val="2"/>
            <w:vAlign w:val="center"/>
          </w:tcPr>
          <w:p w14:paraId="521D41F1">
            <w:pPr>
              <w:keepNext w:val="0"/>
              <w:keepLines w:val="0"/>
              <w:widowControl/>
              <w:suppressLineNumbers w:val="0"/>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项目负责人1名，具备5年以上注册会计师执业经验，项目负责人与报告签章人员必须为同一人。</w:t>
            </w:r>
          </w:p>
        </w:tc>
        <w:tc>
          <w:tcPr>
            <w:tcW w:w="1375" w:type="dxa"/>
            <w:vAlign w:val="center"/>
          </w:tcPr>
          <w:p w14:paraId="7422974B">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提供证书复印件，以发证时间为准，供应商为其缴纳的社保证明复印件，项目负责人不能是退休人员）</w:t>
            </w:r>
          </w:p>
        </w:tc>
      </w:tr>
    </w:tbl>
    <w:p w14:paraId="74C3C581">
      <w:pPr>
        <w:rPr>
          <w:rFonts w:hint="eastAsia" w:ascii="仿宋" w:hAnsi="仿宋" w:eastAsia="仿宋" w:cs="仿宋"/>
          <w:color w:val="auto"/>
          <w:highlight w:val="none"/>
        </w:rPr>
      </w:pPr>
    </w:p>
    <w:bookmarkEnd w:id="103"/>
    <w:p w14:paraId="58AB485E">
      <w:pPr>
        <w:pStyle w:val="3"/>
        <w:spacing w:line="240" w:lineRule="auto"/>
        <w:ind w:firstLine="643"/>
        <w:rPr>
          <w:rFonts w:hint="eastAsia" w:ascii="仿宋" w:hAnsi="仿宋" w:eastAsia="仿宋" w:cs="仿宋"/>
          <w:color w:val="auto"/>
          <w:highlight w:val="none"/>
        </w:rPr>
      </w:pPr>
      <w:bookmarkStart w:id="104" w:name="_Toc183783147"/>
      <w:bookmarkStart w:id="105" w:name="_Toc102227313"/>
      <w:bookmarkStart w:id="106" w:name="_Toc106030892"/>
      <w:bookmarkStart w:id="107" w:name="_Toc76462337"/>
      <w:r>
        <w:rPr>
          <w:rFonts w:hint="eastAsia" w:ascii="仿宋" w:hAnsi="仿宋" w:eastAsia="仿宋" w:cs="仿宋"/>
          <w:color w:val="auto"/>
          <w:highlight w:val="none"/>
        </w:rPr>
        <w:t>三、无效响应</w:t>
      </w:r>
      <w:bookmarkEnd w:id="104"/>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8" w:name="_Toc75793522"/>
      <w:bookmarkStart w:id="109" w:name="_Toc11293"/>
      <w:bookmarkStart w:id="110" w:name="_Toc14355"/>
      <w:bookmarkStart w:id="111" w:name="_Toc106030398"/>
      <w:bookmarkStart w:id="112" w:name="_Toc7802"/>
      <w:bookmarkStart w:id="113" w:name="_Toc6956"/>
      <w:bookmarkStart w:id="114" w:name="_Toc4422"/>
      <w:bookmarkStart w:id="115" w:name="_Toc25549"/>
      <w:bookmarkStart w:id="116" w:name="_Toc23533"/>
      <w:bookmarkStart w:id="117" w:name="_Toc21946"/>
      <w:bookmarkStart w:id="118" w:name="_Toc6204"/>
      <w:bookmarkStart w:id="119" w:name="_Toc6719"/>
      <w:bookmarkStart w:id="120" w:name="_Toc25960"/>
      <w:bookmarkStart w:id="121" w:name="_Toc20005"/>
      <w:bookmarkStart w:id="122" w:name="_Toc27133"/>
      <w:bookmarkStart w:id="123" w:name="_Toc30605"/>
      <w:bookmarkStart w:id="124" w:name="_Toc183783148"/>
      <w:r>
        <w:rPr>
          <w:rFonts w:hint="eastAsia" w:ascii="仿宋" w:hAnsi="仿宋" w:eastAsia="仿宋" w:cs="仿宋"/>
          <w:color w:val="auto"/>
          <w:highlight w:val="none"/>
        </w:rPr>
        <w:t>四、</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仿宋" w:hAnsi="仿宋" w:eastAsia="仿宋" w:cs="仿宋"/>
          <w:color w:val="auto"/>
          <w:highlight w:val="none"/>
        </w:rPr>
        <w:t>采购终止</w:t>
      </w:r>
      <w:bookmarkEnd w:id="124"/>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0487B826">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5"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5"/>
      <w:bookmarkEnd w:id="106"/>
      <w:bookmarkEnd w:id="107"/>
      <w:bookmarkEnd w:id="125"/>
    </w:p>
    <w:p w14:paraId="203451A9">
      <w:pPr>
        <w:pStyle w:val="3"/>
        <w:spacing w:line="240" w:lineRule="auto"/>
        <w:ind w:firstLine="643"/>
        <w:rPr>
          <w:rFonts w:hint="eastAsia" w:ascii="仿宋" w:hAnsi="仿宋" w:eastAsia="仿宋" w:cs="仿宋"/>
          <w:color w:val="auto"/>
          <w:highlight w:val="none"/>
        </w:rPr>
      </w:pPr>
      <w:bookmarkStart w:id="126" w:name="_Toc342913389"/>
      <w:bookmarkStart w:id="127" w:name="_Toc183783150"/>
      <w:bookmarkStart w:id="128" w:name="_Toc76462338"/>
      <w:bookmarkStart w:id="129" w:name="_Toc106030893"/>
      <w:r>
        <w:rPr>
          <w:rFonts w:hint="eastAsia" w:ascii="仿宋" w:hAnsi="仿宋" w:eastAsia="仿宋" w:cs="仿宋"/>
          <w:color w:val="auto"/>
          <w:highlight w:val="none"/>
        </w:rPr>
        <w:t>一、竞采费用</w:t>
      </w:r>
      <w:bookmarkEnd w:id="126"/>
      <w:bookmarkEnd w:id="127"/>
      <w:bookmarkEnd w:id="128"/>
      <w:bookmarkEnd w:id="129"/>
    </w:p>
    <w:p w14:paraId="122D7320">
      <w:pPr>
        <w:pStyle w:val="27"/>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0" w:name="_Toc106030894"/>
      <w:bookmarkStart w:id="131" w:name="_Toc76462339"/>
      <w:bookmarkStart w:id="132" w:name="_Toc183783151"/>
      <w:bookmarkStart w:id="133" w:name="_Toc342913391"/>
      <w:r>
        <w:rPr>
          <w:rFonts w:hint="eastAsia" w:ascii="仿宋" w:hAnsi="仿宋" w:eastAsia="仿宋" w:cs="仿宋"/>
          <w:color w:val="auto"/>
          <w:highlight w:val="none"/>
        </w:rPr>
        <w:t>二、竞采文件</w:t>
      </w:r>
      <w:bookmarkEnd w:id="130"/>
      <w:bookmarkEnd w:id="131"/>
      <w:bookmarkEnd w:id="132"/>
      <w:bookmarkEnd w:id="133"/>
    </w:p>
    <w:p w14:paraId="29B1070F">
      <w:pPr>
        <w:pStyle w:val="27"/>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7"/>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7"/>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4" w:name="_Toc318159780"/>
      <w:bookmarkStart w:id="135" w:name="_Toc318159349"/>
      <w:bookmarkStart w:id="136" w:name="_Toc318159160"/>
      <w:bookmarkStart w:id="137" w:name="_Toc318166429"/>
    </w:p>
    <w:p w14:paraId="7BC057AE">
      <w:pPr>
        <w:pStyle w:val="27"/>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4"/>
    <w:bookmarkEnd w:id="135"/>
    <w:bookmarkEnd w:id="136"/>
    <w:bookmarkEnd w:id="137"/>
    <w:p w14:paraId="1CF095D7">
      <w:pPr>
        <w:pStyle w:val="3"/>
        <w:spacing w:line="240" w:lineRule="auto"/>
        <w:ind w:firstLine="643"/>
        <w:rPr>
          <w:rFonts w:hint="eastAsia" w:ascii="仿宋" w:hAnsi="仿宋" w:eastAsia="仿宋" w:cs="仿宋"/>
          <w:color w:val="auto"/>
          <w:highlight w:val="none"/>
        </w:rPr>
      </w:pPr>
      <w:bookmarkStart w:id="138" w:name="_Toc76462340"/>
      <w:bookmarkStart w:id="139" w:name="_Toc342913392"/>
      <w:bookmarkStart w:id="140" w:name="_Toc102227318"/>
      <w:bookmarkStart w:id="141" w:name="_Toc179714297"/>
      <w:bookmarkStart w:id="142" w:name="_Toc183783152"/>
      <w:bookmarkStart w:id="143" w:name="_Toc106030895"/>
      <w:r>
        <w:rPr>
          <w:rFonts w:hint="eastAsia" w:ascii="仿宋" w:hAnsi="仿宋" w:eastAsia="仿宋" w:cs="仿宋"/>
          <w:color w:val="auto"/>
          <w:highlight w:val="none"/>
        </w:rPr>
        <w:t>三、竞采要求</w:t>
      </w:r>
      <w:bookmarkEnd w:id="138"/>
      <w:bookmarkEnd w:id="139"/>
      <w:bookmarkEnd w:id="140"/>
      <w:bookmarkEnd w:id="141"/>
      <w:bookmarkEnd w:id="142"/>
      <w:bookmarkEnd w:id="143"/>
    </w:p>
    <w:p w14:paraId="54B114AC">
      <w:pPr>
        <w:pStyle w:val="27"/>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7"/>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7"/>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7"/>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7"/>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7"/>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7"/>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7"/>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7"/>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7"/>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7"/>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7"/>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7"/>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7"/>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7"/>
        <w:rPr>
          <w:rFonts w:hint="eastAsia" w:ascii="仿宋" w:hAnsi="仿宋" w:eastAsia="仿宋" w:cs="仿宋"/>
          <w:color w:val="auto"/>
          <w:highlight w:val="none"/>
        </w:rPr>
      </w:pPr>
      <w:bookmarkStart w:id="144" w:name="_Toc76462341"/>
      <w:bookmarkStart w:id="145" w:name="_Toc106030896"/>
      <w:r>
        <w:rPr>
          <w:rFonts w:hint="eastAsia" w:ascii="仿宋" w:hAnsi="仿宋" w:eastAsia="仿宋" w:cs="仿宋"/>
          <w:color w:val="auto"/>
          <w:highlight w:val="none"/>
        </w:rPr>
        <w:t>四、成交供应商的确认和变更</w:t>
      </w:r>
      <w:bookmarkEnd w:id="144"/>
      <w:bookmarkEnd w:id="145"/>
    </w:p>
    <w:p w14:paraId="50DDC674">
      <w:pPr>
        <w:pStyle w:val="27"/>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7"/>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7"/>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7"/>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6" w:name="_Toc342913395"/>
      <w:bookmarkStart w:id="147" w:name="_Toc183783153"/>
      <w:bookmarkStart w:id="148" w:name="_Toc102227321"/>
      <w:bookmarkStart w:id="149" w:name="_Toc106030897"/>
      <w:bookmarkStart w:id="150" w:name="_Toc76462342"/>
      <w:r>
        <w:rPr>
          <w:rFonts w:hint="eastAsia" w:ascii="仿宋" w:hAnsi="仿宋" w:eastAsia="仿宋" w:cs="仿宋"/>
          <w:color w:val="auto"/>
          <w:highlight w:val="none"/>
        </w:rPr>
        <w:t>五、成交通知</w:t>
      </w:r>
      <w:bookmarkEnd w:id="146"/>
      <w:bookmarkEnd w:id="147"/>
      <w:bookmarkEnd w:id="148"/>
      <w:bookmarkEnd w:id="149"/>
      <w:bookmarkEnd w:id="150"/>
    </w:p>
    <w:p w14:paraId="4A219698">
      <w:pPr>
        <w:pStyle w:val="27"/>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7"/>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7"/>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1" w:name="_Toc106030898"/>
      <w:bookmarkStart w:id="152" w:name="_Toc183783154"/>
      <w:bookmarkStart w:id="153" w:name="_Toc76462343"/>
      <w:r>
        <w:rPr>
          <w:rFonts w:hint="eastAsia" w:ascii="仿宋" w:hAnsi="仿宋" w:eastAsia="仿宋" w:cs="仿宋"/>
          <w:color w:val="auto"/>
          <w:highlight w:val="none"/>
        </w:rPr>
        <w:t>六、关于质疑和投诉</w:t>
      </w:r>
      <w:bookmarkEnd w:id="151"/>
      <w:bookmarkEnd w:id="152"/>
      <w:bookmarkEnd w:id="153"/>
    </w:p>
    <w:p w14:paraId="07B9663F">
      <w:pPr>
        <w:pStyle w:val="27"/>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7"/>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7"/>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7"/>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7"/>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7"/>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7"/>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7"/>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7"/>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7"/>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7"/>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7"/>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7"/>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7"/>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7"/>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7"/>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7"/>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7"/>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7"/>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7"/>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4" w:name="_Toc106030899"/>
      <w:bookmarkStart w:id="155" w:name="_Toc183783155"/>
      <w:bookmarkStart w:id="156" w:name="_Toc76462344"/>
      <w:r>
        <w:rPr>
          <w:rFonts w:hint="eastAsia" w:ascii="仿宋" w:hAnsi="仿宋" w:eastAsia="仿宋" w:cs="仿宋"/>
          <w:color w:val="auto"/>
          <w:highlight w:val="none"/>
        </w:rPr>
        <w:t>七、采购代理服务费</w:t>
      </w:r>
      <w:bookmarkEnd w:id="154"/>
      <w:bookmarkEnd w:id="155"/>
      <w:bookmarkEnd w:id="156"/>
    </w:p>
    <w:p w14:paraId="75242B88">
      <w:pPr>
        <w:pStyle w:val="27"/>
        <w:rPr>
          <w:rFonts w:hint="eastAsia" w:ascii="仿宋" w:hAnsi="仿宋" w:eastAsia="仿宋" w:cs="仿宋"/>
          <w:color w:val="auto"/>
          <w:highlight w:val="none"/>
        </w:rPr>
      </w:pPr>
      <w:bookmarkStart w:id="157" w:name="OLE_LINK7"/>
      <w:bookmarkStart w:id="158" w:name="OLE_LINK8"/>
      <w:r>
        <w:rPr>
          <w:rFonts w:hint="eastAsia" w:ascii="仿宋" w:hAnsi="仿宋" w:eastAsia="仿宋" w:cs="仿宋"/>
          <w:color w:val="auto"/>
          <w:highlight w:val="none"/>
        </w:rPr>
        <w:t>（一）供应商中标后向采购代理机构缴纳采购代理服务费，本次采购代理服务费</w:t>
      </w:r>
      <w:bookmarkEnd w:id="157"/>
      <w:bookmarkEnd w:id="158"/>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1500</w:t>
      </w:r>
      <w:r>
        <w:rPr>
          <w:rFonts w:hint="eastAsia" w:ascii="仿宋" w:hAnsi="仿宋" w:eastAsia="仿宋" w:cs="仿宋"/>
          <w:color w:val="auto"/>
          <w:highlight w:val="none"/>
        </w:rPr>
        <w:t>元。</w:t>
      </w:r>
    </w:p>
    <w:p w14:paraId="34E6ACFD">
      <w:pPr>
        <w:pStyle w:val="27"/>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7"/>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7"/>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7"/>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59" w:name="_Toc102227322"/>
      <w:bookmarkStart w:id="160" w:name="_Toc106030901"/>
      <w:bookmarkStart w:id="161" w:name="_Toc342913396"/>
      <w:bookmarkStart w:id="162" w:name="_Toc183783156"/>
      <w:bookmarkStart w:id="163" w:name="_Toc76462346"/>
      <w:r>
        <w:rPr>
          <w:rFonts w:hint="eastAsia" w:ascii="仿宋" w:hAnsi="仿宋" w:eastAsia="仿宋" w:cs="仿宋"/>
          <w:color w:val="auto"/>
          <w:highlight w:val="none"/>
        </w:rPr>
        <w:t>八、签订</w:t>
      </w:r>
      <w:bookmarkEnd w:id="159"/>
      <w:r>
        <w:rPr>
          <w:rFonts w:hint="eastAsia" w:ascii="仿宋" w:hAnsi="仿宋" w:eastAsia="仿宋" w:cs="仿宋"/>
          <w:color w:val="auto"/>
          <w:highlight w:val="none"/>
        </w:rPr>
        <w:t>合同</w:t>
      </w:r>
      <w:bookmarkEnd w:id="160"/>
      <w:bookmarkEnd w:id="161"/>
      <w:bookmarkEnd w:id="162"/>
      <w:bookmarkEnd w:id="163"/>
    </w:p>
    <w:p w14:paraId="43DF757F">
      <w:pPr>
        <w:pStyle w:val="27"/>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7"/>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7"/>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7"/>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4" w:name="_Toc106030902"/>
      <w:bookmarkStart w:id="165" w:name="_Toc183783157"/>
      <w:r>
        <w:rPr>
          <w:rFonts w:hint="eastAsia" w:ascii="仿宋" w:hAnsi="仿宋" w:eastAsia="仿宋" w:cs="仿宋"/>
          <w:color w:val="auto"/>
          <w:highlight w:val="none"/>
        </w:rPr>
        <w:t>九、项目验收</w:t>
      </w:r>
      <w:bookmarkEnd w:id="164"/>
      <w:bookmarkEnd w:id="165"/>
    </w:p>
    <w:p w14:paraId="37B10D72">
      <w:pPr>
        <w:pStyle w:val="27"/>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7"/>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A01B6D">
      <w:pPr>
        <w:pStyle w:val="2"/>
        <w:spacing w:line="240" w:lineRule="auto"/>
        <w:ind w:firstLine="883"/>
        <w:jc w:val="center"/>
        <w:rPr>
          <w:rFonts w:hint="eastAsia" w:ascii="仿宋" w:hAnsi="仿宋" w:eastAsia="仿宋" w:cs="仿宋"/>
          <w:color w:val="auto"/>
          <w:highlight w:val="none"/>
          <w:lang w:eastAsia="zh-CN"/>
        </w:rPr>
      </w:pPr>
      <w:bookmarkStart w:id="166" w:name="_Toc109836391"/>
      <w:bookmarkStart w:id="167" w:name="_Toc183783158"/>
      <w:r>
        <w:rPr>
          <w:rFonts w:hint="eastAsia" w:ascii="仿宋" w:hAnsi="仿宋" w:eastAsia="仿宋" w:cs="仿宋"/>
          <w:color w:val="auto"/>
          <w:highlight w:val="none"/>
        </w:rPr>
        <w:t xml:space="preserve">第六篇  </w:t>
      </w:r>
      <w:bookmarkEnd w:id="166"/>
      <w:bookmarkEnd w:id="167"/>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b/>
          <w:color w:val="auto"/>
          <w:sz w:val="44"/>
          <w:highlight w:val="none"/>
          <w:lang w:val="en-US" w:eastAsia="zh-CN"/>
        </w:rPr>
        <w:t>模版</w:t>
      </w:r>
      <w:r>
        <w:rPr>
          <w:rFonts w:hint="eastAsia" w:ascii="仿宋" w:hAnsi="仿宋" w:eastAsia="仿宋" w:cs="仿宋"/>
          <w:color w:val="auto"/>
          <w:highlight w:val="none"/>
          <w:lang w:eastAsia="zh-CN"/>
        </w:rPr>
        <w:t>）</w:t>
      </w:r>
    </w:p>
    <w:p w14:paraId="6C0D9609">
      <w:pPr>
        <w:jc w:val="center"/>
        <w:rPr>
          <w:rFonts w:hint="eastAsia" w:ascii="方正小标宋_GBK" w:hAnsi="方正仿宋_GBK" w:eastAsia="方正小标宋_GBK" w:cs="方正仿宋_GBK"/>
          <w:sz w:val="48"/>
          <w:szCs w:val="48"/>
        </w:rPr>
      </w:pPr>
      <w:bookmarkStart w:id="168" w:name="_Toc10837"/>
      <w:bookmarkStart w:id="169" w:name="_Toc183783159"/>
      <w:r>
        <w:rPr>
          <w:rFonts w:hint="eastAsia" w:ascii="方正小标宋_GBK" w:hAnsi="方正仿宋_GBK" w:eastAsia="方正小标宋_GBK" w:cs="方正仿宋_GBK"/>
          <w:sz w:val="48"/>
          <w:szCs w:val="48"/>
        </w:rPr>
        <w:t>审计业务约定书</w:t>
      </w:r>
    </w:p>
    <w:p w14:paraId="26212F09">
      <w:pPr>
        <w:spacing w:line="500" w:lineRule="exact"/>
        <w:ind w:firstLine="560" w:firstLineChars="200"/>
        <w:rPr>
          <w:rFonts w:hint="eastAsia" w:ascii="宋体" w:hAnsi="宋体"/>
          <w:sz w:val="28"/>
          <w:szCs w:val="28"/>
        </w:rPr>
      </w:pPr>
    </w:p>
    <w:p w14:paraId="65B9CFFD">
      <w:pPr>
        <w:spacing w:line="500" w:lineRule="exact"/>
        <w:rPr>
          <w:rFonts w:hint="eastAsia" w:ascii="仿宋" w:hAnsi="仿宋" w:eastAsia="仿宋" w:cs="仿宋"/>
          <w:b/>
          <w:sz w:val="24"/>
          <w:szCs w:val="24"/>
        </w:rPr>
      </w:pPr>
      <w:r>
        <w:rPr>
          <w:rFonts w:hint="eastAsia" w:ascii="仿宋" w:hAnsi="仿宋" w:eastAsia="仿宋" w:cs="仿宋"/>
          <w:b/>
          <w:sz w:val="24"/>
          <w:szCs w:val="24"/>
        </w:rPr>
        <w:t>甲方：</w:t>
      </w:r>
    </w:p>
    <w:p w14:paraId="56C762E5">
      <w:pPr>
        <w:spacing w:line="500" w:lineRule="exact"/>
        <w:rPr>
          <w:rFonts w:hint="eastAsia" w:ascii="仿宋" w:hAnsi="仿宋" w:eastAsia="仿宋" w:cs="仿宋"/>
          <w:b/>
          <w:sz w:val="24"/>
          <w:szCs w:val="24"/>
        </w:rPr>
      </w:pPr>
      <w:r>
        <w:rPr>
          <w:rFonts w:hint="eastAsia" w:ascii="仿宋" w:hAnsi="仿宋" w:eastAsia="仿宋" w:cs="仿宋"/>
          <w:b/>
          <w:sz w:val="24"/>
          <w:szCs w:val="24"/>
        </w:rPr>
        <w:t>乙方：</w:t>
      </w:r>
    </w:p>
    <w:p w14:paraId="71817EB0">
      <w:pPr>
        <w:spacing w:line="500" w:lineRule="exact"/>
        <w:rPr>
          <w:rFonts w:hint="eastAsia" w:ascii="仿宋" w:hAnsi="仿宋" w:eastAsia="仿宋" w:cs="仿宋"/>
          <w:sz w:val="24"/>
          <w:szCs w:val="24"/>
        </w:rPr>
      </w:pPr>
    </w:p>
    <w:p w14:paraId="5478C68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兹由甲方委托乙方对甲方2024年合并财务报表及单体财务报表进行审计，经双方协商，达成以下约定： </w:t>
      </w:r>
    </w:p>
    <w:p w14:paraId="4BC8F187">
      <w:pPr>
        <w:spacing w:line="500" w:lineRule="exact"/>
        <w:ind w:firstLine="480" w:firstLineChars="200"/>
        <w:rPr>
          <w:rFonts w:hint="eastAsia" w:ascii="仿宋" w:hAnsi="仿宋" w:eastAsia="仿宋" w:cs="仿宋"/>
          <w:sz w:val="24"/>
          <w:szCs w:val="24"/>
        </w:rPr>
      </w:pPr>
    </w:p>
    <w:p w14:paraId="2EEB96C4">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一、审计目标和范围</w:t>
      </w:r>
    </w:p>
    <w:p w14:paraId="2F66C98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1、乙方接受委托，根据</w:t>
      </w:r>
      <w:r>
        <w:rPr>
          <w:rFonts w:hint="eastAsia" w:ascii="仿宋" w:hAnsi="仿宋" w:eastAsia="仿宋" w:cs="仿宋"/>
          <w:sz w:val="24"/>
          <w:szCs w:val="24"/>
          <w:lang w:val="en-US" w:eastAsia="zh-CN"/>
        </w:rPr>
        <w:t>重庆</w:t>
      </w:r>
      <w:r>
        <w:rPr>
          <w:rFonts w:hint="eastAsia" w:ascii="仿宋" w:hAnsi="仿宋" w:eastAsia="仿宋" w:cs="仿宋"/>
          <w:sz w:val="24"/>
          <w:szCs w:val="24"/>
        </w:rPr>
        <w:t>绿发实业</w:t>
      </w:r>
      <w:r>
        <w:rPr>
          <w:rFonts w:hint="eastAsia" w:ascii="仿宋" w:hAnsi="仿宋" w:eastAsia="仿宋" w:cs="仿宋"/>
          <w:sz w:val="24"/>
          <w:szCs w:val="24"/>
          <w:lang w:val="en-US" w:eastAsia="zh-CN"/>
        </w:rPr>
        <w:t>集团有限公司（以下简称“绿发实业”）</w:t>
      </w:r>
      <w:r>
        <w:rPr>
          <w:rFonts w:hint="eastAsia" w:ascii="仿宋" w:hAnsi="仿宋" w:eastAsia="仿宋" w:cs="仿宋"/>
          <w:sz w:val="24"/>
          <w:szCs w:val="24"/>
        </w:rPr>
        <w:t xml:space="preserve">实际情况，按照独立、客观、公正、一致性的原则，遵守债券市场相关规则和自律规定，对绿发实业2024年度合并及单体财务报表(资产负债表、利润表、所有者权益变动表、现金流量表以及财务报表附注)进行审计，确保准确反映本期发生数、上年同期数、期初数及期末数。 </w:t>
      </w:r>
    </w:p>
    <w:p w14:paraId="62B6918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在满足行业监管和采购需求文件要求的时间基础上，出具合格的审计报告，并保证审计报告的真实性、合法性，对财务报表的下列方面发表意见：（1）财务报表是否在所有重大方面按照企业会计准则的规定编制；（2）财务报表是否在所有重大方面公允反映采购人2024年度的财务状况、经营成果和现金流量。 </w:t>
      </w:r>
    </w:p>
    <w:p w14:paraId="006FB750">
      <w:pPr>
        <w:spacing w:line="500" w:lineRule="exact"/>
        <w:ind w:firstLine="480" w:firstLineChars="200"/>
        <w:rPr>
          <w:rFonts w:hint="eastAsia" w:ascii="仿宋" w:hAnsi="仿宋" w:eastAsia="仿宋" w:cs="仿宋"/>
          <w:sz w:val="24"/>
          <w:szCs w:val="24"/>
        </w:rPr>
      </w:pPr>
    </w:p>
    <w:p w14:paraId="5F8F981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二、甲方的责任</w:t>
      </w:r>
    </w:p>
    <w:p w14:paraId="2563554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根据《中华人民共和国会计法》和《企业财务会计报告条例》，甲方及甲方负责人有责任保证会计资料的真实性和完整性。因此，甲方管理层有责任妥善保存和提供会计记录（包括但不限于会计凭证、会计账簿和其他会计资料），这些记录必须真实、完整地反映甲方的财务状况、经营成果和现金流量。 </w:t>
      </w:r>
    </w:p>
    <w:p w14:paraId="1E7792A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而导致的重大错报。 </w:t>
      </w:r>
    </w:p>
    <w:p w14:paraId="343CBBB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编制财务报表时，甲方管理层负责评估甲方的持续经营能力，必要时披露与持续经营相关的事项，并运用持续经营假设，除非管理层计划清算、终止运营或别无其他现实的选择。甲方治理层负责监督甲方的财务报告过程。</w:t>
      </w:r>
    </w:p>
    <w:p w14:paraId="4CDC42F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4、及时为乙方的审计工作提供与审计有关的所有记录、文件和所需的其他信息，并保证所提供资料的真实性和完整性。</w:t>
      </w:r>
    </w:p>
    <w:p w14:paraId="51938A2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5、确保乙方不受限制地接触其认为必要的甲方内部人员和其他相关人员。</w:t>
      </w:r>
    </w:p>
    <w:p w14:paraId="462304C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6、甲方管理层对其作出的与审计有关的声明予以书面确认。</w:t>
      </w:r>
    </w:p>
    <w:p w14:paraId="6CF410BC">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7、为乙方派出的有关工作人员提供必要的工作条件和协助，乙方将于外勤工作开始前提供主要事项清单。</w:t>
      </w:r>
    </w:p>
    <w:p w14:paraId="6C60439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8、按照本约定书的约定及时足额支付审计费用。</w:t>
      </w:r>
    </w:p>
    <w:p w14:paraId="3546D05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9、乙方的审计不能减轻甲方及甲方管理层的责任。</w:t>
      </w:r>
    </w:p>
    <w:p w14:paraId="2351B21B">
      <w:pPr>
        <w:spacing w:line="500" w:lineRule="exact"/>
        <w:ind w:firstLine="480" w:firstLineChars="200"/>
        <w:rPr>
          <w:rFonts w:hint="eastAsia" w:ascii="仿宋" w:hAnsi="仿宋" w:eastAsia="仿宋" w:cs="仿宋"/>
          <w:sz w:val="24"/>
          <w:szCs w:val="24"/>
        </w:rPr>
      </w:pPr>
    </w:p>
    <w:p w14:paraId="0EFBDE3A">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三、乙方的责任 </w:t>
      </w:r>
    </w:p>
    <w:p w14:paraId="5FE2D57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1、乙方按照中国注册会计师审计准则（以下简称</w:t>
      </w:r>
      <w:r>
        <w:rPr>
          <w:rFonts w:hint="eastAsia" w:ascii="仿宋" w:hAnsi="仿宋" w:eastAsia="仿宋" w:cs="仿宋"/>
          <w:sz w:val="24"/>
          <w:szCs w:val="24"/>
          <w:lang w:eastAsia="zh-CN"/>
        </w:rPr>
        <w:t>“</w:t>
      </w:r>
      <w:r>
        <w:rPr>
          <w:rFonts w:hint="eastAsia" w:ascii="仿宋" w:hAnsi="仿宋" w:eastAsia="仿宋" w:cs="仿宋"/>
          <w:sz w:val="24"/>
          <w:szCs w:val="24"/>
        </w:rPr>
        <w:t>审计准则</w:t>
      </w:r>
      <w:r>
        <w:rPr>
          <w:rFonts w:hint="eastAsia" w:ascii="仿宋" w:hAnsi="仿宋" w:eastAsia="仿宋" w:cs="仿宋"/>
          <w:sz w:val="24"/>
          <w:szCs w:val="24"/>
          <w:lang w:eastAsia="zh-CN"/>
        </w:rPr>
        <w:t>”</w:t>
      </w:r>
      <w:r>
        <w:rPr>
          <w:rFonts w:hint="eastAsia" w:ascii="仿宋" w:hAnsi="仿宋" w:eastAsia="仿宋" w:cs="仿宋"/>
          <w:sz w:val="24"/>
          <w:szCs w:val="24"/>
        </w:rPr>
        <w:t>）的规定执行审计工作。审计准则要求注册会计师遵守中国注册会计师职业道德守则。在执行审计的过程中，乙方需要运用职业判断，保持职业怀疑。</w:t>
      </w:r>
    </w:p>
    <w:p w14:paraId="106FCBF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 </w:t>
      </w:r>
    </w:p>
    <w:p w14:paraId="355164D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3、乙方了解与审计相关的内部控制，以设计恰当的审计程序，但目的并非对内部控制的有效性发表意见 。</w:t>
      </w:r>
    </w:p>
    <w:p w14:paraId="59BC4A51">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4、乙方评价管理层选用会计政策的恰当性和作出会计估计及相关披露的合理性。</w:t>
      </w:r>
    </w:p>
    <w:p w14:paraId="19D6342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14:paraId="1347EE8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6、乙方评价财务报表的总体列报、结构和内容（包括披露），并评价财务报表是否公允反映相关交易和事项。</w:t>
      </w:r>
    </w:p>
    <w:p w14:paraId="2DB9882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从与甲方治理层沟通过的事项中，确定对本期财务报表审计最为重要的事项（关键审计事项），并在审计报告中描述这些事项（如适用）。这些事项的应对以对财务报表整体进行审计并形成审计意见为背景，乙方不对这些事项单独发表意见。</w:t>
      </w:r>
    </w:p>
    <w:p w14:paraId="73551A2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 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无关的第三方提供乙方出具的沟通文件，除非法律法规另有要求。</w:t>
      </w:r>
    </w:p>
    <w:p w14:paraId="478353D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 由于审计和内部控制的固有限制，即使按照审计准则的规定适当地计划和执行审计工作，仍无法避免财务报表的某些重大错报可能未被乙方发现的风险。</w:t>
      </w:r>
    </w:p>
    <w:p w14:paraId="6BC0FCB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10.按照约定时间完成审计工作，出具审计报告。</w:t>
      </w:r>
    </w:p>
    <w:p w14:paraId="7DCD231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11.除下列情况外，乙方应当对执行业务过程中知悉的甲方信息予以保密：（1）法律法规允许披露，并取得甲方的</w:t>
      </w:r>
      <w:r>
        <w:rPr>
          <w:rFonts w:hint="eastAsia" w:ascii="仿宋" w:hAnsi="仿宋" w:eastAsia="仿宋" w:cs="仿宋"/>
          <w:sz w:val="24"/>
          <w:szCs w:val="24"/>
          <w:lang w:val="en-US" w:eastAsia="zh-CN"/>
        </w:rPr>
        <w:t>事前书面同意和</w:t>
      </w:r>
      <w:r>
        <w:rPr>
          <w:rFonts w:hint="eastAsia" w:ascii="仿宋" w:hAnsi="仿宋" w:eastAsia="仿宋" w:cs="仿宋"/>
          <w:sz w:val="24"/>
          <w:szCs w:val="24"/>
        </w:rPr>
        <w:t>授权；（2）根据法律法规的要求，为</w:t>
      </w:r>
      <w:r>
        <w:rPr>
          <w:rFonts w:hint="eastAsia" w:ascii="仿宋" w:hAnsi="仿宋" w:eastAsia="仿宋" w:cs="仿宋"/>
          <w:sz w:val="24"/>
          <w:szCs w:val="24"/>
          <w:lang w:val="en-US" w:eastAsia="zh-CN"/>
        </w:rPr>
        <w:t>乙方作为当事人的</w:t>
      </w:r>
      <w:r>
        <w:rPr>
          <w:rFonts w:hint="eastAsia" w:ascii="仿宋" w:hAnsi="仿宋" w:eastAsia="仿宋" w:cs="仿宋"/>
          <w:sz w:val="24"/>
          <w:szCs w:val="24"/>
        </w:rPr>
        <w:t>法律诉讼、仲裁准备文件或提供证据，以及向监管机构报告发现的违法行为；（3）在法律法规允许的情况下，在</w:t>
      </w:r>
      <w:r>
        <w:rPr>
          <w:rFonts w:hint="eastAsia" w:ascii="仿宋" w:hAnsi="仿宋" w:eastAsia="仿宋" w:cs="仿宋"/>
          <w:sz w:val="24"/>
          <w:szCs w:val="24"/>
          <w:lang w:val="en-US" w:eastAsia="zh-CN"/>
        </w:rPr>
        <w:t>乙方作为当事人的</w:t>
      </w:r>
      <w:r>
        <w:rPr>
          <w:rFonts w:hint="eastAsia" w:ascii="仿宋" w:hAnsi="仿宋" w:eastAsia="仿宋" w:cs="仿宋"/>
          <w:sz w:val="24"/>
          <w:szCs w:val="24"/>
        </w:rPr>
        <w:t>法律诉讼、仲裁中维护自己的合法权益；（4）接受注册会计师协会或监管机构的执业质量检查，答复其询问和调查；（5）法律法规、执业准则和职业道德规范规定的其他情形。</w:t>
      </w:r>
    </w:p>
    <w:p w14:paraId="189B80A0">
      <w:pPr>
        <w:spacing w:line="500" w:lineRule="exact"/>
        <w:ind w:firstLine="480" w:firstLineChars="200"/>
        <w:rPr>
          <w:rFonts w:hint="eastAsia" w:ascii="仿宋" w:hAnsi="仿宋" w:eastAsia="仿宋" w:cs="仿宋"/>
          <w:sz w:val="24"/>
          <w:szCs w:val="24"/>
        </w:rPr>
      </w:pPr>
    </w:p>
    <w:p w14:paraId="7710F8DB">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四、审计收费 </w:t>
      </w:r>
    </w:p>
    <w:p w14:paraId="30498AB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次审计服务的收费是根据重庆市物价局、重庆市财政局贯彻《国家发展改革委、财政部关于印发〈会计师事务所服务收费管理办法〉的通知》的通知（重庆市物价局、重庆市财政局渝价〔2011〕257号）为收费标准，以乙方各级别工作人员在本次工作中所耗费的时间为基础计算的。</w:t>
      </w:r>
    </w:p>
    <w:p w14:paraId="0C18318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甲、乙双方共同确定本次审计服务的含税费用总额为</w:t>
      </w:r>
      <w:r>
        <w:rPr>
          <w:rFonts w:hint="eastAsia" w:ascii="仿宋" w:hAnsi="仿宋" w:eastAsia="仿宋" w:cs="仿宋"/>
          <w:sz w:val="24"/>
          <w:szCs w:val="24"/>
          <w:u w:val="single"/>
        </w:rPr>
        <w:t xml:space="preserve">    </w:t>
      </w:r>
      <w:r>
        <w:rPr>
          <w:rFonts w:hint="eastAsia" w:ascii="仿宋" w:hAnsi="仿宋" w:eastAsia="仿宋" w:cs="仿宋"/>
          <w:sz w:val="24"/>
          <w:szCs w:val="24"/>
        </w:rPr>
        <w:t>元整（大写：</w:t>
      </w:r>
      <w:r>
        <w:rPr>
          <w:rFonts w:hint="eastAsia" w:ascii="仿宋" w:hAnsi="仿宋" w:eastAsia="仿宋" w:cs="仿宋"/>
          <w:sz w:val="24"/>
          <w:szCs w:val="24"/>
          <w:u w:val="single"/>
        </w:rPr>
        <w:t xml:space="preserve">     </w:t>
      </w:r>
      <w:r>
        <w:rPr>
          <w:rFonts w:hint="eastAsia" w:ascii="仿宋" w:hAnsi="仿宋" w:eastAsia="仿宋" w:cs="仿宋"/>
          <w:sz w:val="24"/>
          <w:szCs w:val="24"/>
        </w:rPr>
        <w:t>），审计费用总价包干，已包含乙方</w:t>
      </w:r>
      <w:r>
        <w:rPr>
          <w:rFonts w:hint="eastAsia" w:ascii="仿宋" w:hAnsi="仿宋" w:eastAsia="仿宋" w:cs="仿宋"/>
          <w:sz w:val="24"/>
          <w:szCs w:val="24"/>
          <w:lang w:val="en-US" w:eastAsia="zh-CN"/>
        </w:rPr>
        <w:t>履行本约定书工作所需的</w:t>
      </w:r>
      <w:r>
        <w:rPr>
          <w:rFonts w:hint="eastAsia" w:ascii="仿宋" w:hAnsi="仿宋" w:eastAsia="仿宋" w:cs="仿宋"/>
          <w:sz w:val="24"/>
          <w:szCs w:val="24"/>
        </w:rPr>
        <w:t>交通费、食宿费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成本、税金</w:t>
      </w:r>
      <w:r>
        <w:rPr>
          <w:rFonts w:hint="eastAsia" w:ascii="仿宋" w:hAnsi="仿宋" w:eastAsia="仿宋" w:cs="仿宋"/>
          <w:sz w:val="24"/>
          <w:szCs w:val="24"/>
        </w:rPr>
        <w:t>等</w:t>
      </w:r>
      <w:r>
        <w:rPr>
          <w:rFonts w:hint="eastAsia" w:ascii="仿宋" w:hAnsi="仿宋" w:eastAsia="仿宋" w:cs="仿宋"/>
          <w:sz w:val="24"/>
          <w:szCs w:val="24"/>
          <w:lang w:val="en-US" w:eastAsia="zh-CN"/>
        </w:rPr>
        <w:t>全部费用，除该金额外甲方无需向乙方另行支付任何其他费用，但本约定书另有约定的除外</w:t>
      </w:r>
      <w:r>
        <w:rPr>
          <w:rFonts w:hint="eastAsia" w:ascii="仿宋" w:hAnsi="仿宋" w:eastAsia="仿宋" w:cs="仿宋"/>
          <w:sz w:val="24"/>
          <w:szCs w:val="24"/>
        </w:rPr>
        <w:t xml:space="preserve">。 </w:t>
      </w:r>
    </w:p>
    <w:p w14:paraId="31A5C5B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乙方指定收款账户信息：</w:t>
      </w:r>
    </w:p>
    <w:p w14:paraId="71A3B70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户名：</w:t>
      </w:r>
    </w:p>
    <w:p w14:paraId="56F617B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开户银行：</w:t>
      </w:r>
    </w:p>
    <w:p w14:paraId="4C00E8B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开户账号：</w:t>
      </w:r>
    </w:p>
    <w:p w14:paraId="1A7D3EA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乙方承诺将上述载明的银行账户作为其在本</w:t>
      </w:r>
      <w:r>
        <w:rPr>
          <w:rFonts w:hint="eastAsia" w:ascii="仿宋" w:hAnsi="仿宋" w:eastAsia="仿宋" w:cs="仿宋"/>
          <w:sz w:val="24"/>
          <w:szCs w:val="24"/>
          <w:lang w:val="en-US" w:eastAsia="zh-CN"/>
        </w:rPr>
        <w:t>协议</w:t>
      </w:r>
      <w:r>
        <w:rPr>
          <w:rFonts w:hint="eastAsia" w:ascii="仿宋" w:hAnsi="仿宋" w:eastAsia="仿宋" w:cs="仿宋"/>
          <w:sz w:val="24"/>
          <w:szCs w:val="24"/>
          <w:lang w:eastAsia="zh-CN"/>
        </w:rPr>
        <w:t>项下的指定收款账户，且承诺前述指定收款账户信息真实准确、合法有效。如乙方指定账户信息有所变更或错漏的，乙方应当在甲方付款前至少提前三个工作日书面告知甲方，否则甲方按照乙方指定账户付款即为完成付款义务，因此造成的损失、费用或责任，均由乙方自行承担。</w:t>
      </w:r>
    </w:p>
    <w:p w14:paraId="3241588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2、甲方应于乙方提交正式审计报告并收到乙方开具的</w:t>
      </w:r>
      <w:r>
        <w:rPr>
          <w:rFonts w:hint="eastAsia" w:ascii="仿宋" w:hAnsi="仿宋" w:eastAsia="仿宋" w:cs="仿宋"/>
          <w:sz w:val="24"/>
          <w:szCs w:val="24"/>
          <w:lang w:val="en-US" w:eastAsia="zh-CN"/>
        </w:rPr>
        <w:t>符合甲方财务管理要求的</w:t>
      </w:r>
      <w:r>
        <w:rPr>
          <w:rFonts w:hint="eastAsia" w:ascii="仿宋" w:hAnsi="仿宋" w:eastAsia="仿宋" w:cs="仿宋"/>
          <w:sz w:val="24"/>
          <w:szCs w:val="24"/>
        </w:rPr>
        <w:t>合法增值税专票（税率6%）后10个工作日内结清审计</w:t>
      </w:r>
      <w:r>
        <w:rPr>
          <w:rFonts w:hint="eastAsia" w:ascii="仿宋" w:hAnsi="仿宋" w:eastAsia="仿宋" w:cs="仿宋"/>
          <w:sz w:val="24"/>
          <w:szCs w:val="24"/>
          <w:lang w:val="en-US" w:eastAsia="zh-CN"/>
        </w:rPr>
        <w:t>服务</w:t>
      </w:r>
      <w:r>
        <w:rPr>
          <w:rFonts w:hint="eastAsia" w:ascii="仿宋" w:hAnsi="仿宋" w:eastAsia="仿宋" w:cs="仿宋"/>
          <w:sz w:val="24"/>
          <w:szCs w:val="24"/>
        </w:rPr>
        <w:t>费用。否则甲方有权暂不付款且不构成违约。</w:t>
      </w:r>
    </w:p>
    <w:p w14:paraId="3E4447F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3、如果由于无法预见的原因，致使乙方从事本约定书所涉及的审计服务实际时间较本约定书签订时预计时间有明显的增加或减少时，甲乙双方</w:t>
      </w:r>
      <w:r>
        <w:rPr>
          <w:rFonts w:hint="eastAsia" w:ascii="仿宋" w:hAnsi="仿宋" w:eastAsia="仿宋" w:cs="仿宋"/>
          <w:sz w:val="24"/>
          <w:szCs w:val="24"/>
          <w:lang w:val="en-US" w:eastAsia="zh-CN"/>
        </w:rPr>
        <w:t>可</w:t>
      </w:r>
      <w:r>
        <w:rPr>
          <w:rFonts w:hint="eastAsia" w:ascii="仿宋" w:hAnsi="仿宋" w:eastAsia="仿宋" w:cs="仿宋"/>
          <w:sz w:val="24"/>
          <w:szCs w:val="24"/>
        </w:rPr>
        <w:t>通过协商，</w:t>
      </w:r>
      <w:r>
        <w:rPr>
          <w:rFonts w:hint="eastAsia" w:ascii="仿宋" w:hAnsi="仿宋" w:eastAsia="仿宋" w:cs="仿宋"/>
          <w:sz w:val="24"/>
          <w:szCs w:val="24"/>
          <w:lang w:val="en-US" w:eastAsia="zh-CN"/>
        </w:rPr>
        <w:t>依法</w:t>
      </w:r>
      <w:r>
        <w:rPr>
          <w:rFonts w:hint="eastAsia" w:ascii="仿宋" w:hAnsi="仿宋" w:eastAsia="仿宋" w:cs="仿宋"/>
          <w:sz w:val="24"/>
          <w:szCs w:val="24"/>
        </w:rPr>
        <w:t xml:space="preserve">调整本约定书第四条第1项下所述的审计费用。 </w:t>
      </w:r>
    </w:p>
    <w:p w14:paraId="2525739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4、如果由于无法预见的原因，致使乙方人员抵达甲方的工作现场后，本约定书所涉及的审计服务</w:t>
      </w:r>
      <w:r>
        <w:rPr>
          <w:rFonts w:hint="eastAsia" w:ascii="仿宋" w:hAnsi="仿宋" w:eastAsia="仿宋" w:cs="仿宋"/>
          <w:sz w:val="24"/>
          <w:szCs w:val="24"/>
          <w:lang w:val="en-US" w:eastAsia="zh-CN"/>
        </w:rPr>
        <w:t>终</w:t>
      </w:r>
      <w:r>
        <w:rPr>
          <w:rFonts w:hint="eastAsia" w:ascii="仿宋" w:hAnsi="仿宋" w:eastAsia="仿宋" w:cs="仿宋"/>
          <w:sz w:val="24"/>
          <w:szCs w:val="24"/>
          <w:highlight w:val="none"/>
        </w:rPr>
        <w:t>止</w:t>
      </w:r>
      <w:r>
        <w:rPr>
          <w:rFonts w:hint="eastAsia" w:ascii="仿宋" w:hAnsi="仿宋" w:eastAsia="仿宋" w:cs="仿宋"/>
          <w:sz w:val="24"/>
          <w:szCs w:val="24"/>
        </w:rPr>
        <w:t>；或乙方人员完成现场审计工作，并离开甲方的工作现场之后，乙方不得要求甲方另行支付</w:t>
      </w:r>
      <w:r>
        <w:rPr>
          <w:rFonts w:hint="eastAsia" w:ascii="仿宋" w:hAnsi="仿宋" w:eastAsia="仿宋" w:cs="仿宋"/>
          <w:sz w:val="24"/>
          <w:szCs w:val="24"/>
          <w:lang w:val="en-US" w:eastAsia="zh-CN"/>
        </w:rPr>
        <w:t>其他任何</w:t>
      </w:r>
      <w:r>
        <w:rPr>
          <w:rFonts w:hint="eastAsia" w:ascii="仿宋" w:hAnsi="仿宋" w:eastAsia="仿宋" w:cs="仿宋"/>
          <w:sz w:val="24"/>
          <w:szCs w:val="24"/>
        </w:rPr>
        <w:t>费</w:t>
      </w:r>
      <w:r>
        <w:rPr>
          <w:rFonts w:hint="eastAsia" w:ascii="仿宋" w:hAnsi="仿宋" w:eastAsia="仿宋" w:cs="仿宋"/>
          <w:sz w:val="24"/>
          <w:szCs w:val="24"/>
          <w:lang w:val="en-US" w:eastAsia="zh-CN"/>
        </w:rPr>
        <w:t>用</w:t>
      </w:r>
      <w:r>
        <w:rPr>
          <w:rFonts w:hint="eastAsia" w:ascii="仿宋" w:hAnsi="仿宋" w:eastAsia="仿宋" w:cs="仿宋"/>
          <w:sz w:val="24"/>
          <w:szCs w:val="24"/>
        </w:rPr>
        <w:t xml:space="preserve">。 </w:t>
      </w:r>
    </w:p>
    <w:p w14:paraId="32A6F4D1">
      <w:pPr>
        <w:spacing w:line="500" w:lineRule="exact"/>
        <w:ind w:firstLine="480" w:firstLineChars="200"/>
        <w:rPr>
          <w:rFonts w:hint="eastAsia" w:ascii="仿宋" w:hAnsi="仿宋" w:eastAsia="仿宋" w:cs="仿宋"/>
          <w:sz w:val="24"/>
          <w:szCs w:val="24"/>
        </w:rPr>
      </w:pPr>
    </w:p>
    <w:p w14:paraId="55F6159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五、审计报告和审计报告的使用 </w:t>
      </w:r>
    </w:p>
    <w:p w14:paraId="7C7A9F6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1、乙方按照中国注册会计师审计准则规定的格式和类型出具审计报告。 </w:t>
      </w:r>
    </w:p>
    <w:p w14:paraId="74FD1CA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2、乙方向甲方致送审计报告一式叁份。 </w:t>
      </w:r>
    </w:p>
    <w:p w14:paraId="62111AB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甲方提交或对外公布审计报告时，不得修改乙方出具的审计报告及其后附的已审财务报表。当甲方认为有必要修改会计数据、报表附注和所作的说明时，应当事先通知乙方，乙方将考虑有关的修改对审计报告的影响，必要时，将重新出具审计报告。 </w:t>
      </w:r>
    </w:p>
    <w:p w14:paraId="6C7906F6">
      <w:pPr>
        <w:spacing w:line="500" w:lineRule="exact"/>
        <w:ind w:firstLine="480" w:firstLineChars="200"/>
        <w:rPr>
          <w:rFonts w:hint="eastAsia" w:ascii="仿宋" w:hAnsi="仿宋" w:eastAsia="仿宋" w:cs="仿宋"/>
          <w:sz w:val="24"/>
          <w:szCs w:val="24"/>
        </w:rPr>
      </w:pPr>
    </w:p>
    <w:p w14:paraId="14B340E4">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六、本约定书的有效期间 </w:t>
      </w:r>
    </w:p>
    <w:p w14:paraId="52FB59C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本约定书自</w:t>
      </w:r>
      <w:r>
        <w:rPr>
          <w:rFonts w:hint="eastAsia" w:ascii="仿宋" w:hAnsi="仿宋" w:eastAsia="仿宋" w:cs="仿宋"/>
          <w:sz w:val="24"/>
          <w:szCs w:val="24"/>
          <w:lang w:val="en-US" w:eastAsia="zh-CN"/>
        </w:rPr>
        <w:t>双方</w:t>
      </w:r>
      <w:r>
        <w:rPr>
          <w:rFonts w:hint="eastAsia" w:ascii="仿宋" w:hAnsi="仿宋" w:eastAsia="仿宋" w:cs="仿宋"/>
          <w:sz w:val="24"/>
          <w:szCs w:val="24"/>
        </w:rPr>
        <w:t>签署之日起生效，并在双方履行完毕本约定书约定的所有义务后终止，但本约定书</w:t>
      </w:r>
      <w:r>
        <w:rPr>
          <w:rFonts w:hint="eastAsia" w:ascii="仿宋" w:hAnsi="仿宋" w:eastAsia="仿宋" w:cs="仿宋"/>
          <w:sz w:val="24"/>
          <w:szCs w:val="24"/>
          <w:lang w:val="en-US" w:eastAsia="zh-CN"/>
        </w:rPr>
        <w:t>关于保密义务的约定</w:t>
      </w:r>
      <w:r>
        <w:rPr>
          <w:rFonts w:hint="eastAsia" w:ascii="仿宋" w:hAnsi="仿宋" w:eastAsia="仿宋" w:cs="仿宋"/>
          <w:sz w:val="24"/>
          <w:szCs w:val="24"/>
        </w:rPr>
        <w:t xml:space="preserve">并不因本约定书终止而失效。 </w:t>
      </w:r>
    </w:p>
    <w:p w14:paraId="6D19B69C">
      <w:pPr>
        <w:spacing w:line="500" w:lineRule="exact"/>
        <w:ind w:firstLine="480" w:firstLineChars="200"/>
        <w:rPr>
          <w:rFonts w:hint="eastAsia" w:ascii="仿宋" w:hAnsi="仿宋" w:eastAsia="仿宋" w:cs="仿宋"/>
          <w:sz w:val="24"/>
          <w:szCs w:val="24"/>
        </w:rPr>
      </w:pPr>
    </w:p>
    <w:p w14:paraId="09001651">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七、约定事项的变更 </w:t>
      </w:r>
    </w:p>
    <w:p w14:paraId="0DC9BDF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如果出现不可预见的情况，影响审计工作如期完成，或需要提前出具审计报告时，甲、乙双方均可要求变更约定事项，但应及时通知对方，并由双方协商解决。 </w:t>
      </w:r>
    </w:p>
    <w:p w14:paraId="13B41440">
      <w:pPr>
        <w:spacing w:line="500" w:lineRule="exact"/>
        <w:ind w:firstLine="480" w:firstLineChars="200"/>
        <w:rPr>
          <w:rFonts w:hint="eastAsia" w:ascii="仿宋" w:hAnsi="仿宋" w:eastAsia="仿宋" w:cs="仿宋"/>
          <w:sz w:val="24"/>
          <w:szCs w:val="24"/>
        </w:rPr>
      </w:pPr>
    </w:p>
    <w:p w14:paraId="0C1EE1AC">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八、终止条款 </w:t>
      </w:r>
    </w:p>
    <w:p w14:paraId="471ABD8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1、如果根据乙方的职业道德及其他有关专业职责、适用的法律法规或其他任何法定的要求，乙方认为已不适宜继续为甲方提供本约定书约定的审计服务时，乙方</w:t>
      </w:r>
      <w:r>
        <w:rPr>
          <w:rFonts w:hint="eastAsia" w:ascii="仿宋" w:hAnsi="仿宋" w:eastAsia="仿宋" w:cs="仿宋"/>
          <w:sz w:val="24"/>
          <w:szCs w:val="24"/>
          <w:lang w:val="en-US" w:eastAsia="zh-CN"/>
        </w:rPr>
        <w:t>应提前10日</w:t>
      </w:r>
      <w:r>
        <w:rPr>
          <w:rFonts w:hint="eastAsia" w:ascii="仿宋" w:hAnsi="仿宋" w:eastAsia="仿宋" w:cs="仿宋"/>
          <w:sz w:val="24"/>
          <w:szCs w:val="24"/>
        </w:rPr>
        <w:t>采取向甲方提出合理通知的方式</w:t>
      </w:r>
      <w:r>
        <w:rPr>
          <w:rFonts w:hint="eastAsia" w:ascii="仿宋" w:hAnsi="仿宋" w:eastAsia="仿宋" w:cs="仿宋"/>
          <w:sz w:val="24"/>
          <w:szCs w:val="24"/>
          <w:lang w:val="en-US" w:eastAsia="zh-CN"/>
        </w:rPr>
        <w:t>提出</w:t>
      </w:r>
      <w:r>
        <w:rPr>
          <w:rFonts w:hint="eastAsia" w:ascii="仿宋" w:hAnsi="仿宋" w:eastAsia="仿宋" w:cs="仿宋"/>
          <w:sz w:val="24"/>
          <w:szCs w:val="24"/>
        </w:rPr>
        <w:t>终止履行本约定书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具体以双方协商为准</w:t>
      </w:r>
      <w:r>
        <w:rPr>
          <w:rFonts w:hint="eastAsia" w:ascii="仿宋" w:hAnsi="仿宋" w:eastAsia="仿宋" w:cs="仿宋"/>
          <w:sz w:val="24"/>
          <w:szCs w:val="24"/>
        </w:rPr>
        <w:t xml:space="preserve">。 </w:t>
      </w:r>
    </w:p>
    <w:p w14:paraId="1E06D43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w:t>
      </w:r>
      <w:r>
        <w:rPr>
          <w:rFonts w:hint="eastAsia" w:ascii="仿宋" w:hAnsi="仿宋" w:eastAsia="仿宋" w:cs="仿宋"/>
          <w:sz w:val="24"/>
          <w:szCs w:val="24"/>
          <w:lang w:val="en-US" w:eastAsia="zh-CN"/>
        </w:rPr>
        <w:t>非因乙方过错或违约而</w:t>
      </w:r>
      <w:r>
        <w:rPr>
          <w:rFonts w:hint="eastAsia" w:ascii="仿宋" w:hAnsi="仿宋" w:eastAsia="仿宋" w:cs="仿宋"/>
          <w:sz w:val="24"/>
          <w:szCs w:val="24"/>
        </w:rPr>
        <w:t>终止</w:t>
      </w:r>
      <w:r>
        <w:rPr>
          <w:rFonts w:hint="eastAsia" w:ascii="仿宋" w:hAnsi="仿宋" w:eastAsia="仿宋" w:cs="仿宋"/>
          <w:sz w:val="24"/>
          <w:szCs w:val="24"/>
          <w:lang w:val="en-US" w:eastAsia="zh-CN"/>
        </w:rPr>
        <w:t>本协议项下</w:t>
      </w:r>
      <w:r>
        <w:rPr>
          <w:rFonts w:hint="eastAsia" w:ascii="仿宋" w:hAnsi="仿宋" w:eastAsia="仿宋" w:cs="仿宋"/>
          <w:sz w:val="24"/>
          <w:szCs w:val="24"/>
        </w:rPr>
        <w:t>业务约定的情况下，乙方有权就其于本约定书终止之日前对约定的审计服务项目所做的工作收取合理的审计费用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具体工作量及服务费以甲方审核确认为准，乙方已完成的成果资料归甲方所有</w:t>
      </w:r>
      <w:r>
        <w:rPr>
          <w:rFonts w:hint="eastAsia" w:ascii="仿宋" w:hAnsi="仿宋" w:eastAsia="仿宋" w:cs="仿宋"/>
          <w:sz w:val="24"/>
          <w:szCs w:val="24"/>
        </w:rPr>
        <w:t xml:space="preserve">。 </w:t>
      </w:r>
    </w:p>
    <w:p w14:paraId="1D4601DD">
      <w:pPr>
        <w:spacing w:line="500" w:lineRule="exact"/>
        <w:ind w:firstLine="480" w:firstLineChars="200"/>
        <w:rPr>
          <w:rFonts w:hint="eastAsia" w:ascii="仿宋" w:hAnsi="仿宋" w:eastAsia="仿宋" w:cs="仿宋"/>
          <w:sz w:val="24"/>
          <w:szCs w:val="24"/>
        </w:rPr>
      </w:pPr>
    </w:p>
    <w:p w14:paraId="12D792F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九、违约责任 </w:t>
      </w:r>
    </w:p>
    <w:p w14:paraId="5907D12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1、若在整个服务期中，乙方出现的重大的过失或过错，致使甲方产生损失，视为乙方违约，甲方有权单方面终止合同，乙方承担相应的违约责任并承担因此给甲方造成的全部损失。</w:t>
      </w:r>
    </w:p>
    <w:p w14:paraId="0BFD225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2、乙方应按时提交有关成果，乙方逾期履约的，每延迟一天，乙方须减收甲方服务费用总额的5‰作为补偿。乙方逾期超过一个月，甲方有权单方解除合同并要求乙方赔偿因此造成的一切损失。</w:t>
      </w:r>
    </w:p>
    <w:p w14:paraId="3A4F87F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3、乙方应保证其所提交的成果不侵犯任何第三人的知识产权和其他任何在先权利，如有上述事由发生，乙方负责由此产生的一切经济、法律责任。同时应按照甲方的要求负责解决，并赔偿甲方的全部经济损失。</w:t>
      </w:r>
    </w:p>
    <w:p w14:paraId="034631A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应严格保守本合同执行过程中所获得的甲方的需要保密的信息。乙方违反保密义务，甲方可要求其支付合同总金额的20%作为违约金，违约金不足以弥补甲方损失的，甲方有权继续追偿。未经甲方书面同意，乙方不得以任何方式转让本合同项下形成的成果，不得向第三方泄露本合同履行过程中涉及的内容。本合同约定的保密义务长期有效，在合同权利义务终止或解除后仍对乙方具有约束力。</w:t>
      </w:r>
    </w:p>
    <w:p w14:paraId="412410D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若违反相关约定，对甲方造成损失的，应当对甲方承担赔偿责任。该等损失包括但不限于甲方为维权所支付的诉讼（仲裁）费用、律师费用、保全费用、保全担保费用、公证费用、评估费用、审计费用、调查费用以及其他相关费用，亦包括甲方因乙方的违约行为向任何第三方支付的违约金、赔偿金、补偿金、罚金、行政罚款等。上述费用甲方有权直接在待支付给乙方的款项（如有）中予以扣除，不足部分有权继续向乙方进行追索。</w:t>
      </w:r>
    </w:p>
    <w:p w14:paraId="65DF90F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6、其他未尽约定，甲乙双方按照《中华人民共和国民法典》的规定承担违约责任。</w:t>
      </w:r>
    </w:p>
    <w:p w14:paraId="37574F9B">
      <w:pPr>
        <w:spacing w:line="500" w:lineRule="exact"/>
        <w:ind w:firstLine="482" w:firstLineChars="200"/>
        <w:rPr>
          <w:rFonts w:hint="eastAsia" w:ascii="仿宋" w:hAnsi="仿宋" w:eastAsia="仿宋" w:cs="仿宋"/>
          <w:b/>
          <w:sz w:val="24"/>
          <w:szCs w:val="24"/>
        </w:rPr>
      </w:pPr>
    </w:p>
    <w:p w14:paraId="67D1DABD">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十、适用法律和争议解决 </w:t>
      </w:r>
    </w:p>
    <w:p w14:paraId="4567B2F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本约定书的所有方面均适用中华人民共和国法律进行解释并受其约束。本约定书履行地为乙方出具审计报告所在地，因本约定书所引起的或与本约定书有关的任何纠纷或争议（包括关于本约定书条款的存在、效力或终止，或无效之后果）双方选择第（1）种解决方式： </w:t>
      </w:r>
    </w:p>
    <w:p w14:paraId="5E5966D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向</w:t>
      </w:r>
      <w:r>
        <w:rPr>
          <w:rFonts w:hint="eastAsia" w:ascii="仿宋" w:hAnsi="仿宋" w:eastAsia="仿宋" w:cs="仿宋"/>
          <w:sz w:val="24"/>
          <w:szCs w:val="24"/>
          <w:lang w:val="en-US" w:eastAsia="zh-CN"/>
        </w:rPr>
        <w:t>甲</w:t>
      </w:r>
      <w:r>
        <w:rPr>
          <w:rFonts w:hint="eastAsia" w:ascii="仿宋" w:hAnsi="仿宋" w:eastAsia="仿宋" w:cs="仿宋"/>
          <w:sz w:val="24"/>
          <w:szCs w:val="24"/>
        </w:rPr>
        <w:t>方</w:t>
      </w:r>
      <w:r>
        <w:rPr>
          <w:rFonts w:hint="eastAsia" w:ascii="仿宋" w:hAnsi="仿宋" w:eastAsia="仿宋" w:cs="仿宋"/>
          <w:sz w:val="24"/>
          <w:szCs w:val="24"/>
          <w:lang w:val="en-US" w:eastAsia="zh-CN"/>
        </w:rPr>
        <w:t>所在地</w:t>
      </w:r>
      <w:r>
        <w:rPr>
          <w:rFonts w:hint="eastAsia" w:ascii="仿宋" w:hAnsi="仿宋" w:eastAsia="仿宋" w:cs="仿宋"/>
          <w:sz w:val="24"/>
          <w:szCs w:val="24"/>
        </w:rPr>
        <w:t xml:space="preserve">有管辖权的人民法院提起诉讼； </w:t>
      </w:r>
    </w:p>
    <w:p w14:paraId="5B2106B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提交重庆仲裁委员会仲裁。 </w:t>
      </w:r>
    </w:p>
    <w:p w14:paraId="7DC209AB">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乙方确认，</w:t>
      </w:r>
      <w:r>
        <w:rPr>
          <w:rFonts w:hint="eastAsia" w:ascii="仿宋" w:hAnsi="仿宋" w:eastAsia="仿宋" w:cs="仿宋"/>
          <w:sz w:val="24"/>
          <w:szCs w:val="24"/>
          <w:lang w:eastAsia="zh-CN"/>
        </w:rPr>
        <w:t>约定书</w:t>
      </w:r>
      <w:r>
        <w:rPr>
          <w:rFonts w:hint="eastAsia" w:ascii="仿宋" w:hAnsi="仿宋" w:eastAsia="仿宋" w:cs="仿宋"/>
          <w:sz w:val="24"/>
          <w:szCs w:val="24"/>
        </w:rPr>
        <w:t>中列明的地址为其有效通讯地址（未填写的，以工商注册地址作为填写地址），乙方联系地址发生变更，应提前七日书面通知甲方，否则视为没有变更。甲方以及法院以快递方式向该地址发出书面函件及诉讼文书的，文件发出日（邮戳日期）次日起满2日视为送达，乙方拒绝签收不影响送达效力。</w:t>
      </w:r>
    </w:p>
    <w:p w14:paraId="27C72C88">
      <w:pPr>
        <w:spacing w:line="5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十一、双方对其他有关事项的约定 </w:t>
      </w:r>
    </w:p>
    <w:p w14:paraId="2F6992D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本约定书</w:t>
      </w:r>
      <w:r>
        <w:rPr>
          <w:rFonts w:hint="eastAsia" w:ascii="仿宋" w:hAnsi="仿宋" w:eastAsia="仿宋" w:cs="仿宋"/>
          <w:sz w:val="24"/>
          <w:szCs w:val="24"/>
          <w:lang w:val="en-US" w:eastAsia="zh-CN"/>
        </w:rPr>
        <w:t>自双方签字盖章之日起生效</w:t>
      </w:r>
      <w:r>
        <w:rPr>
          <w:rFonts w:hint="eastAsia" w:ascii="仿宋" w:hAnsi="仿宋" w:eastAsia="仿宋" w:cs="仿宋"/>
          <w:sz w:val="24"/>
          <w:szCs w:val="24"/>
        </w:rPr>
        <w:t>一式肆份，甲、乙方各执贰份，具有同等法律效力。</w:t>
      </w:r>
      <w:r>
        <w:rPr>
          <w:rFonts w:hint="eastAsia" w:ascii="仿宋" w:hAnsi="仿宋" w:eastAsia="仿宋" w:cs="仿宋"/>
          <w:sz w:val="24"/>
          <w:szCs w:val="24"/>
          <w:lang w:val="en-US" w:eastAsia="zh-CN"/>
        </w:rPr>
        <w:t>任何对本约定书的修改、变更、补充，均应以双方协商一致后签订的书面补充协议为准。</w:t>
      </w:r>
      <w:r>
        <w:rPr>
          <w:rFonts w:hint="eastAsia" w:ascii="仿宋" w:hAnsi="仿宋" w:eastAsia="仿宋" w:cs="仿宋"/>
          <w:sz w:val="24"/>
          <w:szCs w:val="24"/>
        </w:rPr>
        <w:t>补充协议与本</w:t>
      </w:r>
      <w:r>
        <w:rPr>
          <w:rFonts w:hint="eastAsia" w:ascii="仿宋" w:hAnsi="仿宋" w:eastAsia="仿宋" w:cs="仿宋"/>
          <w:sz w:val="24"/>
          <w:szCs w:val="24"/>
          <w:lang w:eastAsia="zh-CN"/>
        </w:rPr>
        <w:t>约定书</w:t>
      </w:r>
      <w:r>
        <w:rPr>
          <w:rFonts w:hint="eastAsia" w:ascii="仿宋" w:hAnsi="仿宋" w:eastAsia="仿宋" w:cs="仿宋"/>
          <w:sz w:val="24"/>
          <w:szCs w:val="24"/>
        </w:rPr>
        <w:t>具有同等法律效力。</w:t>
      </w:r>
    </w:p>
    <w:p w14:paraId="2124F53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以下无正文，为双方签署页）</w:t>
      </w:r>
    </w:p>
    <w:p w14:paraId="1CC2F561">
      <w:pPr>
        <w:spacing w:line="500" w:lineRule="exact"/>
        <w:rPr>
          <w:rFonts w:hint="eastAsia" w:ascii="仿宋" w:hAnsi="仿宋" w:eastAsia="仿宋" w:cs="仿宋"/>
          <w:sz w:val="24"/>
          <w:szCs w:val="24"/>
        </w:rPr>
      </w:pPr>
    </w:p>
    <w:p w14:paraId="5CA8E405">
      <w:pPr>
        <w:tabs>
          <w:tab w:val="left" w:pos="4680"/>
        </w:tabs>
        <w:spacing w:line="500" w:lineRule="exact"/>
        <w:rPr>
          <w:rFonts w:hint="eastAsia" w:ascii="仿宋" w:hAnsi="仿宋" w:eastAsia="仿宋" w:cs="仿宋"/>
          <w:sz w:val="24"/>
          <w:szCs w:val="24"/>
        </w:rPr>
      </w:pPr>
      <w:r>
        <w:rPr>
          <w:rFonts w:hint="eastAsia" w:ascii="仿宋" w:hAnsi="仿宋" w:eastAsia="仿宋" w:cs="仿宋"/>
          <w:sz w:val="24"/>
          <w:szCs w:val="24"/>
        </w:rPr>
        <w:t xml:space="preserve">甲方：                               乙方： </w:t>
      </w:r>
    </w:p>
    <w:p w14:paraId="131A49B7">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35815539">
      <w:pPr>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 xml:space="preserve">   （盖章）                              （盖章）</w:t>
      </w:r>
    </w:p>
    <w:p w14:paraId="30C41D50">
      <w:pPr>
        <w:spacing w:line="500" w:lineRule="exact"/>
        <w:rPr>
          <w:rFonts w:hint="eastAsia" w:ascii="仿宋" w:hAnsi="仿宋" w:eastAsia="仿宋" w:cs="仿宋"/>
          <w:sz w:val="24"/>
          <w:szCs w:val="24"/>
        </w:rPr>
      </w:pPr>
      <w:r>
        <w:rPr>
          <w:rFonts w:hint="eastAsia" w:ascii="仿宋" w:hAnsi="仿宋" w:eastAsia="仿宋" w:cs="仿宋"/>
          <w:sz w:val="24"/>
          <w:szCs w:val="24"/>
        </w:rPr>
        <w:t>授权代表：（签章）                  授权代表：</w:t>
      </w:r>
      <w:bookmarkStart w:id="223" w:name="_GoBack"/>
      <w:bookmarkEnd w:id="223"/>
      <w:r>
        <w:rPr>
          <w:rFonts w:hint="eastAsia" w:ascii="仿宋" w:hAnsi="仿宋" w:eastAsia="仿宋" w:cs="仿宋"/>
          <w:sz w:val="24"/>
          <w:szCs w:val="24"/>
        </w:rPr>
        <w:t>（签章）</w:t>
      </w:r>
    </w:p>
    <w:p w14:paraId="0BCC931F">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联系人：                         联系人： </w:t>
      </w:r>
    </w:p>
    <w:p w14:paraId="3691DF6A">
      <w:pPr>
        <w:spacing w:line="500" w:lineRule="exact"/>
        <w:rPr>
          <w:rFonts w:hint="eastAsia" w:ascii="仿宋" w:hAnsi="仿宋" w:eastAsia="仿宋" w:cs="仿宋"/>
          <w:sz w:val="24"/>
          <w:szCs w:val="24"/>
        </w:rPr>
      </w:pPr>
      <w:r>
        <w:rPr>
          <w:rFonts w:hint="eastAsia" w:ascii="仿宋" w:hAnsi="仿宋" w:eastAsia="仿宋" w:cs="仿宋"/>
          <w:sz w:val="24"/>
          <w:szCs w:val="24"/>
        </w:rPr>
        <w:t>电话：                             电话：</w:t>
      </w:r>
    </w:p>
    <w:p w14:paraId="6CB20174">
      <w:pPr>
        <w:tabs>
          <w:tab w:val="left" w:pos="4140"/>
          <w:tab w:val="left" w:pos="4680"/>
        </w:tabs>
        <w:spacing w:line="500" w:lineRule="exact"/>
        <w:ind w:firstLine="2520" w:firstLineChars="1050"/>
        <w:rPr>
          <w:rFonts w:hint="eastAsia" w:ascii="仿宋" w:hAnsi="仿宋" w:eastAsia="仿宋" w:cs="仿宋"/>
          <w:sz w:val="24"/>
          <w:szCs w:val="24"/>
        </w:rPr>
      </w:pPr>
      <w:r>
        <w:rPr>
          <w:rFonts w:hint="eastAsia" w:ascii="仿宋" w:hAnsi="仿宋" w:eastAsia="仿宋" w:cs="仿宋"/>
          <w:sz w:val="24"/>
          <w:szCs w:val="24"/>
        </w:rPr>
        <w:t xml:space="preserve">                     </w:t>
      </w:r>
    </w:p>
    <w:p w14:paraId="790318FE">
      <w:pPr>
        <w:spacing w:line="500" w:lineRule="exact"/>
        <w:rPr>
          <w:rFonts w:hint="eastAsia" w:ascii="仿宋" w:hAnsi="仿宋" w:eastAsia="仿宋" w:cs="仿宋"/>
          <w:sz w:val="24"/>
          <w:szCs w:val="24"/>
        </w:rPr>
      </w:pPr>
      <w:r>
        <w:rPr>
          <w:rFonts w:hint="eastAsia" w:ascii="仿宋" w:hAnsi="仿宋" w:eastAsia="仿宋" w:cs="仿宋"/>
          <w:sz w:val="24"/>
          <w:szCs w:val="24"/>
        </w:rPr>
        <w:t>签订日期：</w:t>
      </w:r>
    </w:p>
    <w:p w14:paraId="22A978F3">
      <w:pPr>
        <w:rPr>
          <w:rFonts w:hint="eastAsia" w:ascii="仿宋" w:hAnsi="仿宋" w:eastAsia="仿宋" w:cs="仿宋"/>
          <w:sz w:val="24"/>
          <w:szCs w:val="24"/>
        </w:rPr>
      </w:pPr>
    </w:p>
    <w:p w14:paraId="1C7D1999">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8"/>
      <w:bookmarkEnd w:id="169"/>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0" w:name="_Toc183783160"/>
      <w:r>
        <w:rPr>
          <w:rFonts w:hint="eastAsia" w:ascii="仿宋" w:hAnsi="仿宋" w:eastAsia="仿宋" w:cs="仿宋"/>
          <w:color w:val="auto"/>
          <w:highlight w:val="none"/>
        </w:rPr>
        <w:t>一、经济部分</w:t>
      </w:r>
      <w:bookmarkEnd w:id="170"/>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6"/>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7"/>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7"/>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7"/>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7"/>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0EC48AA0">
      <w:pPr>
        <w:pStyle w:val="7"/>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7"/>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1" w:name="_Toc3192"/>
      <w:bookmarkStart w:id="172" w:name="_Toc486608278"/>
      <w:bookmarkStart w:id="173" w:name="_Toc183783161"/>
      <w:bookmarkStart w:id="174" w:name="_Toc9090"/>
      <w:bookmarkStart w:id="175" w:name="_Toc486585241"/>
      <w:bookmarkStart w:id="176" w:name="_Toc487204798"/>
      <w:r>
        <w:rPr>
          <w:rFonts w:hint="eastAsia" w:ascii="仿宋" w:hAnsi="仿宋" w:eastAsia="仿宋" w:cs="仿宋"/>
          <w:color w:val="auto"/>
          <w:highlight w:val="none"/>
        </w:rPr>
        <w:t>二、服务部分</w:t>
      </w:r>
      <w:bookmarkEnd w:id="171"/>
      <w:bookmarkEnd w:id="172"/>
      <w:bookmarkEnd w:id="173"/>
      <w:bookmarkEnd w:id="174"/>
      <w:bookmarkEnd w:id="175"/>
      <w:bookmarkEnd w:id="176"/>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7" w:name="_Toc7069"/>
      <w:bookmarkStart w:id="178" w:name="_Toc23523"/>
      <w:bookmarkStart w:id="179" w:name="_Toc492721039"/>
      <w:bookmarkStart w:id="180" w:name="_Toc17290"/>
      <w:bookmarkStart w:id="181" w:name="_Toc5573"/>
      <w:bookmarkStart w:id="182" w:name="_Toc4362"/>
      <w:bookmarkStart w:id="183" w:name="_Toc22113"/>
      <w:bookmarkStart w:id="184" w:name="_Toc106030419"/>
      <w:bookmarkStart w:id="185" w:name="_Toc26494"/>
      <w:bookmarkStart w:id="186" w:name="_Toc32670"/>
      <w:bookmarkStart w:id="187" w:name="_Toc28242"/>
      <w:bookmarkStart w:id="188" w:name="_Toc183783162"/>
      <w:bookmarkStart w:id="189" w:name="_Toc30496"/>
      <w:bookmarkStart w:id="190" w:name="_Toc10372"/>
      <w:bookmarkStart w:id="191" w:name="_Toc6786"/>
      <w:bookmarkStart w:id="192" w:name="_Toc75793542"/>
      <w:bookmarkStart w:id="193" w:name="_Toc8958"/>
      <w:bookmarkStart w:id="194" w:name="_Toc14954"/>
      <w:bookmarkStart w:id="195" w:name="_Toc493178791"/>
      <w:r>
        <w:rPr>
          <w:rFonts w:hint="eastAsia" w:ascii="仿宋" w:hAnsi="仿宋" w:eastAsia="仿宋" w:cs="仿宋"/>
          <w:color w:val="auto"/>
          <w:highlight w:val="none"/>
        </w:rPr>
        <w:t>三、商务文件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6" w:name="_Toc13249"/>
      <w:bookmarkStart w:id="197" w:name="_Toc4000"/>
      <w:bookmarkStart w:id="198" w:name="_Toc26381"/>
      <w:bookmarkStart w:id="199" w:name="_Toc17829"/>
      <w:bookmarkStart w:id="200" w:name="_Toc12509"/>
      <w:bookmarkStart w:id="201" w:name="_Toc28432"/>
      <w:bookmarkStart w:id="202" w:name="_Toc183783163"/>
      <w:bookmarkStart w:id="203" w:name="_Toc16577"/>
      <w:bookmarkStart w:id="204" w:name="_Toc106030421"/>
      <w:bookmarkStart w:id="205" w:name="_Toc75793544"/>
      <w:bookmarkStart w:id="206" w:name="_Toc21121"/>
      <w:bookmarkStart w:id="207" w:name="_Toc17848"/>
      <w:bookmarkStart w:id="208" w:name="_Toc30818"/>
      <w:bookmarkStart w:id="209" w:name="_Toc11324"/>
      <w:bookmarkStart w:id="210" w:name="_Toc492721038"/>
      <w:bookmarkStart w:id="211" w:name="_Toc493178793"/>
      <w:bookmarkStart w:id="212" w:name="_Toc6108"/>
      <w:bookmarkStart w:id="213" w:name="_Toc23187"/>
      <w:r>
        <w:rPr>
          <w:rFonts w:hint="eastAsia" w:ascii="仿宋" w:hAnsi="仿宋" w:eastAsia="仿宋" w:cs="仿宋"/>
          <w:color w:val="auto"/>
          <w:highlight w:val="none"/>
        </w:rPr>
        <w:t>四、资格证明文件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4"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4"/>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5" w:name="_Toc26813"/>
      <w:bookmarkStart w:id="216" w:name="_Toc10914"/>
      <w:bookmarkStart w:id="217" w:name="_Toc27402"/>
      <w:bookmarkStart w:id="218" w:name="_Toc4003"/>
      <w:bookmarkStart w:id="219" w:name="_Toc10358"/>
      <w:bookmarkStart w:id="220" w:name="_Toc31225"/>
      <w:bookmarkStart w:id="221" w:name="_Toc25283"/>
      <w:bookmarkStart w:id="222" w:name="_Toc26496"/>
      <w:r>
        <w:rPr>
          <w:rFonts w:hint="eastAsia" w:ascii="仿宋" w:hAnsi="仿宋" w:eastAsia="仿宋" w:cs="仿宋"/>
          <w:color w:val="auto"/>
          <w:sz w:val="24"/>
          <w:szCs w:val="24"/>
          <w:highlight w:val="none"/>
        </w:rPr>
        <w:t>1．若为法定代表人办理并签署投标文件的，不提供此文件。</w:t>
      </w:r>
      <w:bookmarkEnd w:id="215"/>
      <w:bookmarkEnd w:id="216"/>
      <w:bookmarkEnd w:id="217"/>
      <w:bookmarkEnd w:id="218"/>
      <w:bookmarkEnd w:id="219"/>
      <w:bookmarkEnd w:id="220"/>
      <w:bookmarkEnd w:id="221"/>
      <w:bookmarkEnd w:id="222"/>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9ED98"/>
    <w:multiLevelType w:val="singleLevel"/>
    <w:tmpl w:val="C5A9ED98"/>
    <w:lvl w:ilvl="0" w:tentative="0">
      <w:start w:val="4"/>
      <w:numFmt w:val="chineseCounting"/>
      <w:suff w:val="nothing"/>
      <w:lvlText w:val="%1、"/>
      <w:lvlJc w:val="left"/>
      <w:rPr>
        <w:rFonts w:hint="eastAsia"/>
      </w:rPr>
    </w:lvl>
  </w:abstractNum>
  <w:abstractNum w:abstractNumId="1">
    <w:nsid w:val="E9662896"/>
    <w:multiLevelType w:val="singleLevel"/>
    <w:tmpl w:val="E9662896"/>
    <w:lvl w:ilvl="0" w:tentative="0">
      <w:start w:val="1"/>
      <w:numFmt w:val="decimal"/>
      <w:suff w:val="nothing"/>
      <w:lvlText w:val="%1、"/>
      <w:lvlJc w:val="left"/>
    </w:lvl>
  </w:abstractNum>
  <w:abstractNum w:abstractNumId="2">
    <w:nsid w:val="66B44A3B"/>
    <w:multiLevelType w:val="multilevel"/>
    <w:tmpl w:val="66B44A3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715678A"/>
    <w:multiLevelType w:val="multilevel"/>
    <w:tmpl w:val="6715678A"/>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7ABF0D0"/>
    <w:multiLevelType w:val="singleLevel"/>
    <w:tmpl w:val="77ABF0D0"/>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AD558A"/>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207B0A"/>
    <w:rsid w:val="01453A14"/>
    <w:rsid w:val="01522069"/>
    <w:rsid w:val="01782C45"/>
    <w:rsid w:val="018D0F17"/>
    <w:rsid w:val="021138F7"/>
    <w:rsid w:val="023A4BFB"/>
    <w:rsid w:val="02532161"/>
    <w:rsid w:val="027F4D04"/>
    <w:rsid w:val="02825F48"/>
    <w:rsid w:val="02C72207"/>
    <w:rsid w:val="02CF7A3A"/>
    <w:rsid w:val="02E334E5"/>
    <w:rsid w:val="02F474A0"/>
    <w:rsid w:val="02F96864"/>
    <w:rsid w:val="03127926"/>
    <w:rsid w:val="03393105"/>
    <w:rsid w:val="037E30D1"/>
    <w:rsid w:val="03A70F25"/>
    <w:rsid w:val="03AC20C9"/>
    <w:rsid w:val="03FF434E"/>
    <w:rsid w:val="042E69E2"/>
    <w:rsid w:val="04975000"/>
    <w:rsid w:val="04EA6DAD"/>
    <w:rsid w:val="05047743"/>
    <w:rsid w:val="055A55B4"/>
    <w:rsid w:val="056E4905"/>
    <w:rsid w:val="057332A8"/>
    <w:rsid w:val="05AE345A"/>
    <w:rsid w:val="064A5629"/>
    <w:rsid w:val="06A40784"/>
    <w:rsid w:val="06B238FA"/>
    <w:rsid w:val="06E15F8D"/>
    <w:rsid w:val="070752C8"/>
    <w:rsid w:val="07846919"/>
    <w:rsid w:val="07862691"/>
    <w:rsid w:val="078A03D3"/>
    <w:rsid w:val="079C56BF"/>
    <w:rsid w:val="07DD49A7"/>
    <w:rsid w:val="07ED2710"/>
    <w:rsid w:val="07EE6482"/>
    <w:rsid w:val="07F67816"/>
    <w:rsid w:val="081303C8"/>
    <w:rsid w:val="085A5FF7"/>
    <w:rsid w:val="09420839"/>
    <w:rsid w:val="09616F12"/>
    <w:rsid w:val="09CC2259"/>
    <w:rsid w:val="09DE12E6"/>
    <w:rsid w:val="09EA6F07"/>
    <w:rsid w:val="0A9652E1"/>
    <w:rsid w:val="0AB94B2B"/>
    <w:rsid w:val="0AD11E75"/>
    <w:rsid w:val="0AE0030A"/>
    <w:rsid w:val="0AFB5144"/>
    <w:rsid w:val="0B7F3FC7"/>
    <w:rsid w:val="0BD51E39"/>
    <w:rsid w:val="0C3B1C9C"/>
    <w:rsid w:val="0C434FF4"/>
    <w:rsid w:val="0D1F5B01"/>
    <w:rsid w:val="0D8C6527"/>
    <w:rsid w:val="0D9E3B2D"/>
    <w:rsid w:val="0E4C540B"/>
    <w:rsid w:val="0EC248F6"/>
    <w:rsid w:val="0F052A35"/>
    <w:rsid w:val="0F234C69"/>
    <w:rsid w:val="0F307AB2"/>
    <w:rsid w:val="0F6E2388"/>
    <w:rsid w:val="0FD50659"/>
    <w:rsid w:val="0FEF4DD2"/>
    <w:rsid w:val="102B7629"/>
    <w:rsid w:val="106877E7"/>
    <w:rsid w:val="106F1535"/>
    <w:rsid w:val="10A87B1C"/>
    <w:rsid w:val="10BB784F"/>
    <w:rsid w:val="1109680C"/>
    <w:rsid w:val="116544B1"/>
    <w:rsid w:val="11691059"/>
    <w:rsid w:val="119F2CCD"/>
    <w:rsid w:val="11A007F3"/>
    <w:rsid w:val="11DF131B"/>
    <w:rsid w:val="11E701D0"/>
    <w:rsid w:val="12280F14"/>
    <w:rsid w:val="12445768"/>
    <w:rsid w:val="129E11D6"/>
    <w:rsid w:val="130C25E4"/>
    <w:rsid w:val="132B5121"/>
    <w:rsid w:val="13540CE3"/>
    <w:rsid w:val="13DC1FB6"/>
    <w:rsid w:val="13EB3FA7"/>
    <w:rsid w:val="14530483"/>
    <w:rsid w:val="147F0B94"/>
    <w:rsid w:val="148461AA"/>
    <w:rsid w:val="14AE0CDA"/>
    <w:rsid w:val="14BC5BE5"/>
    <w:rsid w:val="14E82BDD"/>
    <w:rsid w:val="14E84241"/>
    <w:rsid w:val="152139F9"/>
    <w:rsid w:val="15344EF4"/>
    <w:rsid w:val="1546345F"/>
    <w:rsid w:val="154C622F"/>
    <w:rsid w:val="15770AE8"/>
    <w:rsid w:val="162D4D4B"/>
    <w:rsid w:val="168626AD"/>
    <w:rsid w:val="171639BF"/>
    <w:rsid w:val="176302F9"/>
    <w:rsid w:val="17650515"/>
    <w:rsid w:val="17C84600"/>
    <w:rsid w:val="17E21B65"/>
    <w:rsid w:val="1807337A"/>
    <w:rsid w:val="18626802"/>
    <w:rsid w:val="18E84F59"/>
    <w:rsid w:val="18FC0A05"/>
    <w:rsid w:val="1957287E"/>
    <w:rsid w:val="19A846E9"/>
    <w:rsid w:val="19B65058"/>
    <w:rsid w:val="19E75211"/>
    <w:rsid w:val="1A5A3C35"/>
    <w:rsid w:val="1A774C9C"/>
    <w:rsid w:val="1AE73242"/>
    <w:rsid w:val="1AE87493"/>
    <w:rsid w:val="1B701236"/>
    <w:rsid w:val="1BB6167F"/>
    <w:rsid w:val="1BC7354C"/>
    <w:rsid w:val="1C3261F4"/>
    <w:rsid w:val="1C4865E5"/>
    <w:rsid w:val="1C4C57FF"/>
    <w:rsid w:val="1C69015F"/>
    <w:rsid w:val="1C8925AF"/>
    <w:rsid w:val="1C8B4B07"/>
    <w:rsid w:val="1C93342E"/>
    <w:rsid w:val="1CAC44F0"/>
    <w:rsid w:val="1CCC06EE"/>
    <w:rsid w:val="1CD048C1"/>
    <w:rsid w:val="1CD37CCF"/>
    <w:rsid w:val="1D0E0D07"/>
    <w:rsid w:val="1D350989"/>
    <w:rsid w:val="1D862F93"/>
    <w:rsid w:val="1D925B8A"/>
    <w:rsid w:val="1E0A3BC4"/>
    <w:rsid w:val="1E2A7DC2"/>
    <w:rsid w:val="1E2B7565"/>
    <w:rsid w:val="1E5135A1"/>
    <w:rsid w:val="1E537319"/>
    <w:rsid w:val="1E6828C2"/>
    <w:rsid w:val="1EA47B74"/>
    <w:rsid w:val="1EDA17E8"/>
    <w:rsid w:val="1F2D7B6A"/>
    <w:rsid w:val="1F460C2C"/>
    <w:rsid w:val="1F505606"/>
    <w:rsid w:val="1F7405B1"/>
    <w:rsid w:val="202E28ED"/>
    <w:rsid w:val="20390790"/>
    <w:rsid w:val="203B62B7"/>
    <w:rsid w:val="209B4FA7"/>
    <w:rsid w:val="214E201A"/>
    <w:rsid w:val="215D5D90"/>
    <w:rsid w:val="21785657"/>
    <w:rsid w:val="219D08AB"/>
    <w:rsid w:val="21C916A0"/>
    <w:rsid w:val="220152DE"/>
    <w:rsid w:val="225856E4"/>
    <w:rsid w:val="23272B22"/>
    <w:rsid w:val="232C638A"/>
    <w:rsid w:val="236723EA"/>
    <w:rsid w:val="23B02B18"/>
    <w:rsid w:val="24343749"/>
    <w:rsid w:val="2451716B"/>
    <w:rsid w:val="246868E6"/>
    <w:rsid w:val="24AA7567"/>
    <w:rsid w:val="25290DD3"/>
    <w:rsid w:val="252E63EA"/>
    <w:rsid w:val="253046F8"/>
    <w:rsid w:val="25421E95"/>
    <w:rsid w:val="258242A3"/>
    <w:rsid w:val="25893620"/>
    <w:rsid w:val="259358AB"/>
    <w:rsid w:val="25CA6354"/>
    <w:rsid w:val="25E94F63"/>
    <w:rsid w:val="261A4BC0"/>
    <w:rsid w:val="268838D8"/>
    <w:rsid w:val="26AA7CF2"/>
    <w:rsid w:val="26B446CD"/>
    <w:rsid w:val="26D60AE7"/>
    <w:rsid w:val="26ED5E31"/>
    <w:rsid w:val="26F47310"/>
    <w:rsid w:val="27337CE7"/>
    <w:rsid w:val="27483067"/>
    <w:rsid w:val="27677991"/>
    <w:rsid w:val="277246F6"/>
    <w:rsid w:val="27767BD4"/>
    <w:rsid w:val="27B5050A"/>
    <w:rsid w:val="27BF5BC8"/>
    <w:rsid w:val="28697739"/>
    <w:rsid w:val="286F5B1F"/>
    <w:rsid w:val="28846321"/>
    <w:rsid w:val="288E0F4E"/>
    <w:rsid w:val="28A236DD"/>
    <w:rsid w:val="28DF032D"/>
    <w:rsid w:val="28FE60D3"/>
    <w:rsid w:val="29177195"/>
    <w:rsid w:val="295757E3"/>
    <w:rsid w:val="296323DA"/>
    <w:rsid w:val="29A70519"/>
    <w:rsid w:val="29A7676B"/>
    <w:rsid w:val="2A047719"/>
    <w:rsid w:val="2A1A0CEB"/>
    <w:rsid w:val="2A8645D2"/>
    <w:rsid w:val="2A8D3BB3"/>
    <w:rsid w:val="2A9F5694"/>
    <w:rsid w:val="2AA131BA"/>
    <w:rsid w:val="2ADC0696"/>
    <w:rsid w:val="2AEF03C9"/>
    <w:rsid w:val="2B5B780D"/>
    <w:rsid w:val="2BB94533"/>
    <w:rsid w:val="2BEA4DF9"/>
    <w:rsid w:val="2C212804"/>
    <w:rsid w:val="2C666469"/>
    <w:rsid w:val="2C903500"/>
    <w:rsid w:val="2CF47F19"/>
    <w:rsid w:val="2CFE2B46"/>
    <w:rsid w:val="2D0F6B01"/>
    <w:rsid w:val="2D340315"/>
    <w:rsid w:val="2D811081"/>
    <w:rsid w:val="2D987795"/>
    <w:rsid w:val="2D9E7E85"/>
    <w:rsid w:val="2DBF0527"/>
    <w:rsid w:val="2E112405"/>
    <w:rsid w:val="2E206AEC"/>
    <w:rsid w:val="2E864BA1"/>
    <w:rsid w:val="2EC93486"/>
    <w:rsid w:val="2F065CE2"/>
    <w:rsid w:val="2F6E343A"/>
    <w:rsid w:val="2FA33530"/>
    <w:rsid w:val="30281C88"/>
    <w:rsid w:val="30470360"/>
    <w:rsid w:val="30542A7D"/>
    <w:rsid w:val="30907F59"/>
    <w:rsid w:val="30CB71E3"/>
    <w:rsid w:val="30CE0A81"/>
    <w:rsid w:val="30E16A06"/>
    <w:rsid w:val="310426F5"/>
    <w:rsid w:val="31815AF3"/>
    <w:rsid w:val="31A517E2"/>
    <w:rsid w:val="31D04385"/>
    <w:rsid w:val="3268462F"/>
    <w:rsid w:val="32803FFD"/>
    <w:rsid w:val="328F34B6"/>
    <w:rsid w:val="32B011BC"/>
    <w:rsid w:val="32E4458C"/>
    <w:rsid w:val="330D3AE3"/>
    <w:rsid w:val="332F1B24"/>
    <w:rsid w:val="334868C9"/>
    <w:rsid w:val="33955886"/>
    <w:rsid w:val="33A2238B"/>
    <w:rsid w:val="33DC1707"/>
    <w:rsid w:val="34750E92"/>
    <w:rsid w:val="348C0A37"/>
    <w:rsid w:val="34CE5636"/>
    <w:rsid w:val="34E83FCE"/>
    <w:rsid w:val="35170C48"/>
    <w:rsid w:val="351A50CE"/>
    <w:rsid w:val="3547648D"/>
    <w:rsid w:val="355E6877"/>
    <w:rsid w:val="356544C7"/>
    <w:rsid w:val="3586192A"/>
    <w:rsid w:val="35987B8D"/>
    <w:rsid w:val="359F0C3E"/>
    <w:rsid w:val="35A95619"/>
    <w:rsid w:val="35B46497"/>
    <w:rsid w:val="35DC154A"/>
    <w:rsid w:val="36280C33"/>
    <w:rsid w:val="36444420"/>
    <w:rsid w:val="364A6DFC"/>
    <w:rsid w:val="36763B54"/>
    <w:rsid w:val="37074CED"/>
    <w:rsid w:val="37441A9D"/>
    <w:rsid w:val="3789228D"/>
    <w:rsid w:val="379C2703"/>
    <w:rsid w:val="37B409D1"/>
    <w:rsid w:val="37FD732F"/>
    <w:rsid w:val="384653A1"/>
    <w:rsid w:val="386B4E07"/>
    <w:rsid w:val="388C36FB"/>
    <w:rsid w:val="38BE762D"/>
    <w:rsid w:val="38F372D7"/>
    <w:rsid w:val="390019F4"/>
    <w:rsid w:val="390908A8"/>
    <w:rsid w:val="391D25A6"/>
    <w:rsid w:val="39704576"/>
    <w:rsid w:val="3979525D"/>
    <w:rsid w:val="3986639D"/>
    <w:rsid w:val="39A24859"/>
    <w:rsid w:val="39D91E06"/>
    <w:rsid w:val="39E96DD6"/>
    <w:rsid w:val="3A276B75"/>
    <w:rsid w:val="3A5F274A"/>
    <w:rsid w:val="3AAF3477"/>
    <w:rsid w:val="3AB160D5"/>
    <w:rsid w:val="3B81506E"/>
    <w:rsid w:val="3B954675"/>
    <w:rsid w:val="3BDD7DCA"/>
    <w:rsid w:val="3CA935B6"/>
    <w:rsid w:val="3CC72F54"/>
    <w:rsid w:val="3CCD6091"/>
    <w:rsid w:val="3D6E2D89"/>
    <w:rsid w:val="3D753879"/>
    <w:rsid w:val="3D7D2A20"/>
    <w:rsid w:val="3D9B1CEB"/>
    <w:rsid w:val="3DAE01F1"/>
    <w:rsid w:val="3DBE08A9"/>
    <w:rsid w:val="3DFD4754"/>
    <w:rsid w:val="3E241CE0"/>
    <w:rsid w:val="3E8B1D5F"/>
    <w:rsid w:val="3E9A0C6C"/>
    <w:rsid w:val="3EF0645B"/>
    <w:rsid w:val="3F4940F4"/>
    <w:rsid w:val="3F9115F7"/>
    <w:rsid w:val="3F9B4224"/>
    <w:rsid w:val="3FB026E8"/>
    <w:rsid w:val="3FB35A12"/>
    <w:rsid w:val="3FBB48C6"/>
    <w:rsid w:val="3FD339BE"/>
    <w:rsid w:val="3FEC4A80"/>
    <w:rsid w:val="40526FD9"/>
    <w:rsid w:val="41684B4C"/>
    <w:rsid w:val="416B0395"/>
    <w:rsid w:val="419F6289"/>
    <w:rsid w:val="41A35612"/>
    <w:rsid w:val="41FD2F74"/>
    <w:rsid w:val="42010CB6"/>
    <w:rsid w:val="42EA799C"/>
    <w:rsid w:val="42F205FF"/>
    <w:rsid w:val="42FC4EA8"/>
    <w:rsid w:val="43664B49"/>
    <w:rsid w:val="43FA7557"/>
    <w:rsid w:val="441B5933"/>
    <w:rsid w:val="453018B3"/>
    <w:rsid w:val="45603F46"/>
    <w:rsid w:val="45980BF0"/>
    <w:rsid w:val="45C049E4"/>
    <w:rsid w:val="45D71D2E"/>
    <w:rsid w:val="46040D75"/>
    <w:rsid w:val="460F14C8"/>
    <w:rsid w:val="46731A57"/>
    <w:rsid w:val="468C0D6B"/>
    <w:rsid w:val="468C2B19"/>
    <w:rsid w:val="46963997"/>
    <w:rsid w:val="46B3312C"/>
    <w:rsid w:val="46BC1650"/>
    <w:rsid w:val="46F04E55"/>
    <w:rsid w:val="47281E8B"/>
    <w:rsid w:val="472E3BD0"/>
    <w:rsid w:val="47482EE3"/>
    <w:rsid w:val="47A367A5"/>
    <w:rsid w:val="47D91D8D"/>
    <w:rsid w:val="48055C08"/>
    <w:rsid w:val="48710218"/>
    <w:rsid w:val="49027FE8"/>
    <w:rsid w:val="49902920"/>
    <w:rsid w:val="49973CAE"/>
    <w:rsid w:val="49CA74E0"/>
    <w:rsid w:val="49CD147E"/>
    <w:rsid w:val="49E369F5"/>
    <w:rsid w:val="49F70BF1"/>
    <w:rsid w:val="4A38723F"/>
    <w:rsid w:val="4A802994"/>
    <w:rsid w:val="4B056479"/>
    <w:rsid w:val="4B215F25"/>
    <w:rsid w:val="4B2D688D"/>
    <w:rsid w:val="4B594059"/>
    <w:rsid w:val="4B92297F"/>
    <w:rsid w:val="4B9C37FE"/>
    <w:rsid w:val="4BCA6B34"/>
    <w:rsid w:val="4C26756B"/>
    <w:rsid w:val="4C770C39"/>
    <w:rsid w:val="4C8C608C"/>
    <w:rsid w:val="4D0104F9"/>
    <w:rsid w:val="4D0F047A"/>
    <w:rsid w:val="4D461C73"/>
    <w:rsid w:val="4D714816"/>
    <w:rsid w:val="4D9D385D"/>
    <w:rsid w:val="4DB424A5"/>
    <w:rsid w:val="4DEF5E83"/>
    <w:rsid w:val="4E676345"/>
    <w:rsid w:val="4E712D20"/>
    <w:rsid w:val="4E9E4ABB"/>
    <w:rsid w:val="4ECE0172"/>
    <w:rsid w:val="4F0516BA"/>
    <w:rsid w:val="4F1277F7"/>
    <w:rsid w:val="4F3B2EF4"/>
    <w:rsid w:val="4F563CC4"/>
    <w:rsid w:val="4F977F9F"/>
    <w:rsid w:val="4FB8672C"/>
    <w:rsid w:val="4FD322A6"/>
    <w:rsid w:val="4FD33566"/>
    <w:rsid w:val="4FE45692"/>
    <w:rsid w:val="503D071F"/>
    <w:rsid w:val="504852D5"/>
    <w:rsid w:val="504B30B2"/>
    <w:rsid w:val="504F52E3"/>
    <w:rsid w:val="50690566"/>
    <w:rsid w:val="50720FD1"/>
    <w:rsid w:val="50884351"/>
    <w:rsid w:val="509E1DC6"/>
    <w:rsid w:val="50AA42C7"/>
    <w:rsid w:val="50AD025B"/>
    <w:rsid w:val="50D60D7C"/>
    <w:rsid w:val="513F5357"/>
    <w:rsid w:val="5186459D"/>
    <w:rsid w:val="518F170F"/>
    <w:rsid w:val="51C75820"/>
    <w:rsid w:val="51D57A6A"/>
    <w:rsid w:val="51D84E64"/>
    <w:rsid w:val="52391DA6"/>
    <w:rsid w:val="525C5004"/>
    <w:rsid w:val="5290573F"/>
    <w:rsid w:val="52C5188C"/>
    <w:rsid w:val="52CF6267"/>
    <w:rsid w:val="52EE43DB"/>
    <w:rsid w:val="52FD2E8D"/>
    <w:rsid w:val="530E05BC"/>
    <w:rsid w:val="535A7887"/>
    <w:rsid w:val="5373753A"/>
    <w:rsid w:val="53BC2C8F"/>
    <w:rsid w:val="53BF4C42"/>
    <w:rsid w:val="53CD66E0"/>
    <w:rsid w:val="53F57F4F"/>
    <w:rsid w:val="53FE4420"/>
    <w:rsid w:val="5486504B"/>
    <w:rsid w:val="54B971CF"/>
    <w:rsid w:val="54D2203E"/>
    <w:rsid w:val="55047725"/>
    <w:rsid w:val="550F5041"/>
    <w:rsid w:val="557773FB"/>
    <w:rsid w:val="55821CB6"/>
    <w:rsid w:val="55CB16B9"/>
    <w:rsid w:val="563A60ED"/>
    <w:rsid w:val="563F54B2"/>
    <w:rsid w:val="565432B3"/>
    <w:rsid w:val="56576C9F"/>
    <w:rsid w:val="566B44F9"/>
    <w:rsid w:val="569A4DDE"/>
    <w:rsid w:val="56A54175"/>
    <w:rsid w:val="570858F2"/>
    <w:rsid w:val="57471324"/>
    <w:rsid w:val="575C2093"/>
    <w:rsid w:val="57AA2DFF"/>
    <w:rsid w:val="57C230D5"/>
    <w:rsid w:val="57DC0F5F"/>
    <w:rsid w:val="583B614D"/>
    <w:rsid w:val="585C67EF"/>
    <w:rsid w:val="586631C9"/>
    <w:rsid w:val="588C08D1"/>
    <w:rsid w:val="58A43CF2"/>
    <w:rsid w:val="58AB7E44"/>
    <w:rsid w:val="58B32187"/>
    <w:rsid w:val="592866D1"/>
    <w:rsid w:val="598C6238"/>
    <w:rsid w:val="59AC5554"/>
    <w:rsid w:val="59B9269D"/>
    <w:rsid w:val="59F023FC"/>
    <w:rsid w:val="59F91D02"/>
    <w:rsid w:val="5A094754"/>
    <w:rsid w:val="5A105AE3"/>
    <w:rsid w:val="5A180D4E"/>
    <w:rsid w:val="5A4E2167"/>
    <w:rsid w:val="5A7B6CD4"/>
    <w:rsid w:val="5AC8016B"/>
    <w:rsid w:val="5AF01470"/>
    <w:rsid w:val="5B025E57"/>
    <w:rsid w:val="5B231846"/>
    <w:rsid w:val="5B7A6F8C"/>
    <w:rsid w:val="5B7C2D04"/>
    <w:rsid w:val="5B8F3C7E"/>
    <w:rsid w:val="5BAD55B3"/>
    <w:rsid w:val="5BDB7A2A"/>
    <w:rsid w:val="5BE63730"/>
    <w:rsid w:val="5C5251DF"/>
    <w:rsid w:val="5C534E4A"/>
    <w:rsid w:val="5C902F0B"/>
    <w:rsid w:val="5CE9261B"/>
    <w:rsid w:val="5D0D6309"/>
    <w:rsid w:val="5D66733F"/>
    <w:rsid w:val="5DAB78D0"/>
    <w:rsid w:val="5DBB5D65"/>
    <w:rsid w:val="5DCF1811"/>
    <w:rsid w:val="5DDE7CA6"/>
    <w:rsid w:val="5DFE04B3"/>
    <w:rsid w:val="5E09755D"/>
    <w:rsid w:val="5E203E1A"/>
    <w:rsid w:val="5E671A49"/>
    <w:rsid w:val="5EA22A81"/>
    <w:rsid w:val="5F335DCF"/>
    <w:rsid w:val="5F4D50E3"/>
    <w:rsid w:val="5FC30F01"/>
    <w:rsid w:val="5FC66C44"/>
    <w:rsid w:val="5FCB425A"/>
    <w:rsid w:val="5FE536D5"/>
    <w:rsid w:val="60327E35"/>
    <w:rsid w:val="606A3A73"/>
    <w:rsid w:val="612C6F7A"/>
    <w:rsid w:val="614F3918"/>
    <w:rsid w:val="61515E49"/>
    <w:rsid w:val="616E30EF"/>
    <w:rsid w:val="61880654"/>
    <w:rsid w:val="61E635CD"/>
    <w:rsid w:val="61EB473F"/>
    <w:rsid w:val="6232470C"/>
    <w:rsid w:val="624327CD"/>
    <w:rsid w:val="62EA2C49"/>
    <w:rsid w:val="634C56B2"/>
    <w:rsid w:val="636E49DC"/>
    <w:rsid w:val="63957059"/>
    <w:rsid w:val="64177A6E"/>
    <w:rsid w:val="642018F9"/>
    <w:rsid w:val="64596B4E"/>
    <w:rsid w:val="648F5856"/>
    <w:rsid w:val="64D4770D"/>
    <w:rsid w:val="64DD4813"/>
    <w:rsid w:val="64E75692"/>
    <w:rsid w:val="654E5711"/>
    <w:rsid w:val="65962C14"/>
    <w:rsid w:val="65B23EF2"/>
    <w:rsid w:val="65EE47FE"/>
    <w:rsid w:val="65F06D2C"/>
    <w:rsid w:val="6609788A"/>
    <w:rsid w:val="661A55F3"/>
    <w:rsid w:val="661B7F24"/>
    <w:rsid w:val="665723A3"/>
    <w:rsid w:val="666F3B91"/>
    <w:rsid w:val="66A60C9C"/>
    <w:rsid w:val="66BB2590"/>
    <w:rsid w:val="66C54162"/>
    <w:rsid w:val="66E203D8"/>
    <w:rsid w:val="671B7922"/>
    <w:rsid w:val="67577EB7"/>
    <w:rsid w:val="677F153E"/>
    <w:rsid w:val="68091DC3"/>
    <w:rsid w:val="68262975"/>
    <w:rsid w:val="689C6793"/>
    <w:rsid w:val="68BE670A"/>
    <w:rsid w:val="68BF2482"/>
    <w:rsid w:val="690946BA"/>
    <w:rsid w:val="699F7D3A"/>
    <w:rsid w:val="69DD52B6"/>
    <w:rsid w:val="6A170931"/>
    <w:rsid w:val="6A617C95"/>
    <w:rsid w:val="6AA81420"/>
    <w:rsid w:val="6AB623DF"/>
    <w:rsid w:val="6ACE4BFE"/>
    <w:rsid w:val="6AD40467"/>
    <w:rsid w:val="6AE04B74"/>
    <w:rsid w:val="6AF01C56"/>
    <w:rsid w:val="6B2B3DFF"/>
    <w:rsid w:val="6B451364"/>
    <w:rsid w:val="6B4D0219"/>
    <w:rsid w:val="6B6C069F"/>
    <w:rsid w:val="6BAE0CB8"/>
    <w:rsid w:val="6BAF4A30"/>
    <w:rsid w:val="6BD61FBC"/>
    <w:rsid w:val="6C6D0B73"/>
    <w:rsid w:val="6C710B23"/>
    <w:rsid w:val="6CAB51F7"/>
    <w:rsid w:val="6CBD4F2A"/>
    <w:rsid w:val="6CBF0CA2"/>
    <w:rsid w:val="6CC462B9"/>
    <w:rsid w:val="6D38471B"/>
    <w:rsid w:val="6D4573FA"/>
    <w:rsid w:val="6DB8307B"/>
    <w:rsid w:val="6DC76061"/>
    <w:rsid w:val="6DD54C21"/>
    <w:rsid w:val="6E1E4550"/>
    <w:rsid w:val="6E1F5E9D"/>
    <w:rsid w:val="6E3336F6"/>
    <w:rsid w:val="6E557B10"/>
    <w:rsid w:val="6E5F1847"/>
    <w:rsid w:val="6EA14120"/>
    <w:rsid w:val="6F0357BE"/>
    <w:rsid w:val="6F0626E6"/>
    <w:rsid w:val="6F443096"/>
    <w:rsid w:val="6F5778B8"/>
    <w:rsid w:val="6F926B42"/>
    <w:rsid w:val="6F93401E"/>
    <w:rsid w:val="6FA83C70"/>
    <w:rsid w:val="702E23C7"/>
    <w:rsid w:val="70B2124A"/>
    <w:rsid w:val="70D21129"/>
    <w:rsid w:val="70DD5B9B"/>
    <w:rsid w:val="70E51287"/>
    <w:rsid w:val="70FD7FEB"/>
    <w:rsid w:val="71184E25"/>
    <w:rsid w:val="71C64881"/>
    <w:rsid w:val="721929A1"/>
    <w:rsid w:val="72275320"/>
    <w:rsid w:val="72A72905"/>
    <w:rsid w:val="72D37256"/>
    <w:rsid w:val="72F571CC"/>
    <w:rsid w:val="74185868"/>
    <w:rsid w:val="74406B6D"/>
    <w:rsid w:val="74BD640F"/>
    <w:rsid w:val="74BE7A92"/>
    <w:rsid w:val="74FF07D6"/>
    <w:rsid w:val="74FF4332"/>
    <w:rsid w:val="750202C6"/>
    <w:rsid w:val="75287D2D"/>
    <w:rsid w:val="75363ACC"/>
    <w:rsid w:val="75530B22"/>
    <w:rsid w:val="759E1D9D"/>
    <w:rsid w:val="75F05AFC"/>
    <w:rsid w:val="75F7317D"/>
    <w:rsid w:val="76625752"/>
    <w:rsid w:val="76D75FBA"/>
    <w:rsid w:val="76F87D58"/>
    <w:rsid w:val="777110D9"/>
    <w:rsid w:val="777F7CC7"/>
    <w:rsid w:val="77CF26E1"/>
    <w:rsid w:val="77D53B2E"/>
    <w:rsid w:val="77ED2B68"/>
    <w:rsid w:val="78414C61"/>
    <w:rsid w:val="785B5D23"/>
    <w:rsid w:val="791553F6"/>
    <w:rsid w:val="79334EF2"/>
    <w:rsid w:val="796B468C"/>
    <w:rsid w:val="797B41A3"/>
    <w:rsid w:val="799B1910"/>
    <w:rsid w:val="79BF0534"/>
    <w:rsid w:val="7A373298"/>
    <w:rsid w:val="7A41363F"/>
    <w:rsid w:val="7A456C8B"/>
    <w:rsid w:val="7A542AC5"/>
    <w:rsid w:val="7A9C6DC1"/>
    <w:rsid w:val="7AC2652D"/>
    <w:rsid w:val="7AC31DEF"/>
    <w:rsid w:val="7AFC1B2D"/>
    <w:rsid w:val="7B160627"/>
    <w:rsid w:val="7B4E1B6F"/>
    <w:rsid w:val="7B4E58F5"/>
    <w:rsid w:val="7B5628D6"/>
    <w:rsid w:val="7BB816DF"/>
    <w:rsid w:val="7BF30969"/>
    <w:rsid w:val="7C025669"/>
    <w:rsid w:val="7C331A1A"/>
    <w:rsid w:val="7C374CF9"/>
    <w:rsid w:val="7C3C6BAC"/>
    <w:rsid w:val="7C4C02E1"/>
    <w:rsid w:val="7C7D2A53"/>
    <w:rsid w:val="7CAA7279"/>
    <w:rsid w:val="7CAD17BD"/>
    <w:rsid w:val="7CDB0441"/>
    <w:rsid w:val="7CE0713F"/>
    <w:rsid w:val="7D4D5E56"/>
    <w:rsid w:val="7D6F401F"/>
    <w:rsid w:val="7D7635FF"/>
    <w:rsid w:val="7DD00F61"/>
    <w:rsid w:val="7E040C0B"/>
    <w:rsid w:val="7E0714B7"/>
    <w:rsid w:val="7E501EBB"/>
    <w:rsid w:val="7E553215"/>
    <w:rsid w:val="7EE534A5"/>
    <w:rsid w:val="7F3B240A"/>
    <w:rsid w:val="7F98785D"/>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2"/>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3"/>
    <w:next w:val="1"/>
    <w:autoRedefine/>
    <w:qFormat/>
    <w:uiPriority w:val="0"/>
    <w:pPr>
      <w:keepNext/>
      <w:keepLines/>
      <w:spacing w:before="260" w:after="260" w:line="413" w:lineRule="auto"/>
      <w:outlineLvl w:val="2"/>
    </w:pPr>
    <w:rPr>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4"/>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7"/>
    <w:qFormat/>
    <w:uiPriority w:val="0"/>
    <w:pPr>
      <w:widowControl w:val="0"/>
      <w:spacing w:line="360" w:lineRule="auto"/>
      <w:ind w:firstLine="420"/>
    </w:pPr>
    <w:rPr>
      <w:sz w:val="24"/>
      <w:szCs w:val="24"/>
      <w:lang w:eastAsia="zh-CN"/>
    </w:rPr>
  </w:style>
  <w:style w:type="character" w:styleId="22">
    <w:name w:val="page number"/>
    <w:basedOn w:val="21"/>
    <w:autoRedefine/>
    <w:qFormat/>
    <w:uiPriority w:val="0"/>
  </w:style>
  <w:style w:type="character" w:styleId="23">
    <w:name w:val="Hyperlink"/>
    <w:basedOn w:val="21"/>
    <w:autoRedefine/>
    <w:qFormat/>
    <w:uiPriority w:val="99"/>
    <w:rPr>
      <w:color w:val="0000FF"/>
      <w:u w:val="single"/>
    </w:rPr>
  </w:style>
  <w:style w:type="paragraph" w:customStyle="1" w:styleId="24">
    <w:name w:val="索引 51"/>
    <w:basedOn w:val="1"/>
    <w:next w:val="1"/>
    <w:qFormat/>
    <w:uiPriority w:val="0"/>
    <w:pPr>
      <w:ind w:left="1680"/>
    </w:p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图例"/>
    <w:basedOn w:val="1"/>
    <w:autoRedefine/>
    <w:qFormat/>
    <w:uiPriority w:val="0"/>
    <w:pPr>
      <w:spacing w:before="120" w:after="120" w:line="360" w:lineRule="auto"/>
      <w:jc w:val="center"/>
    </w:pPr>
    <w:rPr>
      <w:rFonts w:eastAsia="仿宋_GB2312"/>
      <w:b/>
      <w:sz w:val="24"/>
    </w:rPr>
  </w:style>
  <w:style w:type="paragraph" w:customStyle="1" w:styleId="27">
    <w:name w:val="电建正文"/>
    <w:basedOn w:val="28"/>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8">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标题 2 字符"/>
    <w:link w:val="3"/>
    <w:qFormat/>
    <w:uiPriority w:val="0"/>
    <w:rPr>
      <w:rFonts w:ascii="Arial" w:hAnsi="Arial" w:eastAsia="黑体"/>
      <w:b/>
      <w:kern w:val="2"/>
      <w:sz w:val="32"/>
    </w:rPr>
  </w:style>
  <w:style w:type="character" w:customStyle="1" w:styleId="33">
    <w:name w:val="Unresolved Mention"/>
    <w:basedOn w:val="21"/>
    <w:semiHidden/>
    <w:unhideWhenUsed/>
    <w:qFormat/>
    <w:uiPriority w:val="99"/>
    <w:rPr>
      <w:color w:val="605E5C"/>
      <w:shd w:val="clear" w:color="auto" w:fill="E1DFDD"/>
    </w:rPr>
  </w:style>
  <w:style w:type="character" w:customStyle="1" w:styleId="34">
    <w:name w:val="页脚 字符"/>
    <w:link w:val="13"/>
    <w:qFormat/>
    <w:uiPriority w:val="99"/>
    <w:rPr>
      <w:kern w:val="2"/>
      <w:sz w:val="18"/>
    </w:rPr>
  </w:style>
  <w:style w:type="character" w:customStyle="1" w:styleId="35">
    <w:name w:val="页眉或页脚 (2)_"/>
    <w:basedOn w:val="21"/>
    <w:link w:val="36"/>
    <w:qFormat/>
    <w:uiPriority w:val="0"/>
    <w:rPr>
      <w:rFonts w:eastAsia="Times New Roman"/>
      <w:shd w:val="clear" w:color="auto" w:fill="FFFFFF"/>
      <w:lang w:val="zh-CN" w:bidi="zh-CN"/>
    </w:rPr>
  </w:style>
  <w:style w:type="paragraph" w:customStyle="1" w:styleId="36">
    <w:name w:val="页眉或页脚 (2)"/>
    <w:basedOn w:val="1"/>
    <w:link w:val="35"/>
    <w:qFormat/>
    <w:uiPriority w:val="0"/>
    <w:pPr>
      <w:shd w:val="clear" w:color="auto" w:fill="FFFFFF"/>
      <w:jc w:val="left"/>
    </w:pPr>
    <w:rPr>
      <w:rFonts w:eastAsia="Times New Roman"/>
      <w:kern w:val="0"/>
      <w:sz w:val="20"/>
      <w:lang w:val="zh-CN" w:bidi="zh-CN"/>
    </w:rPr>
  </w:style>
  <w:style w:type="character" w:customStyle="1" w:styleId="37">
    <w:name w:val="正文文本_"/>
    <w:basedOn w:val="21"/>
    <w:link w:val="38"/>
    <w:qFormat/>
    <w:uiPriority w:val="0"/>
    <w:rPr>
      <w:rFonts w:ascii="MingLiU" w:hAnsi="MingLiU" w:eastAsia="MingLiU" w:cs="MingLiU"/>
      <w:sz w:val="22"/>
      <w:szCs w:val="22"/>
      <w:shd w:val="clear" w:color="auto" w:fill="FFFFFF"/>
      <w:lang w:val="zh-CN" w:bidi="zh-CN"/>
    </w:rPr>
  </w:style>
  <w:style w:type="paragraph" w:customStyle="1" w:styleId="38">
    <w:name w:val="正文文本1"/>
    <w:basedOn w:val="1"/>
    <w:link w:val="37"/>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9">
    <w:name w:val="标题 #1_"/>
    <w:basedOn w:val="21"/>
    <w:link w:val="40"/>
    <w:qFormat/>
    <w:uiPriority w:val="0"/>
    <w:rPr>
      <w:rFonts w:ascii="MingLiU" w:hAnsi="MingLiU" w:eastAsia="MingLiU" w:cs="MingLiU"/>
      <w:sz w:val="28"/>
      <w:szCs w:val="28"/>
      <w:shd w:val="clear" w:color="auto" w:fill="FFFFFF"/>
      <w:lang w:val="zh-CN" w:bidi="zh-CN"/>
    </w:rPr>
  </w:style>
  <w:style w:type="paragraph" w:customStyle="1" w:styleId="40">
    <w:name w:val="标题 #1"/>
    <w:basedOn w:val="1"/>
    <w:link w:val="39"/>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41">
    <w:name w:val="正文文本 (2)_"/>
    <w:basedOn w:val="21"/>
    <w:link w:val="42"/>
    <w:qFormat/>
    <w:uiPriority w:val="0"/>
    <w:rPr>
      <w:rFonts w:ascii="Gulim" w:hAnsi="Gulim" w:eastAsia="Gulim" w:cs="Gulim"/>
      <w:shd w:val="clear" w:color="auto" w:fill="FFFFFF"/>
      <w:lang w:val="zh-CN" w:bidi="zh-CN"/>
    </w:rPr>
  </w:style>
  <w:style w:type="paragraph" w:customStyle="1" w:styleId="42">
    <w:name w:val="正文文本 (2)"/>
    <w:basedOn w:val="1"/>
    <w:link w:val="41"/>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3">
    <w:name w:val="其他_"/>
    <w:basedOn w:val="21"/>
    <w:link w:val="44"/>
    <w:qFormat/>
    <w:uiPriority w:val="0"/>
    <w:rPr>
      <w:rFonts w:ascii="MingLiU" w:hAnsi="MingLiU" w:eastAsia="MingLiU" w:cs="MingLiU"/>
      <w:sz w:val="22"/>
      <w:szCs w:val="22"/>
      <w:shd w:val="clear" w:color="auto" w:fill="FFFFFF"/>
      <w:lang w:val="zh-CN" w:bidi="zh-CN"/>
    </w:rPr>
  </w:style>
  <w:style w:type="paragraph" w:customStyle="1" w:styleId="44">
    <w:name w:val="其他"/>
    <w:basedOn w:val="1"/>
    <w:link w:val="4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5">
    <w:name w:val="List Paragraph"/>
    <w:basedOn w:val="1"/>
    <w:qFormat/>
    <w:uiPriority w:val="99"/>
    <w:pPr>
      <w:ind w:firstLine="420" w:firstLineChars="200"/>
    </w:pPr>
  </w:style>
  <w:style w:type="paragraph" w:customStyle="1" w:styleId="46">
    <w:name w:val="DTZ normal"/>
    <w:basedOn w:val="1"/>
    <w:qFormat/>
    <w:uiPriority w:val="0"/>
    <w:pPr>
      <w:widowControl/>
      <w:spacing w:after="260" w:line="260" w:lineRule="exact"/>
      <w:jc w:val="left"/>
    </w:pPr>
    <w:rPr>
      <w:rFonts w:ascii="Arial" w:hAnsi="Arial"/>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765</Words>
  <Characters>811</Characters>
  <Lines>143</Lines>
  <Paragraphs>40</Paragraphs>
  <TotalTime>0</TotalTime>
  <ScaleCrop>false</ScaleCrop>
  <LinksUpToDate>false</LinksUpToDate>
  <CharactersWithSpaces>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2025-04-23T08:20:20Z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881613C7BDB64341844D6B594E0BBFAB_13</vt:lpwstr>
  </property>
  <property fmtid="{D5CDD505-2E9C-101B-9397-08002B2CF9AE}" pid="4" name="KSOTemplateDocerSaveRecord">
    <vt:lpwstr>eyJoZGlkIjoiMTA3ZDY3YzY2ZWQ4ZGM2MWRhY2M5ODkwNGFkZWU0NTciLCJ1c2VySWQiOiIzOTY5MDA3OTEifQ==</vt:lpwstr>
  </property>
</Properties>
</file>