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重庆市南岸区江南小学（四南校区）围墙改建工程</w:t>
      </w: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pPr>
        <w:spacing w:line="700" w:lineRule="exact"/>
        <w:jc w:val="center"/>
        <w:rPr>
          <w:rFonts w:hint="eastAsia" w:ascii="宋体" w:hAnsi="宋体" w:cs="宋体"/>
          <w:color w:val="auto"/>
          <w:sz w:val="40"/>
          <w:szCs w:val="22"/>
          <w:highlight w:val="none"/>
        </w:rPr>
      </w:pPr>
    </w:p>
    <w:p>
      <w:pPr>
        <w:spacing w:line="700" w:lineRule="exact"/>
        <w:rPr>
          <w:rFonts w:hint="eastAsia" w:ascii="宋体" w:hAnsi="宋体" w:cs="宋体"/>
          <w:color w:val="auto"/>
          <w:sz w:val="40"/>
          <w:szCs w:val="22"/>
          <w:highlight w:val="none"/>
        </w:rPr>
      </w:pPr>
    </w:p>
    <w:p>
      <w:pPr>
        <w:spacing w:line="700" w:lineRule="exact"/>
        <w:rPr>
          <w:rFonts w:hint="eastAsia" w:ascii="宋体" w:hAnsi="宋体" w:cs="宋体"/>
          <w:color w:val="auto"/>
          <w:sz w:val="40"/>
          <w:szCs w:val="22"/>
          <w:highlight w:val="none"/>
        </w:rPr>
      </w:pPr>
    </w:p>
    <w:p>
      <w:pPr>
        <w:spacing w:line="500" w:lineRule="exact"/>
        <w:outlineLvl w:val="0"/>
        <w:rPr>
          <w:rFonts w:hint="eastAsia" w:ascii="宋体" w:hAnsi="宋体" w:cs="宋体"/>
          <w:color w:val="auto"/>
          <w:sz w:val="44"/>
          <w:szCs w:val="22"/>
          <w:highlight w:val="none"/>
        </w:rPr>
      </w:pPr>
    </w:p>
    <w:p>
      <w:pPr>
        <w:pStyle w:val="30"/>
        <w:rPr>
          <w:rFonts w:ascii="Times New Roman"/>
          <w:color w:val="auto"/>
          <w:highlight w:val="none"/>
        </w:rPr>
      </w:pPr>
    </w:p>
    <w:p>
      <w:pPr>
        <w:rPr>
          <w:color w:val="auto"/>
          <w:highlight w:val="none"/>
        </w:rPr>
      </w:pPr>
    </w:p>
    <w:p>
      <w:pPr>
        <w:spacing w:line="360" w:lineRule="auto"/>
        <w:ind w:left="2558" w:leftChars="342" w:hanging="1600" w:hangingChars="500"/>
        <w:outlineLvl w:val="0"/>
        <w:rPr>
          <w:rFonts w:hint="eastAsia" w:ascii="宋体" w:hAnsi="宋体" w:cs="宋体"/>
          <w:color w:val="auto"/>
          <w:sz w:val="32"/>
          <w:szCs w:val="32"/>
          <w:highlight w:val="none"/>
        </w:rPr>
      </w:pPr>
    </w:p>
    <w:p>
      <w:pPr>
        <w:spacing w:line="500" w:lineRule="exact"/>
        <w:ind w:firstLine="800" w:firstLineChars="250"/>
        <w:outlineLvl w:val="0"/>
        <w:rPr>
          <w:rFonts w:hint="eastAsia" w:ascii="宋体" w:hAnsi="宋体" w:cs="宋体"/>
          <w:color w:val="auto"/>
          <w:sz w:val="32"/>
          <w:szCs w:val="32"/>
          <w:highlight w:val="none"/>
        </w:rPr>
      </w:pPr>
    </w:p>
    <w:p>
      <w:pPr>
        <w:pStyle w:val="30"/>
        <w:rPr>
          <w:rFonts w:ascii="Times New Roman"/>
          <w:color w:val="auto"/>
          <w:highlight w:val="none"/>
        </w:rPr>
      </w:pPr>
    </w:p>
    <w:p>
      <w:pPr>
        <w:rPr>
          <w:rFonts w:ascii="Times New Roman"/>
          <w:color w:val="auto"/>
          <w:highlight w:val="none"/>
        </w:rPr>
      </w:pPr>
    </w:p>
    <w:p>
      <w:pPr>
        <w:pStyle w:val="21"/>
        <w:rPr>
          <w:color w:val="auto"/>
          <w:highlight w:val="none"/>
        </w:rPr>
      </w:pPr>
    </w:p>
    <w:p>
      <w:pPr>
        <w:rPr>
          <w:color w:val="auto"/>
          <w:highlight w:val="none"/>
        </w:rPr>
      </w:pPr>
    </w:p>
    <w:p>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重庆市南岸区江南小学校</w:t>
      </w:r>
    </w:p>
    <w:p>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p>
    <w:p>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pPr>
        <w:pStyle w:val="2"/>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11641050"/>
      <w:bookmarkStart w:id="1" w:name="_Toc32491"/>
      <w:bookmarkStart w:id="2" w:name="_Toc12789052"/>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7775175"/>
      <w:bookmarkStart w:id="4" w:name="_Toc313893526"/>
    </w:p>
    <w:p>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重庆市南岸区江南小学校</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重庆市南岸区江南小学（四南校区）围墙改建工程</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重庆市南岸区江南小学（四南校区）围墙改建工程</w:t>
            </w:r>
          </w:p>
        </w:tc>
        <w:tc>
          <w:tcPr>
            <w:tcW w:w="1833" w:type="dxa"/>
            <w:vAlign w:val="center"/>
          </w:tcPr>
          <w:p>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40374.26</w:t>
            </w:r>
          </w:p>
        </w:tc>
        <w:tc>
          <w:tcPr>
            <w:tcW w:w="2055" w:type="dxa"/>
            <w:vAlign w:val="center"/>
          </w:tcPr>
          <w:p>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pPr>
              <w:snapToGrid w:val="0"/>
              <w:spacing w:line="440" w:lineRule="exact"/>
              <w:jc w:val="center"/>
              <w:outlineLvl w:val="0"/>
              <w:rPr>
                <w:rFonts w:hint="eastAsia" w:ascii="宋体" w:hAnsi="宋体" w:cs="宋体"/>
                <w:b/>
                <w:color w:val="auto"/>
                <w:sz w:val="24"/>
                <w:szCs w:val="24"/>
                <w:highlight w:val="none"/>
              </w:rPr>
            </w:pPr>
          </w:p>
        </w:tc>
      </w:tr>
    </w:tbl>
    <w:p>
      <w:pPr>
        <w:pStyle w:val="3"/>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w:t>
      </w:r>
      <w:r>
        <w:rPr>
          <w:rFonts w:hint="eastAsia" w:ascii="宋体" w:hAnsi="宋体" w:cs="宋体"/>
          <w:color w:val="auto"/>
          <w:sz w:val="24"/>
          <w:szCs w:val="24"/>
          <w:highlight w:val="none"/>
          <w:lang w:eastAsia="zh-CN"/>
        </w:rPr>
        <w:t>中央及市级校舍维修资金和学校自筹资金</w:t>
      </w:r>
      <w:r>
        <w:rPr>
          <w:rFonts w:hint="eastAsia" w:ascii="宋体" w:hAnsi="宋体" w:eastAsia="宋体" w:cs="宋体"/>
          <w:color w:val="auto"/>
          <w:sz w:val="24"/>
          <w:szCs w:val="24"/>
          <w:highlight w:val="none"/>
        </w:rPr>
        <w:t>，采购预算金额为</w:t>
      </w:r>
      <w:r>
        <w:rPr>
          <w:rFonts w:hint="eastAsia" w:ascii="宋体" w:hAnsi="宋体" w:eastAsia="宋体" w:cs="宋体"/>
          <w:bCs/>
          <w:color w:val="auto"/>
          <w:sz w:val="24"/>
          <w:szCs w:val="24"/>
          <w:highlight w:val="none"/>
          <w:lang w:eastAsia="zh-CN"/>
        </w:rPr>
        <w:t>40374.26</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pPr>
        <w:pStyle w:val="3"/>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建筑工程施工总承包叁级及以上资质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pStyle w:val="3"/>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13746"/>
      <w:bookmarkStart w:id="15" w:name="_Toc27572"/>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供应商在2025年7月8日17：00前将加盖供应商公章的《采购文件发售登记表》扫描件发送至786017407@qq.com（邮箱），其报名才被接收</w:t>
      </w:r>
      <w:r>
        <w:rPr>
          <w:rFonts w:hint="eastAsia" w:ascii="宋体" w:hAnsi="宋体" w:eastAsia="宋体" w:cs="宋体"/>
          <w:color w:val="auto"/>
          <w:sz w:val="24"/>
          <w:szCs w:val="24"/>
          <w:highlight w:val="none"/>
        </w:rPr>
        <w:t>。</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一并递交。</w:t>
      </w:r>
    </w:p>
    <w:bookmarkEnd w:id="14"/>
    <w:bookmarkEnd w:id="15"/>
    <w:bookmarkEnd w:id="18"/>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lang w:val="en-US" w:eastAsia="zh-CN"/>
        </w:rPr>
        <w:t>响应文件</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15</w:t>
      </w:r>
      <w:bookmarkStart w:id="197" w:name="_GoBack"/>
      <w:bookmarkEnd w:id="197"/>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重庆市南岸区江南小学校启智校区四楼小会议室</w:t>
      </w:r>
      <w:r>
        <w:rPr>
          <w:rFonts w:hint="eastAsia" w:ascii="宋体" w:hAnsi="宋体" w:eastAsia="宋体" w:cs="宋体"/>
          <w:color w:val="auto"/>
          <w:sz w:val="24"/>
          <w:szCs w:val="24"/>
          <w:highlight w:val="none"/>
          <w:lang w:val="en-US" w:eastAsia="zh-CN"/>
        </w:rPr>
        <w:t>。</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pPr>
        <w:pStyle w:val="3"/>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pPr>
        <w:pStyle w:val="3"/>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24944"/>
      <w:bookmarkStart w:id="22" w:name="_Toc32633"/>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重庆市南岸区江南小学校</w:t>
      </w:r>
    </w:p>
    <w:p>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雷老师</w:t>
      </w:r>
    </w:p>
    <w:p>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023-62776131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7048"/>
      <w:bookmarkStart w:id="25" w:name="_Toc22583"/>
      <w:r>
        <w:rPr>
          <w:rFonts w:hint="eastAsia" w:ascii="宋体" w:hAnsi="宋体" w:cs="宋体"/>
          <w:color w:val="auto"/>
          <w:sz w:val="24"/>
          <w:szCs w:val="24"/>
          <w:highlight w:val="none"/>
          <w:lang w:eastAsia="zh-CN"/>
        </w:rPr>
        <w:t>重庆市南岸区回龙路62号</w:t>
      </w:r>
    </w:p>
    <w:p>
      <w:pPr>
        <w:snapToGrid w:val="0"/>
        <w:spacing w:line="440" w:lineRule="exact"/>
        <w:ind w:firstLine="480" w:firstLineChars="200"/>
        <w:outlineLvl w:val="1"/>
        <w:rPr>
          <w:rFonts w:hint="eastAsia" w:ascii="宋体" w:hAnsi="宋体" w:cs="宋体"/>
          <w:color w:val="auto"/>
          <w:sz w:val="24"/>
          <w:szCs w:val="24"/>
          <w:highlight w:val="none"/>
        </w:rPr>
      </w:pPr>
    </w:p>
    <w:p>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pPr>
        <w:pStyle w:val="2"/>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pPr>
        <w:pStyle w:val="2"/>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26338"/>
      <w:bookmarkStart w:id="28" w:name="_Toc24430"/>
      <w:bookmarkStart w:id="29" w:name="_Toc12519"/>
      <w:bookmarkStart w:id="30" w:name="_Toc16585"/>
      <w:bookmarkStart w:id="31" w:name="_Toc832"/>
      <w:bookmarkStart w:id="32" w:name="_Toc1794"/>
      <w:bookmarkStart w:id="33" w:name="_Toc11641055"/>
      <w:bookmarkStart w:id="34" w:name="_Toc12789059"/>
      <w:r>
        <w:rPr>
          <w:rFonts w:hint="eastAsia" w:cs="宋体" w:asciiTheme="minorEastAsia" w:hAnsiTheme="minorEastAsia" w:eastAsiaTheme="minorEastAsia"/>
          <w:color w:val="auto"/>
          <w:sz w:val="24"/>
          <w:szCs w:val="16"/>
          <w:highlight w:val="none"/>
        </w:rPr>
        <w:t>一、项目概况</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eastAsiaTheme="minorEastAsia"/>
          <w:color w:val="auto"/>
          <w:sz w:val="24"/>
          <w:szCs w:val="24"/>
          <w:highlight w:val="none"/>
          <w:lang w:eastAsia="zh-CN"/>
        </w:rPr>
        <w:t>重庆市南岸区回龙路62号</w:t>
      </w:r>
      <w:r>
        <w:rPr>
          <w:rFonts w:hint="eastAsia" w:cs="宋体" w:asciiTheme="minorEastAsia" w:hAnsiTheme="minorEastAsia" w:eastAsiaTheme="minorEastAsia"/>
          <w:color w:val="auto"/>
          <w:sz w:val="24"/>
          <w:szCs w:val="24"/>
          <w:highlight w:val="none"/>
        </w:rPr>
        <w:t>。</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2.建设内容：</w:t>
      </w:r>
      <w:r>
        <w:rPr>
          <w:rFonts w:hint="eastAsia" w:cs="宋体" w:asciiTheme="minorEastAsia" w:hAnsiTheme="minorEastAsia" w:eastAsiaTheme="minorEastAsia"/>
          <w:color w:val="auto"/>
          <w:sz w:val="24"/>
          <w:szCs w:val="24"/>
          <w:highlight w:val="none"/>
          <w:lang w:val="en-US" w:eastAsia="zh-CN"/>
        </w:rPr>
        <w:t>该项目改建面积约10㎡，主要建设内容包含原有设施拆除、局部墙体改造、防水处理、墙体新建、树木移栽等。</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项目服务需求</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40</w:t>
      </w:r>
      <w:r>
        <w:rPr>
          <w:rFonts w:hint="eastAsia" w:cs="宋体" w:asciiTheme="minorEastAsia" w:hAnsiTheme="minorEastAsia" w:eastAsiaTheme="minorEastAsia"/>
          <w:color w:val="auto"/>
          <w:sz w:val="24"/>
          <w:szCs w:val="24"/>
          <w:highlight w:val="none"/>
        </w:rPr>
        <w:t>日历天。</w:t>
      </w:r>
    </w:p>
    <w:p>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建筑工程专业贰级</w:t>
      </w:r>
      <w:r>
        <w:rPr>
          <w:rFonts w:hint="eastAsia" w:cs="宋体" w:asciiTheme="minorEastAsia" w:hAnsiTheme="minorEastAsia" w:eastAsiaTheme="minorEastAsia"/>
          <w:color w:val="auto"/>
          <w:sz w:val="24"/>
          <w:szCs w:val="24"/>
          <w:highlight w:val="none"/>
        </w:rPr>
        <w:t>及以上注册建造师执业资格。</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工程类中级</w:t>
      </w:r>
      <w:r>
        <w:rPr>
          <w:rFonts w:hint="eastAsia" w:cs="宋体" w:asciiTheme="minorEastAsia" w:hAnsiTheme="minorEastAsia" w:eastAsiaTheme="minorEastAsia"/>
          <w:color w:val="auto"/>
          <w:sz w:val="24"/>
          <w:szCs w:val="24"/>
          <w:highlight w:val="none"/>
        </w:rPr>
        <w:t>及以上技术职称。</w:t>
      </w:r>
    </w:p>
    <w:p>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pPr>
        <w:snapToGrid w:val="0"/>
        <w:spacing w:line="440" w:lineRule="exact"/>
        <w:jc w:val="left"/>
        <w:rPr>
          <w:rFonts w:hint="eastAsia" w:cs="宋体" w:asciiTheme="minorEastAsia" w:hAnsiTheme="minorEastAsia" w:eastAsiaTheme="minorEastAsia"/>
          <w:b/>
          <w:bCs/>
          <w:color w:val="auto"/>
          <w:sz w:val="24"/>
          <w:szCs w:val="24"/>
          <w:highlight w:val="none"/>
        </w:rPr>
      </w:pPr>
      <w:bookmarkStart w:id="35" w:name="_Toc2705"/>
      <w:r>
        <w:rPr>
          <w:rFonts w:hint="eastAsia" w:cs="宋体" w:asciiTheme="minorEastAsia" w:hAnsiTheme="minorEastAsia" w:eastAsiaTheme="minorEastAsia"/>
          <w:b/>
          <w:bCs/>
          <w:color w:val="auto"/>
          <w:sz w:val="24"/>
          <w:szCs w:val="24"/>
          <w:highlight w:val="none"/>
        </w:rPr>
        <w:t>四、安全生产</w:t>
      </w:r>
      <w:bookmarkEnd w:id="35"/>
    </w:p>
    <w:p>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pPr>
        <w:pStyle w:val="2"/>
        <w:rPr>
          <w:color w:val="auto"/>
          <w:highlight w:val="none"/>
        </w:rPr>
      </w:pPr>
    </w:p>
    <w:p>
      <w:pPr>
        <w:rPr>
          <w:color w:val="auto"/>
          <w:highlight w:val="none"/>
        </w:rPr>
      </w:pPr>
      <w:r>
        <w:rPr>
          <w:rFonts w:hint="eastAsia"/>
          <w:color w:val="auto"/>
          <w:highlight w:val="none"/>
        </w:rPr>
        <w:br w:type="page"/>
      </w:r>
    </w:p>
    <w:p>
      <w:pPr>
        <w:pStyle w:val="2"/>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pPr>
        <w:snapToGrid w:val="0"/>
        <w:spacing w:line="440" w:lineRule="exact"/>
        <w:rPr>
          <w:rFonts w:hint="eastAsia" w:ascii="宋体" w:hAnsi="宋体" w:cs="宋体"/>
          <w:b/>
          <w:bCs/>
          <w:color w:val="auto"/>
          <w:kern w:val="0"/>
          <w:sz w:val="24"/>
          <w:szCs w:val="24"/>
          <w:highlight w:val="none"/>
        </w:rPr>
      </w:pPr>
      <w:bookmarkStart w:id="37" w:name="_Toc4837"/>
      <w:bookmarkStart w:id="38" w:name="_Toc31319"/>
      <w:bookmarkStart w:id="39" w:name="_Toc179714298"/>
      <w:bookmarkStart w:id="40" w:name="_Toc342913393"/>
      <w:bookmarkStart w:id="41" w:name="_Toc8808"/>
      <w:bookmarkStart w:id="42" w:name="_Toc525658704"/>
      <w:bookmarkStart w:id="43" w:name="_Toc102227319"/>
      <w:bookmarkStart w:id="44" w:name="_Toc24569665"/>
      <w:bookmarkStart w:id="45" w:name="_Toc267320051"/>
      <w:bookmarkStart w:id="46" w:name="_Toc516231412"/>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40</w:t>
      </w:r>
      <w:r>
        <w:rPr>
          <w:rFonts w:hint="eastAsia" w:ascii="宋体" w:hAnsi="宋体" w:cs="宋体"/>
          <w:color w:val="auto"/>
          <w:kern w:val="0"/>
          <w:sz w:val="24"/>
          <w:szCs w:val="24"/>
          <w:highlight w:val="none"/>
        </w:rPr>
        <w:t>日历天内完成所有施工内容并验收合格。</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重庆市南岸区回龙路62号</w:t>
      </w:r>
      <w:r>
        <w:rPr>
          <w:rFonts w:hint="eastAsia" w:ascii="宋体" w:hAnsi="宋体" w:eastAsia="宋体" w:cs="宋体"/>
          <w:color w:val="auto"/>
          <w:kern w:val="0"/>
          <w:sz w:val="24"/>
          <w:szCs w:val="24"/>
          <w:highlight w:val="none"/>
        </w:rPr>
        <w:t>。</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pPr>
        <w:pStyle w:val="3"/>
        <w:snapToGrid w:val="0"/>
        <w:spacing w:before="0" w:after="0" w:line="440" w:lineRule="exact"/>
        <w:rPr>
          <w:rFonts w:hint="eastAsia" w:ascii="宋体" w:hAnsi="宋体" w:cs="宋体"/>
          <w:color w:val="auto"/>
          <w:sz w:val="24"/>
          <w:szCs w:val="24"/>
          <w:highlight w:val="none"/>
        </w:rPr>
      </w:pPr>
      <w:bookmarkStart w:id="49" w:name="_Toc8488"/>
      <w:bookmarkStart w:id="50" w:name="_Toc15594"/>
      <w:bookmarkStart w:id="51" w:name="_Toc29345"/>
      <w:r>
        <w:rPr>
          <w:rFonts w:hint="eastAsia" w:ascii="宋体" w:hAnsi="宋体" w:cs="宋体"/>
          <w:color w:val="auto"/>
          <w:sz w:val="24"/>
          <w:szCs w:val="24"/>
          <w:highlight w:val="none"/>
        </w:rPr>
        <w:t>二、计价方式和报价要求</w:t>
      </w:r>
      <w:bookmarkEnd w:id="49"/>
      <w:bookmarkEnd w:id="50"/>
      <w:bookmarkEnd w:id="51"/>
    </w:p>
    <w:p>
      <w:pPr>
        <w:snapToGrid w:val="0"/>
        <w:spacing w:line="440" w:lineRule="exact"/>
        <w:ind w:firstLine="480" w:firstLineChars="200"/>
        <w:rPr>
          <w:rFonts w:hint="eastAsia" w:ascii="宋体" w:hAnsi="宋体" w:cs="宋体"/>
          <w:color w:val="auto"/>
          <w:kern w:val="0"/>
          <w:sz w:val="24"/>
          <w:szCs w:val="24"/>
          <w:highlight w:val="none"/>
        </w:rPr>
      </w:pPr>
      <w:bookmarkStart w:id="52" w:name="_Toc20397"/>
      <w:bookmarkStart w:id="53" w:name="_Toc30477"/>
      <w:bookmarkStart w:id="54" w:name="_Toc403569791"/>
      <w:bookmarkStart w:id="55" w:name="_Toc24569666"/>
      <w:bookmarkStart w:id="56" w:name="_Toc8523"/>
      <w:bookmarkStart w:id="57" w:name="_Toc344475121"/>
      <w:bookmarkStart w:id="58" w:name="_Toc31674"/>
      <w:r>
        <w:rPr>
          <w:rFonts w:hint="eastAsia" w:ascii="宋体" w:hAnsi="宋体" w:cs="宋体"/>
          <w:color w:val="auto"/>
          <w:kern w:val="0"/>
          <w:sz w:val="24"/>
          <w:szCs w:val="24"/>
          <w:highlight w:val="none"/>
        </w:rPr>
        <w:t>（一）计价方式：本项目实行工程量清单计价。</w:t>
      </w:r>
    </w:p>
    <w:p>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pPr>
        <w:snapToGrid w:val="0"/>
        <w:spacing w:line="440" w:lineRule="exact"/>
        <w:ind w:firstLine="480" w:firstLineChars="200"/>
        <w:rPr>
          <w:rFonts w:hint="default" w:eastAsia="仿宋_GB2312"/>
          <w:highlight w:val="none"/>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lang w:val="en-US" w:eastAsia="zh-CN"/>
        </w:rPr>
        <w:t>40374.26</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肆万零叁佰柒拾肆元贰角陆分</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1363.12</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提供履约担保的形式、金额及期限：</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6007"/>
      <w:bookmarkStart w:id="63" w:name="_Toc22835"/>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pPr>
        <w:snapToGrid w:val="0"/>
        <w:spacing w:line="440" w:lineRule="exact"/>
        <w:ind w:firstLine="480" w:firstLineChars="200"/>
        <w:jc w:val="left"/>
        <w:rPr>
          <w:rFonts w:hint="eastAsia" w:ascii="宋体" w:hAnsi="宋体" w:cs="宋体"/>
          <w:color w:val="auto"/>
          <w:sz w:val="24"/>
          <w:szCs w:val="24"/>
          <w:highlight w:val="none"/>
        </w:rPr>
      </w:pPr>
      <w:bookmarkStart w:id="65" w:name="_Toc10176"/>
      <w:bookmarkStart w:id="66" w:name="_Toc28250"/>
      <w:bookmarkStart w:id="67" w:name="_Toc24569667"/>
      <w:bookmarkStart w:id="68" w:name="_Toc19901"/>
      <w:r>
        <w:rPr>
          <w:rFonts w:hint="eastAsia" w:ascii="宋体" w:hAnsi="宋体" w:cs="宋体"/>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val="en-US" w:eastAsia="zh-CN"/>
        </w:rPr>
        <w:t>缺陷责任期：2年。</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bookmarkStart w:id="69" w:name="_Toc267320052"/>
      <w:bookmarkStart w:id="70" w:name="_Toc31427"/>
      <w:bookmarkStart w:id="71" w:name="_Toc520204758"/>
      <w:bookmarkStart w:id="72" w:name="_Toc24569668"/>
      <w:bookmarkStart w:id="73" w:name="_Toc12794"/>
      <w:bookmarkStart w:id="74" w:name="_Toc12582"/>
      <w:bookmarkStart w:id="75" w:name="_Toc4293"/>
      <w:bookmarkStart w:id="76" w:name="_Toc13040"/>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pPr>
        <w:pStyle w:val="3"/>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pPr>
        <w:pStyle w:val="3"/>
        <w:snapToGrid w:val="0"/>
        <w:spacing w:before="0" w:after="0" w:line="440" w:lineRule="exact"/>
        <w:rPr>
          <w:rFonts w:hint="eastAsia" w:ascii="宋体" w:hAnsi="宋体" w:cs="宋体"/>
          <w:color w:val="auto"/>
          <w:sz w:val="24"/>
          <w:szCs w:val="24"/>
          <w:highlight w:val="none"/>
        </w:rPr>
      </w:pPr>
      <w:bookmarkStart w:id="77" w:name="_Toc24896"/>
      <w:bookmarkStart w:id="78" w:name="_Toc23606"/>
      <w:bookmarkStart w:id="79" w:name="_Toc22916"/>
      <w:bookmarkStart w:id="80" w:name="_Toc403569795"/>
      <w:bookmarkStart w:id="81" w:name="_Toc729"/>
      <w:bookmarkStart w:id="82" w:name="_Toc24569670"/>
      <w:r>
        <w:rPr>
          <w:rFonts w:hint="eastAsia" w:ascii="宋体" w:hAnsi="宋体" w:cs="宋体"/>
          <w:color w:val="auto"/>
          <w:sz w:val="24"/>
          <w:szCs w:val="24"/>
          <w:highlight w:val="none"/>
        </w:rPr>
        <w:t>九、</w:t>
      </w:r>
      <w:bookmarkStart w:id="83" w:name="_Toc29578"/>
      <w:bookmarkStart w:id="84" w:name="_Toc17102"/>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pPr>
        <w:pStyle w:val="3"/>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0405"/>
      <w:bookmarkStart w:id="88" w:name="_Toc19328"/>
      <w:bookmarkStart w:id="89" w:name="_Toc3546"/>
      <w:bookmarkStart w:id="90" w:name="_Toc16151"/>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pPr>
        <w:pStyle w:val="3"/>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pPr>
        <w:pStyle w:val="3"/>
        <w:snapToGrid w:val="0"/>
        <w:spacing w:before="0" w:after="0" w:line="440" w:lineRule="exact"/>
        <w:rPr>
          <w:rFonts w:hint="eastAsia" w:ascii="宋体" w:hAnsi="宋体" w:cs="宋体"/>
          <w:color w:val="auto"/>
          <w:sz w:val="24"/>
          <w:szCs w:val="24"/>
          <w:highlight w:val="none"/>
        </w:rPr>
      </w:pPr>
      <w:bookmarkStart w:id="94" w:name="_Toc21784"/>
      <w:bookmarkStart w:id="95" w:name="_Toc25408"/>
      <w:bookmarkStart w:id="96" w:name="_Toc15269"/>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pPr>
        <w:pStyle w:val="11"/>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pPr>
        <w:pStyle w:val="7"/>
        <w:rPr>
          <w:rFonts w:hint="eastAsia" w:ascii="宋体" w:hAnsi="宋体" w:cs="宋体"/>
          <w:b/>
          <w:bCs/>
          <w:color w:val="auto"/>
          <w:sz w:val="36"/>
          <w:szCs w:val="28"/>
          <w:highlight w:val="none"/>
        </w:rPr>
      </w:pPr>
    </w:p>
    <w:p>
      <w:pPr>
        <w:rPr>
          <w:rFonts w:hint="eastAsia" w:ascii="宋体" w:hAnsi="宋体" w:cs="宋体"/>
          <w:b/>
          <w:bCs/>
          <w:color w:val="auto"/>
          <w:sz w:val="36"/>
          <w:szCs w:val="28"/>
          <w:highlight w:val="none"/>
        </w:rPr>
      </w:pPr>
    </w:p>
    <w:p>
      <w:pPr>
        <w:rPr>
          <w:rFonts w:hint="eastAsia" w:ascii="宋体" w:hAnsi="宋体" w:cs="宋体"/>
          <w:color w:val="auto"/>
          <w:sz w:val="36"/>
          <w:szCs w:val="36"/>
          <w:highlight w:val="none"/>
        </w:rPr>
      </w:pPr>
      <w:bookmarkStart w:id="97" w:name="_Toc19698"/>
    </w:p>
    <w:p>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pPr>
        <w:pStyle w:val="2"/>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pPr>
        <w:pStyle w:val="3"/>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pPr>
              <w:pStyle w:val="12"/>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sz w:val="24"/>
                <w:szCs w:val="24"/>
                <w:highlight w:val="none"/>
                <w:lang w:val="zh-CN"/>
              </w:rPr>
            </w:pP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bookmarkStart w:id="100" w:name="_Toc1961"/>
            <w:bookmarkStart w:id="101" w:name="_Toc17411"/>
            <w:bookmarkStart w:id="102" w:name="_Toc14187"/>
            <w:r>
              <w:rPr>
                <w:rFonts w:hint="eastAsia" w:ascii="宋体" w:hAnsi="宋体" w:cs="宋体"/>
                <w:color w:val="auto"/>
                <w:sz w:val="24"/>
                <w:szCs w:val="24"/>
                <w:highlight w:val="none"/>
              </w:rPr>
              <w:t>序号</w:t>
            </w:r>
          </w:p>
        </w:tc>
        <w:tc>
          <w:tcPr>
            <w:tcW w:w="1259"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highlight w:val="none"/>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pPr>
              <w:widowControl/>
              <w:wordWrap w:val="0"/>
              <w:spacing w:line="400" w:lineRule="exact"/>
              <w:ind w:firstLine="240" w:firstLineChars="100"/>
              <w:jc w:val="lef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pPr>
              <w:widowControl/>
              <w:wordWrap w:val="0"/>
              <w:jc w:val="center"/>
              <w:rPr>
                <w:color w:val="auto"/>
                <w:sz w:val="24"/>
                <w:szCs w:val="24"/>
                <w:highlight w:val="none"/>
              </w:rPr>
            </w:pPr>
            <w:r>
              <w:rPr>
                <w:rFonts w:hint="eastAsia"/>
                <w:color w:val="auto"/>
                <w:sz w:val="24"/>
                <w:szCs w:val="24"/>
                <w:highlight w:val="none"/>
              </w:rPr>
              <w:t>项目</w:t>
            </w:r>
          </w:p>
          <w:p>
            <w:pPr>
              <w:widowControl/>
              <w:wordWrap w:val="0"/>
              <w:jc w:val="center"/>
              <w:rPr>
                <w:color w:val="auto"/>
                <w:sz w:val="24"/>
                <w:szCs w:val="24"/>
                <w:highlight w:val="none"/>
              </w:rPr>
            </w:pPr>
            <w:r>
              <w:rPr>
                <w:rFonts w:hint="eastAsia"/>
                <w:color w:val="auto"/>
                <w:sz w:val="24"/>
                <w:szCs w:val="24"/>
                <w:highlight w:val="none"/>
              </w:rPr>
              <w:t>理解</w:t>
            </w:r>
          </w:p>
          <w:p>
            <w:pPr>
              <w:widowControl/>
              <w:wordWrap w:val="0"/>
              <w:jc w:val="center"/>
              <w:rPr>
                <w:color w:val="auto"/>
                <w:sz w:val="24"/>
                <w:szCs w:val="24"/>
                <w:highlight w:val="none"/>
              </w:rPr>
            </w:pPr>
            <w:r>
              <w:rPr>
                <w:rFonts w:hint="eastAsia"/>
                <w:color w:val="auto"/>
                <w:sz w:val="24"/>
                <w:szCs w:val="24"/>
                <w:highlight w:val="none"/>
              </w:rPr>
              <w:t>（10分）</w:t>
            </w:r>
          </w:p>
          <w:p>
            <w:pPr>
              <w:widowControl/>
              <w:wordWrap w:val="0"/>
              <w:jc w:val="center"/>
              <w:rPr>
                <w:rFonts w:hint="eastAsia" w:ascii="宋体" w:hAnsi="宋体" w:cs="宋体"/>
                <w:color w:val="auto"/>
                <w:sz w:val="24"/>
                <w:szCs w:val="24"/>
                <w:highlight w:val="none"/>
              </w:rPr>
            </w:pP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1、技术部分原则上不超过50页。</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widowControl/>
              <w:wordWrap w:val="0"/>
              <w:jc w:val="center"/>
              <w:rPr>
                <w:color w:val="auto"/>
                <w:sz w:val="24"/>
                <w:szCs w:val="24"/>
                <w:highlight w:val="none"/>
              </w:rPr>
            </w:pPr>
            <w:r>
              <w:rPr>
                <w:rFonts w:hint="eastAsia"/>
                <w:color w:val="auto"/>
                <w:sz w:val="24"/>
                <w:szCs w:val="24"/>
                <w:highlight w:val="none"/>
              </w:rPr>
              <w:t>施工</w:t>
            </w:r>
          </w:p>
          <w:p>
            <w:pPr>
              <w:widowControl/>
              <w:wordWrap w:val="0"/>
              <w:jc w:val="center"/>
              <w:rPr>
                <w:color w:val="auto"/>
                <w:sz w:val="24"/>
                <w:szCs w:val="24"/>
                <w:highlight w:val="none"/>
              </w:rPr>
            </w:pPr>
            <w:r>
              <w:rPr>
                <w:rFonts w:hint="eastAsia"/>
                <w:color w:val="auto"/>
                <w:sz w:val="24"/>
                <w:szCs w:val="24"/>
                <w:highlight w:val="none"/>
              </w:rPr>
              <w:t>方案</w:t>
            </w:r>
          </w:p>
          <w:p>
            <w:pPr>
              <w:widowControl/>
              <w:wordWrap w:val="0"/>
              <w:jc w:val="center"/>
              <w:rPr>
                <w:color w:val="auto"/>
                <w:sz w:val="24"/>
                <w:szCs w:val="24"/>
                <w:highlight w:val="none"/>
              </w:rPr>
            </w:pPr>
            <w:r>
              <w:rPr>
                <w:rFonts w:hint="eastAsia"/>
                <w:color w:val="auto"/>
                <w:sz w:val="24"/>
                <w:szCs w:val="24"/>
                <w:highlight w:val="none"/>
              </w:rPr>
              <w:t>与</w:t>
            </w:r>
          </w:p>
          <w:p>
            <w:pPr>
              <w:widowControl/>
              <w:wordWrap w:val="0"/>
              <w:jc w:val="center"/>
              <w:rPr>
                <w:color w:val="auto"/>
                <w:sz w:val="24"/>
                <w:szCs w:val="24"/>
                <w:highlight w:val="none"/>
              </w:rPr>
            </w:pPr>
            <w:r>
              <w:rPr>
                <w:rFonts w:hint="eastAsia"/>
                <w:color w:val="auto"/>
                <w:sz w:val="24"/>
                <w:szCs w:val="24"/>
                <w:highlight w:val="none"/>
              </w:rPr>
              <w:t>技术</w:t>
            </w:r>
          </w:p>
          <w:p>
            <w:pPr>
              <w:widowControl/>
              <w:wordWrap w:val="0"/>
              <w:jc w:val="center"/>
              <w:rPr>
                <w:color w:val="auto"/>
                <w:sz w:val="24"/>
                <w:szCs w:val="24"/>
                <w:highlight w:val="none"/>
              </w:rPr>
            </w:pPr>
            <w:r>
              <w:rPr>
                <w:rFonts w:hint="eastAsia"/>
                <w:color w:val="auto"/>
                <w:sz w:val="24"/>
                <w:szCs w:val="24"/>
                <w:highlight w:val="none"/>
              </w:rPr>
              <w:t>措施</w:t>
            </w:r>
          </w:p>
          <w:p>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pPr>
        <w:pStyle w:val="3"/>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pPr>
        <w:pStyle w:val="3"/>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pPr>
        <w:tabs>
          <w:tab w:val="left" w:pos="703"/>
        </w:tabs>
        <w:spacing w:line="360" w:lineRule="auto"/>
        <w:ind w:firstLine="480" w:firstLineChars="200"/>
        <w:rPr>
          <w:rFonts w:hint="eastAsia" w:ascii="宋体" w:hAnsi="宋体" w:cs="宋体"/>
          <w:color w:val="auto"/>
          <w:sz w:val="24"/>
          <w:szCs w:val="24"/>
          <w:highlight w:val="none"/>
        </w:rPr>
      </w:pPr>
      <w:bookmarkStart w:id="105" w:name="_Toc22128"/>
      <w:bookmarkStart w:id="106" w:name="_Toc9808"/>
      <w:bookmarkStart w:id="107" w:name="_Toc4550"/>
      <w:bookmarkStart w:id="108" w:name="_Toc27033"/>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pPr>
        <w:pStyle w:val="3"/>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pPr>
        <w:pStyle w:val="3"/>
        <w:snapToGrid w:val="0"/>
        <w:spacing w:before="0" w:after="0" w:line="360" w:lineRule="auto"/>
        <w:rPr>
          <w:rFonts w:hint="eastAsia" w:ascii="宋体" w:hAnsi="宋体" w:cs="宋体"/>
          <w:color w:val="auto"/>
          <w:sz w:val="24"/>
          <w:szCs w:val="24"/>
          <w:highlight w:val="none"/>
        </w:rPr>
      </w:pPr>
      <w:bookmarkStart w:id="112" w:name="_Toc15608"/>
      <w:bookmarkStart w:id="113" w:name="_Toc952"/>
      <w:bookmarkStart w:id="114" w:name="_Toc53751346"/>
      <w:bookmarkStart w:id="115" w:name="_Toc342913389"/>
      <w:bookmarkStart w:id="116" w:name="_Toc507411003"/>
      <w:bookmarkStart w:id="117" w:name="_Toc80104359"/>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pPr>
        <w:pStyle w:val="3"/>
        <w:snapToGrid w:val="0"/>
        <w:spacing w:before="0" w:after="0" w:line="360" w:lineRule="auto"/>
        <w:rPr>
          <w:rFonts w:hint="eastAsia" w:ascii="宋体" w:hAnsi="宋体" w:eastAsia="宋体" w:cs="宋体"/>
          <w:color w:val="auto"/>
          <w:sz w:val="24"/>
          <w:szCs w:val="24"/>
          <w:highlight w:val="none"/>
          <w:lang w:eastAsia="zh-CN"/>
        </w:rPr>
      </w:pPr>
      <w:bookmarkStart w:id="118" w:name="_Toc342913391"/>
      <w:bookmarkStart w:id="119" w:name="_Toc13521"/>
      <w:bookmarkStart w:id="120" w:name="_Toc4017"/>
      <w:bookmarkStart w:id="121" w:name="_Toc53751347"/>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pPr>
        <w:spacing w:line="360" w:lineRule="auto"/>
        <w:ind w:firstLine="480" w:firstLineChars="200"/>
        <w:rPr>
          <w:rFonts w:hint="eastAsia" w:ascii="宋体" w:hAnsi="宋体" w:eastAsia="宋体" w:cs="宋体"/>
          <w:color w:val="auto"/>
          <w:sz w:val="24"/>
          <w:szCs w:val="24"/>
          <w:highlight w:val="none"/>
        </w:rPr>
      </w:pPr>
      <w:bookmarkStart w:id="122" w:name="_Toc318159160"/>
      <w:bookmarkStart w:id="123" w:name="_Toc318159349"/>
      <w:bookmarkStart w:id="124" w:name="_Toc318166429"/>
      <w:bookmarkStart w:id="125" w:name="_Toc318159780"/>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pPr>
        <w:pStyle w:val="3"/>
        <w:snapToGrid w:val="0"/>
        <w:spacing w:before="0" w:after="0" w:line="360" w:lineRule="auto"/>
        <w:rPr>
          <w:rFonts w:hint="eastAsia" w:ascii="宋体" w:hAnsi="宋体" w:cs="宋体"/>
          <w:color w:val="auto"/>
          <w:sz w:val="24"/>
          <w:szCs w:val="24"/>
          <w:highlight w:val="none"/>
        </w:rPr>
      </w:pPr>
      <w:bookmarkStart w:id="126" w:name="_Toc342913392"/>
      <w:bookmarkStart w:id="127" w:name="_Toc27179"/>
      <w:bookmarkStart w:id="128" w:name="_Toc15467"/>
      <w:bookmarkStart w:id="129" w:name="_Toc53751348"/>
      <w:bookmarkStart w:id="130" w:name="_Toc102227318"/>
      <w:bookmarkStart w:id="131" w:name="_Toc179714297"/>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pPr>
        <w:pStyle w:val="3"/>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pPr>
        <w:spacing w:line="360" w:lineRule="auto"/>
        <w:ind w:firstLine="480" w:firstLineChars="200"/>
        <w:rPr>
          <w:rFonts w:hint="eastAsia" w:ascii="宋体" w:hAnsi="宋体" w:cs="宋体"/>
          <w:color w:val="auto"/>
          <w:sz w:val="24"/>
          <w:szCs w:val="24"/>
          <w:highlight w:val="none"/>
        </w:rPr>
      </w:pPr>
      <w:bookmarkStart w:id="135" w:name="_Toc342913395"/>
      <w:bookmarkStart w:id="136" w:name="_Toc102227321"/>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pPr>
        <w:pStyle w:val="3"/>
        <w:snapToGrid w:val="0"/>
        <w:spacing w:before="0" w:after="0" w:line="360" w:lineRule="auto"/>
        <w:rPr>
          <w:rFonts w:hint="eastAsia" w:ascii="宋体" w:hAnsi="宋体" w:cs="宋体"/>
          <w:color w:val="auto"/>
          <w:sz w:val="24"/>
          <w:szCs w:val="24"/>
          <w:highlight w:val="none"/>
        </w:rPr>
      </w:pPr>
      <w:bookmarkStart w:id="137" w:name="_Toc53751350"/>
      <w:bookmarkStart w:id="138" w:name="_Toc14208"/>
      <w:bookmarkStart w:id="139" w:name="_Toc15298"/>
      <w:r>
        <w:rPr>
          <w:rFonts w:hint="eastAsia" w:ascii="宋体" w:hAnsi="宋体" w:cs="宋体"/>
          <w:color w:val="auto"/>
          <w:sz w:val="24"/>
          <w:szCs w:val="24"/>
          <w:highlight w:val="none"/>
        </w:rPr>
        <w:t>五、成交通知</w:t>
      </w:r>
      <w:bookmarkEnd w:id="135"/>
      <w:bookmarkEnd w:id="136"/>
      <w:bookmarkEnd w:id="137"/>
      <w:bookmarkEnd w:id="138"/>
      <w:bookmarkEnd w:id="139"/>
    </w:p>
    <w:p>
      <w:pPr>
        <w:spacing w:line="360" w:lineRule="auto"/>
        <w:ind w:firstLine="480" w:firstLineChars="200"/>
        <w:rPr>
          <w:rFonts w:hint="eastAsia" w:ascii="宋体" w:hAnsi="宋体" w:eastAsia="宋体" w:cs="宋体"/>
          <w:color w:val="auto"/>
          <w:sz w:val="24"/>
          <w:highlight w:val="none"/>
        </w:rPr>
      </w:pPr>
      <w:bookmarkStart w:id="140" w:name="_Toc53751351"/>
      <w:bookmarkStart w:id="141" w:name="_Toc638"/>
      <w:r>
        <w:rPr>
          <w:rFonts w:hint="eastAsia" w:ascii="宋体" w:hAnsi="宋体" w:eastAsia="宋体" w:cs="宋体"/>
          <w:color w:val="auto"/>
          <w:sz w:val="24"/>
          <w:highlight w:val="none"/>
        </w:rPr>
        <w:t>（一）定标原则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pPr>
        <w:pStyle w:val="3"/>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pPr>
        <w:pStyle w:val="3"/>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pPr>
        <w:pStyle w:val="3"/>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6265"/>
      <w:bookmarkStart w:id="145" w:name="_Toc21783697"/>
      <w:r>
        <w:rPr>
          <w:rFonts w:hint="eastAsia" w:ascii="宋体" w:hAnsi="宋体" w:eastAsia="宋体" w:cs="宋体"/>
          <w:b w:val="0"/>
          <w:color w:val="auto"/>
          <w:kern w:val="2"/>
          <w:sz w:val="24"/>
          <w:szCs w:val="24"/>
          <w:highlight w:val="none"/>
          <w:lang w:val="en-US" w:eastAsia="zh-CN" w:bidi="ar-SA"/>
        </w:rPr>
        <w:t>本项目代理服务费按</w:t>
      </w:r>
      <w:r>
        <w:rPr>
          <w:rFonts w:hint="eastAsia" w:ascii="宋体" w:hAnsi="宋体" w:cs="宋体"/>
          <w:b w:val="0"/>
          <w:color w:val="auto"/>
          <w:kern w:val="2"/>
          <w:sz w:val="24"/>
          <w:szCs w:val="24"/>
          <w:highlight w:val="none"/>
          <w:lang w:val="en-US" w:eastAsia="zh-CN" w:bidi="ar-SA"/>
        </w:rPr>
        <w:t>包干价</w:t>
      </w:r>
      <w:r>
        <w:rPr>
          <w:rFonts w:hint="eastAsia" w:ascii="宋体" w:hAnsi="宋体" w:eastAsia="宋体" w:cs="宋体"/>
          <w:b w:val="0"/>
          <w:color w:val="auto"/>
          <w:kern w:val="2"/>
          <w:sz w:val="24"/>
          <w:szCs w:val="24"/>
          <w:highlight w:val="none"/>
          <w:lang w:val="en-US" w:eastAsia="zh-CN" w:bidi="ar-SA"/>
        </w:rPr>
        <w:t>3000元支付。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pPr>
        <w:pStyle w:val="3"/>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509390696"/>
      <w:bookmarkStart w:id="150" w:name="_Toc32387"/>
      <w:bookmarkStart w:id="151" w:name="_Toc424558728"/>
      <w:bookmarkStart w:id="152" w:name="_Toc467164258"/>
      <w:bookmarkStart w:id="153" w:name="_Toc335223531"/>
      <w:bookmarkStart w:id="154" w:name="_Toc152045768"/>
      <w:bookmarkStart w:id="155" w:name="_Toc467164257"/>
      <w:bookmarkStart w:id="156" w:name="_Toc152042547"/>
      <w:bookmarkStart w:id="157" w:name="_Toc240180916"/>
      <w:bookmarkStart w:id="158" w:name="_Toc509390697"/>
      <w:bookmarkStart w:id="159" w:name="_Toc144974827"/>
      <w:bookmarkStart w:id="160" w:name="_Toc424558368"/>
      <w:bookmarkStart w:id="161" w:name="_Toc335223532"/>
      <w:bookmarkStart w:id="162" w:name="_Toc351203494"/>
      <w:bookmarkStart w:id="163" w:name="_Toc424558369"/>
      <w:bookmarkStart w:id="164" w:name="_Toc57820637"/>
      <w:bookmarkStart w:id="165" w:name="_Toc534185765"/>
      <w:bookmarkStart w:id="166" w:name="_Toc424558729"/>
      <w:bookmarkStart w:id="167" w:name="_Toc240180917"/>
      <w:bookmarkStart w:id="168" w:name="_Toc509218786"/>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重庆市南岸区江南小学（四南校区）围墙改建工程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重庆市南岸区江南小学（四南校区）围墙改建工程</w:t>
      </w:r>
      <w:r>
        <w:rPr>
          <w:rFonts w:hint="eastAsia" w:cs="宋体" w:asciiTheme="minorEastAsia" w:hAnsiTheme="minorEastAsia" w:eastAsiaTheme="minorEastAsia"/>
          <w:color w:val="auto"/>
          <w:sz w:val="24"/>
          <w:szCs w:val="24"/>
          <w:highlight w:val="none"/>
        </w:rPr>
        <w:t xml:space="preserve">  </w:t>
      </w:r>
    </w:p>
    <w:p>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重庆市南岸区回龙路62号</w:t>
      </w:r>
    </w:p>
    <w:p>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lang w:eastAsia="zh-CN"/>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lang w:eastAsia="zh-CN"/>
        </w:rPr>
        <w:t>中央及市级校舍维修资金和学校自筹资金</w:t>
      </w:r>
    </w:p>
    <w:p>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lang w:eastAsia="zh-CN"/>
        </w:rPr>
        <w:t>该项目改建面积约10㎡，主要建设内容包含原有设施拆除、局部墙体改造、防水处理、墙体新建、树木移栽等。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351203482"/>
      <w:bookmarkStart w:id="170" w:name="_Toc532377167"/>
      <w:bookmarkStart w:id="171" w:name="_Toc532375574"/>
      <w:r>
        <w:rPr>
          <w:rFonts w:hint="eastAsia" w:asciiTheme="minorEastAsia" w:hAnsiTheme="minorEastAsia" w:eastAsiaTheme="minorEastAsia"/>
          <w:color w:val="auto"/>
          <w:kern w:val="2"/>
          <w:szCs w:val="24"/>
          <w:highlight w:val="none"/>
        </w:rPr>
        <w:t>二、合同工期</w:t>
      </w:r>
      <w:bookmarkEnd w:id="169"/>
      <w:bookmarkEnd w:id="170"/>
      <w:bookmarkEnd w:id="171"/>
    </w:p>
    <w:p>
      <w:pPr>
        <w:pStyle w:val="4"/>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351203483"/>
      <w:bookmarkStart w:id="173" w:name="_Toc532375575"/>
      <w:bookmarkStart w:id="174" w:name="_Toc532377168"/>
      <w:r>
        <w:rPr>
          <w:rFonts w:hint="eastAsia" w:asciiTheme="minorEastAsia" w:hAnsiTheme="minorEastAsia" w:eastAsiaTheme="minorEastAsia"/>
          <w:color w:val="auto"/>
          <w:kern w:val="2"/>
          <w:szCs w:val="24"/>
          <w:highlight w:val="none"/>
        </w:rPr>
        <w:t>三、质量标准</w:t>
      </w:r>
      <w:bookmarkEnd w:id="172"/>
      <w:bookmarkEnd w:id="173"/>
      <w:bookmarkEnd w:id="174"/>
    </w:p>
    <w:p>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7170"/>
      <w:bookmarkStart w:id="177" w:name="_Toc532375577"/>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7"/>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351203484"/>
      <w:bookmarkStart w:id="179" w:name="_Toc532377169"/>
      <w:bookmarkStart w:id="180" w:name="_Toc532375576"/>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pPr>
        <w:pStyle w:val="11"/>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pPr>
        <w:snapToGrid w:val="0"/>
        <w:spacing w:line="440" w:lineRule="exact"/>
        <w:ind w:firstLine="482" w:firstLineChars="200"/>
        <w:jc w:val="left"/>
        <w:rPr>
          <w:rFonts w:hint="eastAsia" w:ascii="宋体" w:hAnsi="宋体" w:cs="宋体"/>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lang w:val="en-US" w:eastAsia="zh-CN"/>
        </w:rPr>
        <w:t>缺陷责任期：2年。</w:t>
      </w:r>
    </w:p>
    <w:p>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pPr>
        <w:spacing w:line="360" w:lineRule="auto"/>
        <w:ind w:firstLine="480" w:firstLineChars="200"/>
        <w:rPr>
          <w:rFonts w:hint="eastAsia" w:cs="宋体" w:asciiTheme="minorEastAsia" w:hAnsiTheme="minorEastAsia" w:eastAsiaTheme="minorEastAsia"/>
          <w:color w:val="auto"/>
          <w:sz w:val="24"/>
          <w:szCs w:val="24"/>
          <w:highlight w:val="none"/>
        </w:rPr>
      </w:pPr>
    </w:p>
    <w:p>
      <w:pPr>
        <w:rPr>
          <w:rFonts w:hint="eastAsia" w:cs="宋体" w:asciiTheme="minorEastAsia" w:hAnsiTheme="minorEastAsia" w:eastAsiaTheme="minorEastAsia"/>
          <w:color w:val="auto"/>
          <w:sz w:val="24"/>
          <w:szCs w:val="24"/>
          <w:highlight w:val="none"/>
        </w:rPr>
      </w:pP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pPr>
        <w:snapToGrid w:val="0"/>
        <w:spacing w:line="360" w:lineRule="auto"/>
        <w:ind w:firstLine="550" w:firstLineChars="250"/>
        <w:rPr>
          <w:rFonts w:hint="eastAsia" w:ascii="宋体" w:hAnsi="宋体" w:cs="宋体"/>
          <w:bCs/>
          <w:color w:val="auto"/>
          <w:sz w:val="22"/>
          <w:szCs w:val="18"/>
          <w:highlight w:val="none"/>
        </w:rPr>
      </w:pPr>
    </w:p>
    <w:p>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pPr>
        <w:pStyle w:val="2"/>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pPr>
        <w:pStyle w:val="3"/>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500" w:lineRule="exact"/>
        <w:ind w:firstLine="480" w:firstLineChars="200"/>
        <w:rPr>
          <w:rFonts w:hint="eastAsia" w:ascii="宋体" w:hAnsi="宋体" w:cs="宋体"/>
          <w:color w:val="auto"/>
          <w:sz w:val="24"/>
          <w:szCs w:val="24"/>
          <w:highlight w:val="none"/>
        </w:rPr>
      </w:pPr>
    </w:p>
    <w:p>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pPr>
        <w:pStyle w:val="3"/>
        <w:spacing w:before="0" w:after="0" w:line="360" w:lineRule="auto"/>
        <w:rPr>
          <w:rFonts w:hint="eastAsia" w:ascii="宋体" w:hAnsi="宋体" w:cs="宋体"/>
          <w:color w:val="auto"/>
          <w:sz w:val="28"/>
          <w:szCs w:val="28"/>
          <w:highlight w:val="none"/>
        </w:rPr>
      </w:pPr>
      <w:bookmarkStart w:id="185" w:name="_Toc313008357"/>
      <w:bookmarkStart w:id="186" w:name="_Toc313888361"/>
      <w:bookmarkStart w:id="187" w:name="_Toc342913420"/>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bl>
    <w:p>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pPr>
        <w:pStyle w:val="3"/>
        <w:spacing w:before="0" w:after="0" w:line="360" w:lineRule="auto"/>
        <w:jc w:val="center"/>
        <w:rPr>
          <w:rFonts w:hint="eastAsia" w:ascii="宋体" w:hAnsi="宋体" w:cs="宋体"/>
          <w:b w:val="0"/>
          <w:color w:val="auto"/>
          <w:sz w:val="24"/>
          <w:szCs w:val="24"/>
          <w:highlight w:val="none"/>
        </w:rPr>
      </w:pPr>
    </w:p>
    <w:p>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pPr>
        <w:pStyle w:val="3"/>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bl>
    <w:p>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008358"/>
      <w:bookmarkStart w:id="192" w:name="_Toc313888362"/>
      <w:bookmarkStart w:id="193" w:name="_Toc342913421"/>
      <w:bookmarkStart w:id="194" w:name="_Toc12335"/>
      <w:bookmarkStart w:id="195" w:name="_Toc80104371"/>
      <w:r>
        <w:rPr>
          <w:rFonts w:hint="eastAsia" w:ascii="宋体" w:hAnsi="宋体" w:cs="宋体"/>
          <w:color w:val="auto"/>
          <w:sz w:val="24"/>
          <w:szCs w:val="24"/>
          <w:highlight w:val="none"/>
        </w:rPr>
        <w:t>商务部分其他资料（格式自拟）</w:t>
      </w:r>
    </w:p>
    <w:p>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pPr>
        <w:pStyle w:val="3"/>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jc w:val="center"/>
        <w:rPr>
          <w:rFonts w:hint="eastAsia" w:ascii="宋体" w:hAnsi="宋体" w:cs="宋体"/>
          <w:color w:val="auto"/>
          <w:sz w:val="24"/>
          <w:szCs w:val="24"/>
          <w:highlight w:val="none"/>
        </w:rPr>
      </w:pPr>
    </w:p>
    <w:p>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cs="宋体"/>
          <w:color w:val="auto"/>
          <w:sz w:val="24"/>
          <w:szCs w:val="24"/>
          <w:highlight w:val="none"/>
        </w:rPr>
      </w:pPr>
    </w:p>
    <w:p>
      <w:pPr>
        <w:pStyle w:val="17"/>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17"/>
        <w:rPr>
          <w:rFonts w:hint="eastAsia" w:ascii="宋体" w:hAnsi="宋体"/>
          <w:color w:val="auto"/>
          <w:highlight w:val="none"/>
        </w:rPr>
      </w:pP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pPr>
        <w:tabs>
          <w:tab w:val="left" w:pos="6300"/>
        </w:tabs>
        <w:snapToGrid w:val="0"/>
        <w:spacing w:line="530" w:lineRule="exact"/>
        <w:rPr>
          <w:rFonts w:hint="eastAsia" w:ascii="宋体" w:hAnsi="宋体" w:cs="宋体"/>
          <w:color w:val="auto"/>
          <w:sz w:val="24"/>
          <w:szCs w:val="24"/>
          <w:highlight w:val="none"/>
        </w:rPr>
      </w:pPr>
    </w:p>
    <w:p>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pPr>
        <w:tabs>
          <w:tab w:val="left" w:pos="6300"/>
        </w:tabs>
        <w:snapToGrid w:val="0"/>
        <w:spacing w:line="530" w:lineRule="exact"/>
        <w:rPr>
          <w:rFonts w:hint="eastAsia" w:ascii="宋体" w:hAnsi="宋体" w:cs="宋体"/>
          <w:color w:val="auto"/>
          <w:sz w:val="24"/>
          <w:szCs w:val="24"/>
          <w:highlight w:val="none"/>
        </w:rPr>
      </w:pPr>
    </w:p>
    <w:p>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pStyle w:val="21"/>
        <w:jc w:val="right"/>
        <w:rPr>
          <w:rFonts w:hint="eastAsia" w:eastAsia="宋体" w:cs="宋体"/>
          <w:color w:val="auto"/>
          <w:szCs w:val="24"/>
          <w:highlight w:val="none"/>
        </w:rPr>
      </w:pPr>
    </w:p>
    <w:p>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pPr>
        <w:pStyle w:val="21"/>
        <w:rPr>
          <w:rFonts w:hint="eastAsia" w:eastAsia="宋体" w:cs="宋体"/>
          <w:color w:val="auto"/>
          <w:sz w:val="32"/>
          <w:szCs w:val="32"/>
          <w:highlight w:val="none"/>
        </w:rPr>
      </w:pPr>
    </w:p>
    <w:p>
      <w:pPr>
        <w:pStyle w:val="21"/>
        <w:rPr>
          <w:rFonts w:hint="eastAsia" w:eastAsia="宋体" w:cs="宋体"/>
          <w:color w:val="auto"/>
          <w:sz w:val="32"/>
          <w:szCs w:val="32"/>
          <w:highlight w:val="none"/>
        </w:rPr>
      </w:pP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pPr>
        <w:pStyle w:val="21"/>
        <w:rPr>
          <w:rFonts w:hint="eastAsia" w:eastAsia="宋体" w:cs="宋体"/>
          <w:color w:val="auto"/>
          <w:sz w:val="32"/>
          <w:szCs w:val="32"/>
          <w:highlight w:val="none"/>
        </w:rPr>
      </w:pPr>
    </w:p>
    <w:p>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pPr>
        <w:pStyle w:val="3"/>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pPr>
        <w:spacing w:line="360" w:lineRule="auto"/>
        <w:ind w:firstLine="720" w:firstLineChars="200"/>
        <w:jc w:val="center"/>
        <w:rPr>
          <w:rFonts w:hint="eastAsia" w:ascii="宋体" w:hAnsi="宋体" w:cs="宋体"/>
          <w:color w:val="auto"/>
          <w:sz w:val="36"/>
          <w:szCs w:val="22"/>
          <w:highlight w:val="none"/>
        </w:rPr>
      </w:pPr>
    </w:p>
    <w:p>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4075C0E"/>
    <w:rsid w:val="04D27139"/>
    <w:rsid w:val="057407DA"/>
    <w:rsid w:val="067B6479"/>
    <w:rsid w:val="0C9341B4"/>
    <w:rsid w:val="0CD05E3A"/>
    <w:rsid w:val="149B3563"/>
    <w:rsid w:val="15E51CAB"/>
    <w:rsid w:val="19115702"/>
    <w:rsid w:val="19335911"/>
    <w:rsid w:val="195B5DE1"/>
    <w:rsid w:val="19B96255"/>
    <w:rsid w:val="1BE373FE"/>
    <w:rsid w:val="1C600287"/>
    <w:rsid w:val="1D1D267C"/>
    <w:rsid w:val="1F666789"/>
    <w:rsid w:val="20083037"/>
    <w:rsid w:val="20654120"/>
    <w:rsid w:val="233D08A4"/>
    <w:rsid w:val="24D871B2"/>
    <w:rsid w:val="2D034490"/>
    <w:rsid w:val="302E75E3"/>
    <w:rsid w:val="37D755B9"/>
    <w:rsid w:val="39101C6E"/>
    <w:rsid w:val="3C67792D"/>
    <w:rsid w:val="3C891294"/>
    <w:rsid w:val="3D2258F6"/>
    <w:rsid w:val="3FAD044A"/>
    <w:rsid w:val="414B4D00"/>
    <w:rsid w:val="433A270B"/>
    <w:rsid w:val="45BB6C22"/>
    <w:rsid w:val="46A85DF4"/>
    <w:rsid w:val="46E22F3A"/>
    <w:rsid w:val="47DF450D"/>
    <w:rsid w:val="482B25AB"/>
    <w:rsid w:val="4B223CB8"/>
    <w:rsid w:val="4C8A370E"/>
    <w:rsid w:val="4DC37044"/>
    <w:rsid w:val="4E0C0303"/>
    <w:rsid w:val="5168196D"/>
    <w:rsid w:val="54D961C1"/>
    <w:rsid w:val="5603579C"/>
    <w:rsid w:val="57135925"/>
    <w:rsid w:val="580B5AB7"/>
    <w:rsid w:val="596F1435"/>
    <w:rsid w:val="5B8E3F8F"/>
    <w:rsid w:val="5E7D0892"/>
    <w:rsid w:val="5F867B5E"/>
    <w:rsid w:val="608E02A7"/>
    <w:rsid w:val="66067756"/>
    <w:rsid w:val="66313CF5"/>
    <w:rsid w:val="67324976"/>
    <w:rsid w:val="692765F5"/>
    <w:rsid w:val="69955EDC"/>
    <w:rsid w:val="6ECA1E43"/>
    <w:rsid w:val="6F735C9C"/>
    <w:rsid w:val="71331676"/>
    <w:rsid w:val="729A74A8"/>
    <w:rsid w:val="73E10D40"/>
    <w:rsid w:val="752B5E6F"/>
    <w:rsid w:val="75C7149C"/>
    <w:rsid w:val="769901FE"/>
    <w:rsid w:val="787C1702"/>
    <w:rsid w:val="78894543"/>
    <w:rsid w:val="7BE8499A"/>
    <w:rsid w:val="7C270787"/>
    <w:rsid w:val="7CFD1B1B"/>
    <w:rsid w:val="7E002F8A"/>
    <w:rsid w:val="7F1845EF"/>
    <w:rsid w:val="7FB0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2" w:lineRule="auto"/>
      <w:outlineLvl w:val="2"/>
    </w:pPr>
    <w:rPr>
      <w:b/>
      <w:sz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40"/>
        <w:tab w:val="right" w:pos="8300"/>
      </w:tabs>
      <w:snapToGrid w:val="0"/>
      <w:jc w:val="left"/>
    </w:pPr>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7"/>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8"/>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13593</Words>
  <Characters>14434</Characters>
  <Lines>257</Lines>
  <Paragraphs>72</Paragraphs>
  <TotalTime>1</TotalTime>
  <ScaleCrop>false</ScaleCrop>
  <LinksUpToDate>false</LinksUpToDate>
  <CharactersWithSpaces>14543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陈时逸</cp:lastModifiedBy>
  <dcterms:modified xsi:type="dcterms:W3CDTF">2025-07-04T08:15:50Z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71F5D1890FC646C4BC1DFC2F1958740A</vt:lpwstr>
  </property>
  <property fmtid="{D5CDD505-2E9C-101B-9397-08002B2CF9AE}" pid="4" name="KSOTemplateDocerSaveRecord">
    <vt:lpwstr>eyJoZGlkIjoiZTJiMzBjMjhiZWJhNWM4ZmFhMTM2MTZmYWZjZmRmZmQiLCJ1c2VySWQiOiI2MzA5MDUyNTAifQ==</vt:lpwstr>
  </property>
</Properties>
</file>