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C96B249">
      <w:pPr>
        <w:jc w:val="left"/>
        <w:rPr>
          <w:rFonts w:ascii="方正仿宋_GBK" w:hAnsi="宋体" w:eastAsia="方正仿宋_GBK"/>
          <w:sz w:val="44"/>
          <w:szCs w:val="44"/>
        </w:rPr>
      </w:pPr>
    </w:p>
    <w:p w14:paraId="54A7C24F">
      <w:pPr>
        <w:jc w:val="center"/>
        <w:rPr>
          <w:rFonts w:ascii="宋体" w:hAnsi="宋体"/>
        </w:rPr>
      </w:pPr>
    </w:p>
    <w:p w14:paraId="24223FA9">
      <w:pPr>
        <w:spacing w:line="1600" w:lineRule="exact"/>
        <w:jc w:val="center"/>
        <w:rPr>
          <w:rFonts w:ascii="方正黑体_GBK" w:eastAsia="方正黑体_GBK"/>
          <w:sz w:val="100"/>
        </w:rPr>
      </w:pPr>
      <w:r>
        <w:rPr>
          <w:rFonts w:hint="eastAsia" w:ascii="方正黑体_GBK" w:eastAsia="方正黑体_GBK"/>
          <w:sz w:val="100"/>
        </w:rPr>
        <w:t>重庆瑞得思达光电科技有限公司</w:t>
      </w:r>
    </w:p>
    <w:p w14:paraId="5E9A3BA9">
      <w:pPr>
        <w:spacing w:line="1600" w:lineRule="exact"/>
        <w:jc w:val="center"/>
        <w:rPr>
          <w:rFonts w:ascii="方正黑体_GBK" w:eastAsia="方正黑体_GBK"/>
          <w:sz w:val="100"/>
        </w:rPr>
      </w:pPr>
      <w:r>
        <w:rPr>
          <w:rFonts w:hint="eastAsia" w:ascii="方正黑体_GBK" w:eastAsia="方正黑体_GBK"/>
          <w:sz w:val="100"/>
        </w:rPr>
        <w:t>竞争性磋商文件</w:t>
      </w:r>
    </w:p>
    <w:p w14:paraId="771ECF85">
      <w:pPr>
        <w:pStyle w:val="2"/>
      </w:pPr>
    </w:p>
    <w:p w14:paraId="22904AB5">
      <w:pPr>
        <w:spacing w:line="700" w:lineRule="exact"/>
        <w:rPr>
          <w:rFonts w:ascii="黑体" w:eastAsia="黑体"/>
          <w:sz w:val="32"/>
        </w:rPr>
      </w:pPr>
    </w:p>
    <w:p w14:paraId="608658CF">
      <w:pPr>
        <w:pStyle w:val="2"/>
      </w:pPr>
    </w:p>
    <w:p w14:paraId="3834184D">
      <w:pPr>
        <w:spacing w:line="500" w:lineRule="exact"/>
        <w:rPr>
          <w:rFonts w:ascii="方正小标宋_GBK" w:hAnsi="宋体" w:eastAsia="方正小标宋_GBK"/>
          <w:sz w:val="36"/>
          <w:szCs w:val="36"/>
        </w:rPr>
      </w:pPr>
      <w:r>
        <w:rPr>
          <w:rFonts w:hint="eastAsia" w:ascii="方正小标宋_GBK" w:hAnsi="宋体" w:eastAsia="方正小标宋_GBK"/>
          <w:sz w:val="36"/>
          <w:szCs w:val="36"/>
        </w:rPr>
        <w:t>项   目   号：</w:t>
      </w:r>
      <w:r>
        <w:rPr>
          <w:rFonts w:hint="eastAsia" w:ascii="Times New Roman" w:hAnsi="Times New Roman" w:eastAsia="方正小标宋_GBK"/>
          <w:sz w:val="36"/>
          <w:szCs w:val="36"/>
        </w:rPr>
        <w:t>重庆龙泰招 [2025]038号</w:t>
      </w:r>
      <w:r>
        <w:rPr>
          <w:rFonts w:hint="eastAsia" w:ascii="方正小标宋_GBK" w:hAnsi="宋体" w:eastAsia="方正小标宋_GBK"/>
          <w:sz w:val="36"/>
          <w:szCs w:val="36"/>
        </w:rPr>
        <w:t xml:space="preserve"> </w:t>
      </w:r>
    </w:p>
    <w:p w14:paraId="6ECE4788">
      <w:pPr>
        <w:spacing w:line="500" w:lineRule="exact"/>
        <w:rPr>
          <w:rFonts w:hint="eastAsia" w:ascii="方正小标宋_GBK" w:hAnsi="宋体" w:eastAsia="方正小标宋_GBK"/>
          <w:sz w:val="36"/>
          <w:szCs w:val="36"/>
          <w:lang w:eastAsia="zh-CN"/>
        </w:rPr>
      </w:pPr>
      <w:r>
        <w:rPr>
          <w:rFonts w:hint="eastAsia" w:ascii="方正小标宋_GBK" w:hAnsi="宋体" w:eastAsia="方正小标宋_GBK"/>
          <w:sz w:val="36"/>
          <w:szCs w:val="36"/>
        </w:rPr>
        <w:t>磋商项目名称：重庆瑞得思达光电科技有限公司-办公家具采购</w:t>
      </w:r>
      <w:r>
        <w:rPr>
          <w:rFonts w:hint="eastAsia" w:ascii="方正小标宋_GBK" w:hAnsi="宋体" w:eastAsia="方正小标宋_GBK"/>
          <w:sz w:val="36"/>
          <w:szCs w:val="36"/>
          <w:lang w:eastAsia="zh-CN"/>
        </w:rPr>
        <w:t>（第二次）</w:t>
      </w:r>
    </w:p>
    <w:p w14:paraId="226F6A80">
      <w:pPr>
        <w:spacing w:line="500" w:lineRule="exact"/>
        <w:rPr>
          <w:rFonts w:ascii="方正小标宋_GBK" w:eastAsia="方正小标宋_GBK"/>
          <w:sz w:val="36"/>
          <w:szCs w:val="36"/>
        </w:rPr>
      </w:pPr>
      <w:r>
        <w:rPr>
          <w:rFonts w:hint="eastAsia" w:ascii="方正小标宋_GBK" w:eastAsia="方正小标宋_GBK"/>
          <w:sz w:val="36"/>
          <w:szCs w:val="36"/>
        </w:rPr>
        <w:t xml:space="preserve">采购人：重庆瑞得思达光电科技有限公司 </w:t>
      </w:r>
    </w:p>
    <w:p w14:paraId="0172B213">
      <w:pPr>
        <w:spacing w:line="500" w:lineRule="exact"/>
        <w:rPr>
          <w:rFonts w:ascii="方正小标宋_GBK" w:eastAsia="方正小标宋_GBK"/>
          <w:sz w:val="36"/>
          <w:szCs w:val="36"/>
        </w:rPr>
      </w:pPr>
      <w:r>
        <w:rPr>
          <w:rFonts w:hint="eastAsia" w:ascii="方正小标宋_GBK" w:eastAsia="方正小标宋_GBK"/>
          <w:sz w:val="36"/>
          <w:szCs w:val="36"/>
        </w:rPr>
        <w:t>采购代理机构：重庆龙泰工程咨询有限公司</w:t>
      </w:r>
    </w:p>
    <w:p w14:paraId="21DE51E9">
      <w:pPr>
        <w:spacing w:line="500" w:lineRule="exact"/>
        <w:jc w:val="center"/>
        <w:outlineLvl w:val="0"/>
        <w:rPr>
          <w:rFonts w:ascii="方正小标宋_GBK" w:eastAsia="方正小标宋_GBK"/>
          <w:sz w:val="36"/>
          <w:szCs w:val="36"/>
        </w:rPr>
      </w:pPr>
    </w:p>
    <w:p w14:paraId="7AE9C67F">
      <w:pPr>
        <w:spacing w:line="720" w:lineRule="exact"/>
        <w:jc w:val="center"/>
        <w:rPr>
          <w:rFonts w:ascii="方正小标宋_GBK" w:hAnsi="宋体" w:eastAsia="方正小标宋_GBK"/>
          <w:sz w:val="36"/>
          <w:szCs w:val="36"/>
        </w:rPr>
      </w:pPr>
    </w:p>
    <w:p w14:paraId="6A4C8BE0">
      <w:pPr>
        <w:spacing w:line="720" w:lineRule="exact"/>
        <w:jc w:val="center"/>
        <w:rPr>
          <w:rFonts w:ascii="方正小标宋_GBK" w:hAnsi="宋体" w:eastAsia="方正小标宋_GBK"/>
          <w:sz w:val="36"/>
          <w:szCs w:val="36"/>
        </w:rPr>
      </w:pPr>
    </w:p>
    <w:p w14:paraId="16F22225">
      <w:pPr>
        <w:spacing w:line="720" w:lineRule="exact"/>
        <w:jc w:val="center"/>
        <w:rPr>
          <w:rFonts w:ascii="方正小标宋_GBK" w:hAnsi="宋体" w:eastAsia="方正小标宋_GBK"/>
          <w:sz w:val="36"/>
          <w:szCs w:val="36"/>
        </w:rPr>
      </w:pPr>
    </w:p>
    <w:p w14:paraId="5354E376">
      <w:pPr>
        <w:spacing w:line="720" w:lineRule="exact"/>
        <w:rPr>
          <w:rFonts w:ascii="方正小标宋_GBK" w:hAnsi="宋体" w:eastAsia="方正小标宋_GBK"/>
          <w:sz w:val="36"/>
          <w:szCs w:val="36"/>
        </w:rPr>
      </w:pPr>
    </w:p>
    <w:p w14:paraId="03896702">
      <w:pPr>
        <w:spacing w:line="720" w:lineRule="exact"/>
        <w:jc w:val="center"/>
        <w:rPr>
          <w:rFonts w:ascii="方正黑体_GBK" w:hAnsi="宋体" w:eastAsia="方正黑体_GBK"/>
          <w:sz w:val="48"/>
          <w:szCs w:val="32"/>
        </w:rPr>
      </w:pPr>
      <w:r>
        <w:rPr>
          <w:rFonts w:hint="eastAsia" w:ascii="方正小标宋_GBK" w:hAnsi="宋体" w:eastAsia="方正小标宋_GBK"/>
          <w:sz w:val="36"/>
          <w:szCs w:val="36"/>
        </w:rPr>
        <w:t>二〇二五年十月</w:t>
      </w:r>
    </w:p>
    <w:p w14:paraId="3C639501">
      <w:pPr>
        <w:spacing w:line="480" w:lineRule="exact"/>
        <w:jc w:val="center"/>
        <w:outlineLvl w:val="0"/>
        <w:rPr>
          <w:rFonts w:ascii="方正黑体_GBK" w:eastAsia="方正黑体_GBK"/>
          <w:sz w:val="44"/>
          <w:szCs w:val="28"/>
        </w:rPr>
      </w:pPr>
      <w:r>
        <w:rPr>
          <w:rFonts w:hint="eastAsia" w:ascii="方正黑体_GBK" w:eastAsia="方正黑体_GBK"/>
          <w:sz w:val="44"/>
          <w:szCs w:val="28"/>
        </w:rPr>
        <w:br w:type="page"/>
      </w:r>
      <w:r>
        <w:rPr>
          <w:rFonts w:hint="eastAsia" w:ascii="方正黑体_GBK" w:eastAsia="方正黑体_GBK"/>
          <w:sz w:val="44"/>
          <w:szCs w:val="28"/>
        </w:rPr>
        <w:t>目   录</w:t>
      </w:r>
    </w:p>
    <w:p w14:paraId="3757D818">
      <w:pPr>
        <w:pStyle w:val="46"/>
        <w:tabs>
          <w:tab w:val="right" w:leader="dot" w:pos="9412"/>
        </w:tabs>
        <w:ind w:left="560"/>
      </w:pPr>
      <w:r>
        <w:rPr>
          <w:rFonts w:hint="eastAsia" w:ascii="方正仿宋_GBK" w:hAnsi="宋体" w:eastAsia="方正仿宋_GBK"/>
          <w:sz w:val="21"/>
          <w:szCs w:val="21"/>
        </w:rPr>
        <w:fldChar w:fldCharType="begin"/>
      </w:r>
      <w:r>
        <w:rPr>
          <w:rFonts w:hint="eastAsia" w:ascii="方正仿宋_GBK" w:hAnsi="宋体" w:eastAsia="方正仿宋_GBK"/>
          <w:sz w:val="21"/>
          <w:szCs w:val="21"/>
        </w:rPr>
        <w:instrText xml:space="preserve"> TOC \o "1-3" \h \z </w:instrText>
      </w:r>
      <w:r>
        <w:rPr>
          <w:rFonts w:hint="eastAsia" w:ascii="方正仿宋_GBK" w:hAnsi="宋体" w:eastAsia="方正仿宋_GBK"/>
          <w:sz w:val="21"/>
          <w:szCs w:val="21"/>
        </w:rPr>
        <w:fldChar w:fldCharType="separate"/>
      </w:r>
      <w:r>
        <w:fldChar w:fldCharType="begin"/>
      </w:r>
      <w:r>
        <w:instrText xml:space="preserve"> HYPERLINK \l "_Toc19326" </w:instrText>
      </w:r>
      <w:r>
        <w:fldChar w:fldCharType="separate"/>
      </w:r>
      <w:r>
        <w:rPr>
          <w:rFonts w:hint="eastAsia" w:ascii="方正小标宋_GBK" w:hAnsi="宋体" w:eastAsia="方正小标宋_GBK"/>
          <w:szCs w:val="30"/>
        </w:rPr>
        <w:t>第一篇  采购邀请书</w:t>
      </w:r>
      <w:r>
        <w:tab/>
      </w:r>
      <w:r>
        <w:fldChar w:fldCharType="begin"/>
      </w:r>
      <w:r>
        <w:instrText xml:space="preserve"> PAGEREF _Toc19326 \h </w:instrText>
      </w:r>
      <w:r>
        <w:fldChar w:fldCharType="separate"/>
      </w:r>
      <w:r>
        <w:t>- 3 -</w:t>
      </w:r>
      <w:r>
        <w:fldChar w:fldCharType="end"/>
      </w:r>
      <w:r>
        <w:fldChar w:fldCharType="end"/>
      </w:r>
    </w:p>
    <w:p w14:paraId="68ABAFBC">
      <w:pPr>
        <w:pStyle w:val="46"/>
        <w:tabs>
          <w:tab w:val="right" w:leader="dot" w:pos="9412"/>
        </w:tabs>
        <w:ind w:left="560"/>
      </w:pPr>
      <w:r>
        <w:fldChar w:fldCharType="begin"/>
      </w:r>
      <w:r>
        <w:instrText xml:space="preserve"> HYPERLINK \l "_Toc2520" </w:instrText>
      </w:r>
      <w:r>
        <w:fldChar w:fldCharType="separate"/>
      </w:r>
      <w:r>
        <w:rPr>
          <w:rFonts w:hint="eastAsia" w:ascii="方正仿宋_GBK" w:hAnsi="宋体" w:eastAsia="方正仿宋_GBK"/>
        </w:rPr>
        <w:t>一、竞争性磋商内容</w:t>
      </w:r>
      <w:r>
        <w:tab/>
      </w:r>
      <w:r>
        <w:fldChar w:fldCharType="begin"/>
      </w:r>
      <w:r>
        <w:instrText xml:space="preserve"> PAGEREF _Toc2520 \h </w:instrText>
      </w:r>
      <w:r>
        <w:fldChar w:fldCharType="separate"/>
      </w:r>
      <w:r>
        <w:t>- 3 -</w:t>
      </w:r>
      <w:r>
        <w:fldChar w:fldCharType="end"/>
      </w:r>
      <w:r>
        <w:fldChar w:fldCharType="end"/>
      </w:r>
    </w:p>
    <w:p w14:paraId="2AFB9F5D">
      <w:pPr>
        <w:pStyle w:val="46"/>
        <w:tabs>
          <w:tab w:val="right" w:leader="dot" w:pos="9412"/>
        </w:tabs>
        <w:ind w:left="560"/>
      </w:pPr>
      <w:r>
        <w:fldChar w:fldCharType="begin"/>
      </w:r>
      <w:r>
        <w:instrText xml:space="preserve"> HYPERLINK \l "_Toc11123" </w:instrText>
      </w:r>
      <w:r>
        <w:fldChar w:fldCharType="separate"/>
      </w:r>
      <w:r>
        <w:rPr>
          <w:rFonts w:hint="eastAsia" w:ascii="方正仿宋_GBK" w:hAnsi="宋体" w:eastAsia="方正仿宋_GBK"/>
        </w:rPr>
        <w:t>二、资金来源</w:t>
      </w:r>
      <w:r>
        <w:tab/>
      </w:r>
      <w:r>
        <w:fldChar w:fldCharType="begin"/>
      </w:r>
      <w:r>
        <w:instrText xml:space="preserve"> PAGEREF _Toc11123 \h </w:instrText>
      </w:r>
      <w:r>
        <w:fldChar w:fldCharType="separate"/>
      </w:r>
      <w:r>
        <w:t>- 3 -</w:t>
      </w:r>
      <w:r>
        <w:fldChar w:fldCharType="end"/>
      </w:r>
      <w:r>
        <w:fldChar w:fldCharType="end"/>
      </w:r>
    </w:p>
    <w:p w14:paraId="47A0DD99">
      <w:pPr>
        <w:pStyle w:val="46"/>
        <w:tabs>
          <w:tab w:val="right" w:leader="dot" w:pos="9412"/>
        </w:tabs>
        <w:ind w:left="560"/>
      </w:pPr>
      <w:r>
        <w:fldChar w:fldCharType="begin"/>
      </w:r>
      <w:r>
        <w:instrText xml:space="preserve"> HYPERLINK \l "_Toc7960" </w:instrText>
      </w:r>
      <w:r>
        <w:fldChar w:fldCharType="separate"/>
      </w:r>
      <w:r>
        <w:rPr>
          <w:rFonts w:hint="eastAsia" w:ascii="方正仿宋_GBK" w:hAnsi="宋体" w:eastAsia="方正仿宋_GBK"/>
        </w:rPr>
        <w:t>三、供应商资格条件</w:t>
      </w:r>
      <w:r>
        <w:tab/>
      </w:r>
      <w:r>
        <w:fldChar w:fldCharType="begin"/>
      </w:r>
      <w:r>
        <w:instrText xml:space="preserve"> PAGEREF _Toc7960 \h </w:instrText>
      </w:r>
      <w:r>
        <w:fldChar w:fldCharType="separate"/>
      </w:r>
      <w:r>
        <w:t>- 3 -</w:t>
      </w:r>
      <w:r>
        <w:fldChar w:fldCharType="end"/>
      </w:r>
      <w:r>
        <w:fldChar w:fldCharType="end"/>
      </w:r>
    </w:p>
    <w:p w14:paraId="35AEF520">
      <w:pPr>
        <w:pStyle w:val="46"/>
        <w:tabs>
          <w:tab w:val="right" w:leader="dot" w:pos="9412"/>
        </w:tabs>
        <w:ind w:left="560"/>
      </w:pPr>
      <w:r>
        <w:fldChar w:fldCharType="begin"/>
      </w:r>
      <w:r>
        <w:instrText xml:space="preserve"> HYPERLINK \l "_Toc12154" </w:instrText>
      </w:r>
      <w:r>
        <w:fldChar w:fldCharType="separate"/>
      </w:r>
      <w:r>
        <w:rPr>
          <w:rFonts w:hint="eastAsia" w:ascii="方正仿宋_GBK" w:hAnsi="宋体" w:eastAsia="方正仿宋_GBK"/>
        </w:rPr>
        <w:t>四、磋商有关说明</w:t>
      </w:r>
      <w:r>
        <w:tab/>
      </w:r>
      <w:r>
        <w:fldChar w:fldCharType="begin"/>
      </w:r>
      <w:r>
        <w:instrText xml:space="preserve"> PAGEREF _Toc12154 \h </w:instrText>
      </w:r>
      <w:r>
        <w:fldChar w:fldCharType="separate"/>
      </w:r>
      <w:r>
        <w:t>- 3 -</w:t>
      </w:r>
      <w:r>
        <w:fldChar w:fldCharType="end"/>
      </w:r>
      <w:r>
        <w:fldChar w:fldCharType="end"/>
      </w:r>
    </w:p>
    <w:p w14:paraId="09E4131D">
      <w:pPr>
        <w:pStyle w:val="46"/>
        <w:tabs>
          <w:tab w:val="right" w:leader="dot" w:pos="9412"/>
        </w:tabs>
        <w:ind w:left="560"/>
      </w:pPr>
      <w:r>
        <w:fldChar w:fldCharType="begin"/>
      </w:r>
      <w:r>
        <w:instrText xml:space="preserve"> HYPERLINK \l "_Toc7766" </w:instrText>
      </w:r>
      <w:r>
        <w:fldChar w:fldCharType="separate"/>
      </w:r>
      <w:r>
        <w:rPr>
          <w:rFonts w:hint="eastAsia" w:ascii="方正仿宋_GBK" w:hAnsi="宋体" w:eastAsia="方正仿宋_GBK"/>
        </w:rPr>
        <w:t>五、保证金</w:t>
      </w:r>
      <w:r>
        <w:tab/>
      </w:r>
      <w:r>
        <w:fldChar w:fldCharType="begin"/>
      </w:r>
      <w:r>
        <w:instrText xml:space="preserve"> PAGEREF _Toc7766 \h </w:instrText>
      </w:r>
      <w:r>
        <w:fldChar w:fldCharType="separate"/>
      </w:r>
      <w:r>
        <w:t>- 4 -</w:t>
      </w:r>
      <w:r>
        <w:fldChar w:fldCharType="end"/>
      </w:r>
      <w:r>
        <w:fldChar w:fldCharType="end"/>
      </w:r>
    </w:p>
    <w:p w14:paraId="7B3B07D9">
      <w:pPr>
        <w:pStyle w:val="46"/>
        <w:tabs>
          <w:tab w:val="right" w:leader="dot" w:pos="9412"/>
        </w:tabs>
        <w:ind w:left="560"/>
      </w:pPr>
      <w:r>
        <w:fldChar w:fldCharType="begin"/>
      </w:r>
      <w:r>
        <w:instrText xml:space="preserve"> HYPERLINK \l "_Toc3055" </w:instrText>
      </w:r>
      <w:r>
        <w:fldChar w:fldCharType="separate"/>
      </w:r>
      <w:r>
        <w:rPr>
          <w:rFonts w:hint="eastAsia" w:ascii="方正仿宋_GBK" w:hAnsi="宋体" w:eastAsia="方正仿宋_GBK"/>
        </w:rPr>
        <w:t>六、采购项目需落实的政府采购政策</w:t>
      </w:r>
      <w:r>
        <w:tab/>
      </w:r>
      <w:r>
        <w:fldChar w:fldCharType="begin"/>
      </w:r>
      <w:r>
        <w:instrText xml:space="preserve"> PAGEREF _Toc3055 \h </w:instrText>
      </w:r>
      <w:r>
        <w:fldChar w:fldCharType="separate"/>
      </w:r>
      <w:r>
        <w:t>- 4 -</w:t>
      </w:r>
      <w:r>
        <w:fldChar w:fldCharType="end"/>
      </w:r>
      <w:r>
        <w:fldChar w:fldCharType="end"/>
      </w:r>
    </w:p>
    <w:p w14:paraId="58CB3D85">
      <w:pPr>
        <w:pStyle w:val="46"/>
        <w:tabs>
          <w:tab w:val="right" w:leader="dot" w:pos="9412"/>
        </w:tabs>
        <w:ind w:left="560"/>
      </w:pPr>
      <w:r>
        <w:fldChar w:fldCharType="begin"/>
      </w:r>
      <w:r>
        <w:instrText xml:space="preserve"> HYPERLINK \l "_Toc1546" </w:instrText>
      </w:r>
      <w:r>
        <w:fldChar w:fldCharType="separate"/>
      </w:r>
      <w:r>
        <w:rPr>
          <w:rFonts w:hint="eastAsia" w:ascii="方正仿宋_GBK" w:hAnsi="宋体" w:eastAsia="方正仿宋_GBK"/>
        </w:rPr>
        <w:t>七、其它有关规定</w:t>
      </w:r>
      <w:r>
        <w:tab/>
      </w:r>
      <w:r>
        <w:fldChar w:fldCharType="begin"/>
      </w:r>
      <w:r>
        <w:instrText xml:space="preserve"> PAGEREF _Toc1546 \h </w:instrText>
      </w:r>
      <w:r>
        <w:fldChar w:fldCharType="separate"/>
      </w:r>
      <w:r>
        <w:t>- 5 -</w:t>
      </w:r>
      <w:r>
        <w:fldChar w:fldCharType="end"/>
      </w:r>
      <w:r>
        <w:fldChar w:fldCharType="end"/>
      </w:r>
    </w:p>
    <w:p w14:paraId="5668547D">
      <w:pPr>
        <w:pStyle w:val="46"/>
        <w:tabs>
          <w:tab w:val="right" w:leader="dot" w:pos="9412"/>
        </w:tabs>
        <w:ind w:left="560"/>
      </w:pPr>
      <w:r>
        <w:fldChar w:fldCharType="begin"/>
      </w:r>
      <w:r>
        <w:instrText xml:space="preserve"> HYPERLINK \l "_Toc15027" </w:instrText>
      </w:r>
      <w:r>
        <w:fldChar w:fldCharType="separate"/>
      </w:r>
      <w:r>
        <w:rPr>
          <w:rFonts w:hint="eastAsia" w:ascii="方正仿宋_GBK" w:hAnsi="宋体" w:eastAsia="方正仿宋_GBK"/>
        </w:rPr>
        <w:t>八、联系方式</w:t>
      </w:r>
      <w:r>
        <w:tab/>
      </w:r>
      <w:r>
        <w:fldChar w:fldCharType="begin"/>
      </w:r>
      <w:r>
        <w:instrText xml:space="preserve"> PAGEREF _Toc15027 \h </w:instrText>
      </w:r>
      <w:r>
        <w:fldChar w:fldCharType="separate"/>
      </w:r>
      <w:r>
        <w:t>- 5 -</w:t>
      </w:r>
      <w:r>
        <w:fldChar w:fldCharType="end"/>
      </w:r>
      <w:r>
        <w:fldChar w:fldCharType="end"/>
      </w:r>
    </w:p>
    <w:p w14:paraId="5612AAF8">
      <w:pPr>
        <w:pStyle w:val="46"/>
        <w:tabs>
          <w:tab w:val="right" w:leader="dot" w:pos="9412"/>
        </w:tabs>
        <w:ind w:left="560"/>
      </w:pPr>
      <w:r>
        <w:fldChar w:fldCharType="begin"/>
      </w:r>
      <w:r>
        <w:instrText xml:space="preserve"> HYPERLINK \l "_Toc12473" </w:instrText>
      </w:r>
      <w:r>
        <w:fldChar w:fldCharType="separate"/>
      </w:r>
      <w:r>
        <w:rPr>
          <w:rFonts w:hint="eastAsia" w:ascii="方正小标宋_GBK" w:hAnsi="宋体" w:eastAsia="方正小标宋_GBK"/>
          <w:szCs w:val="30"/>
        </w:rPr>
        <w:t>第二篇  项目技术需求</w:t>
      </w:r>
      <w:r>
        <w:tab/>
      </w:r>
      <w:r>
        <w:fldChar w:fldCharType="begin"/>
      </w:r>
      <w:r>
        <w:instrText xml:space="preserve"> PAGEREF _Toc12473 \h </w:instrText>
      </w:r>
      <w:r>
        <w:fldChar w:fldCharType="separate"/>
      </w:r>
      <w:r>
        <w:t>- 6 -</w:t>
      </w:r>
      <w:r>
        <w:fldChar w:fldCharType="end"/>
      </w:r>
      <w:r>
        <w:fldChar w:fldCharType="end"/>
      </w:r>
    </w:p>
    <w:p w14:paraId="5906F399">
      <w:pPr>
        <w:pStyle w:val="46"/>
        <w:tabs>
          <w:tab w:val="right" w:leader="dot" w:pos="9412"/>
        </w:tabs>
        <w:ind w:left="560"/>
      </w:pPr>
      <w:r>
        <w:fldChar w:fldCharType="begin"/>
      </w:r>
      <w:r>
        <w:instrText xml:space="preserve"> HYPERLINK \l "_Toc23511" </w:instrText>
      </w:r>
      <w:r>
        <w:fldChar w:fldCharType="separate"/>
      </w:r>
      <w:r>
        <w:rPr>
          <w:rFonts w:hint="eastAsia" w:ascii="方正仿宋_GBK" w:hAnsi="宋体" w:eastAsia="方正仿宋_GBK"/>
        </w:rPr>
        <w:t>一、项目基本概况介绍</w:t>
      </w:r>
      <w:r>
        <w:tab/>
      </w:r>
      <w:r>
        <w:fldChar w:fldCharType="begin"/>
      </w:r>
      <w:r>
        <w:instrText xml:space="preserve"> PAGEREF _Toc23511 \h </w:instrText>
      </w:r>
      <w:r>
        <w:fldChar w:fldCharType="separate"/>
      </w:r>
      <w:r>
        <w:t>- 6 -</w:t>
      </w:r>
      <w:r>
        <w:fldChar w:fldCharType="end"/>
      </w:r>
      <w:r>
        <w:fldChar w:fldCharType="end"/>
      </w:r>
    </w:p>
    <w:p w14:paraId="15C7FC36">
      <w:pPr>
        <w:pStyle w:val="46"/>
        <w:tabs>
          <w:tab w:val="right" w:leader="dot" w:pos="9412"/>
        </w:tabs>
        <w:ind w:left="560"/>
      </w:pPr>
      <w:r>
        <w:fldChar w:fldCharType="begin"/>
      </w:r>
      <w:r>
        <w:instrText xml:space="preserve"> HYPERLINK \l "_Toc5985" </w:instrText>
      </w:r>
      <w:r>
        <w:fldChar w:fldCharType="separate"/>
      </w:r>
      <w:r>
        <w:rPr>
          <w:rFonts w:hint="eastAsia" w:ascii="方正仿宋_GBK" w:hAnsi="宋体" w:eastAsia="方正仿宋_GBK"/>
          <w:szCs w:val="22"/>
        </w:rPr>
        <w:t>二、技术要求</w:t>
      </w:r>
      <w:r>
        <w:tab/>
      </w:r>
      <w:r>
        <w:fldChar w:fldCharType="begin"/>
      </w:r>
      <w:r>
        <w:instrText xml:space="preserve"> PAGEREF _Toc5985 \h </w:instrText>
      </w:r>
      <w:r>
        <w:fldChar w:fldCharType="separate"/>
      </w:r>
      <w:r>
        <w:t>- 6 -</w:t>
      </w:r>
      <w:r>
        <w:fldChar w:fldCharType="end"/>
      </w:r>
      <w:r>
        <w:fldChar w:fldCharType="end"/>
      </w:r>
    </w:p>
    <w:p w14:paraId="127A98BB">
      <w:pPr>
        <w:pStyle w:val="46"/>
        <w:tabs>
          <w:tab w:val="right" w:leader="dot" w:pos="9412"/>
        </w:tabs>
        <w:ind w:left="560"/>
      </w:pPr>
      <w:r>
        <w:fldChar w:fldCharType="begin"/>
      </w:r>
      <w:r>
        <w:instrText xml:space="preserve"> HYPERLINK \l "_Toc16580" </w:instrText>
      </w:r>
      <w:r>
        <w:fldChar w:fldCharType="separate"/>
      </w:r>
      <w:r>
        <w:rPr>
          <w:rFonts w:hint="eastAsia" w:ascii="方正仿宋_GBK" w:hAnsi="宋体" w:eastAsia="方正仿宋_GBK"/>
          <w:szCs w:val="22"/>
        </w:rPr>
        <w:t>三、其他要求</w:t>
      </w:r>
      <w:r>
        <w:tab/>
      </w:r>
      <w:r>
        <w:fldChar w:fldCharType="begin"/>
      </w:r>
      <w:r>
        <w:instrText xml:space="preserve"> PAGEREF _Toc16580 \h </w:instrText>
      </w:r>
      <w:r>
        <w:fldChar w:fldCharType="separate"/>
      </w:r>
      <w:r>
        <w:t>- 6 -</w:t>
      </w:r>
      <w:r>
        <w:fldChar w:fldCharType="end"/>
      </w:r>
      <w:r>
        <w:fldChar w:fldCharType="end"/>
      </w:r>
    </w:p>
    <w:p w14:paraId="754299A6">
      <w:pPr>
        <w:pStyle w:val="46"/>
        <w:tabs>
          <w:tab w:val="right" w:leader="dot" w:pos="9412"/>
        </w:tabs>
        <w:ind w:left="560"/>
      </w:pPr>
      <w:r>
        <w:fldChar w:fldCharType="begin"/>
      </w:r>
      <w:r>
        <w:instrText xml:space="preserve"> HYPERLINK \l "_Toc14472" </w:instrText>
      </w:r>
      <w:r>
        <w:fldChar w:fldCharType="separate"/>
      </w:r>
      <w:r>
        <w:rPr>
          <w:rFonts w:hint="eastAsia" w:ascii="方正仿宋_GBK" w:hAnsi="宋体" w:eastAsia="方正仿宋_GBK"/>
          <w:szCs w:val="22"/>
        </w:rPr>
        <w:t>四、投标人书面承诺：</w:t>
      </w:r>
      <w:r>
        <w:tab/>
      </w:r>
      <w:r>
        <w:fldChar w:fldCharType="begin"/>
      </w:r>
      <w:r>
        <w:instrText xml:space="preserve"> PAGEREF _Toc14472 \h </w:instrText>
      </w:r>
      <w:r>
        <w:fldChar w:fldCharType="separate"/>
      </w:r>
      <w:r>
        <w:t>- 7 -</w:t>
      </w:r>
      <w:r>
        <w:fldChar w:fldCharType="end"/>
      </w:r>
      <w:r>
        <w:fldChar w:fldCharType="end"/>
      </w:r>
    </w:p>
    <w:p w14:paraId="1AABBA23">
      <w:pPr>
        <w:pStyle w:val="46"/>
        <w:tabs>
          <w:tab w:val="right" w:leader="dot" w:pos="9412"/>
        </w:tabs>
        <w:ind w:left="560"/>
      </w:pPr>
      <w:r>
        <w:fldChar w:fldCharType="begin"/>
      </w:r>
      <w:r>
        <w:instrText xml:space="preserve"> HYPERLINK \l "_Toc7590" </w:instrText>
      </w:r>
      <w:r>
        <w:fldChar w:fldCharType="separate"/>
      </w:r>
      <w:r>
        <w:rPr>
          <w:rFonts w:hint="eastAsia" w:ascii="方正小标宋_GBK" w:hAnsi="宋体" w:eastAsia="方正小标宋_GBK"/>
          <w:szCs w:val="30"/>
        </w:rPr>
        <w:t>第三篇  项目商务需求</w:t>
      </w:r>
      <w:r>
        <w:tab/>
      </w:r>
      <w:r>
        <w:fldChar w:fldCharType="begin"/>
      </w:r>
      <w:r>
        <w:instrText xml:space="preserve"> PAGEREF _Toc7590 \h </w:instrText>
      </w:r>
      <w:r>
        <w:fldChar w:fldCharType="separate"/>
      </w:r>
      <w:r>
        <w:t>- 8 -</w:t>
      </w:r>
      <w:r>
        <w:fldChar w:fldCharType="end"/>
      </w:r>
      <w:r>
        <w:fldChar w:fldCharType="end"/>
      </w:r>
    </w:p>
    <w:p w14:paraId="6CD313F0">
      <w:pPr>
        <w:pStyle w:val="46"/>
        <w:tabs>
          <w:tab w:val="right" w:leader="dot" w:pos="9412"/>
        </w:tabs>
        <w:ind w:left="560"/>
      </w:pPr>
      <w:r>
        <w:fldChar w:fldCharType="begin"/>
      </w:r>
      <w:r>
        <w:instrText xml:space="preserve"> HYPERLINK \l "_Toc20604" </w:instrText>
      </w:r>
      <w:r>
        <w:fldChar w:fldCharType="separate"/>
      </w:r>
      <w:r>
        <w:rPr>
          <w:rFonts w:hint="eastAsia" w:ascii="方正仿宋_GBK" w:hAnsi="宋体" w:eastAsia="方正仿宋_GBK"/>
        </w:rPr>
        <w:t>一、交货期、交货地点及验收方式</w:t>
      </w:r>
      <w:r>
        <w:tab/>
      </w:r>
      <w:r>
        <w:fldChar w:fldCharType="begin"/>
      </w:r>
      <w:r>
        <w:instrText xml:space="preserve"> PAGEREF _Toc20604 \h </w:instrText>
      </w:r>
      <w:r>
        <w:fldChar w:fldCharType="separate"/>
      </w:r>
      <w:r>
        <w:t>- 8 -</w:t>
      </w:r>
      <w:r>
        <w:fldChar w:fldCharType="end"/>
      </w:r>
      <w:r>
        <w:fldChar w:fldCharType="end"/>
      </w:r>
    </w:p>
    <w:p w14:paraId="6EDA1BD1">
      <w:pPr>
        <w:pStyle w:val="46"/>
        <w:tabs>
          <w:tab w:val="right" w:leader="dot" w:pos="9412"/>
        </w:tabs>
        <w:ind w:left="560"/>
      </w:pPr>
      <w:r>
        <w:fldChar w:fldCharType="begin"/>
      </w:r>
      <w:r>
        <w:instrText xml:space="preserve"> HYPERLINK \l "_Toc31517" </w:instrText>
      </w:r>
      <w:r>
        <w:fldChar w:fldCharType="separate"/>
      </w:r>
      <w:r>
        <w:rPr>
          <w:rFonts w:hint="eastAsia" w:ascii="方正仿宋_GBK" w:hAnsi="宋体" w:eastAsia="方正仿宋_GBK"/>
        </w:rPr>
        <w:t>二、报价要求</w:t>
      </w:r>
      <w:r>
        <w:tab/>
      </w:r>
      <w:r>
        <w:fldChar w:fldCharType="begin"/>
      </w:r>
      <w:r>
        <w:instrText xml:space="preserve"> PAGEREF _Toc31517 \h </w:instrText>
      </w:r>
      <w:r>
        <w:fldChar w:fldCharType="separate"/>
      </w:r>
      <w:r>
        <w:t>- 8 -</w:t>
      </w:r>
      <w:r>
        <w:fldChar w:fldCharType="end"/>
      </w:r>
      <w:r>
        <w:fldChar w:fldCharType="end"/>
      </w:r>
    </w:p>
    <w:p w14:paraId="565CC655">
      <w:pPr>
        <w:pStyle w:val="46"/>
        <w:tabs>
          <w:tab w:val="right" w:leader="dot" w:pos="9412"/>
        </w:tabs>
        <w:ind w:left="560"/>
      </w:pPr>
      <w:r>
        <w:fldChar w:fldCharType="begin"/>
      </w:r>
      <w:r>
        <w:instrText xml:space="preserve"> HYPERLINK \l "_Toc13501" </w:instrText>
      </w:r>
      <w:r>
        <w:fldChar w:fldCharType="separate"/>
      </w:r>
      <w:r>
        <w:rPr>
          <w:rFonts w:hint="eastAsia" w:ascii="方正仿宋_GBK" w:hAnsi="宋体" w:eastAsia="方正仿宋_GBK"/>
        </w:rPr>
        <w:t>三、付款方式</w:t>
      </w:r>
      <w:r>
        <w:tab/>
      </w:r>
      <w:r>
        <w:fldChar w:fldCharType="begin"/>
      </w:r>
      <w:r>
        <w:instrText xml:space="preserve"> PAGEREF _Toc13501 \h </w:instrText>
      </w:r>
      <w:r>
        <w:fldChar w:fldCharType="separate"/>
      </w:r>
      <w:r>
        <w:t>- 8 -</w:t>
      </w:r>
      <w:r>
        <w:fldChar w:fldCharType="end"/>
      </w:r>
      <w:r>
        <w:fldChar w:fldCharType="end"/>
      </w:r>
    </w:p>
    <w:p w14:paraId="4C7DB115">
      <w:pPr>
        <w:pStyle w:val="46"/>
        <w:tabs>
          <w:tab w:val="right" w:leader="dot" w:pos="9412"/>
        </w:tabs>
        <w:ind w:left="560"/>
      </w:pPr>
      <w:r>
        <w:fldChar w:fldCharType="begin"/>
      </w:r>
      <w:r>
        <w:instrText xml:space="preserve"> HYPERLINK \l "_Toc4739" </w:instrText>
      </w:r>
      <w:r>
        <w:fldChar w:fldCharType="separate"/>
      </w:r>
      <w:r>
        <w:rPr>
          <w:rFonts w:hint="eastAsia" w:ascii="方正仿宋_GBK" w:hAnsi="宋体" w:eastAsia="方正仿宋_GBK"/>
        </w:rPr>
        <w:t>四、知识产权</w:t>
      </w:r>
      <w:r>
        <w:tab/>
      </w:r>
      <w:r>
        <w:fldChar w:fldCharType="begin"/>
      </w:r>
      <w:r>
        <w:instrText xml:space="preserve"> PAGEREF _Toc4739 \h </w:instrText>
      </w:r>
      <w:r>
        <w:fldChar w:fldCharType="separate"/>
      </w:r>
      <w:r>
        <w:t>- 8 -</w:t>
      </w:r>
      <w:r>
        <w:fldChar w:fldCharType="end"/>
      </w:r>
      <w:r>
        <w:fldChar w:fldCharType="end"/>
      </w:r>
    </w:p>
    <w:p w14:paraId="4173F596">
      <w:pPr>
        <w:pStyle w:val="46"/>
        <w:tabs>
          <w:tab w:val="right" w:leader="dot" w:pos="9412"/>
        </w:tabs>
        <w:ind w:left="560"/>
      </w:pPr>
      <w:r>
        <w:fldChar w:fldCharType="begin"/>
      </w:r>
      <w:r>
        <w:instrText xml:space="preserve"> HYPERLINK \l "_Toc29621" </w:instrText>
      </w:r>
      <w:r>
        <w:fldChar w:fldCharType="separate"/>
      </w:r>
      <w:r>
        <w:rPr>
          <w:rFonts w:hint="eastAsia" w:ascii="方正仿宋_GBK" w:hAnsi="宋体" w:eastAsia="方正仿宋_GBK"/>
          <w:szCs w:val="22"/>
        </w:rPr>
        <w:t>五、其他</w:t>
      </w:r>
      <w:r>
        <w:tab/>
      </w:r>
      <w:r>
        <w:fldChar w:fldCharType="begin"/>
      </w:r>
      <w:r>
        <w:instrText xml:space="preserve"> PAGEREF _Toc29621 \h </w:instrText>
      </w:r>
      <w:r>
        <w:fldChar w:fldCharType="separate"/>
      </w:r>
      <w:r>
        <w:t>- 8 -</w:t>
      </w:r>
      <w:r>
        <w:fldChar w:fldCharType="end"/>
      </w:r>
      <w:r>
        <w:fldChar w:fldCharType="end"/>
      </w:r>
    </w:p>
    <w:p w14:paraId="03651BCA">
      <w:pPr>
        <w:pStyle w:val="46"/>
        <w:tabs>
          <w:tab w:val="right" w:leader="dot" w:pos="9412"/>
        </w:tabs>
        <w:ind w:left="560"/>
      </w:pPr>
      <w:r>
        <w:fldChar w:fldCharType="begin"/>
      </w:r>
      <w:r>
        <w:instrText xml:space="preserve"> HYPERLINK \l "_Toc20801" </w:instrText>
      </w:r>
      <w:r>
        <w:fldChar w:fldCharType="separate"/>
      </w:r>
      <w:r>
        <w:rPr>
          <w:rFonts w:hint="eastAsia" w:ascii="方正小标宋_GBK" w:hAnsi="宋体" w:eastAsia="方正小标宋_GBK"/>
          <w:szCs w:val="30"/>
        </w:rPr>
        <w:t>第四篇  磋商程序及方法、评审标准、无效响应和</w:t>
      </w:r>
      <w:r>
        <w:rPr>
          <w:rFonts w:hint="eastAsia" w:ascii="方正小标宋_GBK" w:eastAsia="方正小标宋_GBK"/>
          <w:szCs w:val="36"/>
        </w:rPr>
        <w:t>采购终止</w:t>
      </w:r>
      <w:r>
        <w:tab/>
      </w:r>
      <w:r>
        <w:fldChar w:fldCharType="begin"/>
      </w:r>
      <w:r>
        <w:instrText xml:space="preserve"> PAGEREF _Toc20801 \h </w:instrText>
      </w:r>
      <w:r>
        <w:fldChar w:fldCharType="separate"/>
      </w:r>
      <w:r>
        <w:t>- 9 -</w:t>
      </w:r>
      <w:r>
        <w:fldChar w:fldCharType="end"/>
      </w:r>
      <w:r>
        <w:fldChar w:fldCharType="end"/>
      </w:r>
    </w:p>
    <w:p w14:paraId="52161B5C">
      <w:pPr>
        <w:pStyle w:val="46"/>
        <w:tabs>
          <w:tab w:val="right" w:leader="dot" w:pos="9412"/>
        </w:tabs>
        <w:ind w:left="560"/>
      </w:pPr>
      <w:r>
        <w:fldChar w:fldCharType="begin"/>
      </w:r>
      <w:r>
        <w:instrText xml:space="preserve"> HYPERLINK \l "_Toc8996" </w:instrText>
      </w:r>
      <w:r>
        <w:fldChar w:fldCharType="separate"/>
      </w:r>
      <w:r>
        <w:rPr>
          <w:rFonts w:hint="eastAsia" w:ascii="方正仿宋_GBK" w:hAnsi="宋体" w:eastAsia="方正仿宋_GBK"/>
        </w:rPr>
        <w:t>一、磋商程序及方法</w:t>
      </w:r>
      <w:r>
        <w:tab/>
      </w:r>
      <w:r>
        <w:fldChar w:fldCharType="begin"/>
      </w:r>
      <w:r>
        <w:instrText xml:space="preserve"> PAGEREF _Toc8996 \h </w:instrText>
      </w:r>
      <w:r>
        <w:fldChar w:fldCharType="separate"/>
      </w:r>
      <w:r>
        <w:t>- 9 -</w:t>
      </w:r>
      <w:r>
        <w:fldChar w:fldCharType="end"/>
      </w:r>
      <w:r>
        <w:fldChar w:fldCharType="end"/>
      </w:r>
    </w:p>
    <w:p w14:paraId="7047E4BF">
      <w:pPr>
        <w:pStyle w:val="46"/>
        <w:tabs>
          <w:tab w:val="right" w:leader="dot" w:pos="9412"/>
        </w:tabs>
        <w:ind w:left="560"/>
      </w:pPr>
      <w:r>
        <w:fldChar w:fldCharType="begin"/>
      </w:r>
      <w:r>
        <w:instrText xml:space="preserve"> HYPERLINK \l "_Toc25622" </w:instrText>
      </w:r>
      <w:r>
        <w:fldChar w:fldCharType="separate"/>
      </w:r>
      <w:r>
        <w:rPr>
          <w:rFonts w:hint="eastAsia" w:ascii="方正仿宋_GBK" w:hAnsi="宋体" w:eastAsia="方正仿宋_GBK"/>
        </w:rPr>
        <w:t>二、评审标准</w:t>
      </w:r>
      <w:r>
        <w:tab/>
      </w:r>
      <w:r>
        <w:fldChar w:fldCharType="begin"/>
      </w:r>
      <w:r>
        <w:instrText xml:space="preserve"> PAGEREF _Toc25622 \h </w:instrText>
      </w:r>
      <w:r>
        <w:fldChar w:fldCharType="separate"/>
      </w:r>
      <w:r>
        <w:t>- 11 -</w:t>
      </w:r>
      <w:r>
        <w:fldChar w:fldCharType="end"/>
      </w:r>
      <w:r>
        <w:fldChar w:fldCharType="end"/>
      </w:r>
    </w:p>
    <w:p w14:paraId="7585FD6E">
      <w:pPr>
        <w:pStyle w:val="46"/>
        <w:tabs>
          <w:tab w:val="right" w:leader="dot" w:pos="9412"/>
        </w:tabs>
        <w:ind w:left="560"/>
      </w:pPr>
      <w:r>
        <w:fldChar w:fldCharType="begin"/>
      </w:r>
      <w:r>
        <w:instrText xml:space="preserve"> HYPERLINK \l "_Toc23270" </w:instrText>
      </w:r>
      <w:r>
        <w:fldChar w:fldCharType="separate"/>
      </w:r>
      <w:r>
        <w:rPr>
          <w:rFonts w:hint="eastAsia" w:ascii="方正仿宋_GBK" w:hAnsi="宋体" w:eastAsia="方正仿宋_GBK"/>
          <w:szCs w:val="22"/>
        </w:rPr>
        <w:t>三、无效响应</w:t>
      </w:r>
      <w:r>
        <w:tab/>
      </w:r>
      <w:r>
        <w:fldChar w:fldCharType="begin"/>
      </w:r>
      <w:r>
        <w:instrText xml:space="preserve"> PAGEREF _Toc23270 \h </w:instrText>
      </w:r>
      <w:r>
        <w:fldChar w:fldCharType="separate"/>
      </w:r>
      <w:r>
        <w:t>- 12 -</w:t>
      </w:r>
      <w:r>
        <w:fldChar w:fldCharType="end"/>
      </w:r>
      <w:r>
        <w:fldChar w:fldCharType="end"/>
      </w:r>
    </w:p>
    <w:p w14:paraId="748274B5">
      <w:pPr>
        <w:pStyle w:val="46"/>
        <w:tabs>
          <w:tab w:val="right" w:leader="dot" w:pos="9412"/>
        </w:tabs>
        <w:ind w:left="560"/>
      </w:pPr>
      <w:r>
        <w:fldChar w:fldCharType="begin"/>
      </w:r>
      <w:r>
        <w:instrText xml:space="preserve"> HYPERLINK \l "_Toc28979" </w:instrText>
      </w:r>
      <w:r>
        <w:fldChar w:fldCharType="separate"/>
      </w:r>
      <w:r>
        <w:rPr>
          <w:rFonts w:hint="eastAsia" w:ascii="方正仿宋_GBK" w:hAnsi="宋体" w:eastAsia="方正仿宋_GBK"/>
        </w:rPr>
        <w:t>四、采购终止</w:t>
      </w:r>
      <w:r>
        <w:tab/>
      </w:r>
      <w:r>
        <w:fldChar w:fldCharType="begin"/>
      </w:r>
      <w:r>
        <w:instrText xml:space="preserve"> PAGEREF _Toc28979 \h </w:instrText>
      </w:r>
      <w:r>
        <w:fldChar w:fldCharType="separate"/>
      </w:r>
      <w:r>
        <w:t>- 12 -</w:t>
      </w:r>
      <w:r>
        <w:fldChar w:fldCharType="end"/>
      </w:r>
      <w:r>
        <w:fldChar w:fldCharType="end"/>
      </w:r>
    </w:p>
    <w:p w14:paraId="021223AF">
      <w:pPr>
        <w:pStyle w:val="46"/>
        <w:tabs>
          <w:tab w:val="right" w:leader="dot" w:pos="9412"/>
        </w:tabs>
        <w:ind w:left="560"/>
      </w:pPr>
      <w:r>
        <w:fldChar w:fldCharType="begin"/>
      </w:r>
      <w:r>
        <w:instrText xml:space="preserve"> HYPERLINK \l "_Toc1796" </w:instrText>
      </w:r>
      <w:r>
        <w:fldChar w:fldCharType="separate"/>
      </w:r>
      <w:r>
        <w:rPr>
          <w:rFonts w:hint="eastAsia" w:ascii="方正小标宋_GBK" w:hAnsi="宋体" w:eastAsia="方正小标宋_GBK"/>
          <w:bCs/>
          <w:szCs w:val="30"/>
        </w:rPr>
        <w:t>第五篇  供应商须知</w:t>
      </w:r>
      <w:r>
        <w:tab/>
      </w:r>
      <w:r>
        <w:fldChar w:fldCharType="begin"/>
      </w:r>
      <w:r>
        <w:instrText xml:space="preserve"> PAGEREF _Toc1796 \h </w:instrText>
      </w:r>
      <w:r>
        <w:fldChar w:fldCharType="separate"/>
      </w:r>
      <w:r>
        <w:t>- 13 -</w:t>
      </w:r>
      <w:r>
        <w:fldChar w:fldCharType="end"/>
      </w:r>
      <w:r>
        <w:fldChar w:fldCharType="end"/>
      </w:r>
    </w:p>
    <w:p w14:paraId="772D26CA">
      <w:pPr>
        <w:pStyle w:val="46"/>
        <w:tabs>
          <w:tab w:val="right" w:leader="dot" w:pos="9412"/>
        </w:tabs>
        <w:ind w:left="560"/>
      </w:pPr>
      <w:r>
        <w:fldChar w:fldCharType="begin"/>
      </w:r>
      <w:r>
        <w:instrText xml:space="preserve"> HYPERLINK \l "_Toc8346" </w:instrText>
      </w:r>
      <w:r>
        <w:fldChar w:fldCharType="separate"/>
      </w:r>
      <w:r>
        <w:rPr>
          <w:rFonts w:hint="eastAsia" w:ascii="方正仿宋_GBK" w:hAnsi="宋体" w:eastAsia="方正仿宋_GBK"/>
        </w:rPr>
        <w:t>一、磋商费用</w:t>
      </w:r>
      <w:r>
        <w:tab/>
      </w:r>
      <w:r>
        <w:fldChar w:fldCharType="begin"/>
      </w:r>
      <w:r>
        <w:instrText xml:space="preserve"> PAGEREF _Toc8346 \h </w:instrText>
      </w:r>
      <w:r>
        <w:fldChar w:fldCharType="separate"/>
      </w:r>
      <w:r>
        <w:t>- 13 -</w:t>
      </w:r>
      <w:r>
        <w:fldChar w:fldCharType="end"/>
      </w:r>
      <w:r>
        <w:fldChar w:fldCharType="end"/>
      </w:r>
    </w:p>
    <w:p w14:paraId="1E862679">
      <w:pPr>
        <w:pStyle w:val="46"/>
        <w:tabs>
          <w:tab w:val="right" w:leader="dot" w:pos="9412"/>
        </w:tabs>
        <w:ind w:left="560"/>
      </w:pPr>
      <w:r>
        <w:fldChar w:fldCharType="begin"/>
      </w:r>
      <w:r>
        <w:instrText xml:space="preserve"> HYPERLINK \l "_Toc21292" </w:instrText>
      </w:r>
      <w:r>
        <w:fldChar w:fldCharType="separate"/>
      </w:r>
      <w:r>
        <w:rPr>
          <w:rFonts w:hint="eastAsia" w:ascii="方正仿宋_GBK" w:hAnsi="宋体" w:eastAsia="方正仿宋_GBK"/>
        </w:rPr>
        <w:t>二、竞争性磋商文件</w:t>
      </w:r>
      <w:r>
        <w:tab/>
      </w:r>
      <w:r>
        <w:fldChar w:fldCharType="begin"/>
      </w:r>
      <w:r>
        <w:instrText xml:space="preserve"> PAGEREF _Toc21292 \h </w:instrText>
      </w:r>
      <w:r>
        <w:fldChar w:fldCharType="separate"/>
      </w:r>
      <w:r>
        <w:t>- 13 -</w:t>
      </w:r>
      <w:r>
        <w:fldChar w:fldCharType="end"/>
      </w:r>
      <w:r>
        <w:fldChar w:fldCharType="end"/>
      </w:r>
    </w:p>
    <w:p w14:paraId="33E3EFD4">
      <w:pPr>
        <w:pStyle w:val="46"/>
        <w:tabs>
          <w:tab w:val="right" w:leader="dot" w:pos="9412"/>
        </w:tabs>
        <w:ind w:left="560"/>
      </w:pPr>
      <w:r>
        <w:fldChar w:fldCharType="begin"/>
      </w:r>
      <w:r>
        <w:instrText xml:space="preserve"> HYPERLINK \l "_Toc19498" </w:instrText>
      </w:r>
      <w:r>
        <w:fldChar w:fldCharType="separate"/>
      </w:r>
      <w:r>
        <w:rPr>
          <w:rFonts w:hint="eastAsia" w:ascii="方正仿宋_GBK" w:hAnsi="宋体" w:eastAsia="方正仿宋_GBK"/>
        </w:rPr>
        <w:t>三、磋商要求</w:t>
      </w:r>
      <w:r>
        <w:tab/>
      </w:r>
      <w:r>
        <w:fldChar w:fldCharType="begin"/>
      </w:r>
      <w:r>
        <w:instrText xml:space="preserve"> PAGEREF _Toc19498 \h </w:instrText>
      </w:r>
      <w:r>
        <w:fldChar w:fldCharType="separate"/>
      </w:r>
      <w:r>
        <w:t>- 13 -</w:t>
      </w:r>
      <w:r>
        <w:fldChar w:fldCharType="end"/>
      </w:r>
      <w:r>
        <w:fldChar w:fldCharType="end"/>
      </w:r>
    </w:p>
    <w:p w14:paraId="27FD3E2A">
      <w:pPr>
        <w:pStyle w:val="46"/>
        <w:tabs>
          <w:tab w:val="right" w:leader="dot" w:pos="9412"/>
        </w:tabs>
        <w:ind w:left="560"/>
      </w:pPr>
      <w:r>
        <w:fldChar w:fldCharType="begin"/>
      </w:r>
      <w:r>
        <w:instrText xml:space="preserve"> HYPERLINK \l "_Toc17153" </w:instrText>
      </w:r>
      <w:r>
        <w:fldChar w:fldCharType="separate"/>
      </w:r>
      <w:r>
        <w:rPr>
          <w:rFonts w:hint="eastAsia" w:ascii="方正仿宋_GBK" w:hAnsi="宋体" w:eastAsia="方正仿宋_GBK"/>
        </w:rPr>
        <w:t>四、成交供应商的确认和变更</w:t>
      </w:r>
      <w:r>
        <w:tab/>
      </w:r>
      <w:r>
        <w:fldChar w:fldCharType="begin"/>
      </w:r>
      <w:r>
        <w:instrText xml:space="preserve"> PAGEREF _Toc17153 \h </w:instrText>
      </w:r>
      <w:r>
        <w:fldChar w:fldCharType="separate"/>
      </w:r>
      <w:r>
        <w:t>- 14 -</w:t>
      </w:r>
      <w:r>
        <w:fldChar w:fldCharType="end"/>
      </w:r>
      <w:r>
        <w:fldChar w:fldCharType="end"/>
      </w:r>
    </w:p>
    <w:p w14:paraId="1A2DDFCE">
      <w:pPr>
        <w:pStyle w:val="46"/>
        <w:tabs>
          <w:tab w:val="right" w:leader="dot" w:pos="9412"/>
        </w:tabs>
        <w:ind w:left="560"/>
      </w:pPr>
      <w:r>
        <w:fldChar w:fldCharType="begin"/>
      </w:r>
      <w:r>
        <w:instrText xml:space="preserve"> HYPERLINK \l "_Toc15667" </w:instrText>
      </w:r>
      <w:r>
        <w:fldChar w:fldCharType="separate"/>
      </w:r>
      <w:r>
        <w:rPr>
          <w:rFonts w:hint="eastAsia" w:ascii="方正仿宋_GBK" w:hAnsi="宋体" w:eastAsia="方正仿宋_GBK"/>
        </w:rPr>
        <w:t>五、成交通知</w:t>
      </w:r>
      <w:r>
        <w:tab/>
      </w:r>
      <w:r>
        <w:fldChar w:fldCharType="begin"/>
      </w:r>
      <w:r>
        <w:instrText xml:space="preserve"> PAGEREF _Toc15667 \h </w:instrText>
      </w:r>
      <w:r>
        <w:fldChar w:fldCharType="separate"/>
      </w:r>
      <w:r>
        <w:t>- 15 -</w:t>
      </w:r>
      <w:r>
        <w:fldChar w:fldCharType="end"/>
      </w:r>
      <w:r>
        <w:fldChar w:fldCharType="end"/>
      </w:r>
    </w:p>
    <w:p w14:paraId="0AE6C9CE">
      <w:pPr>
        <w:pStyle w:val="46"/>
        <w:tabs>
          <w:tab w:val="right" w:leader="dot" w:pos="9412"/>
        </w:tabs>
        <w:ind w:left="560"/>
      </w:pPr>
      <w:r>
        <w:fldChar w:fldCharType="begin"/>
      </w:r>
      <w:r>
        <w:instrText xml:space="preserve"> HYPERLINK \l "_Toc26090" </w:instrText>
      </w:r>
      <w:r>
        <w:fldChar w:fldCharType="separate"/>
      </w:r>
      <w:r>
        <w:rPr>
          <w:rFonts w:hint="eastAsia" w:ascii="方正仿宋_GBK" w:hAnsi="宋体" w:eastAsia="方正仿宋_GBK"/>
        </w:rPr>
        <w:t>六、关于质疑和投诉</w:t>
      </w:r>
      <w:r>
        <w:tab/>
      </w:r>
      <w:r>
        <w:fldChar w:fldCharType="begin"/>
      </w:r>
      <w:r>
        <w:instrText xml:space="preserve"> PAGEREF _Toc26090 \h </w:instrText>
      </w:r>
      <w:r>
        <w:fldChar w:fldCharType="separate"/>
      </w:r>
      <w:r>
        <w:t>- 15 -</w:t>
      </w:r>
      <w:r>
        <w:fldChar w:fldCharType="end"/>
      </w:r>
      <w:r>
        <w:fldChar w:fldCharType="end"/>
      </w:r>
    </w:p>
    <w:p w14:paraId="6D9D8654">
      <w:pPr>
        <w:pStyle w:val="46"/>
        <w:tabs>
          <w:tab w:val="right" w:leader="dot" w:pos="9412"/>
        </w:tabs>
        <w:ind w:left="560"/>
      </w:pPr>
      <w:r>
        <w:fldChar w:fldCharType="begin"/>
      </w:r>
      <w:r>
        <w:instrText xml:space="preserve"> HYPERLINK \l "_Toc19340" </w:instrText>
      </w:r>
      <w:r>
        <w:fldChar w:fldCharType="separate"/>
      </w:r>
      <w:r>
        <w:rPr>
          <w:rFonts w:hint="eastAsia" w:ascii="方正仿宋_GBK" w:hAnsi="宋体" w:eastAsia="方正仿宋_GBK"/>
        </w:rPr>
        <w:t>七、签订合同</w:t>
      </w:r>
      <w:r>
        <w:tab/>
      </w:r>
      <w:r>
        <w:fldChar w:fldCharType="begin"/>
      </w:r>
      <w:r>
        <w:instrText xml:space="preserve"> PAGEREF _Toc19340 \h </w:instrText>
      </w:r>
      <w:r>
        <w:fldChar w:fldCharType="separate"/>
      </w:r>
      <w:r>
        <w:t>- 16 -</w:t>
      </w:r>
      <w:r>
        <w:fldChar w:fldCharType="end"/>
      </w:r>
      <w:r>
        <w:fldChar w:fldCharType="end"/>
      </w:r>
    </w:p>
    <w:p w14:paraId="7CB828B2">
      <w:pPr>
        <w:pStyle w:val="46"/>
        <w:tabs>
          <w:tab w:val="right" w:leader="dot" w:pos="9412"/>
        </w:tabs>
        <w:ind w:left="560"/>
      </w:pPr>
      <w:r>
        <w:fldChar w:fldCharType="begin"/>
      </w:r>
      <w:r>
        <w:instrText xml:space="preserve"> HYPERLINK \l "_Toc19009" </w:instrText>
      </w:r>
      <w:r>
        <w:fldChar w:fldCharType="separate"/>
      </w:r>
      <w:r>
        <w:rPr>
          <w:rFonts w:hint="eastAsia" w:ascii="方正仿宋_GBK" w:hAnsi="宋体" w:eastAsia="方正仿宋_GBK"/>
        </w:rPr>
        <w:t>八、政府采购信用融资</w:t>
      </w:r>
      <w:r>
        <w:tab/>
      </w:r>
      <w:r>
        <w:fldChar w:fldCharType="begin"/>
      </w:r>
      <w:r>
        <w:instrText xml:space="preserve"> PAGEREF _Toc19009 \h </w:instrText>
      </w:r>
      <w:r>
        <w:fldChar w:fldCharType="separate"/>
      </w:r>
      <w:r>
        <w:t>- 17 -</w:t>
      </w:r>
      <w:r>
        <w:fldChar w:fldCharType="end"/>
      </w:r>
      <w:r>
        <w:fldChar w:fldCharType="end"/>
      </w:r>
    </w:p>
    <w:p w14:paraId="28BE53BC">
      <w:pPr>
        <w:pStyle w:val="46"/>
        <w:tabs>
          <w:tab w:val="right" w:leader="dot" w:pos="9412"/>
        </w:tabs>
        <w:ind w:left="560"/>
      </w:pPr>
      <w:r>
        <w:fldChar w:fldCharType="begin"/>
      </w:r>
      <w:r>
        <w:instrText xml:space="preserve"> HYPERLINK \l "_Toc4738" </w:instrText>
      </w:r>
      <w:r>
        <w:fldChar w:fldCharType="separate"/>
      </w:r>
      <w:r>
        <w:rPr>
          <w:rFonts w:hint="eastAsia" w:ascii="方正小标宋_GBK" w:hAnsi="宋体" w:eastAsia="方正小标宋_GBK"/>
          <w:szCs w:val="30"/>
        </w:rPr>
        <w:t>第六篇  政府采购合同</w:t>
      </w:r>
      <w:r>
        <w:tab/>
      </w:r>
      <w:r>
        <w:fldChar w:fldCharType="begin"/>
      </w:r>
      <w:r>
        <w:instrText xml:space="preserve"> PAGEREF _Toc4738 \h </w:instrText>
      </w:r>
      <w:r>
        <w:fldChar w:fldCharType="separate"/>
      </w:r>
      <w:r>
        <w:t>- 18 -</w:t>
      </w:r>
      <w:r>
        <w:fldChar w:fldCharType="end"/>
      </w:r>
      <w:r>
        <w:fldChar w:fldCharType="end"/>
      </w:r>
    </w:p>
    <w:p w14:paraId="47E27441">
      <w:pPr>
        <w:pStyle w:val="46"/>
        <w:tabs>
          <w:tab w:val="right" w:leader="dot" w:pos="9412"/>
        </w:tabs>
        <w:ind w:left="560"/>
      </w:pPr>
      <w:r>
        <w:fldChar w:fldCharType="begin"/>
      </w:r>
      <w:r>
        <w:instrText xml:space="preserve"> HYPERLINK \l "_Toc13073" </w:instrText>
      </w:r>
      <w:r>
        <w:fldChar w:fldCharType="separate"/>
      </w:r>
      <w:r>
        <w:rPr>
          <w:rFonts w:hint="eastAsia" w:ascii="方正小标宋_GBK" w:hAnsi="宋体" w:eastAsia="方正小标宋_GBK"/>
          <w:szCs w:val="30"/>
        </w:rPr>
        <w:t>第七篇  响应文件编制要求</w:t>
      </w:r>
      <w:r>
        <w:tab/>
      </w:r>
      <w:r>
        <w:fldChar w:fldCharType="begin"/>
      </w:r>
      <w:r>
        <w:instrText xml:space="preserve"> PAGEREF _Toc13073 \h </w:instrText>
      </w:r>
      <w:r>
        <w:fldChar w:fldCharType="separate"/>
      </w:r>
      <w:r>
        <w:t>- 19 -</w:t>
      </w:r>
      <w:r>
        <w:fldChar w:fldCharType="end"/>
      </w:r>
      <w:r>
        <w:fldChar w:fldCharType="end"/>
      </w:r>
    </w:p>
    <w:p w14:paraId="0D952F61">
      <w:pPr>
        <w:pStyle w:val="46"/>
        <w:tabs>
          <w:tab w:val="right" w:leader="dot" w:pos="9412"/>
        </w:tabs>
        <w:ind w:left="560"/>
      </w:pPr>
      <w:r>
        <w:fldChar w:fldCharType="begin"/>
      </w:r>
      <w:r>
        <w:instrText xml:space="preserve"> HYPERLINK \l "_Toc21018" </w:instrText>
      </w:r>
      <w:r>
        <w:fldChar w:fldCharType="separate"/>
      </w:r>
      <w:r>
        <w:rPr>
          <w:rFonts w:hint="eastAsia" w:ascii="方正仿宋_GBK" w:hAnsi="宋体" w:eastAsia="方正仿宋_GBK"/>
        </w:rPr>
        <w:t>一、经济部分</w:t>
      </w:r>
      <w:r>
        <w:tab/>
      </w:r>
      <w:r>
        <w:fldChar w:fldCharType="begin"/>
      </w:r>
      <w:r>
        <w:instrText xml:space="preserve"> PAGEREF _Toc21018 \h </w:instrText>
      </w:r>
      <w:r>
        <w:fldChar w:fldCharType="separate"/>
      </w:r>
      <w:r>
        <w:t>- 20 -</w:t>
      </w:r>
      <w:r>
        <w:fldChar w:fldCharType="end"/>
      </w:r>
      <w:r>
        <w:fldChar w:fldCharType="end"/>
      </w:r>
    </w:p>
    <w:p w14:paraId="12983164">
      <w:pPr>
        <w:pStyle w:val="46"/>
        <w:tabs>
          <w:tab w:val="right" w:leader="dot" w:pos="9412"/>
        </w:tabs>
        <w:ind w:left="560"/>
      </w:pPr>
      <w:r>
        <w:fldChar w:fldCharType="begin"/>
      </w:r>
      <w:r>
        <w:instrText xml:space="preserve"> HYPERLINK \l "_Toc27854" </w:instrText>
      </w:r>
      <w:r>
        <w:fldChar w:fldCharType="separate"/>
      </w:r>
      <w:r>
        <w:rPr>
          <w:rFonts w:hint="eastAsia" w:ascii="方正仿宋_GBK" w:hAnsi="宋体" w:eastAsia="方正仿宋_GBK"/>
        </w:rPr>
        <w:t>二、技术部分</w:t>
      </w:r>
      <w:r>
        <w:tab/>
      </w:r>
      <w:r>
        <w:fldChar w:fldCharType="begin"/>
      </w:r>
      <w:r>
        <w:instrText xml:space="preserve"> PAGEREF _Toc27854 \h </w:instrText>
      </w:r>
      <w:r>
        <w:fldChar w:fldCharType="separate"/>
      </w:r>
      <w:r>
        <w:t>- 27 -</w:t>
      </w:r>
      <w:r>
        <w:fldChar w:fldCharType="end"/>
      </w:r>
      <w:r>
        <w:fldChar w:fldCharType="end"/>
      </w:r>
    </w:p>
    <w:p w14:paraId="7D93070D">
      <w:pPr>
        <w:pStyle w:val="46"/>
        <w:tabs>
          <w:tab w:val="right" w:leader="dot" w:pos="9412"/>
        </w:tabs>
        <w:ind w:left="560"/>
      </w:pPr>
      <w:r>
        <w:fldChar w:fldCharType="begin"/>
      </w:r>
      <w:r>
        <w:instrText xml:space="preserve"> HYPERLINK \l "_Toc1911" </w:instrText>
      </w:r>
      <w:r>
        <w:fldChar w:fldCharType="separate"/>
      </w:r>
      <w:r>
        <w:rPr>
          <w:rFonts w:hint="eastAsia" w:ascii="方正仿宋_GBK" w:hAnsi="宋体" w:eastAsia="方正仿宋_GBK"/>
          <w:szCs w:val="22"/>
        </w:rPr>
        <w:t>三、商务部分</w:t>
      </w:r>
      <w:r>
        <w:tab/>
      </w:r>
      <w:r>
        <w:fldChar w:fldCharType="begin"/>
      </w:r>
      <w:r>
        <w:instrText xml:space="preserve"> PAGEREF _Toc1911 \h </w:instrText>
      </w:r>
      <w:r>
        <w:fldChar w:fldCharType="separate"/>
      </w:r>
      <w:r>
        <w:t>- 30 -</w:t>
      </w:r>
      <w:r>
        <w:fldChar w:fldCharType="end"/>
      </w:r>
      <w:r>
        <w:fldChar w:fldCharType="end"/>
      </w:r>
    </w:p>
    <w:p w14:paraId="73932BDE">
      <w:pPr>
        <w:pStyle w:val="46"/>
        <w:tabs>
          <w:tab w:val="right" w:leader="dot" w:pos="9412"/>
        </w:tabs>
        <w:ind w:left="560"/>
      </w:pPr>
      <w:r>
        <w:fldChar w:fldCharType="begin"/>
      </w:r>
      <w:r>
        <w:instrText xml:space="preserve"> HYPERLINK \l "_Toc16543" </w:instrText>
      </w:r>
      <w:r>
        <w:fldChar w:fldCharType="separate"/>
      </w:r>
      <w:r>
        <w:rPr>
          <w:rFonts w:hint="eastAsia" w:ascii="方正仿宋_GBK" w:hAnsi="宋体" w:eastAsia="方正仿宋_GBK"/>
        </w:rPr>
        <w:t>四、资格条件</w:t>
      </w:r>
      <w:r>
        <w:tab/>
      </w:r>
      <w:r>
        <w:fldChar w:fldCharType="begin"/>
      </w:r>
      <w:r>
        <w:instrText xml:space="preserve"> PAGEREF _Toc16543 \h </w:instrText>
      </w:r>
      <w:r>
        <w:fldChar w:fldCharType="separate"/>
      </w:r>
      <w:r>
        <w:t>- 31 -</w:t>
      </w:r>
      <w:r>
        <w:fldChar w:fldCharType="end"/>
      </w:r>
      <w:r>
        <w:fldChar w:fldCharType="end"/>
      </w:r>
    </w:p>
    <w:p w14:paraId="4DA3FD8C">
      <w:pPr>
        <w:pStyle w:val="46"/>
        <w:tabs>
          <w:tab w:val="right" w:leader="dot" w:pos="9412"/>
        </w:tabs>
        <w:ind w:left="560"/>
      </w:pPr>
      <w:r>
        <w:fldChar w:fldCharType="begin"/>
      </w:r>
      <w:r>
        <w:instrText xml:space="preserve"> HYPERLINK \l "_Toc23912" </w:instrText>
      </w:r>
      <w:r>
        <w:fldChar w:fldCharType="separate"/>
      </w:r>
      <w:r>
        <w:rPr>
          <w:rFonts w:hint="eastAsia" w:ascii="方正仿宋_GBK" w:hAnsi="宋体" w:eastAsia="方正仿宋_GBK"/>
        </w:rPr>
        <w:t>五、其他资料</w:t>
      </w:r>
      <w:r>
        <w:tab/>
      </w:r>
      <w:r>
        <w:fldChar w:fldCharType="begin"/>
      </w:r>
      <w:r>
        <w:instrText xml:space="preserve"> PAGEREF _Toc23912 \h </w:instrText>
      </w:r>
      <w:r>
        <w:fldChar w:fldCharType="separate"/>
      </w:r>
      <w:r>
        <w:t>- 36 -</w:t>
      </w:r>
      <w:r>
        <w:fldChar w:fldCharType="end"/>
      </w:r>
      <w:r>
        <w:fldChar w:fldCharType="end"/>
      </w:r>
    </w:p>
    <w:p w14:paraId="0A2E8162">
      <w:pPr>
        <w:pStyle w:val="46"/>
        <w:tabs>
          <w:tab w:val="right" w:leader="dot" w:pos="9402"/>
        </w:tabs>
        <w:spacing w:line="480" w:lineRule="exact"/>
        <w:ind w:left="560"/>
        <w:jc w:val="center"/>
        <w:outlineLvl w:val="0"/>
        <w:rPr>
          <w:rFonts w:ascii="方正小标宋_GBK" w:hAnsi="宋体" w:eastAsia="方正小标宋_GBK"/>
          <w:szCs w:val="30"/>
        </w:rPr>
      </w:pPr>
      <w:r>
        <w:rPr>
          <w:rFonts w:hint="eastAsia" w:ascii="方正仿宋_GBK" w:hAnsi="宋体" w:eastAsia="方正仿宋_GBK"/>
          <w:szCs w:val="21"/>
        </w:rPr>
        <w:fldChar w:fldCharType="end"/>
      </w:r>
      <w:bookmarkStart w:id="0" w:name="_Toc11641050"/>
      <w:bookmarkStart w:id="1" w:name="_Toc19326"/>
      <w:bookmarkStart w:id="2" w:name="_Toc12789052"/>
      <w:bookmarkStart w:id="3" w:name="_Toc106030870"/>
      <w:bookmarkStart w:id="4" w:name="_Toc76462316"/>
      <w:r>
        <w:rPr>
          <w:rFonts w:hint="eastAsia" w:ascii="方正仿宋_GBK" w:hAnsi="宋体" w:eastAsia="方正仿宋_GBK"/>
          <w:szCs w:val="21"/>
        </w:rPr>
        <w:br w:type="page"/>
      </w:r>
      <w:r>
        <w:rPr>
          <w:rFonts w:hint="eastAsia" w:ascii="方正小标宋_GBK" w:hAnsi="宋体" w:eastAsia="方正小标宋_GBK"/>
          <w:sz w:val="36"/>
          <w:szCs w:val="30"/>
        </w:rPr>
        <w:t>第一篇  采购邀请书</w:t>
      </w:r>
      <w:bookmarkEnd w:id="0"/>
      <w:bookmarkEnd w:id="1"/>
      <w:bookmarkEnd w:id="2"/>
      <w:bookmarkEnd w:id="3"/>
      <w:bookmarkEnd w:id="4"/>
    </w:p>
    <w:p w14:paraId="58C6444B">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重庆龙泰工程咨询有限公司接受重庆瑞得思达光电科技有限公司的委托，对重庆瑞得思达光电科技有限公司-办公家具采购项目</w:t>
      </w:r>
      <w:r>
        <w:rPr>
          <w:rFonts w:hint="eastAsia" w:ascii="方正仿宋_GBK" w:hAnsi="宋体" w:eastAsia="方正仿宋_GBK"/>
          <w:sz w:val="24"/>
          <w:szCs w:val="24"/>
          <w:lang w:eastAsia="zh-CN"/>
        </w:rPr>
        <w:t>（第二次）</w:t>
      </w:r>
      <w:r>
        <w:rPr>
          <w:rFonts w:hint="eastAsia" w:ascii="方正仿宋_GBK" w:hAnsi="宋体" w:eastAsia="方正仿宋_GBK"/>
          <w:sz w:val="24"/>
          <w:szCs w:val="24"/>
        </w:rPr>
        <w:t>进行竞争性磋商采购。欢迎有资格的供应商前来参与磋商。</w:t>
      </w:r>
    </w:p>
    <w:p w14:paraId="6FF987B2">
      <w:pPr>
        <w:pStyle w:val="4"/>
        <w:adjustRightInd w:val="0"/>
        <w:snapToGrid w:val="0"/>
        <w:spacing w:before="0" w:after="0" w:line="400" w:lineRule="exact"/>
        <w:ind w:firstLine="482" w:firstLineChars="200"/>
        <w:rPr>
          <w:rFonts w:ascii="方正仿宋_GBK" w:hAnsi="宋体" w:eastAsia="方正仿宋_GBK"/>
          <w:sz w:val="24"/>
        </w:rPr>
      </w:pPr>
      <w:bookmarkStart w:id="5" w:name="_Toc76462317"/>
      <w:bookmarkStart w:id="6" w:name="_Toc106030871"/>
      <w:bookmarkStart w:id="7" w:name="_Toc317775175"/>
      <w:bookmarkStart w:id="8" w:name="_Toc313893526"/>
      <w:bookmarkStart w:id="9" w:name="_Toc2520"/>
      <w:r>
        <w:rPr>
          <w:rFonts w:hint="eastAsia" w:ascii="方正仿宋_GBK" w:hAnsi="宋体" w:eastAsia="方正仿宋_GBK"/>
          <w:sz w:val="24"/>
        </w:rPr>
        <w:t>一、竞争性磋商内容</w:t>
      </w:r>
      <w:bookmarkEnd w:id="5"/>
      <w:bookmarkEnd w:id="6"/>
      <w:bookmarkEnd w:id="7"/>
      <w:bookmarkEnd w:id="8"/>
      <w:bookmarkEnd w:id="9"/>
    </w:p>
    <w:tbl>
      <w:tblPr>
        <w:tblStyle w:val="5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6"/>
        <w:gridCol w:w="2755"/>
        <w:gridCol w:w="2303"/>
      </w:tblGrid>
      <w:tr w14:paraId="5136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2372" w:type="pct"/>
            <w:tcBorders>
              <w:top w:val="single" w:color="auto" w:sz="4" w:space="0"/>
              <w:left w:val="single" w:color="auto" w:sz="4" w:space="0"/>
              <w:right w:val="single" w:color="auto" w:sz="4" w:space="0"/>
            </w:tcBorders>
            <w:vAlign w:val="center"/>
          </w:tcPr>
          <w:p w14:paraId="486DA7A8">
            <w:pPr>
              <w:widowControl/>
              <w:jc w:val="center"/>
              <w:rPr>
                <w:rFonts w:ascii="方正仿宋_GBK" w:hAnsi="宋体" w:eastAsia="方正仿宋_GBK" w:cs="宋体"/>
                <w:b/>
                <w:bCs/>
                <w:kern w:val="0"/>
                <w:sz w:val="21"/>
                <w:szCs w:val="24"/>
              </w:rPr>
            </w:pPr>
            <w:r>
              <w:rPr>
                <w:rFonts w:hint="eastAsia" w:ascii="方正仿宋_GBK" w:hAnsi="宋体" w:eastAsia="方正仿宋_GBK" w:cs="宋体"/>
                <w:b/>
                <w:bCs/>
                <w:kern w:val="0"/>
                <w:sz w:val="21"/>
                <w:szCs w:val="24"/>
              </w:rPr>
              <w:t>包号及名称</w:t>
            </w:r>
          </w:p>
        </w:tc>
        <w:tc>
          <w:tcPr>
            <w:tcW w:w="1431" w:type="pct"/>
            <w:tcBorders>
              <w:top w:val="single" w:color="auto" w:sz="4" w:space="0"/>
              <w:left w:val="single" w:color="auto" w:sz="4" w:space="0"/>
              <w:right w:val="single" w:color="auto" w:sz="4" w:space="0"/>
            </w:tcBorders>
            <w:vAlign w:val="center"/>
          </w:tcPr>
          <w:p w14:paraId="1394DCF2">
            <w:pPr>
              <w:jc w:val="center"/>
              <w:rPr>
                <w:rFonts w:ascii="方正仿宋_GBK" w:hAnsi="宋体" w:eastAsia="方正仿宋_GBK" w:cs="宋体"/>
                <w:b/>
                <w:bCs/>
                <w:kern w:val="0"/>
                <w:sz w:val="21"/>
                <w:szCs w:val="24"/>
              </w:rPr>
            </w:pPr>
            <w:r>
              <w:rPr>
                <w:rFonts w:hint="eastAsia" w:ascii="方正仿宋_GBK" w:hAnsi="宋体" w:eastAsia="方正仿宋_GBK" w:cs="宋体"/>
                <w:b/>
                <w:bCs/>
                <w:kern w:val="0"/>
                <w:sz w:val="21"/>
                <w:szCs w:val="24"/>
              </w:rPr>
              <w:t>最高限价</w:t>
            </w:r>
          </w:p>
        </w:tc>
        <w:tc>
          <w:tcPr>
            <w:tcW w:w="1196" w:type="pct"/>
            <w:tcBorders>
              <w:top w:val="single" w:color="auto" w:sz="4" w:space="0"/>
              <w:left w:val="single" w:color="auto" w:sz="4" w:space="0"/>
              <w:right w:val="single" w:color="auto" w:sz="4" w:space="0"/>
            </w:tcBorders>
            <w:vAlign w:val="center"/>
          </w:tcPr>
          <w:p w14:paraId="2980D97E">
            <w:pPr>
              <w:jc w:val="center"/>
              <w:rPr>
                <w:rFonts w:ascii="方正仿宋_GBK" w:hAnsi="宋体" w:eastAsia="方正仿宋_GBK" w:cs="宋体"/>
                <w:b/>
                <w:bCs/>
                <w:kern w:val="0"/>
                <w:sz w:val="21"/>
                <w:szCs w:val="24"/>
              </w:rPr>
            </w:pPr>
            <w:r>
              <w:rPr>
                <w:rFonts w:hint="eastAsia" w:ascii="方正仿宋_GBK" w:hAnsi="宋体" w:eastAsia="方正仿宋_GBK" w:cs="宋体"/>
                <w:b/>
                <w:bCs/>
                <w:kern w:val="0"/>
                <w:sz w:val="21"/>
                <w:szCs w:val="24"/>
              </w:rPr>
              <w:t>保证金（元）</w:t>
            </w:r>
          </w:p>
        </w:tc>
      </w:tr>
      <w:tr w14:paraId="618F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72" w:type="pct"/>
            <w:tcBorders>
              <w:top w:val="single" w:color="auto" w:sz="4" w:space="0"/>
              <w:left w:val="single" w:color="auto" w:sz="4" w:space="0"/>
              <w:bottom w:val="single" w:color="auto" w:sz="4" w:space="0"/>
              <w:right w:val="single" w:color="auto" w:sz="4" w:space="0"/>
            </w:tcBorders>
            <w:vAlign w:val="center"/>
          </w:tcPr>
          <w:p w14:paraId="3C24CDB8">
            <w:pPr>
              <w:widowControl/>
              <w:jc w:val="center"/>
              <w:rPr>
                <w:rFonts w:hint="eastAsia" w:ascii="方正仿宋_GBK" w:hAnsi="宋体" w:eastAsia="方正仿宋_GBK" w:cs="宋体"/>
                <w:kern w:val="0"/>
                <w:sz w:val="21"/>
                <w:szCs w:val="24"/>
                <w:lang w:eastAsia="zh-CN"/>
              </w:rPr>
            </w:pPr>
            <w:bookmarkStart w:id="10" w:name="_Hlk344477914"/>
            <w:r>
              <w:rPr>
                <w:rFonts w:hint="eastAsia" w:ascii="方正仿宋_GBK" w:hAnsi="宋体" w:eastAsia="方正仿宋_GBK" w:cs="宋体"/>
                <w:kern w:val="0"/>
                <w:sz w:val="21"/>
                <w:szCs w:val="24"/>
              </w:rPr>
              <w:t>重庆瑞得思达光电科技有限公司-办公家具采购</w:t>
            </w:r>
            <w:r>
              <w:rPr>
                <w:rFonts w:hint="eastAsia" w:ascii="方正仿宋_GBK" w:hAnsi="宋体" w:eastAsia="方正仿宋_GBK" w:cs="宋体"/>
                <w:kern w:val="0"/>
                <w:sz w:val="21"/>
                <w:szCs w:val="24"/>
                <w:lang w:eastAsia="zh-CN"/>
              </w:rPr>
              <w:t>（第二次）</w:t>
            </w:r>
          </w:p>
        </w:tc>
        <w:tc>
          <w:tcPr>
            <w:tcW w:w="1431" w:type="pct"/>
            <w:tcBorders>
              <w:top w:val="single" w:color="auto" w:sz="4" w:space="0"/>
              <w:left w:val="single" w:color="auto" w:sz="4" w:space="0"/>
              <w:bottom w:val="single" w:color="auto" w:sz="4" w:space="0"/>
              <w:right w:val="single" w:color="auto" w:sz="4" w:space="0"/>
            </w:tcBorders>
            <w:vAlign w:val="center"/>
          </w:tcPr>
          <w:p w14:paraId="36E48ADF">
            <w:pPr>
              <w:widowControl/>
              <w:jc w:val="center"/>
              <w:rPr>
                <w:rFonts w:ascii="方正仿宋_GBK" w:hAnsi="宋体" w:eastAsia="方正仿宋_GBK" w:cs="宋体"/>
                <w:kern w:val="0"/>
                <w:sz w:val="21"/>
                <w:szCs w:val="24"/>
              </w:rPr>
            </w:pPr>
            <w:r>
              <w:rPr>
                <w:rFonts w:hint="eastAsia" w:ascii="方正仿宋_GBK" w:hAnsi="宋体" w:eastAsia="方正仿宋_GBK" w:cs="宋体"/>
                <w:kern w:val="0"/>
                <w:sz w:val="21"/>
                <w:szCs w:val="24"/>
              </w:rPr>
              <w:t>356711.14元</w:t>
            </w:r>
          </w:p>
        </w:tc>
        <w:tc>
          <w:tcPr>
            <w:tcW w:w="1196" w:type="pct"/>
            <w:tcBorders>
              <w:top w:val="single" w:color="auto" w:sz="4" w:space="0"/>
              <w:left w:val="single" w:color="auto" w:sz="4" w:space="0"/>
              <w:bottom w:val="single" w:color="auto" w:sz="4" w:space="0"/>
              <w:right w:val="single" w:color="auto" w:sz="4" w:space="0"/>
            </w:tcBorders>
            <w:vAlign w:val="center"/>
          </w:tcPr>
          <w:p w14:paraId="447B6ECE">
            <w:pPr>
              <w:widowControl/>
              <w:jc w:val="center"/>
              <w:rPr>
                <w:rFonts w:ascii="方正仿宋_GBK" w:hAnsi="宋体" w:eastAsia="方正仿宋_GBK" w:cs="宋体"/>
                <w:kern w:val="0"/>
                <w:sz w:val="21"/>
                <w:szCs w:val="24"/>
              </w:rPr>
            </w:pPr>
            <w:r>
              <w:rPr>
                <w:rFonts w:hint="eastAsia" w:ascii="方正仿宋_GBK" w:hAnsi="宋体" w:eastAsia="方正仿宋_GBK" w:cs="宋体"/>
                <w:kern w:val="0"/>
                <w:sz w:val="21"/>
                <w:szCs w:val="24"/>
              </w:rPr>
              <w:t>6000</w:t>
            </w:r>
          </w:p>
        </w:tc>
      </w:tr>
      <w:bookmarkEnd w:id="10"/>
    </w:tbl>
    <w:p w14:paraId="65766D09">
      <w:pPr>
        <w:pStyle w:val="4"/>
        <w:adjustRightInd w:val="0"/>
        <w:snapToGrid w:val="0"/>
        <w:spacing w:before="0" w:after="0" w:line="400" w:lineRule="exact"/>
        <w:ind w:firstLine="482" w:firstLineChars="200"/>
        <w:rPr>
          <w:rFonts w:ascii="方正仿宋_GBK" w:hAnsi="宋体" w:eastAsia="方正仿宋_GBK"/>
          <w:sz w:val="24"/>
        </w:rPr>
      </w:pPr>
      <w:bookmarkStart w:id="11" w:name="_Toc11123"/>
      <w:bookmarkStart w:id="12" w:name="_Toc106030872"/>
      <w:bookmarkStart w:id="13" w:name="_Toc76462318"/>
      <w:bookmarkStart w:id="14" w:name="_Toc373860293"/>
      <w:bookmarkStart w:id="15" w:name="_Toc317775178"/>
      <w:r>
        <w:rPr>
          <w:rFonts w:hint="eastAsia" w:ascii="方正仿宋_GBK" w:hAnsi="宋体" w:eastAsia="方正仿宋_GBK"/>
          <w:sz w:val="24"/>
        </w:rPr>
        <w:t>二、资金来源</w:t>
      </w:r>
      <w:bookmarkEnd w:id="11"/>
      <w:bookmarkEnd w:id="12"/>
      <w:bookmarkEnd w:id="13"/>
    </w:p>
    <w:p w14:paraId="4264A9C7">
      <w:pPr>
        <w:spacing w:line="400" w:lineRule="exact"/>
        <w:ind w:firstLine="480" w:firstLineChars="200"/>
        <w:rPr>
          <w:rFonts w:ascii="方正仿宋_GBK" w:hAnsi="宋体" w:eastAsia="方正仿宋_GBK"/>
          <w:sz w:val="24"/>
          <w:szCs w:val="24"/>
        </w:rPr>
      </w:pPr>
      <w:r>
        <w:rPr>
          <w:rFonts w:hint="eastAsia" w:ascii="方正仿宋_GBK" w:hAnsi="仿宋" w:eastAsia="方正仿宋_GBK"/>
          <w:sz w:val="24"/>
          <w:szCs w:val="24"/>
        </w:rPr>
        <w:t>业主自筹</w:t>
      </w:r>
      <w:r>
        <w:rPr>
          <w:rFonts w:hint="eastAsia" w:ascii="方正仿宋_GBK" w:hAnsi="宋体" w:eastAsia="方正仿宋_GBK"/>
          <w:sz w:val="24"/>
          <w:szCs w:val="24"/>
        </w:rPr>
        <w:t>。</w:t>
      </w:r>
    </w:p>
    <w:p w14:paraId="33D02ED6">
      <w:pPr>
        <w:pStyle w:val="4"/>
        <w:adjustRightInd w:val="0"/>
        <w:snapToGrid w:val="0"/>
        <w:spacing w:before="0" w:after="0" w:line="400" w:lineRule="exact"/>
        <w:ind w:firstLine="482" w:firstLineChars="200"/>
        <w:rPr>
          <w:rFonts w:ascii="方正仿宋_GBK" w:hAnsi="宋体" w:eastAsia="方正仿宋_GBK"/>
          <w:sz w:val="24"/>
        </w:rPr>
      </w:pPr>
      <w:bookmarkStart w:id="16" w:name="_Toc76462319"/>
      <w:bookmarkStart w:id="17" w:name="_Toc106030873"/>
      <w:bookmarkStart w:id="18" w:name="_Toc7960"/>
      <w:r>
        <w:rPr>
          <w:rFonts w:hint="eastAsia" w:ascii="方正仿宋_GBK" w:hAnsi="宋体" w:eastAsia="方正仿宋_GBK"/>
          <w:sz w:val="24"/>
        </w:rPr>
        <w:t>三、供应商资格条件</w:t>
      </w:r>
      <w:bookmarkEnd w:id="16"/>
      <w:bookmarkEnd w:id="17"/>
      <w:bookmarkEnd w:id="18"/>
    </w:p>
    <w:p w14:paraId="1FF3D1B2">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合格投标人应首先符合政府采购法第二十二条规定的基本条件，同时符合根据该项目特点设置的特定资格条件。</w:t>
      </w:r>
    </w:p>
    <w:p w14:paraId="0DDA7E1C">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（一）满足《中华人民共和国政府采购法》第二十二条规定。</w:t>
      </w:r>
    </w:p>
    <w:p w14:paraId="7A571592">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（二）落实政府采购政策需满足的资格要求：无。</w:t>
      </w:r>
    </w:p>
    <w:p w14:paraId="55FBB8D5">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（三）本项目的特定资格要求：</w:t>
      </w:r>
    </w:p>
    <w:p w14:paraId="517D7991">
      <w:pPr>
        <w:spacing w:line="400" w:lineRule="exact"/>
        <w:ind w:firstLine="720" w:firstLineChars="300"/>
        <w:rPr>
          <w:rFonts w:ascii="方正仿宋_GBK" w:hAnsi="宋体" w:eastAsia="方正仿宋_GBK"/>
          <w:sz w:val="24"/>
          <w:szCs w:val="24"/>
        </w:rPr>
      </w:pPr>
      <w:r>
        <w:rPr>
          <w:rFonts w:hint="eastAsia" w:ascii="方正仿宋_GBK" w:hAnsi="宋体" w:eastAsia="方正仿宋_GBK"/>
          <w:sz w:val="24"/>
          <w:szCs w:val="24"/>
        </w:rPr>
        <w:t>营业执照经营范围含该项目的生产、经营等内容，除生产企业外，供应商还应提供生产商的授权等相关证明文件。</w:t>
      </w:r>
    </w:p>
    <w:p w14:paraId="03A0EFE0">
      <w:pPr>
        <w:pStyle w:val="4"/>
        <w:adjustRightInd w:val="0"/>
        <w:snapToGrid w:val="0"/>
        <w:spacing w:before="0" w:after="0" w:line="400" w:lineRule="exact"/>
        <w:ind w:firstLine="482" w:firstLineChars="200"/>
        <w:rPr>
          <w:rFonts w:ascii="方正仿宋_GBK" w:hAnsi="宋体" w:eastAsia="方正仿宋_GBK"/>
          <w:sz w:val="24"/>
        </w:rPr>
      </w:pPr>
      <w:bookmarkStart w:id="19" w:name="_Toc76462320"/>
      <w:bookmarkStart w:id="20" w:name="_Toc106030874"/>
      <w:bookmarkStart w:id="21" w:name="_Toc12154"/>
      <w:r>
        <w:rPr>
          <w:rFonts w:hint="eastAsia" w:ascii="方正仿宋_GBK" w:hAnsi="宋体" w:eastAsia="方正仿宋_GBK"/>
          <w:sz w:val="24"/>
        </w:rPr>
        <w:t>四、磋商有关说明</w:t>
      </w:r>
      <w:bookmarkEnd w:id="14"/>
      <w:bookmarkEnd w:id="19"/>
      <w:bookmarkEnd w:id="20"/>
      <w:bookmarkEnd w:id="21"/>
    </w:p>
    <w:p w14:paraId="2C4AEEEF">
      <w:pPr>
        <w:pageBreakBefore w:val="0"/>
        <w:widowControl w:val="0"/>
        <w:kinsoku/>
        <w:wordWrap/>
        <w:overflowPunct/>
        <w:topLinePunct w:val="0"/>
        <w:autoSpaceDE/>
        <w:autoSpaceDN/>
        <w:bidi w:val="0"/>
        <w:snapToGrid w:val="0"/>
        <w:spacing w:line="500" w:lineRule="atLeast"/>
        <w:ind w:firstLine="480"/>
        <w:textAlignment w:val="auto"/>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（一）①凡有意参加投标的投标人，必须通过“红星集团BIP系统”平台（https://erp.redstarchem.com/yonbip-cpu-nodesvr/h/h4sx9n5i?locale=zh_CN）进行注册，成为红星集团BIP系统平台供应商</w:t>
      </w:r>
    </w:p>
    <w:p w14:paraId="77271E67">
      <w:pPr>
        <w:pageBreakBefore w:val="0"/>
        <w:widowControl w:val="0"/>
        <w:kinsoku/>
        <w:wordWrap/>
        <w:overflowPunct/>
        <w:topLinePunct w:val="0"/>
        <w:autoSpaceDE/>
        <w:autoSpaceDN/>
        <w:bidi w:val="0"/>
        <w:snapToGrid w:val="0"/>
        <w:spacing w:line="500" w:lineRule="atLeast"/>
        <w:ind w:firstLine="480"/>
        <w:textAlignment w:val="auto"/>
        <w:rPr>
          <w:rFonts w:ascii="方正仿宋_GBK" w:hAnsi="宋体" w:eastAsia="方正仿宋_GBK"/>
          <w:color w:val="auto"/>
          <w:sz w:val="24"/>
          <w:szCs w:val="24"/>
        </w:rPr>
      </w:pPr>
      <w:r>
        <w:rPr>
          <w:rFonts w:hint="eastAsia" w:ascii="方正仿宋_GBK" w:hAnsi="宋体" w:eastAsia="方正仿宋_GBK"/>
          <w:color w:val="auto"/>
          <w:sz w:val="24"/>
          <w:szCs w:val="24"/>
        </w:rPr>
        <w:t>②参加投标的投标人自行在行采家（https://www.gec123.com/）或红星集团BIP系统（https://erp.redstarchem.com/yonbip-cpu-nodesvr/h/h4sx9n5i?locale=zh_CN）上免费下载本项目招标文件以及图纸、补遗文件等开标前公布的所有项目资料，无论投标人领取或下载与否，均视为已知晓所有招标内容。</w:t>
      </w:r>
    </w:p>
    <w:p w14:paraId="35CD156F">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（二）竞争性磋商公告期限：自采购公告发布之日起5个工作日。</w:t>
      </w:r>
    </w:p>
    <w:p w14:paraId="4C4D78B1">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（三）递交响应文件时间：</w:t>
      </w:r>
      <w:r>
        <w:rPr>
          <w:rFonts w:hint="eastAsia" w:ascii="Times New Roman" w:hAnsi="Times New Roman" w:eastAsia="方正仿宋_GBK"/>
          <w:color w:val="000000" w:themeColor="text1"/>
          <w:sz w:val="24"/>
          <w:szCs w:val="24"/>
          <w14:textFill>
            <w14:solidFill>
              <w14:schemeClr w14:val="tx1"/>
            </w14:solidFill>
          </w14:textFill>
        </w:rPr>
        <w:t>2025年1</w:t>
      </w:r>
      <w:r>
        <w:rPr>
          <w:rFonts w:hint="eastAsia" w:ascii="Times New Roman" w:hAnsi="Times New Roman" w:eastAsia="方正仿宋_GBK"/>
          <w:color w:val="000000" w:themeColor="text1"/>
          <w:sz w:val="24"/>
          <w:szCs w:val="24"/>
          <w:lang w:val="en-US" w:eastAsia="zh-CN"/>
          <w14:textFill>
            <w14:solidFill>
              <w14:schemeClr w14:val="tx1"/>
            </w14:solidFill>
          </w14:textFill>
        </w:rPr>
        <w:t>1</w:t>
      </w:r>
      <w:r>
        <w:rPr>
          <w:rFonts w:hint="eastAsia" w:ascii="Times New Roman" w:hAnsi="Times New Roman" w:eastAsia="方正仿宋_GBK"/>
          <w:color w:val="000000" w:themeColor="text1"/>
          <w:sz w:val="24"/>
          <w:szCs w:val="24"/>
          <w14:textFill>
            <w14:solidFill>
              <w14:schemeClr w14:val="tx1"/>
            </w14:solidFill>
          </w14:textFill>
        </w:rPr>
        <w:t>月</w:t>
      </w:r>
      <w:r>
        <w:rPr>
          <w:rFonts w:hint="eastAsia" w:ascii="Times New Roman" w:hAnsi="Times New Roman" w:eastAsia="方正仿宋_GBK"/>
          <w:color w:val="000000" w:themeColor="text1"/>
          <w:sz w:val="24"/>
          <w:szCs w:val="24"/>
          <w:lang w:val="en-US" w:eastAsia="zh-CN"/>
          <w14:textFill>
            <w14:solidFill>
              <w14:schemeClr w14:val="tx1"/>
            </w14:solidFill>
          </w14:textFill>
        </w:rPr>
        <w:t>12</w:t>
      </w:r>
      <w:r>
        <w:rPr>
          <w:rFonts w:hint="eastAsia" w:ascii="Times New Roman" w:hAnsi="Times New Roman" w:eastAsia="方正仿宋_GBK"/>
          <w:color w:val="000000" w:themeColor="text1"/>
          <w:sz w:val="24"/>
          <w:szCs w:val="24"/>
          <w14:textFill>
            <w14:solidFill>
              <w14:schemeClr w14:val="tx1"/>
            </w14:solidFill>
          </w14:textFill>
        </w:rPr>
        <w:t>日9:30-10:00（</w:t>
      </w:r>
      <w:r>
        <w:rPr>
          <w:rFonts w:hint="eastAsia" w:ascii="方正仿宋_GBK" w:hAnsi="宋体" w:eastAsia="方正仿宋_GBK"/>
          <w:color w:val="000000" w:themeColor="text1"/>
          <w:sz w:val="24"/>
          <w:szCs w:val="24"/>
          <w14:textFill>
            <w14:solidFill>
              <w14:schemeClr w14:val="tx1"/>
            </w14:solidFill>
          </w14:textFill>
        </w:rPr>
        <w:t>北京时间），逾期不予受理。</w:t>
      </w:r>
    </w:p>
    <w:p w14:paraId="6A015D5D">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（四）递交响应文件地点：重庆龙泰工程咨询有限公司会议室。</w:t>
      </w:r>
    </w:p>
    <w:p w14:paraId="3994C467">
      <w:pPr>
        <w:spacing w:line="400" w:lineRule="exact"/>
        <w:ind w:firstLine="480" w:firstLineChars="200"/>
        <w:rPr>
          <w:rFonts w:ascii="方正仿宋_GBK" w:hAnsi="宋体" w:eastAsia="方正仿宋_GBK"/>
          <w:color w:val="000000" w:themeColor="text1"/>
          <w:sz w:val="24"/>
          <w:szCs w:val="24"/>
          <w14:textFill>
            <w14:solidFill>
              <w14:schemeClr w14:val="tx1"/>
            </w14:solidFill>
          </w14:textFill>
        </w:rPr>
      </w:pPr>
      <w:r>
        <w:rPr>
          <w:rFonts w:hint="eastAsia" w:ascii="方正仿宋_GBK" w:hAnsi="宋体" w:eastAsia="方正仿宋_GBK"/>
          <w:color w:val="000000" w:themeColor="text1"/>
          <w:sz w:val="24"/>
          <w:szCs w:val="24"/>
          <w14:textFill>
            <w14:solidFill>
              <w14:schemeClr w14:val="tx1"/>
            </w14:solidFill>
          </w14:textFill>
        </w:rPr>
        <w:t>（五）磋商开始时间：</w:t>
      </w:r>
      <w:r>
        <w:rPr>
          <w:rFonts w:hint="eastAsia" w:ascii="Times New Roman" w:hAnsi="Times New Roman" w:eastAsia="方正仿宋_GBK"/>
          <w:color w:val="000000" w:themeColor="text1"/>
          <w:sz w:val="24"/>
          <w:szCs w:val="24"/>
          <w14:textFill>
            <w14:solidFill>
              <w14:schemeClr w14:val="tx1"/>
            </w14:solidFill>
          </w14:textFill>
        </w:rPr>
        <w:t>2025年1</w:t>
      </w:r>
      <w:r>
        <w:rPr>
          <w:rFonts w:hint="eastAsia" w:ascii="Times New Roman" w:hAnsi="Times New Roman" w:eastAsia="方正仿宋_GBK"/>
          <w:color w:val="000000" w:themeColor="text1"/>
          <w:sz w:val="24"/>
          <w:szCs w:val="24"/>
          <w:lang w:val="en-US" w:eastAsia="zh-CN"/>
          <w14:textFill>
            <w14:solidFill>
              <w14:schemeClr w14:val="tx1"/>
            </w14:solidFill>
          </w14:textFill>
        </w:rPr>
        <w:t>1</w:t>
      </w:r>
      <w:r>
        <w:rPr>
          <w:rFonts w:hint="eastAsia" w:ascii="Times New Roman" w:hAnsi="Times New Roman" w:eastAsia="方正仿宋_GBK"/>
          <w:color w:val="000000" w:themeColor="text1"/>
          <w:sz w:val="24"/>
          <w:szCs w:val="24"/>
          <w14:textFill>
            <w14:solidFill>
              <w14:schemeClr w14:val="tx1"/>
            </w14:solidFill>
          </w14:textFill>
        </w:rPr>
        <w:t>月</w:t>
      </w:r>
      <w:r>
        <w:rPr>
          <w:rFonts w:hint="eastAsia" w:ascii="Times New Roman" w:hAnsi="Times New Roman" w:eastAsia="方正仿宋_GBK"/>
          <w:color w:val="000000" w:themeColor="text1"/>
          <w:sz w:val="24"/>
          <w:szCs w:val="24"/>
          <w:lang w:val="en-US" w:eastAsia="zh-CN"/>
          <w14:textFill>
            <w14:solidFill>
              <w14:schemeClr w14:val="tx1"/>
            </w14:solidFill>
          </w14:textFill>
        </w:rPr>
        <w:t>12</w:t>
      </w:r>
      <w:r>
        <w:rPr>
          <w:rFonts w:hint="eastAsia" w:ascii="Times New Roman" w:hAnsi="Times New Roman" w:eastAsia="方正仿宋_GBK"/>
          <w:color w:val="000000" w:themeColor="text1"/>
          <w:sz w:val="24"/>
          <w:szCs w:val="24"/>
          <w14:textFill>
            <w14:solidFill>
              <w14:schemeClr w14:val="tx1"/>
            </w14:solidFill>
          </w14:textFill>
        </w:rPr>
        <w:t>日10:00</w:t>
      </w:r>
      <w:r>
        <w:rPr>
          <w:rFonts w:hint="eastAsia" w:ascii="方正仿宋_GBK" w:hAnsi="宋体" w:eastAsia="方正仿宋_GBK"/>
          <w:color w:val="000000" w:themeColor="text1"/>
          <w:sz w:val="24"/>
          <w:szCs w:val="24"/>
          <w14:textFill>
            <w14:solidFill>
              <w14:schemeClr w14:val="tx1"/>
            </w14:solidFill>
          </w14:textFill>
        </w:rPr>
        <w:t>。</w:t>
      </w:r>
    </w:p>
    <w:p w14:paraId="19921E1C">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（六）磋商地点：同递交响应文件地点。</w:t>
      </w:r>
    </w:p>
    <w:p w14:paraId="5F9FD97E">
      <w:pPr>
        <w:ind w:firstLine="480" w:firstLineChars="200"/>
        <w:rPr>
          <w:rFonts w:ascii="方正仿宋_GBK" w:hAnsi="宋体" w:eastAsia="方正仿宋_GBK"/>
          <w:sz w:val="24"/>
          <w:szCs w:val="24"/>
        </w:rPr>
      </w:pPr>
      <w:r>
        <w:rPr>
          <w:rFonts w:hint="eastAsia" w:ascii="方正仿宋_GBK" w:hAnsi="宋体" w:eastAsia="方正仿宋_GBK"/>
          <w:sz w:val="24"/>
          <w:szCs w:val="24"/>
        </w:rPr>
        <w:t>（七）详细地址：重庆市铜梁区东城街道办事处迎宾东路402号(建工大厦)第七层。</w:t>
      </w:r>
    </w:p>
    <w:p w14:paraId="410E8792">
      <w:pPr>
        <w:pStyle w:val="4"/>
        <w:adjustRightInd w:val="0"/>
        <w:snapToGrid w:val="0"/>
        <w:spacing w:before="0" w:after="0" w:line="400" w:lineRule="exact"/>
        <w:ind w:firstLine="482" w:firstLineChars="200"/>
        <w:rPr>
          <w:rFonts w:ascii="方正仿宋_GBK" w:hAnsi="宋体" w:eastAsia="方正仿宋_GBK"/>
          <w:sz w:val="24"/>
        </w:rPr>
      </w:pPr>
      <w:bookmarkStart w:id="22" w:name="_Toc7766"/>
      <w:r>
        <w:rPr>
          <w:rFonts w:hint="eastAsia" w:ascii="方正仿宋_GBK" w:hAnsi="宋体" w:eastAsia="方正仿宋_GBK"/>
          <w:sz w:val="24"/>
        </w:rPr>
        <w:t>五、保证金</w:t>
      </w:r>
      <w:bookmarkEnd w:id="22"/>
    </w:p>
    <w:p w14:paraId="2387112C">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（一）投标保证金递交</w:t>
      </w:r>
    </w:p>
    <w:p w14:paraId="3521DEC8">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1.转账方式</w:t>
      </w:r>
    </w:p>
    <w:p w14:paraId="751F5498">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1.1投标人应足额交纳投标保证金（保证金金额详见本篇，一、招标项目内容），并汇至以下账户，投标保证金的到账截止时间为投标文件递交的前一天12:00截止。</w:t>
      </w:r>
    </w:p>
    <w:p w14:paraId="18AB87A7">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投标保证金账户：</w:t>
      </w:r>
    </w:p>
    <w:p w14:paraId="5228A36D">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账户名：重庆瑞得思达光电科技有限公司</w:t>
      </w:r>
    </w:p>
    <w:p w14:paraId="542E3359">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账户号：3100096009200185661</w:t>
      </w:r>
    </w:p>
    <w:p w14:paraId="4A7C3D17">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开户行：工行大足支行</w:t>
      </w:r>
    </w:p>
    <w:p w14:paraId="49042BB2">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电话：023-43649006</w:t>
      </w:r>
    </w:p>
    <w:p w14:paraId="4969CE42">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注：投标保证金需备注“重庆瑞得思达光电科技有限公司-办公家具采购</w:t>
      </w:r>
      <w:r>
        <w:rPr>
          <w:rFonts w:hint="eastAsia" w:ascii="方正仿宋_GBK" w:hAnsi="宋体" w:eastAsia="方正仿宋_GBK"/>
          <w:sz w:val="24"/>
          <w:szCs w:val="24"/>
          <w:lang w:eastAsia="zh-CN"/>
        </w:rPr>
        <w:t>（第二次）</w:t>
      </w:r>
      <w:r>
        <w:rPr>
          <w:rFonts w:hint="eastAsia" w:ascii="方正仿宋_GBK" w:hAnsi="宋体" w:eastAsia="方正仿宋_GBK"/>
          <w:sz w:val="24"/>
          <w:szCs w:val="24"/>
        </w:rPr>
        <w:t>投标保证金”可简写为“办公家具采购</w:t>
      </w:r>
      <w:r>
        <w:rPr>
          <w:rFonts w:hint="eastAsia" w:ascii="方正仿宋_GBK" w:hAnsi="宋体" w:eastAsia="方正仿宋_GBK"/>
          <w:sz w:val="24"/>
          <w:szCs w:val="24"/>
          <w:lang w:eastAsia="zh-CN"/>
        </w:rPr>
        <w:t>（第二次）</w:t>
      </w:r>
      <w:r>
        <w:rPr>
          <w:rFonts w:hint="eastAsia" w:ascii="方正仿宋_GBK" w:hAnsi="宋体" w:eastAsia="方正仿宋_GBK"/>
          <w:sz w:val="24"/>
          <w:szCs w:val="24"/>
        </w:rPr>
        <w:t>投标保证金”</w:t>
      </w:r>
    </w:p>
    <w:p w14:paraId="4B07B468">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1.2各投标人在银行转账（电汇）时，须充分考虑银行转账（电汇）的时间差风险，如同城转账、异地转账或汇款、跨行转账或电汇的时间要求。</w:t>
      </w:r>
    </w:p>
    <w:p w14:paraId="29570E58">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（二）保证金退还方式</w:t>
      </w:r>
    </w:p>
    <w:p w14:paraId="09AFB5D5">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1.未中标投标人的保证金，在中标通知书发放后，招标人在三十日内按来款渠道直接退还。</w:t>
      </w:r>
    </w:p>
    <w:p w14:paraId="0964480E">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2.中标人的投标保证金，在中标人与采购人签订合同后，招标人在三十日内按资金来款渠道直接退还。</w:t>
      </w:r>
    </w:p>
    <w:bookmarkEnd w:id="15"/>
    <w:p w14:paraId="586AB815">
      <w:pPr>
        <w:pStyle w:val="4"/>
        <w:adjustRightInd w:val="0"/>
        <w:snapToGrid w:val="0"/>
        <w:spacing w:before="0" w:after="0" w:line="400" w:lineRule="exact"/>
        <w:ind w:firstLine="482" w:firstLineChars="200"/>
        <w:rPr>
          <w:rFonts w:ascii="方正仿宋_GBK" w:hAnsi="宋体" w:eastAsia="方正仿宋_GBK"/>
          <w:sz w:val="24"/>
        </w:rPr>
      </w:pPr>
      <w:bookmarkStart w:id="23" w:name="_Toc76462322"/>
      <w:bookmarkStart w:id="24" w:name="_Toc106030876"/>
      <w:bookmarkStart w:id="25" w:name="_Toc480466699"/>
      <w:bookmarkStart w:id="26" w:name="_Toc1546"/>
      <w:r>
        <w:rPr>
          <w:rFonts w:hint="eastAsia" w:ascii="方正仿宋_GBK" w:hAnsi="宋体" w:eastAsia="方正仿宋_GBK"/>
          <w:sz w:val="24"/>
        </w:rPr>
        <w:t>六、其它有关规定</w:t>
      </w:r>
      <w:bookmarkEnd w:id="23"/>
      <w:bookmarkEnd w:id="24"/>
      <w:bookmarkEnd w:id="25"/>
      <w:bookmarkEnd w:id="26"/>
    </w:p>
    <w:p w14:paraId="38370F13">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（一）单位负责人为同一人或者存在直接控股、管理关系的不同供应商，</w:t>
      </w:r>
      <w:r>
        <w:rPr>
          <w:rFonts w:ascii="方正仿宋_GBK" w:hAnsi="宋体" w:eastAsia="方正仿宋_GBK"/>
          <w:sz w:val="24"/>
          <w:szCs w:val="24"/>
        </w:rPr>
        <w:t>不得参加同一合同项</w:t>
      </w:r>
      <w:r>
        <w:rPr>
          <w:rFonts w:hint="eastAsia" w:ascii="方正仿宋_GBK" w:hAnsi="宋体" w:eastAsia="方正仿宋_GBK"/>
          <w:sz w:val="24"/>
          <w:szCs w:val="24"/>
        </w:rPr>
        <w:t>（包）</w:t>
      </w:r>
      <w:r>
        <w:rPr>
          <w:rFonts w:ascii="方正仿宋_GBK" w:hAnsi="宋体" w:eastAsia="方正仿宋_GBK"/>
          <w:sz w:val="24"/>
          <w:szCs w:val="24"/>
        </w:rPr>
        <w:t>下的政府采购活动</w:t>
      </w:r>
      <w:r>
        <w:rPr>
          <w:rFonts w:hint="eastAsia" w:ascii="方正仿宋_GBK" w:hAnsi="宋体" w:eastAsia="方正仿宋_GBK"/>
          <w:sz w:val="24"/>
          <w:szCs w:val="24"/>
        </w:rPr>
        <w:t>，否则均为无效响应。</w:t>
      </w:r>
    </w:p>
    <w:p w14:paraId="6688D0B7">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（二）为采购项目提供整体设计、规范编制或者项目管理、监理、检测等服务的供应商，不得再</w:t>
      </w:r>
      <w:r>
        <w:rPr>
          <w:rFonts w:ascii="方正仿宋_GBK" w:hAnsi="宋体" w:eastAsia="方正仿宋_GBK"/>
          <w:sz w:val="24"/>
          <w:szCs w:val="24"/>
        </w:rPr>
        <w:t>参加</w:t>
      </w:r>
      <w:r>
        <w:rPr>
          <w:rFonts w:hint="eastAsia" w:ascii="方正仿宋_GBK" w:hAnsi="宋体" w:eastAsia="方正仿宋_GBK"/>
          <w:sz w:val="24"/>
          <w:szCs w:val="24"/>
        </w:rPr>
        <w:t>该采购</w:t>
      </w:r>
      <w:r>
        <w:rPr>
          <w:rFonts w:ascii="方正仿宋_GBK" w:hAnsi="宋体" w:eastAsia="方正仿宋_GBK"/>
          <w:sz w:val="24"/>
          <w:szCs w:val="24"/>
        </w:rPr>
        <w:t>项目的</w:t>
      </w:r>
      <w:r>
        <w:rPr>
          <w:rFonts w:hint="eastAsia" w:ascii="方正仿宋_GBK" w:hAnsi="宋体" w:eastAsia="方正仿宋_GBK"/>
          <w:sz w:val="24"/>
          <w:szCs w:val="24"/>
        </w:rPr>
        <w:t>其他</w:t>
      </w:r>
      <w:r>
        <w:rPr>
          <w:rFonts w:ascii="方正仿宋_GBK" w:hAnsi="宋体" w:eastAsia="方正仿宋_GBK"/>
          <w:sz w:val="24"/>
          <w:szCs w:val="24"/>
        </w:rPr>
        <w:t>采购活动</w:t>
      </w:r>
      <w:r>
        <w:rPr>
          <w:rFonts w:hint="eastAsia" w:ascii="方正仿宋_GBK" w:hAnsi="宋体" w:eastAsia="方正仿宋_GBK"/>
          <w:sz w:val="24"/>
          <w:szCs w:val="24"/>
        </w:rPr>
        <w:t>。</w:t>
      </w:r>
    </w:p>
    <w:p w14:paraId="7B6D30FD">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三）本项目的澄清文件（如果有）一律在行采家（https://www.gec123.com/）或红星集团BIP系统（https://erp.redstarchem.com/#/）上发布，请各供应商注意下载；无论供应商下载与否，均视同供应商已知晓本项目澄清文件（如果有）的内容。</w:t>
      </w:r>
    </w:p>
    <w:p w14:paraId="693F3D05">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（四）超过响应文件截止时间递交的响应文件，恕不接收。</w:t>
      </w:r>
    </w:p>
    <w:p w14:paraId="03A32B2F">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（五）磋商费用：无论磋商结果如何，供应商参与本项目磋商的所有费用均应由供应商自行承担。</w:t>
      </w:r>
    </w:p>
    <w:p w14:paraId="780183BD">
      <w:pPr>
        <w:snapToGrid w:val="0"/>
        <w:spacing w:line="400" w:lineRule="exact"/>
        <w:ind w:firstLine="360" w:firstLineChars="150"/>
        <w:rPr>
          <w:rFonts w:ascii="方正仿宋_GBK" w:hAnsi="宋体" w:eastAsia="方正仿宋_GBK"/>
          <w:b/>
          <w:sz w:val="24"/>
          <w:szCs w:val="24"/>
        </w:rPr>
      </w:pPr>
      <w:r>
        <w:rPr>
          <w:rFonts w:hint="eastAsia" w:ascii="方正仿宋_GBK" w:hAnsi="宋体" w:eastAsia="方正仿宋_GBK"/>
          <w:sz w:val="24"/>
          <w:szCs w:val="24"/>
        </w:rPr>
        <w:t>（六）</w:t>
      </w:r>
      <w:r>
        <w:rPr>
          <w:rFonts w:hint="eastAsia" w:ascii="方正仿宋_GBK" w:hAnsi="宋体" w:eastAsia="方正仿宋_GBK"/>
          <w:b/>
          <w:i/>
          <w:iCs/>
          <w:sz w:val="24"/>
          <w:szCs w:val="24"/>
        </w:rPr>
        <w:t>本项目不接受联合体参与磋商，否则按无效处理</w:t>
      </w:r>
      <w:r>
        <w:rPr>
          <w:rFonts w:hint="eastAsia" w:ascii="方正仿宋_GBK" w:hAnsi="宋体" w:eastAsia="方正仿宋_GBK"/>
          <w:b/>
          <w:sz w:val="24"/>
          <w:szCs w:val="24"/>
        </w:rPr>
        <w:t>。</w:t>
      </w:r>
    </w:p>
    <w:p w14:paraId="526D3836">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（七）</w:t>
      </w:r>
      <w:r>
        <w:rPr>
          <w:rFonts w:hint="eastAsia" w:ascii="方正仿宋_GBK" w:hAnsi="宋体" w:eastAsia="方正仿宋_GBK"/>
          <w:b/>
          <w:i/>
          <w:iCs/>
          <w:sz w:val="24"/>
          <w:szCs w:val="24"/>
        </w:rPr>
        <w:t>本项目不接受合同分包，否则按无效处理</w:t>
      </w:r>
      <w:r>
        <w:rPr>
          <w:rFonts w:hint="eastAsia" w:ascii="方正仿宋_GBK" w:hAnsi="宋体" w:eastAsia="方正仿宋_GBK"/>
          <w:b/>
          <w:sz w:val="24"/>
          <w:szCs w:val="24"/>
        </w:rPr>
        <w:t>。</w:t>
      </w:r>
    </w:p>
    <w:p w14:paraId="3F2B23F9">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（八）</w:t>
      </w:r>
      <w:bookmarkStart w:id="27" w:name="_Toc480466700"/>
      <w:r>
        <w:rPr>
          <w:rFonts w:hint="eastAsia" w:ascii="方正仿宋_GBK" w:hAnsi="宋体" w:eastAsia="方正仿宋_GBK"/>
          <w:sz w:val="24"/>
          <w:szCs w:val="24"/>
        </w:rPr>
        <w:t>按照《财政部关于在政府采购活动中查询及使用信用记录有关问题的通知》财库〔</w:t>
      </w:r>
      <w:r>
        <w:rPr>
          <w:rFonts w:hint="eastAsia" w:ascii="Times New Roman" w:hAnsi="Times New Roman" w:eastAsia="方正仿宋_GBK"/>
          <w:sz w:val="24"/>
          <w:szCs w:val="24"/>
        </w:rPr>
        <w:t>2016</w:t>
      </w:r>
      <w:r>
        <w:rPr>
          <w:rFonts w:hint="eastAsia" w:ascii="方正仿宋_GBK" w:hAnsi="宋体" w:eastAsia="方正仿宋_GBK"/>
          <w:sz w:val="24"/>
          <w:szCs w:val="24"/>
        </w:rPr>
        <w:t>〕</w:t>
      </w:r>
      <w:r>
        <w:rPr>
          <w:rFonts w:hint="eastAsia" w:ascii="Times New Roman" w:hAnsi="Times New Roman" w:eastAsia="方正仿宋_GBK"/>
          <w:sz w:val="24"/>
          <w:szCs w:val="24"/>
        </w:rPr>
        <w:t>125</w:t>
      </w:r>
      <w:r>
        <w:rPr>
          <w:rFonts w:hint="eastAsia" w:ascii="方正仿宋_GBK" w:hAnsi="宋体" w:eastAsia="方正仿宋_GBK"/>
          <w:sz w:val="24"/>
          <w:szCs w:val="24"/>
        </w:rPr>
        <w:t>号，供应商列入失信被执行人、重大税收违法案件当事人名单、政府采购严重违法失信行为记录名单及其他不符合《中华人民共和国政府采购法》第二十二条规定条件的供应商，将拒绝其参与政府采购活动。</w:t>
      </w:r>
    </w:p>
    <w:p w14:paraId="4FEB0ADF">
      <w:pPr>
        <w:pStyle w:val="4"/>
        <w:adjustRightInd w:val="0"/>
        <w:snapToGrid w:val="0"/>
        <w:spacing w:before="0" w:after="0" w:line="400" w:lineRule="exact"/>
        <w:ind w:firstLine="482" w:firstLineChars="200"/>
        <w:rPr>
          <w:rFonts w:ascii="方正仿宋_GBK" w:hAnsi="宋体" w:eastAsia="方正仿宋_GBK"/>
          <w:sz w:val="24"/>
        </w:rPr>
      </w:pPr>
      <w:bookmarkStart w:id="28" w:name="_Toc15027"/>
      <w:bookmarkStart w:id="29" w:name="_Toc76462323"/>
      <w:bookmarkStart w:id="30" w:name="_Toc106030877"/>
      <w:r>
        <w:rPr>
          <w:rFonts w:hint="eastAsia" w:ascii="方正仿宋_GBK" w:hAnsi="宋体" w:eastAsia="方正仿宋_GBK"/>
          <w:sz w:val="24"/>
        </w:rPr>
        <w:t>七、发布公告的媒介</w:t>
      </w:r>
    </w:p>
    <w:p w14:paraId="76EAD8C8">
      <w:pPr>
        <w:snapToGrid w:val="0"/>
        <w:spacing w:line="400" w:lineRule="exact"/>
        <w:ind w:firstLine="600" w:firstLineChars="250"/>
        <w:rPr>
          <w:rFonts w:ascii="方正仿宋_GBK" w:hAnsi="宋体" w:eastAsia="方正仿宋_GBK"/>
          <w:sz w:val="24"/>
          <w:szCs w:val="24"/>
        </w:rPr>
      </w:pPr>
      <w:r>
        <w:rPr>
          <w:rFonts w:hint="eastAsia" w:ascii="方正仿宋_GBK" w:hAnsi="宋体" w:eastAsia="方正仿宋_GBK"/>
          <w:sz w:val="24"/>
          <w:szCs w:val="24"/>
        </w:rPr>
        <w:t>本次采购公告同时行采家（https://www.gec123.com/）和青岛红星化工集团有限责任公司招采平台（http://erp.redstarchem.com/#/）、红星集团BIP系统（https://erp.redstarchem.com/#/）、青岛阳光采购平台（https://www.qdygcg.com/#/policy-knowledge-base/）上发布。</w:t>
      </w:r>
    </w:p>
    <w:p w14:paraId="517888AA">
      <w:pPr>
        <w:pStyle w:val="4"/>
        <w:adjustRightInd w:val="0"/>
        <w:snapToGrid w:val="0"/>
        <w:spacing w:before="0" w:after="0" w:line="400" w:lineRule="exact"/>
        <w:ind w:firstLine="482" w:firstLineChars="200"/>
        <w:rPr>
          <w:rFonts w:ascii="方正仿宋_GBK" w:hAnsi="宋体" w:eastAsia="方正仿宋_GBK"/>
          <w:sz w:val="24"/>
        </w:rPr>
      </w:pPr>
      <w:r>
        <w:rPr>
          <w:rFonts w:hint="eastAsia" w:ascii="方正仿宋_GBK" w:hAnsi="宋体" w:eastAsia="方正仿宋_GBK"/>
          <w:sz w:val="24"/>
        </w:rPr>
        <w:t>八、联系方式</w:t>
      </w:r>
      <w:bookmarkEnd w:id="27"/>
      <w:bookmarkEnd w:id="28"/>
      <w:bookmarkEnd w:id="29"/>
      <w:bookmarkEnd w:id="30"/>
    </w:p>
    <w:p w14:paraId="5CF93E17">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（一）采购人：重庆瑞得思达光电科技有限公司</w:t>
      </w:r>
    </w:p>
    <w:p w14:paraId="2B7B0C9F">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联系人：马文军</w:t>
      </w:r>
    </w:p>
    <w:p w14:paraId="407C4D94">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电话：18223051076</w:t>
      </w:r>
    </w:p>
    <w:p w14:paraId="334F5CDB">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地址：重庆市大足区邮亭镇华林路3号</w:t>
      </w:r>
    </w:p>
    <w:p w14:paraId="794329E7">
      <w:pPr>
        <w:snapToGrid w:val="0"/>
        <w:spacing w:line="40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（二）采购代理机构：重庆龙泰工程咨询有限公司</w:t>
      </w:r>
    </w:p>
    <w:p w14:paraId="3A6A7B2F">
      <w:pPr>
        <w:snapToGrid w:val="0"/>
        <w:spacing w:line="400" w:lineRule="exact"/>
        <w:ind w:firstLine="360" w:firstLineChars="150"/>
        <w:rPr>
          <w:rFonts w:ascii="方正仿宋_GBK" w:hAnsi="宋体" w:eastAsia="方正仿宋_GBK"/>
          <w:sz w:val="24"/>
          <w:szCs w:val="24"/>
        </w:rPr>
      </w:pPr>
      <w:r>
        <w:rPr>
          <w:rFonts w:ascii="方正仿宋_GBK" w:hAnsi="宋体" w:eastAsia="方正仿宋_GBK"/>
          <w:sz w:val="24"/>
          <w:szCs w:val="24"/>
        </w:rPr>
        <w:t>联系人：</w:t>
      </w:r>
      <w:r>
        <w:rPr>
          <w:rFonts w:hint="eastAsia" w:ascii="方正仿宋_GBK" w:hAnsi="宋体" w:eastAsia="方正仿宋_GBK"/>
          <w:sz w:val="24"/>
          <w:szCs w:val="24"/>
        </w:rPr>
        <w:t>王太杭</w:t>
      </w:r>
    </w:p>
    <w:p w14:paraId="329E4ADC">
      <w:pPr>
        <w:snapToGrid w:val="0"/>
        <w:spacing w:line="400" w:lineRule="exact"/>
        <w:ind w:firstLine="360" w:firstLineChars="150"/>
        <w:rPr>
          <w:rFonts w:ascii="方正仿宋_GBK" w:hAnsi="宋体" w:eastAsia="方正仿宋_GBK"/>
          <w:sz w:val="24"/>
          <w:szCs w:val="24"/>
        </w:rPr>
      </w:pPr>
      <w:r>
        <w:rPr>
          <w:rFonts w:ascii="方正仿宋_GBK" w:hAnsi="宋体" w:eastAsia="方正仿宋_GBK"/>
          <w:sz w:val="24"/>
          <w:szCs w:val="24"/>
        </w:rPr>
        <w:t>电  话：</w:t>
      </w:r>
      <w:r>
        <w:rPr>
          <w:rFonts w:hint="eastAsia" w:ascii="方正仿宋_GBK" w:hAnsi="宋体" w:eastAsia="方正仿宋_GBK"/>
          <w:sz w:val="24"/>
          <w:szCs w:val="24"/>
        </w:rPr>
        <w:t>13193118555</w:t>
      </w:r>
    </w:p>
    <w:p w14:paraId="0477C8D0">
      <w:pPr>
        <w:snapToGrid w:val="0"/>
        <w:spacing w:line="400" w:lineRule="exact"/>
        <w:ind w:firstLine="360" w:firstLineChars="150"/>
        <w:rPr>
          <w:rFonts w:ascii="方正仿宋_GBK" w:hAnsi="宋体" w:eastAsia="方正仿宋_GBK"/>
          <w:sz w:val="24"/>
          <w:szCs w:val="24"/>
        </w:rPr>
      </w:pPr>
      <w:r>
        <w:rPr>
          <w:rFonts w:ascii="方正仿宋_GBK" w:hAnsi="宋体" w:eastAsia="方正仿宋_GBK"/>
          <w:sz w:val="24"/>
          <w:szCs w:val="24"/>
        </w:rPr>
        <w:t>地  址：</w:t>
      </w:r>
      <w:r>
        <w:rPr>
          <w:rFonts w:hint="eastAsia" w:ascii="方正仿宋_GBK" w:hAnsi="宋体" w:eastAsia="方正仿宋_GBK"/>
          <w:sz w:val="24"/>
          <w:szCs w:val="24"/>
        </w:rPr>
        <w:t>重庆市铜梁区东城街道办事处迎宾东路402号(建工大厦)第七层</w:t>
      </w:r>
    </w:p>
    <w:p w14:paraId="104FF4F5">
      <w:pPr>
        <w:snapToGrid w:val="0"/>
        <w:spacing w:line="400" w:lineRule="exact"/>
        <w:ind w:firstLine="360" w:firstLineChars="150"/>
        <w:jc w:val="right"/>
        <w:rPr>
          <w:rFonts w:ascii="方正仿宋_GBK" w:hAnsi="宋体" w:eastAsia="方正仿宋_GBK"/>
          <w:sz w:val="24"/>
          <w:szCs w:val="24"/>
        </w:rPr>
      </w:pPr>
    </w:p>
    <w:p w14:paraId="7166985E">
      <w:pPr>
        <w:snapToGrid w:val="0"/>
        <w:spacing w:line="400" w:lineRule="exact"/>
        <w:ind w:firstLine="360" w:firstLineChars="150"/>
        <w:jc w:val="right"/>
        <w:rPr>
          <w:rFonts w:eastAsia="方正仿宋_GBK"/>
        </w:rPr>
      </w:pPr>
      <w:r>
        <w:rPr>
          <w:rFonts w:hint="eastAsia" w:ascii="方正仿宋_GBK" w:hAnsi="宋体" w:eastAsia="方正仿宋_GBK"/>
          <w:sz w:val="24"/>
          <w:szCs w:val="24"/>
        </w:rPr>
        <w:t>2025年10月</w:t>
      </w:r>
      <w:r>
        <w:rPr>
          <w:rFonts w:hint="eastAsia" w:ascii="方正仿宋_GBK" w:hAnsi="宋体" w:eastAsia="方正仿宋_GBK"/>
          <w:sz w:val="24"/>
          <w:szCs w:val="24"/>
          <w:lang w:val="en-US" w:eastAsia="zh-CN"/>
        </w:rPr>
        <w:t>3</w:t>
      </w:r>
      <w:r>
        <w:rPr>
          <w:rFonts w:hint="eastAsia" w:ascii="方正仿宋_GBK" w:hAnsi="宋体" w:eastAsia="方正仿宋_GBK"/>
          <w:sz w:val="24"/>
          <w:szCs w:val="24"/>
        </w:rPr>
        <w:t>0日</w:t>
      </w:r>
    </w:p>
    <w:p w14:paraId="0B17D88A">
      <w:pPr>
        <w:pStyle w:val="3"/>
        <w:spacing w:line="360" w:lineRule="auto"/>
        <w:jc w:val="center"/>
        <w:rPr>
          <w:rFonts w:ascii="方正小标宋_GBK" w:hAnsi="宋体" w:eastAsia="方正小标宋_GBK"/>
          <w:sz w:val="30"/>
          <w:szCs w:val="30"/>
        </w:rPr>
      </w:pPr>
      <w:bookmarkStart w:id="31" w:name="_Toc76462324"/>
      <w:bookmarkStart w:id="32" w:name="_Toc106030878"/>
      <w:bookmarkStart w:id="33" w:name="_Toc12473"/>
      <w:r>
        <w:rPr>
          <w:rFonts w:hint="eastAsia" w:ascii="方正小标宋_GBK" w:hAnsi="宋体" w:eastAsia="方正小标宋_GBK"/>
          <w:sz w:val="36"/>
          <w:szCs w:val="30"/>
        </w:rPr>
        <w:br w:type="page"/>
      </w:r>
      <w:r>
        <w:rPr>
          <w:rFonts w:hint="eastAsia" w:ascii="方正小标宋_GBK" w:hAnsi="宋体" w:eastAsia="方正小标宋_GBK"/>
          <w:sz w:val="36"/>
          <w:szCs w:val="30"/>
        </w:rPr>
        <w:t>第二篇  项目技术需求</w:t>
      </w:r>
      <w:bookmarkEnd w:id="31"/>
      <w:bookmarkEnd w:id="32"/>
      <w:bookmarkEnd w:id="33"/>
    </w:p>
    <w:p w14:paraId="1B816949">
      <w:pPr>
        <w:pStyle w:val="4"/>
        <w:adjustRightInd w:val="0"/>
        <w:snapToGrid w:val="0"/>
        <w:spacing w:before="0" w:after="0" w:line="400" w:lineRule="exact"/>
        <w:ind w:firstLine="482" w:firstLineChars="200"/>
      </w:pPr>
      <w:bookmarkStart w:id="34" w:name="_Toc23511"/>
      <w:bookmarkStart w:id="35" w:name="_Toc76462325"/>
      <w:bookmarkStart w:id="36" w:name="_Toc106030879"/>
      <w:bookmarkStart w:id="37" w:name="_Toc12789058"/>
      <w:r>
        <w:rPr>
          <w:rFonts w:hint="eastAsia" w:ascii="方正仿宋_GBK" w:hAnsi="宋体" w:eastAsia="方正仿宋_GBK"/>
          <w:sz w:val="24"/>
        </w:rPr>
        <w:t>一、项目基本概况介绍</w:t>
      </w:r>
      <w:bookmarkEnd w:id="34"/>
      <w:bookmarkEnd w:id="35"/>
      <w:bookmarkEnd w:id="36"/>
    </w:p>
    <w:p w14:paraId="4E55822E">
      <w:pPr>
        <w:snapToGrid w:val="0"/>
        <w:spacing w:line="400" w:lineRule="exact"/>
        <w:ind w:firstLine="480"/>
        <w:rPr>
          <w:rFonts w:ascii="Times New Roman" w:hAnsi="Times New Roman" w:eastAsia="方正仿宋_GBK"/>
          <w:sz w:val="24"/>
          <w:szCs w:val="24"/>
        </w:rPr>
      </w:pPr>
      <w:bookmarkStart w:id="38" w:name="_Toc5985"/>
      <w:bookmarkStart w:id="39" w:name="_Toc76462327"/>
      <w:bookmarkStart w:id="40" w:name="_Toc106030882"/>
      <w:r>
        <w:rPr>
          <w:rFonts w:hint="eastAsia" w:ascii="Times New Roman" w:hAnsi="Times New Roman" w:eastAsia="方正仿宋_GBK"/>
          <w:sz w:val="24"/>
          <w:szCs w:val="24"/>
        </w:rPr>
        <w:t>重庆瑞得思达光电科技有限公司-办公家具采购包括床、柜子、桌椅安装等项目内容。</w:t>
      </w:r>
    </w:p>
    <w:p w14:paraId="3CE526FB">
      <w:pPr>
        <w:pStyle w:val="4"/>
        <w:adjustRightInd w:val="0"/>
        <w:snapToGrid w:val="0"/>
        <w:spacing w:before="0" w:after="0" w:line="400" w:lineRule="exact"/>
        <w:ind w:firstLine="482" w:firstLineChars="200"/>
        <w:rPr>
          <w:rFonts w:ascii="方正仿宋_GBK" w:hAnsi="宋体" w:eastAsia="方正仿宋_GBK"/>
          <w:sz w:val="24"/>
          <w:szCs w:val="22"/>
        </w:rPr>
      </w:pPr>
      <w:r>
        <w:rPr>
          <w:rFonts w:hint="eastAsia" w:ascii="方正仿宋_GBK" w:hAnsi="宋体" w:eastAsia="方正仿宋_GBK"/>
          <w:sz w:val="24"/>
          <w:szCs w:val="22"/>
        </w:rPr>
        <w:t>二、</w:t>
      </w:r>
      <w:bookmarkEnd w:id="38"/>
      <w:r>
        <w:rPr>
          <w:rFonts w:hint="eastAsia" w:ascii="方正仿宋_GBK" w:hAnsi="宋体" w:eastAsia="方正仿宋_GBK"/>
          <w:sz w:val="24"/>
          <w:szCs w:val="22"/>
        </w:rPr>
        <w:t>采购项目服务需求</w:t>
      </w:r>
    </w:p>
    <w:tbl>
      <w:tblPr>
        <w:tblStyle w:val="58"/>
        <w:tblW w:w="6072" w:type="pct"/>
        <w:tblInd w:w="-1054" w:type="dxa"/>
        <w:tblLayout w:type="fixed"/>
        <w:tblCellMar>
          <w:top w:w="0" w:type="dxa"/>
          <w:left w:w="108" w:type="dxa"/>
          <w:bottom w:w="0" w:type="dxa"/>
          <w:right w:w="108" w:type="dxa"/>
        </w:tblCellMar>
      </w:tblPr>
      <w:tblGrid>
        <w:gridCol w:w="764"/>
        <w:gridCol w:w="766"/>
        <w:gridCol w:w="2091"/>
        <w:gridCol w:w="3807"/>
        <w:gridCol w:w="919"/>
        <w:gridCol w:w="627"/>
        <w:gridCol w:w="765"/>
        <w:gridCol w:w="919"/>
        <w:gridCol w:w="1034"/>
      </w:tblGrid>
      <w:tr w14:paraId="026DA329">
        <w:tblPrEx>
          <w:tblCellMar>
            <w:top w:w="0" w:type="dxa"/>
            <w:left w:w="108" w:type="dxa"/>
            <w:bottom w:w="0" w:type="dxa"/>
            <w:right w:w="108" w:type="dxa"/>
          </w:tblCellMar>
        </w:tblPrEx>
        <w:trPr>
          <w:trHeight w:val="588" w:hRule="atLeast"/>
        </w:trPr>
        <w:tc>
          <w:tcPr>
            <w:tcW w:w="5000" w:type="pct"/>
            <w:gridSpan w:val="9"/>
            <w:tcBorders>
              <w:top w:val="nil"/>
              <w:left w:val="nil"/>
              <w:bottom w:val="nil"/>
              <w:right w:val="nil"/>
            </w:tcBorders>
            <w:shd w:val="clear" w:color="auto" w:fill="auto"/>
            <w:vAlign w:val="center"/>
          </w:tcPr>
          <w:p w14:paraId="3FA4A528">
            <w:pPr>
              <w:widowControl/>
              <w:jc w:val="center"/>
              <w:textAlignment w:val="center"/>
              <w:rPr>
                <w:rFonts w:ascii="方正仿宋_GB2312" w:hAnsi="方正仿宋_GB2312" w:eastAsia="方正仿宋_GB2312" w:cs="方正仿宋_GB2312"/>
                <w:b/>
                <w:bCs/>
                <w:color w:val="000000"/>
                <w:sz w:val="18"/>
                <w:szCs w:val="18"/>
              </w:rPr>
            </w:pPr>
            <w:bookmarkStart w:id="41" w:name="_Toc16580"/>
            <w:r>
              <w:rPr>
                <w:rFonts w:hint="eastAsia" w:ascii="方正仿宋_GB2312" w:hAnsi="方正仿宋_GB2312" w:eastAsia="方正仿宋_GB2312" w:cs="方正仿宋_GB2312"/>
                <w:b/>
                <w:bCs/>
                <w:color w:val="000000"/>
                <w:kern w:val="0"/>
                <w:sz w:val="18"/>
                <w:szCs w:val="18"/>
              </w:rPr>
              <w:t>重庆瑞得思达光电科技有限公司—办公家具采购</w:t>
            </w:r>
          </w:p>
        </w:tc>
      </w:tr>
      <w:tr w14:paraId="2B12033F">
        <w:tblPrEx>
          <w:tblCellMar>
            <w:top w:w="0" w:type="dxa"/>
            <w:left w:w="108" w:type="dxa"/>
            <w:bottom w:w="0" w:type="dxa"/>
            <w:right w:w="108" w:type="dxa"/>
          </w:tblCellMar>
        </w:tblPrEx>
        <w:trPr>
          <w:trHeight w:val="164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7105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序号</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8010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产品名称</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7E2B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图片</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57B5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材质、参数</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0505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规格尺寸</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906A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单位</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85A2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数量</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F51C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单价</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9B42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总价</w:t>
            </w:r>
          </w:p>
        </w:tc>
      </w:tr>
      <w:tr w14:paraId="3C54D031">
        <w:tblPrEx>
          <w:tblCellMar>
            <w:top w:w="0" w:type="dxa"/>
            <w:left w:w="108" w:type="dxa"/>
            <w:bottom w:w="0" w:type="dxa"/>
            <w:right w:w="108" w:type="dxa"/>
          </w:tblCellMar>
        </w:tblPrEx>
        <w:trPr>
          <w:trHeight w:val="26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FB29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9B7B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小沙发</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F74CD">
            <w:pPr>
              <w:widowControl/>
              <w:jc w:val="left"/>
              <w:textAlignment w:val="center"/>
              <w:rPr>
                <w:rFonts w:ascii="方正仿宋_GB2312" w:hAnsi="方正仿宋_GB2312" w:eastAsia="方正仿宋_GB2312" w:cs="方正仿宋_GB2312"/>
                <w:color w:val="FF0000"/>
                <w:sz w:val="18"/>
                <w:szCs w:val="18"/>
              </w:rPr>
            </w:pPr>
            <w:r>
              <w:rPr>
                <w:rFonts w:hint="eastAsia" w:ascii="方正仿宋_GB2312" w:hAnsi="方正仿宋_GB2312" w:eastAsia="方正仿宋_GB2312" w:cs="方正仿宋_GB2312"/>
                <w:color w:val="FF0000"/>
                <w:kern w:val="0"/>
                <w:sz w:val="18"/>
                <w:szCs w:val="18"/>
                <w:bdr w:val="single" w:color="000000" w:sz="4" w:space="0"/>
              </w:rPr>
              <w:drawing>
                <wp:anchor distT="0" distB="0" distL="114300" distR="114300" simplePos="0" relativeHeight="251659264" behindDoc="0" locked="0" layoutInCell="1" allowOverlap="1">
                  <wp:simplePos x="0" y="0"/>
                  <wp:positionH relativeFrom="column">
                    <wp:posOffset>37465</wp:posOffset>
                  </wp:positionH>
                  <wp:positionV relativeFrom="paragraph">
                    <wp:posOffset>-598170</wp:posOffset>
                  </wp:positionV>
                  <wp:extent cx="901065" cy="1014730"/>
                  <wp:effectExtent l="0" t="0" r="13335" b="6350"/>
                  <wp:wrapNone/>
                  <wp:docPr id="16" name="图片_18"/>
                  <wp:cNvGraphicFramePr/>
                  <a:graphic xmlns:a="http://schemas.openxmlformats.org/drawingml/2006/main">
                    <a:graphicData uri="http://schemas.openxmlformats.org/drawingml/2006/picture">
                      <pic:pic xmlns:pic="http://schemas.openxmlformats.org/drawingml/2006/picture">
                        <pic:nvPicPr>
                          <pic:cNvPr id="16" name="图片_18"/>
                          <pic:cNvPicPr/>
                        </pic:nvPicPr>
                        <pic:blipFill>
                          <a:blip r:embed="rId13" cstate="print"/>
                          <a:stretch>
                            <a:fillRect/>
                          </a:stretch>
                        </pic:blipFill>
                        <pic:spPr>
                          <a:xfrm>
                            <a:off x="0" y="0"/>
                            <a:ext cx="901065" cy="101473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9AEBB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▲1、面料：采用西皮，需满足QB/T 4714-2014 家居用聚氨酯合成革、QB/T 4199-2011 皮革 防霉性能测试方法等标准要求，要求达到：（1）拉伸负荷、断裂伸长率、撕裂负荷、剥离负荷合格；（2） 表面颜色牢度、表面颜色迁移性、耐磨性、耐溶剂性合格；（3）抗霉菌性能：黑曲霉、土曲霉、宛氏拟青霉、绳状青霉、出芽短梗霉、球毛壳霉均达到0级。</w:t>
            </w:r>
          </w:p>
          <w:p w14:paraId="52AA99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▲2、海绵：需满足GB/T 10802-2023 通用软质聚氨酯泡沫塑料标准要求，检测项包括但不限于：回弹率≥35%，75％压缩永久变形≤8%，65％/25％压陷比合格，拉伸强度≥90kPa，撕裂强度≥1.8N/cm，干热老化后拉伸强度≥55kPa，干热老化拉伸强度变化率≤±30%，湿热老化后拉伸强度≥55kPa，湿热老化拉伸强度变化率≤±30%。</w:t>
            </w:r>
          </w:p>
          <w:p w14:paraId="4AE8879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▲3、框架：采用硬质实木，需满足GB/T 3324-2017《木家具通用技术条件》、GB/T 1927.5-2021《无疵小试样木材物理力学性质试验方法第5部分:密度测定》、GB/T 14531-2017《办公家具 阅览、椅、凳》《企业产品技术要求》，检测项包括但不限于：气干密度≥0.5；外观（板件或部件在接触人体或贮物部位不应有毛刺、刃口或棱角；板件或部件的外表应光滑，倒棱、圆角、圆线应均匀一致；应无贯通裂缝；木家具中不应有虫蛀现象；外表应无腐朽材，内表轻微腐朽面积不应超过零件面积的20%；外表和存放物品部位用材应无树脂囊）合格。                                                                                                                 </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5CAD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900*830*800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F7B5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E6F6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7D55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1016.67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79F1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10166.70 </w:t>
            </w:r>
          </w:p>
        </w:tc>
      </w:tr>
      <w:tr w14:paraId="58FBE5CA">
        <w:tblPrEx>
          <w:tblCellMar>
            <w:top w:w="0" w:type="dxa"/>
            <w:left w:w="108" w:type="dxa"/>
            <w:bottom w:w="0" w:type="dxa"/>
            <w:right w:w="108" w:type="dxa"/>
          </w:tblCellMar>
        </w:tblPrEx>
        <w:trPr>
          <w:trHeight w:val="9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F7DD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52A0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茶几</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E7B8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60288" behindDoc="0" locked="0" layoutInCell="1" allowOverlap="1">
                  <wp:simplePos x="0" y="0"/>
                  <wp:positionH relativeFrom="column">
                    <wp:posOffset>73025</wp:posOffset>
                  </wp:positionH>
                  <wp:positionV relativeFrom="paragraph">
                    <wp:posOffset>-113030</wp:posOffset>
                  </wp:positionV>
                  <wp:extent cx="957580" cy="1291590"/>
                  <wp:effectExtent l="0" t="0" r="2540" b="3810"/>
                  <wp:wrapNone/>
                  <wp:docPr id="14" name="图片_3"/>
                  <wp:cNvGraphicFramePr/>
                  <a:graphic xmlns:a="http://schemas.openxmlformats.org/drawingml/2006/main">
                    <a:graphicData uri="http://schemas.openxmlformats.org/drawingml/2006/picture">
                      <pic:pic xmlns:pic="http://schemas.openxmlformats.org/drawingml/2006/picture">
                        <pic:nvPicPr>
                          <pic:cNvPr id="14" name="图片_3"/>
                          <pic:cNvPicPr/>
                        </pic:nvPicPr>
                        <pic:blipFill>
                          <a:blip r:embed="rId14" cstate="print"/>
                          <a:stretch>
                            <a:fillRect/>
                          </a:stretch>
                        </pic:blipFill>
                        <pic:spPr>
                          <a:xfrm>
                            <a:off x="0" y="0"/>
                            <a:ext cx="957580" cy="129159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DD7D0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▲1、基材：采用中密度纤维板，需满足GB/T 11718-2021《中密度纤维板》、GB/T 35601-2024《绿色产品评价 人造板和木质地板》、GB/T 39600-2021《人造板及其制品甲醛释放量分级》、GB/T 29899-2024《人造板及其制品中挥发性有机化合物释放量试验方法 小型释放舱法》标准要求，检测项包括但不限于：不含苯、甲苯、二甲苯、TVOC，甲醛释放量≤0.05mg/m³，含水率≤7%，密度≥0.80g/cm³，板内密度偏差≤1.2%，防潮性能（70℃水浸渍处理后静曲强度）≥12MPa，静曲强度≥38Mpa，弹性模量≥3700MPa，内胶合强度≥0.5Mpa，表面胶合强度≥1.1Mpa，吸水厚度膨胀率≤9.0%。</w:t>
            </w:r>
          </w:p>
          <w:p w14:paraId="472044C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1F9541E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044E96F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p w14:paraId="4E70837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▲5、产品需满足QB/T 4467-2013《茶几》标准要求。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34E3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600*600*500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8B3F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个</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7D9F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5</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B71C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593.33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E7A4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2966.65 </w:t>
            </w:r>
          </w:p>
        </w:tc>
      </w:tr>
      <w:tr w14:paraId="058DAD6A">
        <w:tblPrEx>
          <w:tblCellMar>
            <w:top w:w="0" w:type="dxa"/>
            <w:left w:w="108" w:type="dxa"/>
            <w:bottom w:w="0" w:type="dxa"/>
            <w:right w:w="108" w:type="dxa"/>
          </w:tblCellMar>
        </w:tblPrEx>
        <w:trPr>
          <w:trHeight w:val="39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BE22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3</w:t>
            </w:r>
          </w:p>
        </w:tc>
        <w:tc>
          <w:tcPr>
            <w:tcW w:w="3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BF954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经理办公桌</w:t>
            </w:r>
          </w:p>
        </w:tc>
        <w:tc>
          <w:tcPr>
            <w:tcW w:w="8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753EE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shd w:val="clear" w:color="auto" w:fill="FFFFFF"/>
              </w:rPr>
              <w:drawing>
                <wp:anchor distT="0" distB="0" distL="114300" distR="114300" simplePos="0" relativeHeight="251661312" behindDoc="0" locked="0" layoutInCell="1" allowOverlap="1">
                  <wp:simplePos x="0" y="0"/>
                  <wp:positionH relativeFrom="column">
                    <wp:posOffset>29845</wp:posOffset>
                  </wp:positionH>
                  <wp:positionV relativeFrom="paragraph">
                    <wp:posOffset>257175</wp:posOffset>
                  </wp:positionV>
                  <wp:extent cx="1170940" cy="1323340"/>
                  <wp:effectExtent l="0" t="0" r="2540" b="2540"/>
                  <wp:wrapNone/>
                  <wp:docPr id="15" name="图片_22"/>
                  <wp:cNvGraphicFramePr/>
                  <a:graphic xmlns:a="http://schemas.openxmlformats.org/drawingml/2006/main">
                    <a:graphicData uri="http://schemas.openxmlformats.org/drawingml/2006/picture">
                      <pic:pic xmlns:pic="http://schemas.openxmlformats.org/drawingml/2006/picture">
                        <pic:nvPicPr>
                          <pic:cNvPr id="15" name="图片_22"/>
                          <pic:cNvPicPr/>
                        </pic:nvPicPr>
                        <pic:blipFill>
                          <a:blip r:embed="rId15" cstate="print"/>
                          <a:stretch>
                            <a:fillRect/>
                          </a:stretch>
                        </pic:blipFill>
                        <pic:spPr>
                          <a:xfrm>
                            <a:off x="0" y="0"/>
                            <a:ext cx="1170940" cy="132334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AD53B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▲1、基材：采用中密度纤维板，需满足GB/T 11718-2021《中密度纤维板》、GB/T 35601-2024《绿色产品评价 人造板和木质地板》、GB/T 39600-2021《人造板及其制品甲醛释放量分级》、GB/T 29899-2024《人造板及其制品中挥发性有机化合物释放量试验方法 小型释放舱法》标准要求，检测项包括但不限于：不含苯、甲苯、二甲苯、TVOC，甲醛释放量≤0.05mg/m³，含水率≤7%，密度≥0.80g/cm³，板内密度偏差≤1.2%，防潮性能（70℃水浸渍处理后静曲强度）≥12MPa，静曲强度≥38Mpa，弹性模量≥3700MPa，内胶合强度≥0.5Mpa，表面胶合强度≥1.1Mpa，吸水厚度膨胀率≤9.0%。</w:t>
            </w:r>
          </w:p>
          <w:p w14:paraId="4FF502D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21440D3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585F289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p w14:paraId="3845A16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5、铰链：需满足QB/T 2189-2013《家具五金 杯状暗铰链》、QB/T 3826-1999《轻工产品金属镀层和化学处理层的耐腐蚀试验方法 中性盐雾试验(NSS)法》、QB/T 3827-1999《轻工产品金属镀层和化学处理层的耐腐蚀试验方法 乙酸盐雾试验(ASS)法》、QB/T 3832-1999《轻工产品金属镀层腐蚀试验结果的评价》标准要求，检测项包括但不限于：耐久性循环≥100000次、所有组件无断裂、无松动，功能应无损坏，金属喷漆（塑）涂层冲击强度检测合格，耐腐蚀等级中性盐雾试验连续喷雾100h≥10级，乙酸盐雾试验连续喷雾240h≥10级。                                                                                                                            </w:t>
            </w:r>
          </w:p>
        </w:tc>
        <w:tc>
          <w:tcPr>
            <w:tcW w:w="3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2990B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2000*1200*750</w:t>
            </w:r>
          </w:p>
        </w:tc>
        <w:tc>
          <w:tcPr>
            <w:tcW w:w="2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3B6E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BF0B1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5</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17CB9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3873.33 </w:t>
            </w:r>
          </w:p>
        </w:tc>
        <w:tc>
          <w:tcPr>
            <w:tcW w:w="4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7BE8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19366.65 </w:t>
            </w:r>
          </w:p>
        </w:tc>
      </w:tr>
      <w:tr w14:paraId="1FFAC090">
        <w:tblPrEx>
          <w:tblCellMar>
            <w:top w:w="0" w:type="dxa"/>
            <w:left w:w="108" w:type="dxa"/>
            <w:bottom w:w="0" w:type="dxa"/>
            <w:right w:w="108" w:type="dxa"/>
          </w:tblCellMar>
        </w:tblPrEx>
        <w:trPr>
          <w:trHeight w:val="30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303B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4</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C443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经理办公椅</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7785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62336" behindDoc="0" locked="0" layoutInCell="1" allowOverlap="1">
                  <wp:simplePos x="0" y="0"/>
                  <wp:positionH relativeFrom="column">
                    <wp:posOffset>9525</wp:posOffset>
                  </wp:positionH>
                  <wp:positionV relativeFrom="paragraph">
                    <wp:posOffset>13335</wp:posOffset>
                  </wp:positionV>
                  <wp:extent cx="1082675" cy="1588135"/>
                  <wp:effectExtent l="0" t="0" r="14605" b="12065"/>
                  <wp:wrapNone/>
                  <wp:docPr id="17" name="图片_23"/>
                  <wp:cNvGraphicFramePr/>
                  <a:graphic xmlns:a="http://schemas.openxmlformats.org/drawingml/2006/main">
                    <a:graphicData uri="http://schemas.openxmlformats.org/drawingml/2006/picture">
                      <pic:pic xmlns:pic="http://schemas.openxmlformats.org/drawingml/2006/picture">
                        <pic:nvPicPr>
                          <pic:cNvPr id="17" name="图片_23"/>
                          <pic:cNvPicPr/>
                        </pic:nvPicPr>
                        <pic:blipFill>
                          <a:blip r:embed="rId16" cstate="print"/>
                          <a:stretch>
                            <a:fillRect/>
                          </a:stretch>
                        </pic:blipFill>
                        <pic:spPr>
                          <a:xfrm>
                            <a:off x="0" y="0"/>
                            <a:ext cx="1082675" cy="158813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5D420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1、面料：采用西皮，需满足QB/T 4714-2014 家居用聚氨酯合成革、QB/T 4199-2011 皮革 防霉性能测试方法等标准要求，要求达到：（1）拉伸负荷、断裂伸长率、撕裂负荷、剥离负荷合格；（2） 表面颜色牢度、表面颜色迁移性、耐磨性、耐溶剂性合格；（3）抗霉菌性能：黑曲霉、土曲霉、宛氏拟青霉、绳状青霉、出芽短梗霉、球毛壳霉均达到0级。</w:t>
            </w:r>
          </w:p>
          <w:p w14:paraId="6E24AC4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2、海绵：需满足GB/T 10802-2023 通用软质聚氨酯泡沫塑料标准要求，检测项包括但不限于：回弹率≥35%，75％压缩永久变形≤8%，65％/25％压陷比合格，拉伸强度≥90kPa，撕裂强度≥1.8N/cm，干热老化后拉伸强度≥55kPa，干热老化拉伸强度变化率≤±30%，湿热老化后拉伸强度≥55kPa，湿热老化拉伸强度变化率≤±30%。</w:t>
            </w:r>
          </w:p>
          <w:p w14:paraId="4C37CE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3、采用优质气压棒（受力250kg）；伸缩30万次不漏气。</w:t>
            </w:r>
          </w:p>
          <w:p w14:paraId="78CDB60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4、采用优质五星脚。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9D0F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常规</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CAA6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B056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5</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F4EE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1445.00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4EF6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7225.00 </w:t>
            </w:r>
          </w:p>
        </w:tc>
      </w:tr>
      <w:tr w14:paraId="04E7BD38">
        <w:tblPrEx>
          <w:tblCellMar>
            <w:top w:w="0" w:type="dxa"/>
            <w:left w:w="108" w:type="dxa"/>
            <w:bottom w:w="0" w:type="dxa"/>
            <w:right w:w="108" w:type="dxa"/>
          </w:tblCellMar>
        </w:tblPrEx>
        <w:trPr>
          <w:trHeight w:val="50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F316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5</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5322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经理室文件组合柜</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4CC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63360" behindDoc="0" locked="0" layoutInCell="1" allowOverlap="1">
                  <wp:simplePos x="0" y="0"/>
                  <wp:positionH relativeFrom="column">
                    <wp:posOffset>165100</wp:posOffset>
                  </wp:positionH>
                  <wp:positionV relativeFrom="paragraph">
                    <wp:posOffset>154305</wp:posOffset>
                  </wp:positionV>
                  <wp:extent cx="914400" cy="1498600"/>
                  <wp:effectExtent l="0" t="0" r="0" b="10160"/>
                  <wp:wrapNone/>
                  <wp:docPr id="12" name="图片_14"/>
                  <wp:cNvGraphicFramePr/>
                  <a:graphic xmlns:a="http://schemas.openxmlformats.org/drawingml/2006/main">
                    <a:graphicData uri="http://schemas.openxmlformats.org/drawingml/2006/picture">
                      <pic:pic xmlns:pic="http://schemas.openxmlformats.org/drawingml/2006/picture">
                        <pic:nvPicPr>
                          <pic:cNvPr id="12" name="图片_14"/>
                          <pic:cNvPicPr/>
                        </pic:nvPicPr>
                        <pic:blipFill>
                          <a:blip r:embed="rId17" cstate="print"/>
                          <a:stretch>
                            <a:fillRect/>
                          </a:stretch>
                        </pic:blipFill>
                        <pic:spPr>
                          <a:xfrm>
                            <a:off x="0" y="0"/>
                            <a:ext cx="914400" cy="149860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A8F97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1、基材：采用中密度纤维板，需满足GB/T 11718-2021《中密度纤维板》、GB/T 35601-2024《绿色产品评价 人造板和木质地板》、GB/T 39600-2021《人造板及其制品甲醛释放量分级》、GB/T 29899-2024《人造板及其制品中挥发性有机化合物释放量试验方法 小型释放舱法》标准要求，检测项包括但不限于：不含苯、甲苯、二甲苯、TVOC，甲醛释放量≤0.05mg/m³，含水率≤7%，密度≥0.80g/cm³，板内密度偏差≤1.2%，防潮性能（70℃水浸渍处理后静曲强度）≥12MPa，静曲强度≥38Mpa，弹性模量≥3700MPa，内胶合强度≥0.5Mpa，表面胶合强度≥1.1Mpa，吸水厚度膨胀率≤9.0%。</w:t>
            </w:r>
          </w:p>
          <w:p w14:paraId="497AA0F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7AAA071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492EE01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p w14:paraId="7385F41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5、铰链：需满足QB/T 2189-2013《家具五金 杯状暗铰链》、QB/T 3826-1999《轻工产品金属镀层和化学处理层的耐腐蚀试验方法 中性盐雾试验(NSS)法》、QB/T 3827-1999《轻工产品金属镀层和化学处理层的耐腐蚀试验方法 乙酸盐雾试验(ASS)法》、QB/T 3832-1999《轻工产品金属镀层腐蚀试验结果的评价》标准要求，检测项包括但不限于：耐久性循环≥100000次、所有组件无断裂、无松动，功能应无损坏，金属喷漆（塑）涂层冲击强度检测合格，耐腐蚀等级中性盐雾试验连续喷雾100h≥10级，乙酸盐雾试验连续喷雾240h≥10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C39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1600*400*2000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238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个</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2087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3</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D77C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2966.67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1428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8900.01 </w:t>
            </w:r>
          </w:p>
        </w:tc>
      </w:tr>
      <w:tr w14:paraId="6F4AD8F6">
        <w:tblPrEx>
          <w:tblCellMar>
            <w:top w:w="0" w:type="dxa"/>
            <w:left w:w="108" w:type="dxa"/>
            <w:bottom w:w="0" w:type="dxa"/>
            <w:right w:w="108" w:type="dxa"/>
          </w:tblCellMar>
        </w:tblPrEx>
        <w:trPr>
          <w:trHeight w:val="36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13E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6</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95F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职员办公桌</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A65A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64384" behindDoc="0" locked="0" layoutInCell="1" allowOverlap="1">
                  <wp:simplePos x="0" y="0"/>
                  <wp:positionH relativeFrom="column">
                    <wp:posOffset>127000</wp:posOffset>
                  </wp:positionH>
                  <wp:positionV relativeFrom="paragraph">
                    <wp:posOffset>-43815</wp:posOffset>
                  </wp:positionV>
                  <wp:extent cx="951865" cy="1292225"/>
                  <wp:effectExtent l="0" t="0" r="8255" b="3175"/>
                  <wp:wrapNone/>
                  <wp:docPr id="21" name="图片_2"/>
                  <wp:cNvGraphicFramePr/>
                  <a:graphic xmlns:a="http://schemas.openxmlformats.org/drawingml/2006/main">
                    <a:graphicData uri="http://schemas.openxmlformats.org/drawingml/2006/picture">
                      <pic:pic xmlns:pic="http://schemas.openxmlformats.org/drawingml/2006/picture">
                        <pic:nvPicPr>
                          <pic:cNvPr id="21" name="图片_2"/>
                          <pic:cNvPicPr/>
                        </pic:nvPicPr>
                        <pic:blipFill>
                          <a:blip r:embed="rId18" cstate="print"/>
                          <a:stretch>
                            <a:fillRect/>
                          </a:stretch>
                        </pic:blipFill>
                        <pic:spPr>
                          <a:xfrm>
                            <a:off x="0" y="0"/>
                            <a:ext cx="951865" cy="129222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047D4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1、基材：采用中密度纤维板，需满足GB/T 11718-2021《中密度纤维板》、GB/T 35601-2024《绿色产品评价 人造板和木质地板》、GB/T 39600-2021《人造板及其制品甲醛释放量分级》、GB/T 29899-2024《人造板及其制品中挥发性有机化合物释放量试验方法 小型释放舱法》标准要求，检测项包括但不限于：不含苯、甲苯、二甲苯、TVOC，甲醛释放量≤0.05mg/m³，含水率≤7%，密度≥0.80g/cm³，板内密度偏差≤1.2%，防潮性能（70℃水浸渍处理后静曲强度）≥12MPa，静曲强度≥38Mpa，弹性模量≥3700MPa，内胶合强度≥0.5Mpa，表面胶合强度≥1.1Mpa，吸水厚度膨胀率≤9.0%。</w:t>
            </w:r>
          </w:p>
          <w:p w14:paraId="68BF71C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6B7E1AE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292ABFD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p w14:paraId="535B1A4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5、铰链：需满足QB/T 2189-2013《家具五金 杯状暗铰链》、QB/T 3826-1999《轻工产品金属镀层和化学处理层的耐腐蚀试验方法 中性盐雾试验(NSS)法》、QB/T 3827-1999《轻工产品金属镀层和化学处理层的耐腐蚀试验方法 乙酸盐雾试验(ASS)法》、QB/T 3832-1999《轻工产品金属镀层腐蚀试验结果的评价》标准要求，检测项包括但不限于：耐久性循环≥100000次、所有组件无断裂、无松动，功能应无损坏，金属喷漆（塑）涂层冲击强度检测合格，耐腐蚀等级中性盐雾试验连续喷雾100h≥10级，乙酸盐雾试验连续喷雾240h≥10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3C0C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1400*700*750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5EBF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C55A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50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E77B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1210.00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1BE2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60500.00 </w:t>
            </w:r>
          </w:p>
        </w:tc>
      </w:tr>
      <w:tr w14:paraId="1137065C">
        <w:tblPrEx>
          <w:tblCellMar>
            <w:top w:w="0" w:type="dxa"/>
            <w:left w:w="108" w:type="dxa"/>
            <w:bottom w:w="0" w:type="dxa"/>
            <w:right w:w="108" w:type="dxa"/>
          </w:tblCellMar>
        </w:tblPrEx>
        <w:trPr>
          <w:trHeight w:val="31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81DA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7</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66A4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职员办公椅</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92B3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65408" behindDoc="0" locked="0" layoutInCell="1" allowOverlap="1">
                  <wp:simplePos x="0" y="0"/>
                  <wp:positionH relativeFrom="column">
                    <wp:posOffset>46990</wp:posOffset>
                  </wp:positionH>
                  <wp:positionV relativeFrom="paragraph">
                    <wp:posOffset>-273685</wp:posOffset>
                  </wp:positionV>
                  <wp:extent cx="1137285" cy="1777365"/>
                  <wp:effectExtent l="0" t="0" r="5715" b="5715"/>
                  <wp:wrapNone/>
                  <wp:docPr id="18" name="图片_4"/>
                  <wp:cNvGraphicFramePr/>
                  <a:graphic xmlns:a="http://schemas.openxmlformats.org/drawingml/2006/main">
                    <a:graphicData uri="http://schemas.openxmlformats.org/drawingml/2006/picture">
                      <pic:pic xmlns:pic="http://schemas.openxmlformats.org/drawingml/2006/picture">
                        <pic:nvPicPr>
                          <pic:cNvPr id="18" name="图片_4"/>
                          <pic:cNvPicPr/>
                        </pic:nvPicPr>
                        <pic:blipFill>
                          <a:blip r:embed="rId19" cstate="print"/>
                          <a:stretch>
                            <a:fillRect/>
                          </a:stretch>
                        </pic:blipFill>
                        <pic:spPr>
                          <a:xfrm>
                            <a:off x="0" y="0"/>
                            <a:ext cx="1137285" cy="177736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B173A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1、面料：采用西皮：需满足QB/T 4714-2014 家居用聚氨酯合成革、QB/T 4199-2011 皮革 防霉性能测试方法等标准要求，要求达到：（1）拉伸负荷、断裂伸长率、撕裂负荷、剥离负荷合格；（2） 表面颜色牢度、表面颜色迁移性、耐磨性、耐溶剂性合格；（3）抗霉菌性能：黑曲霉、土曲霉、宛氏拟青霉、绳状青霉、出芽短梗霉、球毛壳霉均达到0级。</w:t>
            </w:r>
          </w:p>
          <w:p w14:paraId="24F0982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2、海绵：需满足GB/T 10802-2023 通用软质聚氨酯泡沫塑料标准要求，检测项包括但不限于：回弹率≥35%，75％压缩永久变形≤8%，65％/25％压陷比合格，拉伸强度≥90kPa，撕裂强度≥1.8N/cm，干热老化后拉伸强度≥55kPa，干热老化拉伸强度变化率≤±30%，湿热老化后拉伸强度≥55kPa，湿热老化拉伸强度变化率≤±30%。</w:t>
            </w:r>
          </w:p>
          <w:p w14:paraId="2BC1D98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▲3、框架：采用橡木实木，检测项包括但不限于：木材含水率8～17％，木制件甲醛释放量≤0.2mg/L。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58F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常规</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089D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4F1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50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B9B5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600.00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5884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30000.00 </w:t>
            </w:r>
          </w:p>
        </w:tc>
      </w:tr>
      <w:tr w14:paraId="7F858F41">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A3FD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8</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6A55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部门会议桌</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3348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66432" behindDoc="0" locked="0" layoutInCell="1" allowOverlap="1">
                  <wp:simplePos x="0" y="0"/>
                  <wp:positionH relativeFrom="column">
                    <wp:posOffset>115570</wp:posOffset>
                  </wp:positionH>
                  <wp:positionV relativeFrom="paragraph">
                    <wp:posOffset>25400</wp:posOffset>
                  </wp:positionV>
                  <wp:extent cx="956945" cy="1254125"/>
                  <wp:effectExtent l="0" t="0" r="3175" b="10795"/>
                  <wp:wrapNone/>
                  <wp:docPr id="1" name="图片_5"/>
                  <wp:cNvGraphicFramePr/>
                  <a:graphic xmlns:a="http://schemas.openxmlformats.org/drawingml/2006/main">
                    <a:graphicData uri="http://schemas.openxmlformats.org/drawingml/2006/picture">
                      <pic:pic xmlns:pic="http://schemas.openxmlformats.org/drawingml/2006/picture">
                        <pic:nvPicPr>
                          <pic:cNvPr id="1" name="图片_5"/>
                          <pic:cNvPicPr/>
                        </pic:nvPicPr>
                        <pic:blipFill>
                          <a:blip r:embed="rId20" cstate="print"/>
                          <a:stretch>
                            <a:fillRect/>
                          </a:stretch>
                        </pic:blipFill>
                        <pic:spPr>
                          <a:xfrm>
                            <a:off x="0" y="0"/>
                            <a:ext cx="956945" cy="125412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3DBC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▲1、基材：采用实木颗粒板，需满足GB/T 35601-2024、GB/T 20285-2006、JC/T 2039-2010 抗菌防霉木质装饰板标准，要求达到（1）甲醛释放限量≤0.05mg/m³；符合国家环保E0级标准。（2）绿色木霉、黄曲霉、黑曲霉、桔青霉的防霉菌等级达到0级；（3）产烟特性等级达到S1级，烟气生成速率指数SMOGRA≤30m²/s²，（4）烟气毒性等级达到准安全一级ZA1。</w:t>
            </w:r>
          </w:p>
          <w:p w14:paraId="5827A80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▲2、饰面：采用三聚氰胺饰面纸，需满足GB/T 28995-2022《人造板饰面专用纸》、GB/T 456-2002《纸和纸板平滑度的测定（别克法）》标准要求，检测项包括但不限于：外观质量要求无尘埃点、无色差、无破损、无污斑、无异物、无死褶、无毛边、无皱褶、无硬质块、无掉毛、无掉粉、无缺边、无裂口、无孔洞、无卷芯变形，无甲醛释放量，平滑度≥160；</w:t>
            </w:r>
          </w:p>
          <w:p w14:paraId="2A2EBC2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封边：采用优质封边条，需满足QB/T4463-2013《家具用封边条技术要求》，检测项包括但不限于：甲醛释放量≤0.13mg/L；封边条外观、耐干热、耐冷热循环、耐光色牢度、耐磨性、耐老化性、甲醛释放量、邻苯二甲酸酯、氯乙烯单体、可迁移元素（不低于八项）、有害物质多溴联苯、多溴联苯醚均符合QB/T 4463-2013标准要求。</w:t>
            </w:r>
          </w:p>
          <w:p w14:paraId="0904D12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p w14:paraId="4DF890F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▲5、脚架：采用壁厚≥1.2mm的金属钢材，需满足GB/T 3325-2024《金属家具通用技术条件》、QB/T 3826-1999《轻工产品金属镀层和化学处理层的耐腐蚀试验方法中性盐雾试验(NSS)法》、QB/T 3827-1999《轻工产品金属镀层和化学处理层的耐腐蚀试验方法乙酸盐雾试验(ASS)法》、QB/T3832-1999《轻工产品金属镀层腐蚀试验结果的评价》、《企业产品技术要求》，检测项包括但不限于：应无裂缝，涂层无漏喷、锈蚀和脱色、涂层应光滑均匀；外观性能要求及可溶性重金属（可溶性铅、镉、铬、汞）应符合GB/T 3325-2024标准要求；金属表面耐腐蚀要求，耐腐蚀等级中性盐雾试验连续喷雾100h≥9级，乙酸盐雾试验连续喷雾240h≥9级。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062C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1600*800*750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EE9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E234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6</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65D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1071.67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A656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6430.02 </w:t>
            </w:r>
          </w:p>
        </w:tc>
      </w:tr>
      <w:tr w14:paraId="21A8C6D5">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8A74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9</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091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部门会议椅</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6F850">
            <w:pPr>
              <w:widowControl/>
              <w:jc w:val="left"/>
              <w:textAlignment w:val="center"/>
              <w:rPr>
                <w:rFonts w:ascii="方正仿宋_GB2312" w:hAnsi="方正仿宋_GB2312" w:eastAsia="方正仿宋_GB2312" w:cs="方正仿宋_GB2312"/>
                <w:color w:val="FF0000"/>
                <w:sz w:val="18"/>
                <w:szCs w:val="18"/>
              </w:rPr>
            </w:pPr>
            <w:r>
              <w:rPr>
                <w:rFonts w:hint="eastAsia" w:ascii="方正仿宋_GB2312" w:hAnsi="方正仿宋_GB2312" w:eastAsia="方正仿宋_GB2312" w:cs="方正仿宋_GB2312"/>
                <w:color w:val="FF0000"/>
                <w:kern w:val="0"/>
                <w:sz w:val="18"/>
                <w:szCs w:val="18"/>
                <w:bdr w:val="single" w:color="000000" w:sz="4" w:space="0"/>
              </w:rPr>
              <w:drawing>
                <wp:anchor distT="0" distB="0" distL="114300" distR="114300" simplePos="0" relativeHeight="251667456" behindDoc="0" locked="0" layoutInCell="1" allowOverlap="1">
                  <wp:simplePos x="0" y="0"/>
                  <wp:positionH relativeFrom="column">
                    <wp:posOffset>68580</wp:posOffset>
                  </wp:positionH>
                  <wp:positionV relativeFrom="paragraph">
                    <wp:posOffset>46990</wp:posOffset>
                  </wp:positionV>
                  <wp:extent cx="1123315" cy="1310005"/>
                  <wp:effectExtent l="0" t="0" r="4445" b="635"/>
                  <wp:wrapNone/>
                  <wp:docPr id="19" name="图片_15"/>
                  <wp:cNvGraphicFramePr/>
                  <a:graphic xmlns:a="http://schemas.openxmlformats.org/drawingml/2006/main">
                    <a:graphicData uri="http://schemas.openxmlformats.org/drawingml/2006/picture">
                      <pic:pic xmlns:pic="http://schemas.openxmlformats.org/drawingml/2006/picture">
                        <pic:nvPicPr>
                          <pic:cNvPr id="19" name="图片_15"/>
                          <pic:cNvPicPr/>
                        </pic:nvPicPr>
                        <pic:blipFill>
                          <a:blip r:embed="rId21" cstate="print"/>
                          <a:stretch>
                            <a:fillRect/>
                          </a:stretch>
                        </pic:blipFill>
                        <pic:spPr>
                          <a:xfrm>
                            <a:off x="0" y="0"/>
                            <a:ext cx="1123315" cy="131000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CBC99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▲1、面料：采用优质网布：需满足GB 18401-2010《国家纺织产品基本安全技术规范》、HJ2546-2016《环境标志产品技术要求 纺织产品》标准要求，检测项包括但不限于：甲醛含量（C类）未检出，应无异味、无可分解致癌芳香胺染料，染色牢度-耐酸汗渍色牢度（C类）为4-5级，染色牢度-耐碱汗渍色牢度（C类）为4-5级，染色牢度-耐干摩擦色牢度（C类）为4-5级，不含可萃取的重金属：铅、镉、铬、锑、汞、镍、钴、铜、砷。</w:t>
            </w:r>
          </w:p>
          <w:p w14:paraId="223B72B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2、海绵：需满足GB/T 10802-2023 通用软质聚氨酯泡沫塑料标准要求，检测项包括但不限于：回弹率≥35%，75％压缩永久变形≤8%，65％/25％压陷比合格，拉伸强度≥90kPa，撕裂强度≥1.8N/cm，干热老化后拉伸强度≥55kPa，干热老化拉伸强度变化率≤±30%，湿热老化后拉伸强度≥55kPa，湿热老化拉伸强度变化率≤±30%。</w:t>
            </w:r>
          </w:p>
          <w:p w14:paraId="1DC900B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3、脚架、脚轮:采用尼龙纤维制成,间隙误差在1%毫米左右,移动杂音小,耐磨性强；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F61A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常规</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2A17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505E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24</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6EF1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293.33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A537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7039.92 </w:t>
            </w:r>
          </w:p>
        </w:tc>
      </w:tr>
      <w:tr w14:paraId="520B356B">
        <w:tblPrEx>
          <w:tblCellMar>
            <w:top w:w="0" w:type="dxa"/>
            <w:left w:w="108" w:type="dxa"/>
            <w:bottom w:w="0" w:type="dxa"/>
            <w:right w:w="108" w:type="dxa"/>
          </w:tblCellMar>
        </w:tblPrEx>
        <w:trPr>
          <w:trHeight w:val="414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9360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10</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97F2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茶水柜</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E977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68480" behindDoc="0" locked="0" layoutInCell="1" allowOverlap="1">
                  <wp:simplePos x="0" y="0"/>
                  <wp:positionH relativeFrom="column">
                    <wp:posOffset>107315</wp:posOffset>
                  </wp:positionH>
                  <wp:positionV relativeFrom="paragraph">
                    <wp:posOffset>58420</wp:posOffset>
                  </wp:positionV>
                  <wp:extent cx="1016000" cy="1261110"/>
                  <wp:effectExtent l="0" t="0" r="5080" b="3810"/>
                  <wp:wrapNone/>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22" cstate="print"/>
                          <a:stretch>
                            <a:fillRect/>
                          </a:stretch>
                        </pic:blipFill>
                        <pic:spPr>
                          <a:xfrm>
                            <a:off x="0" y="0"/>
                            <a:ext cx="1016000" cy="126111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D5BCC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1、基材：采用中密度纤维板，需满足GB/T 11718-2021《中密度纤维板》、GB/T 35601-2024《绿色产品评价 人造板和木质地板》、GB/T 39600-2021《人造板及其制品甲醛释放量分级》、GB/T 29899-2024《人造板及其制品中挥发性有机化合物释放量试验方法 小型释放舱法》标准要求，检测项包括但不限于：不含苯、甲苯、二甲苯、TVOC，甲醛释放量≤0.05mg/m³，含水率≤7%，密度≥0.80g/cm³，板内密度偏差≤1.2%，防潮性能（70℃水浸渍处理后静曲强度）≥12MPa，静曲强度≥38Mpa，弹性模量≥3700MPa，内胶合强度≥0.5Mpa，表面胶合强度≥1.1Mpa，吸水厚度膨胀率≤9.0%。</w:t>
            </w:r>
          </w:p>
          <w:p w14:paraId="07D7252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2192762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03DB01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p w14:paraId="58AD94B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5、铰链：需满足QB/T 2189-2013《家具五金 杯状暗铰链》、QB/T 3826-1999《轻工产品金属镀层和化学处理层的耐腐蚀试验方法 中性盐雾试验(NSS)法》、QB/T 3827-1999《轻工产品金属镀层和化学处理层的耐腐蚀试验方法 乙酸盐雾试验(ASS)法》、QB/T 3832-1999《轻工产品金属镀层腐蚀试验结果的评价》标准要求，检测项包括但不限于：耐久性循环≥100000次、所有组件无断裂、无松动，功能应无损坏，金属喷漆（塑）涂层冲击强度检测合格，耐腐蚀等级中性盐雾试验连续喷雾100h≥10级，乙酸盐雾试验连续喷雾240h≥10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9527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800*400*800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A575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个</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1314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A574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1143.33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8E6E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22866.60 </w:t>
            </w:r>
          </w:p>
        </w:tc>
      </w:tr>
      <w:tr w14:paraId="61D0C2EE">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9B26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11</w:t>
            </w:r>
          </w:p>
        </w:tc>
        <w:tc>
          <w:tcPr>
            <w:tcW w:w="3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C2C98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沙发3+1+1</w:t>
            </w:r>
          </w:p>
        </w:tc>
        <w:tc>
          <w:tcPr>
            <w:tcW w:w="8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FB46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shd w:val="clear" w:color="auto" w:fill="FFFFFF"/>
              </w:rPr>
              <w:drawing>
                <wp:anchor distT="0" distB="0" distL="114300" distR="114300" simplePos="0" relativeHeight="251669504" behindDoc="0" locked="0" layoutInCell="1" allowOverlap="1">
                  <wp:simplePos x="0" y="0"/>
                  <wp:positionH relativeFrom="column">
                    <wp:posOffset>-17145</wp:posOffset>
                  </wp:positionH>
                  <wp:positionV relativeFrom="paragraph">
                    <wp:posOffset>92710</wp:posOffset>
                  </wp:positionV>
                  <wp:extent cx="1244600" cy="1160780"/>
                  <wp:effectExtent l="0" t="0" r="5080" b="12700"/>
                  <wp:wrapNone/>
                  <wp:docPr id="2" name="图片_19"/>
                  <wp:cNvGraphicFramePr/>
                  <a:graphic xmlns:a="http://schemas.openxmlformats.org/drawingml/2006/main">
                    <a:graphicData uri="http://schemas.openxmlformats.org/drawingml/2006/picture">
                      <pic:pic xmlns:pic="http://schemas.openxmlformats.org/drawingml/2006/picture">
                        <pic:nvPicPr>
                          <pic:cNvPr id="2" name="图片_19"/>
                          <pic:cNvPicPr/>
                        </pic:nvPicPr>
                        <pic:blipFill>
                          <a:blip r:embed="rId23" cstate="print"/>
                          <a:stretch>
                            <a:fillRect/>
                          </a:stretch>
                        </pic:blipFill>
                        <pic:spPr>
                          <a:xfrm>
                            <a:off x="0" y="0"/>
                            <a:ext cx="1244600" cy="116078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63043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▲1、面料：采用牛皮，需满足GB/T 16799-2018《家具用皮革》标准要求，检测项包括但不限于：摩擦色牢度（干擦、湿擦、碱性汗液）≥4级，耐光性≥5，耐折牢度（50000次）无裂纹，撕裂力≥105N，气味≤3级，pH≥6，不含禁用偶氮染料，不含挥发性有机物（VOC），不含可萃取的重金属（铅，镉），不含游离甲醛。</w:t>
            </w:r>
          </w:p>
          <w:p w14:paraId="706BB6A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2、海绵：需满足GB/T 10802-2023 通用软质聚氨酯泡沫塑料标准要求，检测项包括但不限于：回弹率≥35%，75％压缩永久变形≤8%，65％/25％压陷比合格，拉伸强度≥90kPa，撕裂强度≥1.8N/cm，干热老化后拉伸强度≥55kPa，干热老化拉伸强度变化率≤±30%，湿热老化后拉伸强度≥55kPa，湿热老化拉伸强度变化率≤±30%。</w:t>
            </w:r>
          </w:p>
          <w:p w14:paraId="4E017A2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3、框架：采用硬质实木，需满足GB/T 3324-2017《木家具通用技术条件》、GB/T 1927.5-2021《无疵小试样木材物理力学性质试验方法第5部分:密度测定》、GB/T 14531-2017《办公家具 阅览、椅、凳》《企业产品技术要求》，检测项包括但不限于：气干密度≥0.5；外观（板件或部件在接触人体或贮物部位不应有毛刺、刃口或棱角；板件或部件的外表应光滑，倒棱、圆角、圆线应均匀一致；应无贯通裂缝；木家具中不应有虫蛀现象；外表应无腐朽材，内表轻微腐朽面积不应超过零件面积的20%；外表和存放物品部位用材应无树脂囊）合格。</w:t>
            </w:r>
          </w:p>
          <w:p w14:paraId="50752A9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▲4、产品需满足QB/T 1952.1-2023《软体家具沙发》标准要求。                                                                                                                                       </w:t>
            </w:r>
          </w:p>
        </w:tc>
        <w:tc>
          <w:tcPr>
            <w:tcW w:w="3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689C9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3人位 2200*880 单人位1200</w:t>
            </w:r>
          </w:p>
        </w:tc>
        <w:tc>
          <w:tcPr>
            <w:tcW w:w="2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1C88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套</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5D5D3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0ED5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5100.00 </w:t>
            </w:r>
          </w:p>
        </w:tc>
        <w:tc>
          <w:tcPr>
            <w:tcW w:w="4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83C41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5100.00 </w:t>
            </w:r>
          </w:p>
        </w:tc>
      </w:tr>
      <w:tr w14:paraId="3154D255">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62A20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12</w:t>
            </w:r>
          </w:p>
        </w:tc>
        <w:tc>
          <w:tcPr>
            <w:tcW w:w="3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027F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长茶几</w:t>
            </w:r>
          </w:p>
        </w:tc>
        <w:tc>
          <w:tcPr>
            <w:tcW w:w="8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4216B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shd w:val="clear" w:color="auto" w:fill="FFFFFF"/>
              </w:rPr>
              <w:drawing>
                <wp:anchor distT="0" distB="0" distL="114300" distR="114300" simplePos="0" relativeHeight="251670528" behindDoc="0" locked="0" layoutInCell="1" allowOverlap="1">
                  <wp:simplePos x="0" y="0"/>
                  <wp:positionH relativeFrom="column">
                    <wp:posOffset>13335</wp:posOffset>
                  </wp:positionH>
                  <wp:positionV relativeFrom="paragraph">
                    <wp:posOffset>171450</wp:posOffset>
                  </wp:positionV>
                  <wp:extent cx="1108075" cy="916305"/>
                  <wp:effectExtent l="0" t="0" r="4445" b="13335"/>
                  <wp:wrapNone/>
                  <wp:docPr id="5" name="图片_20"/>
                  <wp:cNvGraphicFramePr/>
                  <a:graphic xmlns:a="http://schemas.openxmlformats.org/drawingml/2006/main">
                    <a:graphicData uri="http://schemas.openxmlformats.org/drawingml/2006/picture">
                      <pic:pic xmlns:pic="http://schemas.openxmlformats.org/drawingml/2006/picture">
                        <pic:nvPicPr>
                          <pic:cNvPr id="5" name="图片_20"/>
                          <pic:cNvPicPr/>
                        </pic:nvPicPr>
                        <pic:blipFill>
                          <a:blip r:embed="rId24" cstate="print"/>
                          <a:stretch>
                            <a:fillRect/>
                          </a:stretch>
                        </pic:blipFill>
                        <pic:spPr>
                          <a:xfrm>
                            <a:off x="0" y="0"/>
                            <a:ext cx="1108075" cy="91630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FC404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1、台面为优质岩板，辅以造型别致的不锈钢等底架，典雅华贵、简洁实用；</w:t>
            </w:r>
          </w:p>
          <w:p w14:paraId="6FA85F8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2、对水、油、污渍、细菌有很强的抵抗力，容易清洁；                      </w:t>
            </w:r>
          </w:p>
          <w:p w14:paraId="46AF2B9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3、绝对环保、无毒、无辐射，台面可与食物直接接触；</w:t>
            </w:r>
          </w:p>
          <w:p w14:paraId="5593C6E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4、钢化玻璃材质和金属搭配玻璃材质的搭配具有明澈、清新的透明质感，经过光影的空透，富于立体效果，时尚简约；                                                                                                </w:t>
            </w:r>
          </w:p>
        </w:tc>
        <w:tc>
          <w:tcPr>
            <w:tcW w:w="3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BBE92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1200*600*450</w:t>
            </w:r>
          </w:p>
        </w:tc>
        <w:tc>
          <w:tcPr>
            <w:tcW w:w="2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D5A7D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个</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C58A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ED5D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866.67 </w:t>
            </w:r>
          </w:p>
        </w:tc>
        <w:tc>
          <w:tcPr>
            <w:tcW w:w="4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F89C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866.67 </w:t>
            </w:r>
          </w:p>
        </w:tc>
      </w:tr>
      <w:tr w14:paraId="3BCD28D4">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21EE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13</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103B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34人位会议桌</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4F88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71552" behindDoc="0" locked="0" layoutInCell="1" allowOverlap="1">
                  <wp:simplePos x="0" y="0"/>
                  <wp:positionH relativeFrom="column">
                    <wp:posOffset>73025</wp:posOffset>
                  </wp:positionH>
                  <wp:positionV relativeFrom="paragraph">
                    <wp:posOffset>45085</wp:posOffset>
                  </wp:positionV>
                  <wp:extent cx="1080770" cy="1003300"/>
                  <wp:effectExtent l="0" t="0" r="1270" b="2540"/>
                  <wp:wrapNone/>
                  <wp:docPr id="13" name="图片_6"/>
                  <wp:cNvGraphicFramePr/>
                  <a:graphic xmlns:a="http://schemas.openxmlformats.org/drawingml/2006/main">
                    <a:graphicData uri="http://schemas.openxmlformats.org/drawingml/2006/picture">
                      <pic:pic xmlns:pic="http://schemas.openxmlformats.org/drawingml/2006/picture">
                        <pic:nvPicPr>
                          <pic:cNvPr id="13" name="图片_6"/>
                          <pic:cNvPicPr/>
                        </pic:nvPicPr>
                        <pic:blipFill>
                          <a:blip r:embed="rId25" cstate="print"/>
                          <a:stretch>
                            <a:fillRect/>
                          </a:stretch>
                        </pic:blipFill>
                        <pic:spPr>
                          <a:xfrm>
                            <a:off x="0" y="0"/>
                            <a:ext cx="1080770" cy="100330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5C16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1、基材：采用中密度纤维板，需满足GB/T 11718-2021《中密度纤维板》、GB/T 35601-2024《绿色产品评价 人造板和木质地板》、GB/T 39600-2021《人造板及其制品甲醛释放量分级》、GB/T 29899-2024《人造板及其制品中挥发性有机化合物释放量试验方法 小型释放舱法》标准要求，检测项包括但不限于：不含苯、甲苯、二甲苯、TVOC，甲醛释放量≤0.05mg/m³，含水率≤7%，密度≥0.80g/cm³，板内密度偏差≤1.2%，防潮性能（70℃水浸渍处理后静曲强度）≥12MPa，静曲强度≥38Mpa，弹性模量≥3700MPa，内胶合强度≥0.5Mpa，表面胶合强度≥1.1Mpa，吸水厚度膨胀率≤9.0%。</w:t>
            </w:r>
          </w:p>
          <w:p w14:paraId="2B60750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09BAA82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111C94A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0277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10000*2000*760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ECE9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0200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B7EA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16783.33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A21C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16783.33 </w:t>
            </w:r>
          </w:p>
        </w:tc>
      </w:tr>
      <w:tr w14:paraId="12BA8075">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0301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14</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014B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34人位会议椅</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FB4F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72576" behindDoc="0" locked="0" layoutInCell="1" allowOverlap="1">
                  <wp:simplePos x="0" y="0"/>
                  <wp:positionH relativeFrom="column">
                    <wp:posOffset>51435</wp:posOffset>
                  </wp:positionH>
                  <wp:positionV relativeFrom="paragraph">
                    <wp:posOffset>67945</wp:posOffset>
                  </wp:positionV>
                  <wp:extent cx="997585" cy="1235075"/>
                  <wp:effectExtent l="0" t="0" r="8255" b="14605"/>
                  <wp:wrapNone/>
                  <wp:docPr id="20" name="图片_16"/>
                  <wp:cNvGraphicFramePr/>
                  <a:graphic xmlns:a="http://schemas.openxmlformats.org/drawingml/2006/main">
                    <a:graphicData uri="http://schemas.openxmlformats.org/drawingml/2006/picture">
                      <pic:pic xmlns:pic="http://schemas.openxmlformats.org/drawingml/2006/picture">
                        <pic:nvPicPr>
                          <pic:cNvPr id="20" name="图片_16"/>
                          <pic:cNvPicPr/>
                        </pic:nvPicPr>
                        <pic:blipFill>
                          <a:blip r:embed="rId26" cstate="print"/>
                          <a:stretch>
                            <a:fillRect/>
                          </a:stretch>
                        </pic:blipFill>
                        <pic:spPr>
                          <a:xfrm>
                            <a:off x="0" y="0"/>
                            <a:ext cx="997585" cy="123507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8774B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1、面料：采用西皮，需满足QB/T 4714-2014 家居用聚氨酯合成革、QB/T 4199-2011 皮革 防霉性能测试方法等标准要求，要求达到：（1）拉伸负荷、断裂伸长率、撕裂负荷、剥离负荷合格；（2） 表面颜色牢度、表面颜色迁移性、耐磨性、耐溶剂性合格；（3）抗霉菌性能：黑曲霉、土曲霉、宛氏拟青霉、绳状青霉、出芽短梗霉、球毛壳霉均达到0级。</w:t>
            </w:r>
          </w:p>
          <w:p w14:paraId="29277B3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2、海绵：需满足GB/T 10802-2023 通用软质聚氨酯泡沫塑料标准要求，检测项包括但不限于：回弹率≥35%，75％压缩永久变形≤8%，65％/25％压陷比合格，拉伸强度≥90kPa，撕裂强度≥1.8N/cm，干热老化后拉伸强度≥55kPa，干热老化拉伸强度变化率≤±30%，湿热老化后拉伸强度≥55kPa，湿热老化拉伸强度变化率≤±30%。</w:t>
            </w:r>
          </w:p>
          <w:p w14:paraId="673BA60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3、采用优质五金弓形脚架。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E61B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常规</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28FE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2D40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34</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E69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548.33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0C12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18643.22 </w:t>
            </w:r>
          </w:p>
        </w:tc>
      </w:tr>
      <w:tr w14:paraId="5CA7F8A7">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D796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15</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40EE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小包间餐桌</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0847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73600" behindDoc="0" locked="0" layoutInCell="1" allowOverlap="1">
                  <wp:simplePos x="0" y="0"/>
                  <wp:positionH relativeFrom="column">
                    <wp:posOffset>-62230</wp:posOffset>
                  </wp:positionH>
                  <wp:positionV relativeFrom="paragraph">
                    <wp:posOffset>119380</wp:posOffset>
                  </wp:positionV>
                  <wp:extent cx="1218565" cy="1084580"/>
                  <wp:effectExtent l="0" t="0" r="635" b="12700"/>
                  <wp:wrapNone/>
                  <wp:docPr id="4" name="图片_17"/>
                  <wp:cNvGraphicFramePr/>
                  <a:graphic xmlns:a="http://schemas.openxmlformats.org/drawingml/2006/main">
                    <a:graphicData uri="http://schemas.openxmlformats.org/drawingml/2006/picture">
                      <pic:pic xmlns:pic="http://schemas.openxmlformats.org/drawingml/2006/picture">
                        <pic:nvPicPr>
                          <pic:cNvPr id="4" name="图片_17"/>
                          <pic:cNvPicPr/>
                        </pic:nvPicPr>
                        <pic:blipFill>
                          <a:blip r:embed="rId27" cstate="print"/>
                          <a:stretch>
                            <a:fillRect/>
                          </a:stretch>
                        </pic:blipFill>
                        <pic:spPr>
                          <a:xfrm>
                            <a:off x="0" y="0"/>
                            <a:ext cx="1218565" cy="108458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8FFB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▲1、基材：采用多层实木板，需满足HJ571-2010《环境标志产品技术要求人造板及其制品》、GB/T 9846-2015《普通胶合板》、GB/T 17657-2022《人造板及饰面人造板理化性能试验方法》、GB/T 35601-2024《绿色产品评价人造板和木质地板》、QB/T 4371-2012《家具抗菌性能的评价》、GB/T 42998-2023《家具产品及其材料中禁限用物质测定方法酮类化合物》、《企业产品技术要求》标准要求，检测项包括但不限于：含水率：5-16%，板面握钉力≥1300N，板边握钉力≥ 1100N，甲醛释放限量(气候箱法)≤0.02mg/m³, 表面胶合强度≥ 0.90Mpa，静曲强度：顺纹 ≥40Mpa、橫纹≥35Mpa，弹性模量：顺纹≥5000Mpa、橫纹≥4000Mpa；总挥发性有机化合物(TVOC)的释放率(72h)未检出；苯、甲苯、二甲苯、TVOC未检出；抗菌性能：【金黄色 葡萄球菌】抗菌率达到99%或以上；醛酮类化合物合格。</w:t>
            </w:r>
          </w:p>
          <w:p w14:paraId="7EB12CC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▲2、饰面：面压防火板：需满足GB/T 20285-2006、JC/T 2039-2010等标准，要求达到（1）绿色木霉、黄曲霉、黑曲霉、桔青霉的防霉菌等级达到0级；（2）产烟特性等级达到S1级，烟气生成速率指数SMOGRA≤30m²/s²，（3）烟气毒性等级达到准安全一级ZA1。</w:t>
            </w:r>
          </w:p>
          <w:p w14:paraId="4524243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60DFD8C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533FEBD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5、螺丝：需满足QB/T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AD8B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直径1.8米</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9B53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AEE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2CA2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5933.33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ED13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5933.33 </w:t>
            </w:r>
          </w:p>
        </w:tc>
      </w:tr>
      <w:tr w14:paraId="0391B68D">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5828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16</w:t>
            </w:r>
          </w:p>
        </w:tc>
        <w:tc>
          <w:tcPr>
            <w:tcW w:w="3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0263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小包间餐椅</w:t>
            </w:r>
          </w:p>
        </w:tc>
        <w:tc>
          <w:tcPr>
            <w:tcW w:w="8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C5E7D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shd w:val="clear" w:color="auto" w:fill="FFFFFF"/>
              </w:rPr>
              <w:drawing>
                <wp:anchor distT="0" distB="0" distL="114300" distR="114300" simplePos="0" relativeHeight="251674624" behindDoc="0" locked="0" layoutInCell="1" allowOverlap="1">
                  <wp:simplePos x="0" y="0"/>
                  <wp:positionH relativeFrom="column">
                    <wp:posOffset>17145</wp:posOffset>
                  </wp:positionH>
                  <wp:positionV relativeFrom="paragraph">
                    <wp:posOffset>83820</wp:posOffset>
                  </wp:positionV>
                  <wp:extent cx="1122045" cy="1089660"/>
                  <wp:effectExtent l="0" t="0" r="5715" b="7620"/>
                  <wp:wrapNone/>
                  <wp:docPr id="7" name="图片_7"/>
                  <wp:cNvGraphicFramePr/>
                  <a:graphic xmlns:a="http://schemas.openxmlformats.org/drawingml/2006/main">
                    <a:graphicData uri="http://schemas.openxmlformats.org/drawingml/2006/picture">
                      <pic:pic xmlns:pic="http://schemas.openxmlformats.org/drawingml/2006/picture">
                        <pic:nvPicPr>
                          <pic:cNvPr id="7" name="图片_7"/>
                          <pic:cNvPicPr/>
                        </pic:nvPicPr>
                        <pic:blipFill>
                          <a:blip r:embed="rId28" cstate="print"/>
                          <a:stretch>
                            <a:fillRect/>
                          </a:stretch>
                        </pic:blipFill>
                        <pic:spPr>
                          <a:xfrm>
                            <a:off x="0" y="0"/>
                            <a:ext cx="1122045" cy="108966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BA7E0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1、基材：采用多层实木板，需满足HJ571-2010《环境标志产品技术要求人造板及其制品》、GB/T 9846-2015《普通胶合板》、GB/T 17657-2022《人造板及饰面人造板理化性能试验方法》、GB/T 35601-2024《绿色产品评价人造板和木质地板》、QB/T 4371-2012《家具抗菌性能的评价》、GB/T 42998-2023《家具产品及其材料中禁限用物质测定方法酮类化合物》、《企业产品技术要求》标准要求，检测项包括但不限于：含水率：5-16%，板面握钉力≥1300N，板边握钉力≥ 1100N，甲醛释放限量(气候箱法)≤0.02mg/m³, 表面胶合强度≥ 0.90Mpa，静曲强度：顺纹 ≥40Mpa</w:t>
            </w:r>
            <w:r>
              <w:rPr>
                <w:rFonts w:hint="eastAsia" w:ascii="方正仿宋_GB2312" w:hAnsi="方正仿宋_GB2312" w:eastAsia="方正仿宋_GB2312" w:cs="方正仿宋_GB2312"/>
                <w:b w:val="0"/>
                <w:bCs w:val="0"/>
                <w:color w:val="000000"/>
                <w:sz w:val="18"/>
                <w:szCs w:val="18"/>
              </w:rPr>
              <w:t>、橫纹≥35Mpa，弹性模量：顺纹≥5000Mpa、橫纹≥</w:t>
            </w:r>
            <w:r>
              <w:rPr>
                <w:rFonts w:hint="eastAsia" w:ascii="方正仿宋_GB2312" w:hAnsi="方正仿宋_GB2312" w:eastAsia="方正仿宋_GB2312" w:cs="方正仿宋_GB2312"/>
                <w:color w:val="000000"/>
                <w:sz w:val="18"/>
                <w:szCs w:val="18"/>
              </w:rPr>
              <w:t>4000Mpa；总挥发性有机化合物(TVOC)的释放率(72h)未检出；苯、甲苯、二甲苯、TVOC未检出；抗菌性能：【金黄色 葡萄球菌】抗菌率达到99%或以上；醛酮类化合物合格。</w:t>
            </w:r>
          </w:p>
          <w:p w14:paraId="00B982B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2、饰面：面压防火板：需满足GB/T 20285-2006、JC/T 2039-2010等标准，要求达到（1）绿色木霉、黄曲霉、黑曲霉、桔青霉的防霉菌等级达到0级；（2）产烟特性等级达到S1级，烟气生成速率指数SMOGRA≤30m²/s²，（3）烟气毒性等级达到准安全一级ZA1。</w:t>
            </w:r>
          </w:p>
          <w:p w14:paraId="6A8CC7A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44BFAA1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40A0244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5、螺丝：需满足QB/T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                                                                                                                                             </w:t>
            </w:r>
          </w:p>
        </w:tc>
        <w:tc>
          <w:tcPr>
            <w:tcW w:w="3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3F933">
            <w:pPr>
              <w:widowControl/>
              <w:jc w:val="center"/>
              <w:textAlignment w:val="center"/>
              <w:rPr>
                <w:rFonts w:ascii="方正仿宋_GB2312" w:hAnsi="方正仿宋_GB2312" w:eastAsia="方正仿宋_GB2312" w:cs="方正仿宋_GB2312"/>
                <w:color w:val="FF0000"/>
                <w:sz w:val="18"/>
                <w:szCs w:val="18"/>
              </w:rPr>
            </w:pPr>
            <w:r>
              <w:rPr>
                <w:rFonts w:hint="eastAsia" w:ascii="方正仿宋_GB2312" w:hAnsi="方正仿宋_GB2312" w:eastAsia="方正仿宋_GB2312" w:cs="方正仿宋_GB2312"/>
                <w:kern w:val="0"/>
                <w:sz w:val="18"/>
                <w:szCs w:val="18"/>
              </w:rPr>
              <w:t>常规图片同款</w:t>
            </w:r>
          </w:p>
        </w:tc>
        <w:tc>
          <w:tcPr>
            <w:tcW w:w="2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1C780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50370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10</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78AB7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526.67 </w:t>
            </w:r>
          </w:p>
        </w:tc>
        <w:tc>
          <w:tcPr>
            <w:tcW w:w="4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AA758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5266.70 </w:t>
            </w:r>
          </w:p>
        </w:tc>
      </w:tr>
      <w:tr w14:paraId="4ACB14BB">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494B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17</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4307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小包间餐边柜</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FF65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75648" behindDoc="0" locked="0" layoutInCell="1" allowOverlap="1">
                  <wp:simplePos x="0" y="0"/>
                  <wp:positionH relativeFrom="column">
                    <wp:posOffset>71755</wp:posOffset>
                  </wp:positionH>
                  <wp:positionV relativeFrom="paragraph">
                    <wp:posOffset>23495</wp:posOffset>
                  </wp:positionV>
                  <wp:extent cx="1092835" cy="1220470"/>
                  <wp:effectExtent l="0" t="0" r="4445" b="13970"/>
                  <wp:wrapNone/>
                  <wp:docPr id="3" name="图片_8"/>
                  <wp:cNvGraphicFramePr/>
                  <a:graphic xmlns:a="http://schemas.openxmlformats.org/drawingml/2006/main">
                    <a:graphicData uri="http://schemas.openxmlformats.org/drawingml/2006/picture">
                      <pic:pic xmlns:pic="http://schemas.openxmlformats.org/drawingml/2006/picture">
                        <pic:nvPicPr>
                          <pic:cNvPr id="3" name="图片_8"/>
                          <pic:cNvPicPr/>
                        </pic:nvPicPr>
                        <pic:blipFill>
                          <a:blip r:embed="rId29" cstate="print"/>
                          <a:stretch>
                            <a:fillRect/>
                          </a:stretch>
                        </pic:blipFill>
                        <pic:spPr>
                          <a:xfrm>
                            <a:off x="0" y="0"/>
                            <a:ext cx="1092835" cy="122047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52A7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▲1、基材：采用实木颗粒板，需满足GB/T 35601-2024、GB/T 20285-2006、JC/T 2039-2010 抗菌防霉木质装饰板标准，要求达到（1）甲醛释放限量≤0.05mg/m³；符合国家环保E0级标准。（2）绿色木霉、黄曲霉、黑曲霉、桔青霉的防霉菌等级达到0级；（3）产烟特性等级达到S1级，烟气生成速率指数SMOGRA≤30m²/s²，（4）烟气毒性等级达到准安全一级ZA1。</w:t>
            </w:r>
          </w:p>
          <w:p w14:paraId="29A97B5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▲2、饰面：采用三聚氰胺饰面纸，需满足GB/T 28995-2022《人造板饰面专用纸》、GB/T 456-2002《纸和纸板平滑度的测定（别克法）》标准要求，检测项包括但不限于：外观质量要求无尘埃点、无色差、无破损、无污斑、无异物、无死褶、无毛边、无皱褶、无硬质块、无掉毛、无掉粉、无缺边、无裂口、无孔洞、无卷芯变形，无甲醛释放量，平滑度≥160；</w:t>
            </w:r>
          </w:p>
          <w:p w14:paraId="25E2068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封边：采用优质封边条，需满足QB/T4463-2013《家具用封边条技术要求》，检测项包括但不限于：甲醛释放量≤0.13mg/L；封边条外观、耐干热、耐冷热循环、耐光色牢度、耐磨性、耐老化性、甲醛释放量、邻苯二甲酸酯、氯乙烯单体、可迁移元素（不低于八项）、有害物质多溴联苯、多溴联苯醚均符合QB/T 4463-2013标准要求。</w:t>
            </w:r>
          </w:p>
          <w:p w14:paraId="553F60C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p w14:paraId="6C3FD34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5、铰链：需满足QB/T 2189-2013《家具五金 杯状暗铰链》、QB/T 3826-1999《轻工产品金属镀层和化学处理层的耐腐蚀试验方法 中性盐雾试验(NSS)法》、QB/T 3827-1999《轻工产品金属镀层和化学处理层的耐腐蚀试验方法 乙酸盐雾试验(ASS)法》、QB/T 3832-1999《轻工产品金属镀层腐蚀试验结果的评价》标准要求，检测项包括但不限于：耐久性循环≥100000次、所有组件无断裂、无松动，功能应无损坏，金属喷漆（塑）涂层冲击强度检测合格，耐腐蚀等级中性盐雾试验连续喷雾100h≥10级，乙酸盐雾试验连续喷雾240h≥10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184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1600*400*800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DE98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个</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2432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81AE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1526.67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1F59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1526.67 </w:t>
            </w:r>
          </w:p>
        </w:tc>
      </w:tr>
      <w:tr w14:paraId="41A1CE30">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BC80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18</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4349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大会议室会议条桌</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A2A8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76672" behindDoc="0" locked="0" layoutInCell="1" allowOverlap="1">
                  <wp:simplePos x="0" y="0"/>
                  <wp:positionH relativeFrom="column">
                    <wp:posOffset>2540</wp:posOffset>
                  </wp:positionH>
                  <wp:positionV relativeFrom="paragraph">
                    <wp:posOffset>194945</wp:posOffset>
                  </wp:positionV>
                  <wp:extent cx="1183640" cy="949960"/>
                  <wp:effectExtent l="0" t="0" r="5080" b="10160"/>
                  <wp:wrapNone/>
                  <wp:docPr id="8" name="图片_9"/>
                  <wp:cNvGraphicFramePr/>
                  <a:graphic xmlns:a="http://schemas.openxmlformats.org/drawingml/2006/main">
                    <a:graphicData uri="http://schemas.openxmlformats.org/drawingml/2006/picture">
                      <pic:pic xmlns:pic="http://schemas.openxmlformats.org/drawingml/2006/picture">
                        <pic:nvPicPr>
                          <pic:cNvPr id="8" name="图片_9"/>
                          <pic:cNvPicPr/>
                        </pic:nvPicPr>
                        <pic:blipFill>
                          <a:blip r:embed="rId30" cstate="print"/>
                          <a:stretch>
                            <a:fillRect/>
                          </a:stretch>
                        </pic:blipFill>
                        <pic:spPr>
                          <a:xfrm>
                            <a:off x="0" y="0"/>
                            <a:ext cx="1183640" cy="94996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93D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1、基材：采用实木颗粒板，需满足GB/T 35601-2024、GB/T 20285-2006、JC/T 2039-2010 抗菌防霉木质装饰板标准，要求达到（1）甲醛释放限量≤0.05mg/m³；符合国家环保E0级标准。（2）绿色木霉、黄曲霉、黑曲霉、桔青霉的防霉菌等级达到0级；（3）产烟特性等级达到S1级，烟气生成速率指数SMOGRA≤30m²/s²，（4）烟气毒性等级达到准安全一级ZA1。</w:t>
            </w:r>
          </w:p>
          <w:p w14:paraId="667AB50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2、饰面：采用三聚氰胺饰面纸，需满足GB/T 28995-2022《人造板饰面专用纸》、GB/T 456-2002《纸和纸板平滑度的测定（别克法）》标准要求，检测项包括但不限于：外观质量要求无尘埃点、无色差、无破损、无污斑、无异物、无死褶、无毛边、无皱褶、无硬质块、无掉毛、无掉粉、无缺边、无裂口、无孔洞、无卷芯变形，无甲醛释放量，平滑度≥160；</w:t>
            </w:r>
          </w:p>
          <w:p w14:paraId="22E560B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封边：采用优质封边条，需满足QB/T4463-2013《家具用封边条技术要求》，检测项包括但不限于：甲醛释放量≤0.13mg/L；封边条外观、耐干热、耐冷热循环、耐光色牢度、耐磨性、耐老化性、甲醛释放量、邻苯二甲酸酯、氯乙烯单体、可迁移元素（不低于八项）、有害物质多溴联苯、多溴联苯醚均符合QB/T 4463-2013标准要求。</w:t>
            </w:r>
          </w:p>
          <w:p w14:paraId="2C5A6A2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B41B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1200*400*750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C95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1C7E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64</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5686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766.67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3C73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49066.88 </w:t>
            </w:r>
          </w:p>
        </w:tc>
      </w:tr>
      <w:tr w14:paraId="0579E46E">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3F8F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19</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7C71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大会议室会议椅</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80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77696" behindDoc="0" locked="0" layoutInCell="1" allowOverlap="1">
                  <wp:simplePos x="0" y="0"/>
                  <wp:positionH relativeFrom="column">
                    <wp:posOffset>39370</wp:posOffset>
                  </wp:positionH>
                  <wp:positionV relativeFrom="paragraph">
                    <wp:posOffset>106045</wp:posOffset>
                  </wp:positionV>
                  <wp:extent cx="1075690" cy="1056005"/>
                  <wp:effectExtent l="0" t="0" r="6350" b="10795"/>
                  <wp:wrapNone/>
                  <wp:docPr id="9" name="图片_10"/>
                  <wp:cNvGraphicFramePr/>
                  <a:graphic xmlns:a="http://schemas.openxmlformats.org/drawingml/2006/main">
                    <a:graphicData uri="http://schemas.openxmlformats.org/drawingml/2006/picture">
                      <pic:pic xmlns:pic="http://schemas.openxmlformats.org/drawingml/2006/picture">
                        <pic:nvPicPr>
                          <pic:cNvPr id="9" name="图片_10"/>
                          <pic:cNvPicPr/>
                        </pic:nvPicPr>
                        <pic:blipFill>
                          <a:blip r:embed="rId31" cstate="print"/>
                          <a:stretch>
                            <a:fillRect/>
                          </a:stretch>
                        </pic:blipFill>
                        <pic:spPr>
                          <a:xfrm>
                            <a:off x="0" y="0"/>
                            <a:ext cx="1075690" cy="105600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A87A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1、基材：采用实木颗粒板，需满足GB/T 35601-2024、GB/T 20285-2006、JC/T 2039-2010 抗菌防霉木质装饰板标准，要求达到（1）甲醛释放限量≤0.05mg/m³；符合国家环保E0级标准。（2）绿色木霉、黄曲霉、黑曲霉、桔青霉的防霉菌等级达到0级；（3）产烟特性等级达到S1级，烟气生成速率指数SMOGRA≤30m²/s²，（4）烟气毒性等级达到准安全一级ZA1。</w:t>
            </w:r>
          </w:p>
          <w:p w14:paraId="6B0CCAA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2、饰面：采用三聚氰胺饰面纸，需满足GB/T 28995-2022《人造板饰面专用纸》、GB/T 456-2002《纸和纸板平滑度的测定（别克法）》标准要求，检测项包括但不限于：外观质量要求无尘埃点、无色差、无破损、无污斑、无异物、无死褶、无毛边、无皱褶、无硬质块、无掉毛、无掉粉、无缺边、无裂口、无孔洞、无卷芯变形，无甲醛释放量，平滑度≥160；</w:t>
            </w:r>
          </w:p>
          <w:p w14:paraId="44E90F4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封边：采用优质封边条，需满足QB/T4463-2013《家具用封边条技术要求》，检测项包括但不限于：甲醛释放量≤0.13mg/L；封边条外观、耐干热、耐冷热循环、耐光色牢度、耐磨性、耐老化性、甲醛释放量、邻苯二甲酸酯、氯乙烯单体、可迁移元素（不低于八项）、有害物质多溴联苯、多溴联苯醚均符合QB/T 4463-2013标准要求。</w:t>
            </w:r>
          </w:p>
          <w:p w14:paraId="2904F56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A1C3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常规</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C0B9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F2D3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152</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7565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353.33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FC2A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53706.16 </w:t>
            </w:r>
          </w:p>
        </w:tc>
      </w:tr>
      <w:tr w14:paraId="39096E21">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190E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20</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4E6F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发言台</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E726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78720" behindDoc="0" locked="0" layoutInCell="1" allowOverlap="1">
                  <wp:simplePos x="0" y="0"/>
                  <wp:positionH relativeFrom="column">
                    <wp:posOffset>74295</wp:posOffset>
                  </wp:positionH>
                  <wp:positionV relativeFrom="paragraph">
                    <wp:posOffset>-18415</wp:posOffset>
                  </wp:positionV>
                  <wp:extent cx="969645" cy="1421130"/>
                  <wp:effectExtent l="0" t="0" r="5715" b="11430"/>
                  <wp:wrapNone/>
                  <wp:docPr id="10" name="图片_11"/>
                  <wp:cNvGraphicFramePr/>
                  <a:graphic xmlns:a="http://schemas.openxmlformats.org/drawingml/2006/main">
                    <a:graphicData uri="http://schemas.openxmlformats.org/drawingml/2006/picture">
                      <pic:pic xmlns:pic="http://schemas.openxmlformats.org/drawingml/2006/picture">
                        <pic:nvPicPr>
                          <pic:cNvPr id="10" name="图片_11"/>
                          <pic:cNvPicPr/>
                        </pic:nvPicPr>
                        <pic:blipFill>
                          <a:blip r:embed="rId32" cstate="print"/>
                          <a:stretch>
                            <a:fillRect/>
                          </a:stretch>
                        </pic:blipFill>
                        <pic:spPr>
                          <a:xfrm>
                            <a:off x="0" y="0"/>
                            <a:ext cx="969645" cy="142113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D1DC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1、基材：采用实木颗粒板，需满足GB/T 35601-2024、GB/T 20285-2006、JC/T 2039-2010 抗菌防霉木质装饰板标准，要求达到（1）甲醛释放限量≤0.05mg/m³；符合国家环保E0级标准。（2）绿色木霉、黄曲霉、黑曲霉、桔青霉的防霉菌等级达到0级；（3）产烟特性等级达到S1级，烟气生成速率指数SMOGRA≤30m²/s²，（4）烟气毒性等级达到准安全一级ZA1。</w:t>
            </w:r>
          </w:p>
          <w:p w14:paraId="109840D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2、饰面：采用三聚氰胺饰面纸，需满足GB/T 28995-2022《人造板饰面专用纸》、GB/T 456-2002《纸和纸板平滑度的测定（别克法）》标准要求，检测项包括但不限于：外观质量要求无尘埃点、无色差、无破损、无污斑、无异物、无死褶、无毛边、无皱褶、无硬质块、无掉毛、无掉粉、无缺边、无裂口、无孔洞、无卷芯变形，无甲醛释放量，平滑度≥160；</w:t>
            </w:r>
          </w:p>
          <w:p w14:paraId="54249BB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封边：采用优质封边条，需满足QB/T4463-2013《家具用封边条技术要求》，检测项包括但不限于：甲醛释放量≤0.13mg/L；封边条外观、耐干热、耐冷热循环、耐光色牢度、耐磨性、耐老化性、甲醛释放量、邻苯二甲酸酯、氯乙烯单体、可迁移元素（不低于八项）、有害物质多溴联苯、多溴联苯醚均符合QB/T 4463-2013标准要求。</w:t>
            </w:r>
          </w:p>
          <w:p w14:paraId="499D934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4352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680*520*1160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8DE9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个</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8E2F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2117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1116.67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A74A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1116.67 </w:t>
            </w:r>
          </w:p>
        </w:tc>
      </w:tr>
      <w:tr w14:paraId="322DC049">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AB0B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21</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E5EB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大会议室主席桌</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CD6A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79744" behindDoc="0" locked="0" layoutInCell="1" allowOverlap="1">
                  <wp:simplePos x="0" y="0"/>
                  <wp:positionH relativeFrom="column">
                    <wp:posOffset>-13335</wp:posOffset>
                  </wp:positionH>
                  <wp:positionV relativeFrom="paragraph">
                    <wp:posOffset>107950</wp:posOffset>
                  </wp:positionV>
                  <wp:extent cx="1183005" cy="1211580"/>
                  <wp:effectExtent l="0" t="0" r="5715" b="7620"/>
                  <wp:wrapNone/>
                  <wp:docPr id="11" name="图片_12"/>
                  <wp:cNvGraphicFramePr/>
                  <a:graphic xmlns:a="http://schemas.openxmlformats.org/drawingml/2006/main">
                    <a:graphicData uri="http://schemas.openxmlformats.org/drawingml/2006/picture">
                      <pic:pic xmlns:pic="http://schemas.openxmlformats.org/drawingml/2006/picture">
                        <pic:nvPicPr>
                          <pic:cNvPr id="11" name="图片_12"/>
                          <pic:cNvPicPr/>
                        </pic:nvPicPr>
                        <pic:blipFill>
                          <a:blip r:embed="rId33" cstate="print"/>
                          <a:stretch>
                            <a:fillRect/>
                          </a:stretch>
                        </pic:blipFill>
                        <pic:spPr>
                          <a:xfrm>
                            <a:off x="0" y="0"/>
                            <a:ext cx="1183005" cy="121158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A0E0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1、基材：采用实木颗粒板，需满足GB/T 35601-2024、GB/T 20285-2006、JC/T 2039-2010 抗菌防霉木质装饰板标准，要求达到（1）甲醛释放限量≤0.05mg/m³；符合国家环保E0级标准。（2）绿色木霉、黄曲霉、黑曲霉、桔青霉的防霉菌等级达到0级；（3）产烟特性等级达到S1级，烟气生成速率指数SMOGRA≤30m²/s²，（4）烟气毒性等级达到准安全一级ZA1。</w:t>
            </w:r>
          </w:p>
          <w:p w14:paraId="7DF8C66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2、饰面：采用三聚氰胺饰面纸，需满足GB/T 28995-2022《人造板饰面专用纸》、GB/T 456-2002《纸和纸板平滑度的测定（别克法）》标准要求，检测项包括但不限于：外观质量要求无尘埃点、无色差、无破损、无污斑、无异物、无死褶、无毛边、无皱褶、无硬质块、无掉毛、无掉粉、无缺边、无裂口、无孔洞、无卷芯变形，无甲醛释放量，平滑度≥160；</w:t>
            </w:r>
          </w:p>
          <w:p w14:paraId="102CE9B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封边：采用优质封边条，需满足QB/T4463-2013《家具用封边条技术要求》，检测项包括但不限于：甲醛释放量≤0.13mg/L；封边条外观、耐干热、耐冷热循环、耐光色牢度、耐磨性、耐老化性、甲醛释放量、邻苯二甲酸酯、氯乙烯单体、可迁移元素（不低于八项）、有害物质多溴联苯、多溴联苯醚均符合QB/T 4463-2013标准要求。</w:t>
            </w:r>
          </w:p>
          <w:p w14:paraId="7FB8EA6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9EEA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1600*800*750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7B96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C425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4</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509B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1776.67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A43F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7106.68 </w:t>
            </w:r>
          </w:p>
        </w:tc>
      </w:tr>
      <w:tr w14:paraId="2D09DA31">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C082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22</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52B0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大会议室主席椅</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1C3D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80768" behindDoc="0" locked="0" layoutInCell="1" allowOverlap="1">
                  <wp:simplePos x="0" y="0"/>
                  <wp:positionH relativeFrom="column">
                    <wp:posOffset>0</wp:posOffset>
                  </wp:positionH>
                  <wp:positionV relativeFrom="paragraph">
                    <wp:posOffset>120650</wp:posOffset>
                  </wp:positionV>
                  <wp:extent cx="1075690" cy="1042670"/>
                  <wp:effectExtent l="0" t="0" r="6350" b="8890"/>
                  <wp:wrapNone/>
                  <wp:docPr id="22" name="图片_21"/>
                  <wp:cNvGraphicFramePr/>
                  <a:graphic xmlns:a="http://schemas.openxmlformats.org/drawingml/2006/main">
                    <a:graphicData uri="http://schemas.openxmlformats.org/drawingml/2006/picture">
                      <pic:pic xmlns:pic="http://schemas.openxmlformats.org/drawingml/2006/picture">
                        <pic:nvPicPr>
                          <pic:cNvPr id="22" name="图片_21"/>
                          <pic:cNvPicPr/>
                        </pic:nvPicPr>
                        <pic:blipFill>
                          <a:blip r:embed="rId34" cstate="print"/>
                          <a:stretch>
                            <a:fillRect/>
                          </a:stretch>
                        </pic:blipFill>
                        <pic:spPr>
                          <a:xfrm>
                            <a:off x="0" y="0"/>
                            <a:ext cx="1075690" cy="104267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1CA3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1、面料：采用西皮，需满足QB/T 4714-2014 家居用聚氨酯合成革、QB/T 4199-2011 皮革 防霉性能测试方法等标准要求，要求达到：（1）拉伸负荷、断裂伸长率、撕裂负荷、剥离负荷合格；（2） 表面颜色牢度、表面颜色迁移性、耐磨性、耐溶剂性合格；（3）抗霉菌性能：黑曲霉、土曲霉、宛氏拟青霉、绳状青霉、出芽短梗霉、球毛壳霉均达到0级。</w:t>
            </w:r>
          </w:p>
          <w:p w14:paraId="40AA037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2、海绵：需满足GB/T 10802-2023 通用软质聚氨酯泡沫塑料标准要求，检测项包括但不限于：回弹率≥35%，75％压缩永久变形≤8%，65％/25％压陷比合格，拉伸强度≥90kPa，撕裂强度≥1.8N/cm，干热老化后拉伸强度≥55kPa，干热老化拉伸强度变化率≤±30%，湿热老化后拉伸强度≥55kPa，湿热老化拉伸强度变化率≤±30%。</w:t>
            </w:r>
          </w:p>
          <w:p w14:paraId="42B8A26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3、框架：采用橡木实木，检测项包括但不限于：木材含水率8～17％，木制件甲醛释放量≤0.2mg/L。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1DE6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常规</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1976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34D6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8</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A0F1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1083.33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A533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8666.64 </w:t>
            </w:r>
          </w:p>
        </w:tc>
      </w:tr>
      <w:tr w14:paraId="6D6524FF">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4BCC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23</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5591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会议条桌三人位</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D2CD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81792" behindDoc="0" locked="0" layoutInCell="1" allowOverlap="1">
                  <wp:simplePos x="0" y="0"/>
                  <wp:positionH relativeFrom="column">
                    <wp:posOffset>15875</wp:posOffset>
                  </wp:positionH>
                  <wp:positionV relativeFrom="paragraph">
                    <wp:posOffset>133350</wp:posOffset>
                  </wp:positionV>
                  <wp:extent cx="1141730" cy="809625"/>
                  <wp:effectExtent l="0" t="0" r="1270" b="13335"/>
                  <wp:wrapNone/>
                  <wp:docPr id="23" name="图片_13"/>
                  <wp:cNvGraphicFramePr/>
                  <a:graphic xmlns:a="http://schemas.openxmlformats.org/drawingml/2006/main">
                    <a:graphicData uri="http://schemas.openxmlformats.org/drawingml/2006/picture">
                      <pic:pic xmlns:pic="http://schemas.openxmlformats.org/drawingml/2006/picture">
                        <pic:nvPicPr>
                          <pic:cNvPr id="23" name="图片_13"/>
                          <pic:cNvPicPr/>
                        </pic:nvPicPr>
                        <pic:blipFill>
                          <a:blip r:embed="rId35" cstate="print"/>
                          <a:stretch>
                            <a:fillRect/>
                          </a:stretch>
                        </pic:blipFill>
                        <pic:spPr>
                          <a:xfrm>
                            <a:off x="0" y="0"/>
                            <a:ext cx="1141730" cy="80962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6949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1、基材：采用实木颗粒板，需满足GB/T 35601-2024、GB/T 20285-2006、JC/T 2039-2010 抗菌防霉木质装饰板标准，要求达到（1）甲醛释放限量≤0.05mg/m³；符合国家环保E0级标准。（2）绿色木霉、黄曲霉、黑曲霉、桔青霉的防霉菌等级达到0级；（3）产烟特性等级达到S1级，烟气生成速率指数SMOGRA≤30m²/s²，（4）烟气毒性等级达到准安全一级ZA1。</w:t>
            </w:r>
          </w:p>
          <w:p w14:paraId="2FE79B8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2、饰面：采用三聚氰胺饰面纸，需满足GB/T 28995-2022《人造板饰面专用纸》、GB/T 456-2002《纸和纸板平滑度的测定（别克法）》标准要求，检测项包括但不限于：外观质量要求无尘埃点、无色差、无破损、无污斑、无异物、无死褶、无毛边、无皱褶、无硬质块、无掉毛、无掉粉、无缺边、无裂口、无孔洞、无卷芯变形，无甲醛释放量，平滑度≥160；</w:t>
            </w:r>
          </w:p>
          <w:p w14:paraId="6335587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封边：采用优质封边条，需满足QB/T4463-2013《家具用封边条技术要求》，检测项包括但不限于：甲醛释放量≤0.13mg/L；封边条外观、耐干热、耐冷热循环、耐光色牢度、耐磨性、耐老化性、甲醛释放量、邻苯二甲酸酯、氯乙烯单体、可迁移元素（不低于八项）、有害物质多溴联苯、多溴联苯醚均符合QB/T 4463-2013标准要求。</w:t>
            </w:r>
          </w:p>
          <w:p w14:paraId="6BFB68F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0A43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1800*400*760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DB1C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EB64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8</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BDCC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933.33 </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A5F5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7466.64 </w:t>
            </w:r>
          </w:p>
        </w:tc>
      </w:tr>
      <w:tr w14:paraId="742A87CE">
        <w:tblPrEx>
          <w:tblCellMar>
            <w:top w:w="0" w:type="dxa"/>
            <w:left w:w="108" w:type="dxa"/>
            <w:bottom w:w="0" w:type="dxa"/>
            <w:right w:w="108" w:type="dxa"/>
          </w:tblCellMar>
        </w:tblPrEx>
        <w:trPr>
          <w:trHeight w:val="700" w:hRule="atLeast"/>
        </w:trPr>
        <w:tc>
          <w:tcPr>
            <w:tcW w:w="4558"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A9CDA">
            <w:pPr>
              <w:widowControl/>
              <w:jc w:val="center"/>
              <w:textAlignment w:val="center"/>
              <w:rPr>
                <w:rFonts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kern w:val="0"/>
                <w:sz w:val="18"/>
                <w:szCs w:val="18"/>
              </w:rPr>
              <w:t>合计</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F67A5">
            <w:pPr>
              <w:widowControl/>
              <w:jc w:val="center"/>
              <w:textAlignment w:val="center"/>
              <w:rPr>
                <w:rFonts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kern w:val="0"/>
                <w:sz w:val="18"/>
                <w:szCs w:val="18"/>
              </w:rPr>
              <w:t xml:space="preserve">356711.14 </w:t>
            </w:r>
          </w:p>
        </w:tc>
      </w:tr>
      <w:tr w14:paraId="0D9EA1D5">
        <w:tblPrEx>
          <w:tblCellMar>
            <w:top w:w="0" w:type="dxa"/>
            <w:left w:w="108" w:type="dxa"/>
            <w:bottom w:w="0" w:type="dxa"/>
            <w:right w:w="108" w:type="dxa"/>
          </w:tblCellMar>
        </w:tblPrEx>
        <w:trPr>
          <w:trHeight w:val="740" w:hRule="atLeast"/>
        </w:trPr>
        <w:tc>
          <w:tcPr>
            <w:tcW w:w="5000" w:type="pct"/>
            <w:gridSpan w:val="9"/>
            <w:tcBorders>
              <w:top w:val="nil"/>
              <w:left w:val="nil"/>
              <w:bottom w:val="nil"/>
              <w:right w:val="nil"/>
            </w:tcBorders>
            <w:shd w:val="clear" w:color="auto" w:fill="auto"/>
            <w:noWrap/>
            <w:vAlign w:val="center"/>
          </w:tcPr>
          <w:p w14:paraId="63CAFF72">
            <w:pPr>
              <w:widowControl/>
              <w:jc w:val="left"/>
              <w:textAlignment w:val="center"/>
              <w:rPr>
                <w:rFonts w:ascii="方正仿宋_GB2312" w:hAnsi="方正仿宋_GB2312" w:eastAsia="方正仿宋_GB2312" w:cs="方正仿宋_GB2312"/>
                <w:color w:val="FF0000"/>
                <w:sz w:val="18"/>
                <w:szCs w:val="18"/>
              </w:rPr>
            </w:pPr>
            <w:r>
              <w:rPr>
                <w:rFonts w:hint="eastAsia" w:ascii="方正仿宋_GB2312" w:hAnsi="方正仿宋_GB2312" w:eastAsia="方正仿宋_GB2312" w:cs="方正仿宋_GB2312"/>
                <w:kern w:val="0"/>
                <w:sz w:val="18"/>
                <w:szCs w:val="18"/>
              </w:rPr>
              <w:t>注：包含产品与材料的供货、包装运输（含装卸费）、搬运、安装（放）、验收并交付正常使用、售后服务、质保、规费、税金、利润及风险等全部费用。</w:t>
            </w:r>
          </w:p>
        </w:tc>
      </w:tr>
    </w:tbl>
    <w:p w14:paraId="26D49953">
      <w:pPr>
        <w:pStyle w:val="4"/>
        <w:adjustRightInd w:val="0"/>
        <w:snapToGrid w:val="0"/>
        <w:spacing w:before="0" w:after="0" w:line="400" w:lineRule="exact"/>
        <w:ind w:firstLine="482" w:firstLineChars="200"/>
        <w:rPr>
          <w:rFonts w:ascii="方正仿宋_GBK" w:hAnsi="宋体" w:eastAsia="方正仿宋_GBK"/>
          <w:sz w:val="24"/>
          <w:szCs w:val="22"/>
        </w:rPr>
      </w:pPr>
    </w:p>
    <w:p w14:paraId="794C9E98">
      <w:pPr>
        <w:pStyle w:val="4"/>
        <w:adjustRightInd w:val="0"/>
        <w:snapToGrid w:val="0"/>
        <w:spacing w:before="0" w:after="0" w:line="400" w:lineRule="exact"/>
        <w:ind w:firstLine="482" w:firstLineChars="200"/>
        <w:rPr>
          <w:rFonts w:ascii="方正仿宋_GBK" w:hAnsi="宋体" w:eastAsia="方正仿宋_GBK"/>
          <w:sz w:val="24"/>
          <w:szCs w:val="22"/>
        </w:rPr>
      </w:pPr>
      <w:r>
        <w:rPr>
          <w:rFonts w:hint="eastAsia" w:ascii="方正仿宋_GBK" w:hAnsi="宋体" w:eastAsia="方正仿宋_GBK"/>
          <w:sz w:val="24"/>
          <w:szCs w:val="22"/>
        </w:rPr>
        <w:t>三、其他要求</w:t>
      </w:r>
      <w:bookmarkEnd w:id="41"/>
    </w:p>
    <w:p w14:paraId="2A667108">
      <w:pPr>
        <w:snapToGrid w:val="0"/>
        <w:spacing w:line="400" w:lineRule="exact"/>
        <w:ind w:firstLine="480"/>
        <w:rPr>
          <w:rFonts w:ascii="Times New Roman" w:hAnsi="Times New Roman" w:eastAsia="方正仿宋_GBK"/>
          <w:b/>
          <w:bCs/>
          <w:sz w:val="24"/>
          <w:szCs w:val="24"/>
          <w:u w:val="single"/>
        </w:rPr>
      </w:pPr>
      <w:r>
        <w:rPr>
          <w:rFonts w:hint="eastAsia" w:ascii="Times New Roman" w:hAnsi="Times New Roman" w:eastAsia="方正仿宋_GBK"/>
          <w:sz w:val="24"/>
          <w:szCs w:val="24"/>
        </w:rPr>
        <w:t>投标人对技术要求出现不明确或异议时，应当在本项目公示期内向采购人提出。若未提出，视为完全理解并同意本采购文件中的所有规定和要求。质疑期结束后各投标人与采购人对项目采购清单内容、技术参数要求等理解不一致时，以采购人解释为准。</w:t>
      </w:r>
    </w:p>
    <w:p w14:paraId="05C49F9C">
      <w:pPr>
        <w:rPr>
          <w:rFonts w:ascii="Times New Roman" w:hAnsi="Times New Roman" w:eastAsia="方正仿宋_GBK"/>
          <w:b/>
          <w:bCs/>
          <w:sz w:val="24"/>
          <w:szCs w:val="24"/>
          <w:u w:val="single"/>
        </w:rPr>
      </w:pPr>
      <w:r>
        <w:rPr>
          <w:rFonts w:hint="eastAsia" w:ascii="Times New Roman" w:hAnsi="Times New Roman" w:eastAsia="方正仿宋_GBK"/>
          <w:b/>
          <w:bCs/>
          <w:sz w:val="24"/>
          <w:szCs w:val="24"/>
          <w:u w:val="single"/>
        </w:rPr>
        <w:br w:type="page"/>
      </w:r>
    </w:p>
    <w:p w14:paraId="2CF4B747">
      <w:pPr>
        <w:pStyle w:val="2"/>
      </w:pPr>
    </w:p>
    <w:p w14:paraId="2BA44958">
      <w:pPr>
        <w:pStyle w:val="3"/>
        <w:spacing w:line="360" w:lineRule="auto"/>
        <w:jc w:val="center"/>
        <w:rPr>
          <w:rFonts w:ascii="方正小标宋_GBK" w:hAnsi="宋体" w:eastAsia="方正小标宋_GBK"/>
          <w:sz w:val="36"/>
          <w:szCs w:val="30"/>
        </w:rPr>
      </w:pPr>
      <w:bookmarkStart w:id="42" w:name="_Toc7590"/>
      <w:r>
        <w:rPr>
          <w:rFonts w:hint="eastAsia" w:ascii="方正小标宋_GBK" w:hAnsi="宋体" w:eastAsia="方正小标宋_GBK"/>
          <w:sz w:val="36"/>
          <w:szCs w:val="30"/>
        </w:rPr>
        <w:t xml:space="preserve">第三篇  </w:t>
      </w:r>
      <w:bookmarkEnd w:id="37"/>
      <w:r>
        <w:rPr>
          <w:rFonts w:hint="eastAsia" w:ascii="方正小标宋_GBK" w:hAnsi="宋体" w:eastAsia="方正小标宋_GBK"/>
          <w:sz w:val="36"/>
          <w:szCs w:val="30"/>
        </w:rPr>
        <w:t>项目商务需求</w:t>
      </w:r>
      <w:bookmarkEnd w:id="39"/>
      <w:bookmarkEnd w:id="40"/>
      <w:bookmarkEnd w:id="42"/>
    </w:p>
    <w:p w14:paraId="1324E15D">
      <w:pPr>
        <w:pStyle w:val="4"/>
        <w:adjustRightInd w:val="0"/>
        <w:snapToGrid w:val="0"/>
        <w:spacing w:before="0" w:after="0" w:line="400" w:lineRule="exact"/>
        <w:ind w:firstLine="482" w:firstLineChars="200"/>
        <w:rPr>
          <w:rFonts w:ascii="方正仿宋_GBK" w:hAnsi="宋体" w:eastAsia="方正仿宋_GBK"/>
          <w:sz w:val="24"/>
        </w:rPr>
      </w:pPr>
      <w:bookmarkStart w:id="43" w:name="_Toc20604"/>
      <w:bookmarkStart w:id="44" w:name="_Toc76462328"/>
      <w:bookmarkStart w:id="45" w:name="_Toc344475120"/>
      <w:bookmarkStart w:id="46" w:name="_Toc106030883"/>
      <w:r>
        <w:rPr>
          <w:rFonts w:hint="eastAsia" w:ascii="方正仿宋_GBK" w:hAnsi="宋体" w:eastAsia="方正仿宋_GBK"/>
          <w:sz w:val="24"/>
        </w:rPr>
        <w:t>一、交货期、交货地点及验收方式</w:t>
      </w:r>
      <w:bookmarkEnd w:id="43"/>
    </w:p>
    <w:p w14:paraId="3E5BFBD6">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（一）交货期：</w:t>
      </w:r>
    </w:p>
    <w:p w14:paraId="77CD3B86">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合同签订后40天内完成本项目的全部工作内容。</w:t>
      </w:r>
    </w:p>
    <w:p w14:paraId="12B9A744">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（二）交货地点：</w:t>
      </w:r>
    </w:p>
    <w:p w14:paraId="22E0E057">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采购人指定地点。</w:t>
      </w:r>
    </w:p>
    <w:p w14:paraId="349EFA52">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（三）验收方式：</w:t>
      </w:r>
    </w:p>
    <w:p w14:paraId="10726681">
      <w:pPr>
        <w:snapToGrid w:val="0"/>
        <w:spacing w:line="400" w:lineRule="exact"/>
        <w:ind w:firstLine="480" w:firstLineChars="200"/>
        <w:rPr>
          <w:rFonts w:ascii="Times New Roman" w:hAnsi="Times New Roman" w:eastAsia="方正仿宋_GBK"/>
          <w:sz w:val="24"/>
          <w:szCs w:val="24"/>
        </w:rPr>
      </w:pPr>
      <w:r>
        <w:rPr>
          <w:rFonts w:hint="eastAsia" w:ascii="Times New Roman" w:hAnsi="Times New Roman" w:eastAsia="方正仿宋_GBK"/>
          <w:sz w:val="24"/>
          <w:szCs w:val="24"/>
        </w:rPr>
        <w:t>1.货物到达现场后，成交人应在使用单位人员在场情况下当面检查，共同清点、检查外观，作出检查记录，双方签字确认。</w:t>
      </w:r>
    </w:p>
    <w:p w14:paraId="4F69F9A8">
      <w:pPr>
        <w:snapToGrid w:val="0"/>
        <w:spacing w:line="400" w:lineRule="exact"/>
        <w:ind w:firstLine="480" w:firstLineChars="200"/>
        <w:rPr>
          <w:rFonts w:ascii="Times New Roman" w:hAnsi="Times New Roman" w:eastAsia="方正仿宋_GBK"/>
          <w:sz w:val="24"/>
          <w:szCs w:val="24"/>
        </w:rPr>
      </w:pPr>
      <w:r>
        <w:rPr>
          <w:rFonts w:hint="eastAsia" w:ascii="Times New Roman" w:hAnsi="Times New Roman" w:eastAsia="方正仿宋_GBK"/>
          <w:sz w:val="24"/>
          <w:szCs w:val="24"/>
        </w:rPr>
        <w:t>2.成交人应保证货物到达采购人所在地完好无损，如有缺漏、损坏，由供应商负责调换、补齐或赔偿。</w:t>
      </w:r>
    </w:p>
    <w:p w14:paraId="754FEE09">
      <w:pPr>
        <w:snapToGrid w:val="0"/>
        <w:spacing w:line="400" w:lineRule="exact"/>
        <w:ind w:firstLine="480" w:firstLineChars="200"/>
        <w:rPr>
          <w:rFonts w:ascii="Times New Roman" w:hAnsi="Times New Roman" w:eastAsia="方正仿宋_GBK"/>
          <w:sz w:val="24"/>
          <w:szCs w:val="24"/>
        </w:rPr>
      </w:pPr>
      <w:r>
        <w:rPr>
          <w:rFonts w:hint="eastAsia" w:ascii="Times New Roman" w:hAnsi="Times New Roman" w:eastAsia="方正仿宋_GBK"/>
          <w:sz w:val="24"/>
          <w:szCs w:val="24"/>
        </w:rPr>
        <w:t>3.成交人应提供完备的技术资料、装箱单和合格证等，并派遣专业技术人员进行现场安装调试。验收合格条件如下：</w:t>
      </w:r>
    </w:p>
    <w:p w14:paraId="1C7498D4">
      <w:pPr>
        <w:snapToGrid w:val="0"/>
        <w:spacing w:line="400" w:lineRule="exact"/>
        <w:ind w:firstLine="480" w:firstLineChars="200"/>
        <w:rPr>
          <w:rFonts w:ascii="Times New Roman" w:hAnsi="Times New Roman" w:eastAsia="方正仿宋_GBK"/>
          <w:sz w:val="24"/>
          <w:szCs w:val="24"/>
        </w:rPr>
      </w:pPr>
      <w:r>
        <w:rPr>
          <w:rFonts w:hint="eastAsia" w:ascii="Times New Roman" w:hAnsi="Times New Roman" w:eastAsia="方正仿宋_GBK"/>
          <w:sz w:val="24"/>
          <w:szCs w:val="24"/>
        </w:rPr>
        <w:t>（1）设备品种、规格、数量、技术参数以及商品品牌、制造商等与采购合同一致，技术指标达到规定的标准；</w:t>
      </w:r>
    </w:p>
    <w:p w14:paraId="46B7365E">
      <w:pPr>
        <w:snapToGrid w:val="0"/>
        <w:spacing w:line="400" w:lineRule="exact"/>
        <w:ind w:firstLine="480" w:firstLineChars="200"/>
        <w:rPr>
          <w:rFonts w:ascii="Times New Roman" w:hAnsi="Times New Roman" w:eastAsia="方正仿宋_GBK"/>
          <w:sz w:val="24"/>
          <w:szCs w:val="24"/>
        </w:rPr>
      </w:pPr>
      <w:r>
        <w:rPr>
          <w:rFonts w:hint="eastAsia" w:ascii="Times New Roman" w:hAnsi="Times New Roman" w:eastAsia="方正仿宋_GBK"/>
          <w:sz w:val="24"/>
          <w:szCs w:val="24"/>
        </w:rPr>
        <w:t>（2）货物技术资料、装箱单、合格证等资料齐全；</w:t>
      </w:r>
    </w:p>
    <w:p w14:paraId="54DE5B55">
      <w:pPr>
        <w:snapToGrid w:val="0"/>
        <w:spacing w:line="400" w:lineRule="exact"/>
        <w:ind w:firstLine="480" w:firstLineChars="200"/>
        <w:rPr>
          <w:rFonts w:ascii="Times New Roman" w:hAnsi="Times New Roman" w:eastAsia="方正仿宋_GBK"/>
          <w:color w:val="auto"/>
          <w:sz w:val="24"/>
          <w:szCs w:val="24"/>
        </w:rPr>
      </w:pPr>
      <w:r>
        <w:rPr>
          <w:rFonts w:hint="eastAsia" w:ascii="方正仿宋_GB2312" w:hAnsi="方正仿宋_GB2312" w:eastAsia="方正仿宋_GB2312" w:cs="方正仿宋_GB2312"/>
          <w:color w:val="auto"/>
          <w:sz w:val="24"/>
          <w:szCs w:val="24"/>
        </w:rPr>
        <w:t>（3）</w:t>
      </w:r>
      <w:r>
        <w:rPr>
          <w:rFonts w:hint="eastAsia" w:ascii="方正仿宋_GB2312" w:hAnsi="方正仿宋_GB2312" w:eastAsia="方正仿宋_GB2312" w:cs="方正仿宋_GB2312"/>
          <w:color w:val="auto"/>
          <w:sz w:val="24"/>
          <w:szCs w:val="24"/>
          <w:lang w:val="en-US" w:eastAsia="zh-CN"/>
        </w:rPr>
        <w:t>采购人有权根据</w:t>
      </w:r>
      <w:r>
        <w:rPr>
          <w:rFonts w:hint="eastAsia" w:ascii="方正仿宋_GB2312" w:hAnsi="方正仿宋_GB2312" w:eastAsia="方正仿宋_GB2312" w:cs="方正仿宋_GB2312"/>
          <w:color w:val="auto"/>
          <w:sz w:val="24"/>
          <w:szCs w:val="24"/>
        </w:rPr>
        <w:t>每样产品抽取一件送国家认可的第三方检测机构进行检查，检测费用由</w:t>
      </w:r>
      <w:r>
        <w:rPr>
          <w:rFonts w:hint="eastAsia" w:ascii="方正仿宋_GB2312" w:hAnsi="方正仿宋_GB2312" w:eastAsia="方正仿宋_GB2312" w:cs="方正仿宋_GB2312"/>
          <w:color w:val="auto"/>
          <w:sz w:val="24"/>
          <w:szCs w:val="24"/>
          <w:lang w:val="en-US" w:eastAsia="zh-CN"/>
        </w:rPr>
        <w:t>供应商</w:t>
      </w:r>
      <w:r>
        <w:rPr>
          <w:rFonts w:hint="eastAsia" w:ascii="方正仿宋_GB2312" w:hAnsi="方正仿宋_GB2312" w:eastAsia="方正仿宋_GB2312" w:cs="方正仿宋_GB2312"/>
          <w:color w:val="auto"/>
          <w:sz w:val="24"/>
          <w:szCs w:val="24"/>
        </w:rPr>
        <w:t>承担，参数必须满足或优于招标文件要求，如果达不到招标要求，责任由</w:t>
      </w:r>
      <w:r>
        <w:rPr>
          <w:rFonts w:hint="eastAsia" w:ascii="方正仿宋_GB2312" w:hAnsi="方正仿宋_GB2312" w:eastAsia="方正仿宋_GB2312" w:cs="方正仿宋_GB2312"/>
          <w:color w:val="auto"/>
          <w:sz w:val="24"/>
          <w:szCs w:val="24"/>
          <w:lang w:val="en-US" w:eastAsia="zh-CN"/>
        </w:rPr>
        <w:t>供应商</w:t>
      </w:r>
      <w:r>
        <w:rPr>
          <w:rFonts w:hint="eastAsia" w:ascii="方正仿宋_GB2312" w:hAnsi="方正仿宋_GB2312" w:eastAsia="方正仿宋_GB2312" w:cs="方正仿宋_GB2312"/>
          <w:color w:val="auto"/>
          <w:sz w:val="24"/>
          <w:szCs w:val="24"/>
        </w:rPr>
        <w:t>承担，</w:t>
      </w:r>
      <w:r>
        <w:rPr>
          <w:rFonts w:hint="eastAsia" w:ascii="Times New Roman" w:hAnsi="Times New Roman" w:eastAsia="方正仿宋_GBK"/>
          <w:color w:val="auto"/>
          <w:sz w:val="24"/>
          <w:szCs w:val="24"/>
        </w:rPr>
        <w:t>并赔偿所造成的损失。</w:t>
      </w:r>
    </w:p>
    <w:p w14:paraId="0AD5FC57">
      <w:pPr>
        <w:snapToGrid w:val="0"/>
        <w:spacing w:line="400" w:lineRule="exact"/>
        <w:ind w:firstLine="480" w:firstLineChars="200"/>
        <w:rPr>
          <w:rFonts w:ascii="Times New Roman" w:hAnsi="Times New Roman" w:eastAsia="方正仿宋_GBK"/>
          <w:sz w:val="24"/>
          <w:szCs w:val="24"/>
        </w:rPr>
      </w:pPr>
      <w:r>
        <w:rPr>
          <w:rFonts w:hint="eastAsia" w:ascii="Times New Roman" w:hAnsi="Times New Roman" w:eastAsia="方正仿宋_GBK"/>
          <w:sz w:val="24"/>
          <w:szCs w:val="24"/>
        </w:rPr>
        <w:t>（4）在规定时间内完成交货并验收，并经采购人确认。</w:t>
      </w:r>
    </w:p>
    <w:p w14:paraId="326DA63C">
      <w:pPr>
        <w:snapToGrid w:val="0"/>
        <w:spacing w:line="400" w:lineRule="exact"/>
        <w:ind w:firstLine="480" w:firstLineChars="200"/>
        <w:rPr>
          <w:rFonts w:ascii="Times New Roman" w:hAnsi="Times New Roman" w:eastAsia="方正仿宋_GBK"/>
          <w:sz w:val="24"/>
          <w:szCs w:val="24"/>
        </w:rPr>
      </w:pPr>
      <w:r>
        <w:rPr>
          <w:rFonts w:hint="eastAsia" w:ascii="Times New Roman" w:hAnsi="Times New Roman" w:eastAsia="方正仿宋_GBK"/>
          <w:sz w:val="24"/>
          <w:szCs w:val="24"/>
        </w:rPr>
        <w:t>4.供应商提供的货物未达到采购文件规定要求，且对采购人造成损失的，由供应商承担一切责任，并赔偿所造成的损失。</w:t>
      </w:r>
    </w:p>
    <w:p w14:paraId="1829CDF7">
      <w:pPr>
        <w:snapToGrid w:val="0"/>
        <w:spacing w:line="400" w:lineRule="exact"/>
        <w:ind w:firstLine="480" w:firstLineChars="200"/>
        <w:rPr>
          <w:rFonts w:ascii="Times New Roman" w:hAnsi="Times New Roman" w:eastAsia="方正仿宋_GBK"/>
          <w:sz w:val="24"/>
          <w:szCs w:val="24"/>
        </w:rPr>
      </w:pPr>
      <w:r>
        <w:rPr>
          <w:rFonts w:hint="eastAsia" w:ascii="Times New Roman" w:hAnsi="Times New Roman" w:eastAsia="方正仿宋_GBK"/>
          <w:sz w:val="24"/>
          <w:szCs w:val="24"/>
        </w:rPr>
        <w:t>5.采购人将邀请有关单位参加验收工作。</w:t>
      </w:r>
    </w:p>
    <w:p w14:paraId="51D33B0F">
      <w:pPr>
        <w:snapToGrid w:val="0"/>
        <w:spacing w:line="400" w:lineRule="exact"/>
        <w:ind w:firstLine="480" w:firstLineChars="200"/>
        <w:rPr>
          <w:rFonts w:ascii="Times New Roman" w:hAnsi="Times New Roman" w:eastAsia="方正仿宋_GBK"/>
          <w:sz w:val="24"/>
          <w:szCs w:val="24"/>
        </w:rPr>
      </w:pPr>
      <w:r>
        <w:rPr>
          <w:rFonts w:hint="eastAsia" w:ascii="Times New Roman" w:hAnsi="Times New Roman" w:eastAsia="方正仿宋_GBK"/>
          <w:sz w:val="24"/>
          <w:szCs w:val="24"/>
        </w:rPr>
        <w:t>6.采购人需要制造商对成交人交付的产品（包括质量、技术参数等）进行确认的，制造商应予以配合，并出具书面意见。</w:t>
      </w:r>
    </w:p>
    <w:p w14:paraId="49FFA0C4">
      <w:pPr>
        <w:snapToGrid w:val="0"/>
        <w:spacing w:line="400" w:lineRule="exact"/>
        <w:ind w:firstLine="480" w:firstLineChars="200"/>
        <w:rPr>
          <w:rFonts w:ascii="方正仿宋_GBK" w:hAnsi="宋体" w:eastAsia="方正仿宋_GBK"/>
          <w:sz w:val="24"/>
          <w:szCs w:val="24"/>
        </w:rPr>
      </w:pPr>
      <w:r>
        <w:rPr>
          <w:rFonts w:hint="eastAsia" w:ascii="Times New Roman" w:hAnsi="Times New Roman" w:eastAsia="方正仿宋_GBK"/>
          <w:sz w:val="24"/>
          <w:szCs w:val="24"/>
        </w:rPr>
        <w:t>7.产品包装材料归采购人所有</w:t>
      </w:r>
      <w:r>
        <w:rPr>
          <w:rFonts w:hint="eastAsia" w:ascii="方正仿宋_GBK" w:hAnsi="宋体" w:eastAsia="方正仿宋_GBK"/>
          <w:sz w:val="24"/>
          <w:szCs w:val="24"/>
        </w:rPr>
        <w:t>。</w:t>
      </w:r>
    </w:p>
    <w:p w14:paraId="60FE6B87">
      <w:pPr>
        <w:pStyle w:val="4"/>
        <w:adjustRightInd w:val="0"/>
        <w:snapToGrid w:val="0"/>
        <w:spacing w:before="0" w:after="0" w:line="400" w:lineRule="exact"/>
        <w:ind w:firstLine="482" w:firstLineChars="200"/>
        <w:rPr>
          <w:rFonts w:ascii="方正仿宋_GBK" w:hAnsi="宋体" w:eastAsia="方正仿宋_GBK"/>
          <w:sz w:val="24"/>
        </w:rPr>
      </w:pPr>
      <w:bookmarkStart w:id="47" w:name="_Toc31517"/>
      <w:r>
        <w:rPr>
          <w:rFonts w:hint="eastAsia" w:ascii="方正仿宋_GBK" w:hAnsi="宋体" w:eastAsia="方正仿宋_GBK"/>
          <w:sz w:val="24"/>
        </w:rPr>
        <w:t>二、报价要求</w:t>
      </w:r>
      <w:bookmarkEnd w:id="47"/>
    </w:p>
    <w:p w14:paraId="57E06672">
      <w:pPr>
        <w:snapToGrid w:val="0"/>
        <w:spacing w:line="400" w:lineRule="exact"/>
        <w:ind w:firstLine="480" w:firstLineChars="200"/>
        <w:rPr>
          <w:rFonts w:ascii="Times New Roman" w:hAnsi="Times New Roman" w:eastAsia="方正仿宋_GBK"/>
          <w:sz w:val="24"/>
          <w:szCs w:val="24"/>
        </w:rPr>
      </w:pPr>
      <w:r>
        <w:rPr>
          <w:rFonts w:hint="eastAsia" w:ascii="Times New Roman" w:hAnsi="Times New Roman" w:eastAsia="方正仿宋_GBK"/>
          <w:sz w:val="24"/>
          <w:szCs w:val="24"/>
        </w:rPr>
        <w:t>1</w:t>
      </w:r>
      <w:r>
        <w:rPr>
          <w:rFonts w:ascii="Times New Roman" w:hAnsi="Times New Roman" w:eastAsia="方正仿宋_GBK"/>
          <w:sz w:val="24"/>
          <w:szCs w:val="24"/>
        </w:rPr>
        <w:t>、本报价为全费用综合单价报价，报价金额包括：所有制作、包装运输（含装卸费）、搬运、安装（安放）、验收并交付正常使用、售后服务、质保期内的保修维护服务、维护管理、规费、税金、利润及风险等，完成本项所需的全部费用。</w:t>
      </w:r>
    </w:p>
    <w:p w14:paraId="4F0F694C">
      <w:pPr>
        <w:snapToGrid w:val="0"/>
        <w:spacing w:line="400" w:lineRule="exact"/>
        <w:ind w:firstLine="480" w:firstLineChars="200"/>
        <w:rPr>
          <w:rFonts w:ascii="Times New Roman" w:hAnsi="Times New Roman" w:eastAsia="方正仿宋_GBK"/>
          <w:sz w:val="24"/>
          <w:szCs w:val="24"/>
        </w:rPr>
      </w:pPr>
      <w:r>
        <w:rPr>
          <w:rFonts w:hint="eastAsia" w:ascii="Times New Roman" w:hAnsi="Times New Roman" w:eastAsia="方正仿宋_GBK"/>
          <w:sz w:val="24"/>
          <w:szCs w:val="24"/>
        </w:rPr>
        <w:t>2</w:t>
      </w:r>
      <w:r>
        <w:rPr>
          <w:rFonts w:ascii="Times New Roman" w:hAnsi="Times New Roman" w:eastAsia="方正仿宋_GBK"/>
          <w:sz w:val="24"/>
          <w:szCs w:val="24"/>
        </w:rPr>
        <w:t>.投标人应严格按照采购文件要求填报投标报价，且不得擅自更改《投标报价表》中已有的任何项目，所报各项不得漏报、错报。</w:t>
      </w:r>
    </w:p>
    <w:p w14:paraId="17F7913F">
      <w:pPr>
        <w:pStyle w:val="4"/>
        <w:adjustRightInd w:val="0"/>
        <w:snapToGrid w:val="0"/>
        <w:spacing w:before="0" w:after="0" w:line="400" w:lineRule="exact"/>
        <w:ind w:firstLine="482" w:firstLineChars="200"/>
        <w:rPr>
          <w:rFonts w:ascii="方正仿宋_GBK" w:hAnsi="宋体" w:eastAsia="方正仿宋_GBK"/>
          <w:sz w:val="24"/>
        </w:rPr>
      </w:pPr>
      <w:bookmarkStart w:id="48" w:name="_Toc4739"/>
      <w:r>
        <w:rPr>
          <w:rFonts w:hint="eastAsia" w:ascii="方正仿宋_GBK" w:hAnsi="宋体" w:eastAsia="方正仿宋_GBK"/>
          <w:sz w:val="24"/>
        </w:rPr>
        <w:t>三、</w:t>
      </w:r>
      <w:bookmarkEnd w:id="48"/>
      <w:r>
        <w:rPr>
          <w:rFonts w:hint="eastAsia" w:ascii="方正仿宋_GBK" w:hAnsi="宋体" w:eastAsia="方正仿宋_GBK"/>
          <w:sz w:val="24"/>
        </w:rPr>
        <w:t>质量保证及售后服务</w:t>
      </w:r>
    </w:p>
    <w:p w14:paraId="41DFABD8">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（一）产品质量保证</w:t>
      </w:r>
    </w:p>
    <w:p w14:paraId="529FB070">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1.本项目产品质量保证期不低于2年，从该项目验收合格并签字确认之日起算起，供应商可根据自身情况，在不低于本要求的前提下承诺更优质的质保期；</w:t>
      </w:r>
    </w:p>
    <w:p w14:paraId="23677100">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2.投标产品属于国家规定“三包”范围的，其产品质量保证期不得低于“三包”规定（“三包”规定质保期优于询价通知书规定的质保期时）；</w:t>
      </w:r>
    </w:p>
    <w:p w14:paraId="710CB0FD">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3.供应商的质量保证期承诺优于国家“三包”规定的，按供应商实际承诺执行；</w:t>
      </w:r>
    </w:p>
    <w:p w14:paraId="4D4D0F68">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4.供应商投标产品由厂家（指产品生产厂家，或其负责销售、售后服务机构，以下同）负责标准售后服务的，应当在投标文件中予以明确说明,并附厂家售后服务承诺。</w:t>
      </w:r>
    </w:p>
    <w:p w14:paraId="767CF5F8">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（二）售后服务内容</w:t>
      </w:r>
    </w:p>
    <w:p w14:paraId="125BD16B">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1.成交人在质量保证期内（含产品质量和安装质量）应当为采购人提供以下技术支持和服务：</w:t>
      </w:r>
    </w:p>
    <w:p w14:paraId="25774BC7">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（1）电话咨询</w:t>
      </w:r>
    </w:p>
    <w:p w14:paraId="2AD73D37">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成交人和制造商应当为采购人提供技术援助电话，解答采购人在使用中遇到的问题，及时为采购人提出解决问题的建议；</w:t>
      </w:r>
    </w:p>
    <w:p w14:paraId="6FFF7704">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（2）现场响应</w:t>
      </w:r>
    </w:p>
    <w:p w14:paraId="50AA1F7F">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采购人遇到使用及技术问题，电话咨询不能解决的，成交人和制造商应在4小内到达现场（远郊区4小时内到达现场）进行处理，确保产品正常工作；无法在24小时内解决的，应在48小时内提供备用产品，使采购人能够正常使用。</w:t>
      </w:r>
    </w:p>
    <w:p w14:paraId="70634AC8">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2.质保期外服务要求</w:t>
      </w:r>
    </w:p>
    <w:p w14:paraId="0828FFA0">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（1）质量保证期过后，成交供应商和厂家应同样提供免费电话咨询服务，并应承诺提供产品上门维护服务；</w:t>
      </w:r>
    </w:p>
    <w:p w14:paraId="7E0CB2BF">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（2）质量保证期过后，采购人需要继续由原成交供应商提供售后服务的，成交供应商应以优惠价格提供售后服务。</w:t>
      </w:r>
    </w:p>
    <w:p w14:paraId="452EF6F6">
      <w:pPr>
        <w:pStyle w:val="4"/>
        <w:adjustRightInd w:val="0"/>
        <w:snapToGrid w:val="0"/>
        <w:spacing w:before="0" w:after="0" w:line="400" w:lineRule="exact"/>
        <w:ind w:firstLine="482" w:firstLineChars="200"/>
        <w:rPr>
          <w:rFonts w:ascii="方正仿宋_GBK" w:hAnsi="宋体" w:eastAsia="方正仿宋_GBK"/>
          <w:sz w:val="24"/>
        </w:rPr>
      </w:pPr>
      <w:r>
        <w:rPr>
          <w:rFonts w:hint="eastAsia" w:ascii="方正仿宋_GBK" w:hAnsi="宋体" w:eastAsia="方正仿宋_GBK"/>
          <w:sz w:val="24"/>
        </w:rPr>
        <w:t>四、付款方式</w:t>
      </w:r>
    </w:p>
    <w:p w14:paraId="14892EAD">
      <w:pPr>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合同签订后 7 个工作日内，采购人向成交人预付合同总价款的 30 %；所有产品设备运至采购人现场指定位置并安装调试后，采购人现场初验合格，支付合同总价款的40 %，项目整体交付验收合格后付款至合同总价款的95%。付款前成交人必须提供全额增值税发票至采购人，余款质保期到期后一次性支付。</w:t>
      </w:r>
    </w:p>
    <w:p w14:paraId="32184824">
      <w:pPr>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采购人支付的总货款包含银行承兑汇票和银行汇款。</w:t>
      </w:r>
    </w:p>
    <w:p w14:paraId="00BC3FD8">
      <w:pPr>
        <w:pStyle w:val="4"/>
        <w:adjustRightInd w:val="0"/>
        <w:snapToGrid w:val="0"/>
        <w:spacing w:before="0" w:after="0" w:line="400" w:lineRule="exact"/>
        <w:ind w:firstLine="482" w:firstLineChars="200"/>
        <w:rPr>
          <w:rFonts w:ascii="方正仿宋_GBK" w:hAnsi="宋体" w:eastAsia="方正仿宋_GBK"/>
          <w:sz w:val="24"/>
        </w:rPr>
      </w:pPr>
      <w:r>
        <w:rPr>
          <w:rFonts w:hint="eastAsia" w:ascii="方正仿宋_GBK" w:hAnsi="宋体" w:eastAsia="方正仿宋_GBK"/>
          <w:sz w:val="24"/>
        </w:rPr>
        <w:t>五、结算原则</w:t>
      </w:r>
    </w:p>
    <w:p w14:paraId="75C414FB">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结算价=成交单价*采购人验收合格的产品数量。</w:t>
      </w:r>
    </w:p>
    <w:bookmarkEnd w:id="44"/>
    <w:bookmarkEnd w:id="45"/>
    <w:bookmarkEnd w:id="46"/>
    <w:p w14:paraId="3C7C727A">
      <w:pPr>
        <w:pStyle w:val="4"/>
        <w:adjustRightInd w:val="0"/>
        <w:snapToGrid w:val="0"/>
        <w:spacing w:before="0" w:after="0" w:line="400" w:lineRule="exact"/>
        <w:ind w:firstLine="482" w:firstLineChars="200"/>
        <w:rPr>
          <w:rFonts w:ascii="方正仿宋_GBK" w:hAnsi="宋体" w:eastAsia="方正仿宋_GBK"/>
          <w:sz w:val="24"/>
        </w:rPr>
      </w:pPr>
      <w:bookmarkStart w:id="49" w:name="_Toc8908"/>
      <w:bookmarkStart w:id="50" w:name="_Toc21447"/>
      <w:bookmarkStart w:id="51" w:name="_Toc26833"/>
      <w:bookmarkStart w:id="52" w:name="_Toc30274"/>
      <w:r>
        <w:rPr>
          <w:rFonts w:hint="eastAsia" w:ascii="方正仿宋_GBK" w:hAnsi="宋体" w:eastAsia="方正仿宋_GBK"/>
          <w:sz w:val="24"/>
        </w:rPr>
        <w:t>六、知识产权</w:t>
      </w:r>
      <w:bookmarkEnd w:id="49"/>
      <w:bookmarkEnd w:id="50"/>
      <w:bookmarkEnd w:id="51"/>
      <w:bookmarkEnd w:id="52"/>
    </w:p>
    <w:p w14:paraId="369A2F9F">
      <w:pPr>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采购人在中华人民共和国境内使用投标人提供的货物及服务时免受第三方提出的侵犯其专利权或其它知识产权的起诉。如果第三方提出侵权指控，中标人应承担由此而引起的一切法律责任和费用。</w:t>
      </w:r>
    </w:p>
    <w:p w14:paraId="3857FFF3">
      <w:pPr>
        <w:pStyle w:val="4"/>
        <w:adjustRightInd w:val="0"/>
        <w:snapToGrid w:val="0"/>
        <w:spacing w:before="0" w:after="0" w:line="400" w:lineRule="exact"/>
        <w:ind w:firstLine="482" w:firstLineChars="200"/>
        <w:rPr>
          <w:rFonts w:ascii="方正仿宋_GBK" w:hAnsi="宋体" w:eastAsia="方正仿宋_GBK"/>
          <w:sz w:val="24"/>
        </w:rPr>
      </w:pPr>
      <w:bookmarkStart w:id="53" w:name="_Toc50021819"/>
      <w:bookmarkStart w:id="54" w:name="_Toc57800820"/>
      <w:bookmarkStart w:id="55" w:name="_Toc7490"/>
      <w:bookmarkStart w:id="56" w:name="_Toc24387"/>
      <w:bookmarkStart w:id="57" w:name="_Toc25644"/>
      <w:bookmarkStart w:id="58" w:name="_Toc3804"/>
      <w:bookmarkStart w:id="59" w:name="_Toc31808"/>
      <w:bookmarkStart w:id="60" w:name="_Toc10737"/>
      <w:bookmarkStart w:id="61" w:name="_Toc17420"/>
      <w:r>
        <w:rPr>
          <w:rFonts w:hint="eastAsia" w:ascii="方正仿宋_GBK" w:hAnsi="宋体" w:eastAsia="方正仿宋_GBK"/>
          <w:sz w:val="24"/>
        </w:rPr>
        <w:t>七、</w:t>
      </w:r>
      <w:bookmarkStart w:id="62" w:name="_Toc697"/>
      <w:r>
        <w:rPr>
          <w:rFonts w:hint="eastAsia" w:ascii="方正仿宋_GBK" w:hAnsi="宋体" w:eastAsia="方正仿宋_GBK"/>
          <w:sz w:val="24"/>
        </w:rPr>
        <w:t>保密要求</w:t>
      </w:r>
      <w:bookmarkEnd w:id="53"/>
      <w:bookmarkEnd w:id="54"/>
      <w:bookmarkEnd w:id="55"/>
      <w:bookmarkEnd w:id="56"/>
      <w:bookmarkEnd w:id="62"/>
    </w:p>
    <w:p w14:paraId="07F08CC1">
      <w:pPr>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未经采购人书面许可，投标人不得以任何形式向第三方透露本项目的任何内容。</w:t>
      </w:r>
    </w:p>
    <w:p w14:paraId="5C11B84D">
      <w:pPr>
        <w:pStyle w:val="4"/>
        <w:adjustRightInd w:val="0"/>
        <w:snapToGrid w:val="0"/>
        <w:spacing w:before="0" w:after="0" w:line="400" w:lineRule="exact"/>
        <w:ind w:firstLine="482" w:firstLineChars="200"/>
        <w:rPr>
          <w:rFonts w:ascii="方正仿宋_GBK" w:hAnsi="宋体" w:eastAsia="方正仿宋_GBK"/>
          <w:sz w:val="24"/>
        </w:rPr>
      </w:pPr>
      <w:r>
        <w:rPr>
          <w:rFonts w:hint="eastAsia" w:ascii="方正仿宋_GBK" w:hAnsi="宋体" w:eastAsia="方正仿宋_GBK"/>
          <w:sz w:val="24"/>
        </w:rPr>
        <w:t>八、培训</w:t>
      </w:r>
    </w:p>
    <w:p w14:paraId="516F00E4">
      <w:pPr>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成交人对其提供产品的使用和操作应尽培训义务。成交人应提供对采购人的基本免费培训，使采购人使用人员能够正常操作。</w:t>
      </w:r>
    </w:p>
    <w:p w14:paraId="7B22BECD">
      <w:pPr>
        <w:pStyle w:val="4"/>
        <w:adjustRightInd w:val="0"/>
        <w:snapToGrid w:val="0"/>
        <w:spacing w:before="0" w:after="0" w:line="400" w:lineRule="exact"/>
        <w:ind w:firstLine="482" w:firstLineChars="200"/>
        <w:rPr>
          <w:rFonts w:ascii="方正仿宋_GBK" w:hAnsi="宋体" w:eastAsia="方正仿宋_GBK"/>
          <w:sz w:val="24"/>
        </w:rPr>
      </w:pPr>
      <w:bookmarkStart w:id="63" w:name="_Toc23237"/>
      <w:r>
        <w:rPr>
          <w:rFonts w:hint="eastAsia" w:ascii="方正仿宋_GBK" w:hAnsi="宋体" w:eastAsia="方正仿宋_GBK"/>
          <w:sz w:val="24"/>
        </w:rPr>
        <w:t>九、其他</w:t>
      </w:r>
      <w:bookmarkEnd w:id="57"/>
      <w:bookmarkEnd w:id="58"/>
      <w:bookmarkEnd w:id="59"/>
      <w:bookmarkEnd w:id="60"/>
      <w:bookmarkEnd w:id="61"/>
      <w:bookmarkEnd w:id="63"/>
    </w:p>
    <w:p w14:paraId="6F88EDEA">
      <w:pPr>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（一）投标人必须在投标文件中对以上条款和服务承诺明确列出，承诺内容必须达到本篇及招标文件其他条款的要求。</w:t>
      </w:r>
    </w:p>
    <w:p w14:paraId="17B88225">
      <w:pPr>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（二）中标人确定后，由采购人和中标单位按照相关规定和程序办理有关手续，签订合同。</w:t>
      </w:r>
    </w:p>
    <w:p w14:paraId="37C83294">
      <w:pPr>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（三）其他未尽事宜由供需双方在采购合同中详细约定。</w:t>
      </w:r>
    </w:p>
    <w:p w14:paraId="48F39DA4">
      <w:pPr>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（四）中标人不得分包、转包、挂靠中标项目。</w:t>
      </w:r>
    </w:p>
    <w:p w14:paraId="361E16F2">
      <w:pPr>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（五）投标人在项目服务过程中的成果归采购人所有。</w:t>
      </w:r>
    </w:p>
    <w:p w14:paraId="6CCB8FBD">
      <w:pPr>
        <w:widowControl/>
        <w:snapToGrid w:val="0"/>
        <w:spacing w:line="400" w:lineRule="exact"/>
        <w:ind w:firstLine="540"/>
        <w:jc w:val="left"/>
        <w:rPr>
          <w:rFonts w:ascii="方正仿宋_GBK" w:hAnsi="宋体" w:eastAsia="方正仿宋_GBK"/>
          <w:b/>
          <w:bCs/>
          <w:sz w:val="24"/>
          <w:szCs w:val="24"/>
        </w:rPr>
      </w:pPr>
    </w:p>
    <w:p w14:paraId="5CD4AA29">
      <w:pPr>
        <w:pStyle w:val="3"/>
        <w:pageBreakBefore/>
        <w:spacing w:line="360" w:lineRule="auto"/>
        <w:jc w:val="center"/>
        <w:rPr>
          <w:rFonts w:ascii="方正小标宋_GBK" w:hAnsi="宋体" w:eastAsia="方正小标宋_GBK"/>
          <w:sz w:val="36"/>
          <w:szCs w:val="30"/>
        </w:rPr>
      </w:pPr>
      <w:bookmarkStart w:id="64" w:name="_Toc20801"/>
      <w:bookmarkStart w:id="65" w:name="_Toc76462332"/>
      <w:bookmarkStart w:id="66" w:name="_Toc106030887"/>
      <w:r>
        <w:rPr>
          <w:rFonts w:hint="eastAsia" w:ascii="方正小标宋_GBK" w:hAnsi="宋体" w:eastAsia="方正小标宋_GBK"/>
          <w:sz w:val="36"/>
          <w:szCs w:val="30"/>
        </w:rPr>
        <w:t>第四篇  磋商程序及方法、评审标准、无效响应和</w:t>
      </w:r>
      <w:r>
        <w:rPr>
          <w:rFonts w:hint="eastAsia" w:ascii="方正小标宋_GBK" w:eastAsia="方正小标宋_GBK"/>
          <w:sz w:val="36"/>
          <w:szCs w:val="36"/>
        </w:rPr>
        <w:t>采购终止</w:t>
      </w:r>
      <w:bookmarkEnd w:id="64"/>
      <w:bookmarkEnd w:id="65"/>
      <w:bookmarkEnd w:id="66"/>
    </w:p>
    <w:p w14:paraId="32BB17B5">
      <w:pPr>
        <w:pStyle w:val="4"/>
        <w:adjustRightInd w:val="0"/>
        <w:snapToGrid w:val="0"/>
        <w:spacing w:before="0" w:after="0" w:line="400" w:lineRule="exact"/>
        <w:ind w:firstLine="482" w:firstLineChars="200"/>
        <w:rPr>
          <w:rFonts w:ascii="方正仿宋_GBK" w:hAnsi="宋体" w:eastAsia="方正仿宋_GBK"/>
          <w:sz w:val="24"/>
        </w:rPr>
      </w:pPr>
      <w:bookmarkStart w:id="67" w:name="_Toc76462333"/>
      <w:bookmarkStart w:id="68" w:name="_Toc8996"/>
      <w:bookmarkStart w:id="69" w:name="_Toc106030888"/>
      <w:r>
        <w:rPr>
          <w:rFonts w:hint="eastAsia" w:ascii="方正仿宋_GBK" w:hAnsi="宋体" w:eastAsia="方正仿宋_GBK"/>
          <w:sz w:val="24"/>
        </w:rPr>
        <w:t>一、磋商程序及方法</w:t>
      </w:r>
      <w:bookmarkEnd w:id="67"/>
      <w:bookmarkEnd w:id="68"/>
      <w:bookmarkEnd w:id="69"/>
    </w:p>
    <w:p w14:paraId="76FE0C2F">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磋商按竞争性磋商文件规定的时间和地点进行，供应商须有法定代表人（或其授权代表）或自然人参加并签到。竞争性磋商以抽签的形式确定磋商顺序，由本项目依法组建的竞争性磋商小组（以下简称磋商小组）分别与各供应商进行磋商。</w:t>
      </w:r>
    </w:p>
    <w:p w14:paraId="0A8628AD">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（二）磋商小组对各供应商的资格条件、响应文件的有效性、完整性和响应程度进行审查。各供应商只有在完全符合要求的前提下，才能参与正式磋商。</w:t>
      </w:r>
    </w:p>
    <w:p w14:paraId="56FC0A94">
      <w:pPr>
        <w:snapToGrid w:val="0"/>
        <w:spacing w:line="400" w:lineRule="exact"/>
        <w:ind w:firstLine="480" w:firstLineChars="200"/>
        <w:rPr>
          <w:rFonts w:ascii="方正仿宋_GBK" w:hAnsi="宋体" w:eastAsia="方正仿宋_GBK" w:cs="宋体"/>
          <w:kern w:val="0"/>
          <w:sz w:val="24"/>
          <w:szCs w:val="24"/>
        </w:rPr>
      </w:pPr>
      <w:r>
        <w:rPr>
          <w:rFonts w:hint="eastAsia" w:ascii="Times New Roman" w:hAnsi="Times New Roman" w:eastAsia="方正仿宋_GBK"/>
          <w:sz w:val="24"/>
          <w:szCs w:val="24"/>
        </w:rPr>
        <w:t>1</w:t>
      </w:r>
      <w:r>
        <w:rPr>
          <w:rFonts w:hint="eastAsia" w:ascii="方正仿宋_GBK" w:hAnsi="宋体" w:eastAsia="方正仿宋_GBK"/>
          <w:sz w:val="24"/>
          <w:szCs w:val="24"/>
        </w:rPr>
        <w:t>.</w:t>
      </w:r>
      <w:r>
        <w:rPr>
          <w:rFonts w:hint="eastAsia" w:ascii="方正仿宋_GBK" w:hAnsi="宋体" w:eastAsia="方正仿宋_GBK" w:cs="宋体"/>
          <w:kern w:val="0"/>
          <w:sz w:val="24"/>
          <w:szCs w:val="24"/>
        </w:rPr>
        <w:t>资格性审查。依据法律法规和竞争性磋商文件的规定，对响应文件中的资格证明、等进行审查，以确定供应商是否具备磋商资格。资格性审查资料表如下：</w:t>
      </w:r>
    </w:p>
    <w:tbl>
      <w:tblPr>
        <w:tblStyle w:val="5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3118"/>
        <w:gridCol w:w="4984"/>
      </w:tblGrid>
      <w:tr w14:paraId="38F97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vAlign w:val="center"/>
          </w:tcPr>
          <w:p w14:paraId="26749035">
            <w:pPr>
              <w:jc w:val="cente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序号</w:t>
            </w:r>
          </w:p>
        </w:tc>
        <w:tc>
          <w:tcPr>
            <w:tcW w:w="3827" w:type="dxa"/>
            <w:gridSpan w:val="2"/>
            <w:tcBorders>
              <w:top w:val="single" w:color="auto" w:sz="4" w:space="0"/>
              <w:left w:val="single" w:color="auto" w:sz="4" w:space="0"/>
              <w:bottom w:val="single" w:color="auto" w:sz="4" w:space="0"/>
              <w:right w:val="single" w:color="auto" w:sz="4" w:space="0"/>
            </w:tcBorders>
            <w:vAlign w:val="center"/>
          </w:tcPr>
          <w:p w14:paraId="60A615F8">
            <w:pPr>
              <w:jc w:val="cente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检查因素</w:t>
            </w:r>
          </w:p>
        </w:tc>
        <w:tc>
          <w:tcPr>
            <w:tcW w:w="4984" w:type="dxa"/>
            <w:tcBorders>
              <w:top w:val="single" w:color="auto" w:sz="4" w:space="0"/>
              <w:left w:val="single" w:color="auto" w:sz="4" w:space="0"/>
              <w:bottom w:val="single" w:color="auto" w:sz="4" w:space="0"/>
              <w:right w:val="single" w:color="auto" w:sz="4" w:space="0"/>
            </w:tcBorders>
            <w:vAlign w:val="center"/>
          </w:tcPr>
          <w:p w14:paraId="0029F793">
            <w:pPr>
              <w:jc w:val="cente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检查内容</w:t>
            </w:r>
          </w:p>
        </w:tc>
      </w:tr>
      <w:tr w14:paraId="61B6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36DCC5E9">
            <w:pPr>
              <w:jc w:val="center"/>
              <w:rPr>
                <w:rFonts w:ascii="方正仿宋_GBK" w:hAnsi="仿宋" w:eastAsia="方正仿宋_GBK"/>
                <w:sz w:val="21"/>
                <w:szCs w:val="21"/>
              </w:rPr>
            </w:pPr>
            <w:r>
              <w:rPr>
                <w:rFonts w:hint="eastAsia" w:ascii="方正仿宋_GBK" w:hAnsi="仿宋" w:eastAsia="方正仿宋_GBK"/>
                <w:sz w:val="21"/>
                <w:szCs w:val="21"/>
              </w:rPr>
              <w:t>（一）</w:t>
            </w:r>
          </w:p>
        </w:tc>
        <w:tc>
          <w:tcPr>
            <w:tcW w:w="709" w:type="dxa"/>
            <w:vMerge w:val="restart"/>
            <w:vAlign w:val="center"/>
          </w:tcPr>
          <w:p w14:paraId="6905D174">
            <w:pPr>
              <w:rPr>
                <w:rFonts w:ascii="方正仿宋_GBK" w:hAnsi="仿宋" w:eastAsia="方正仿宋_GBK" w:cs="仿宋_GB2312"/>
                <w:sz w:val="21"/>
                <w:szCs w:val="21"/>
                <w:lang w:val="zh-CN"/>
              </w:rPr>
            </w:pPr>
            <w:r>
              <w:rPr>
                <w:rFonts w:hint="eastAsia" w:ascii="方正仿宋_GBK" w:hAnsi="仿宋" w:eastAsia="方正仿宋_GBK" w:cs="仿宋_GB2312"/>
                <w:sz w:val="21"/>
                <w:szCs w:val="21"/>
                <w:lang w:val="zh-CN"/>
              </w:rPr>
              <w:t>《中华人民共和国政府采购法》第二十二条规定</w:t>
            </w:r>
          </w:p>
        </w:tc>
        <w:tc>
          <w:tcPr>
            <w:tcW w:w="3118" w:type="dxa"/>
            <w:vAlign w:val="center"/>
          </w:tcPr>
          <w:p w14:paraId="3399C0BD">
            <w:pPr>
              <w:rPr>
                <w:rFonts w:ascii="方正仿宋_GBK" w:hAnsi="仿宋" w:eastAsia="方正仿宋_GBK"/>
                <w:sz w:val="21"/>
                <w:szCs w:val="21"/>
              </w:rPr>
            </w:pPr>
            <w:r>
              <w:rPr>
                <w:rFonts w:hint="eastAsia" w:ascii="Times New Roman" w:hAnsi="Times New Roman" w:eastAsia="方正仿宋_GBK"/>
                <w:sz w:val="21"/>
                <w:szCs w:val="21"/>
              </w:rPr>
              <w:t>1</w:t>
            </w:r>
            <w:r>
              <w:rPr>
                <w:rFonts w:hint="eastAsia" w:ascii="方正仿宋_GBK" w:hAnsi="仿宋" w:eastAsia="方正仿宋_GBK"/>
                <w:sz w:val="21"/>
                <w:szCs w:val="21"/>
              </w:rPr>
              <w:t>.具有有效的营业执照</w:t>
            </w:r>
          </w:p>
        </w:tc>
        <w:tc>
          <w:tcPr>
            <w:tcW w:w="4984" w:type="dxa"/>
            <w:vAlign w:val="center"/>
          </w:tcPr>
          <w:p w14:paraId="49E804E4">
            <w:pPr>
              <w:rPr>
                <w:rFonts w:ascii="方正仿宋_GBK" w:hAnsi="仿宋" w:eastAsia="方正仿宋_GBK"/>
                <w:sz w:val="21"/>
                <w:szCs w:val="21"/>
              </w:rPr>
            </w:pPr>
            <w:r>
              <w:rPr>
                <w:rFonts w:hint="eastAsia" w:ascii="Times New Roman" w:hAnsi="Times New Roman" w:eastAsia="方正仿宋_GBK"/>
                <w:sz w:val="21"/>
                <w:szCs w:val="21"/>
              </w:rPr>
              <w:t>1</w:t>
            </w:r>
            <w:r>
              <w:rPr>
                <w:rFonts w:hint="eastAsia" w:ascii="方正仿宋_GBK" w:hAnsi="仿宋" w:eastAsia="方正仿宋_GBK"/>
                <w:sz w:val="21"/>
                <w:szCs w:val="21"/>
              </w:rPr>
              <w:t xml:space="preserve">.供应商法人（或单位负责人）营业执照（副本）（提供复印件）。 </w:t>
            </w:r>
          </w:p>
          <w:p w14:paraId="164BA923">
            <w:pPr>
              <w:rPr>
                <w:rFonts w:ascii="方正仿宋_GBK" w:hAnsi="仿宋" w:eastAsia="方正仿宋_GBK"/>
                <w:sz w:val="21"/>
                <w:szCs w:val="21"/>
              </w:rPr>
            </w:pPr>
            <w:r>
              <w:rPr>
                <w:rFonts w:hint="eastAsia" w:ascii="Times New Roman" w:hAnsi="Times New Roman" w:eastAsia="方正仿宋_GBK"/>
                <w:sz w:val="21"/>
                <w:szCs w:val="21"/>
              </w:rPr>
              <w:t>2</w:t>
            </w:r>
            <w:r>
              <w:rPr>
                <w:rFonts w:hint="eastAsia" w:ascii="方正仿宋_GBK" w:hAnsi="仿宋" w:eastAsia="方正仿宋_GBK"/>
                <w:sz w:val="21"/>
                <w:szCs w:val="21"/>
              </w:rPr>
              <w:t>.供应商法定代表人（或单位负责人）身份证明和法定代表人（或单位负责人）授权代表委托书。</w:t>
            </w:r>
          </w:p>
        </w:tc>
      </w:tr>
      <w:tr w14:paraId="56C8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C7CF62C">
            <w:pPr>
              <w:jc w:val="center"/>
              <w:rPr>
                <w:rFonts w:ascii="方正仿宋_GBK" w:hAnsi="仿宋" w:eastAsia="方正仿宋_GBK"/>
                <w:sz w:val="21"/>
                <w:szCs w:val="21"/>
              </w:rPr>
            </w:pPr>
          </w:p>
        </w:tc>
        <w:tc>
          <w:tcPr>
            <w:tcW w:w="709" w:type="dxa"/>
            <w:vMerge w:val="continue"/>
            <w:vAlign w:val="center"/>
          </w:tcPr>
          <w:p w14:paraId="475BBC46">
            <w:pPr>
              <w:rPr>
                <w:rFonts w:ascii="方正仿宋_GBK" w:hAnsi="仿宋" w:eastAsia="方正仿宋_GBK" w:cs="仿宋_GB2312"/>
                <w:sz w:val="21"/>
                <w:szCs w:val="21"/>
                <w:lang w:val="zh-CN"/>
              </w:rPr>
            </w:pPr>
          </w:p>
        </w:tc>
        <w:tc>
          <w:tcPr>
            <w:tcW w:w="3118" w:type="dxa"/>
            <w:vAlign w:val="center"/>
          </w:tcPr>
          <w:p w14:paraId="1BFA5389">
            <w:pPr>
              <w:rPr>
                <w:rFonts w:ascii="方正仿宋_GBK" w:hAnsi="仿宋" w:eastAsia="方正仿宋_GBK"/>
                <w:sz w:val="21"/>
                <w:szCs w:val="21"/>
              </w:rPr>
            </w:pPr>
            <w:r>
              <w:rPr>
                <w:rFonts w:hint="eastAsia" w:ascii="Times New Roman" w:hAnsi="Times New Roman" w:eastAsia="方正仿宋_GBK" w:cs="仿宋_GB2312"/>
                <w:sz w:val="21"/>
                <w:szCs w:val="21"/>
                <w:lang w:val="zh-CN"/>
              </w:rPr>
              <w:t>2</w:t>
            </w:r>
            <w:r>
              <w:rPr>
                <w:rFonts w:hint="eastAsia" w:ascii="方正仿宋_GBK" w:hAnsi="仿宋" w:eastAsia="方正仿宋_GBK" w:cs="仿宋_GB2312"/>
                <w:sz w:val="21"/>
                <w:szCs w:val="21"/>
                <w:lang w:val="zh-CN"/>
              </w:rPr>
              <w:t>.</w:t>
            </w:r>
            <w:r>
              <w:rPr>
                <w:rFonts w:hint="eastAsia" w:ascii="方正仿宋_GBK" w:hAnsi="仿宋" w:eastAsia="方正仿宋_GBK"/>
                <w:sz w:val="21"/>
                <w:szCs w:val="21"/>
              </w:rPr>
              <w:t>具有良好的商业信誉和健全的财务会计制度</w:t>
            </w:r>
          </w:p>
        </w:tc>
        <w:tc>
          <w:tcPr>
            <w:tcW w:w="4984" w:type="dxa"/>
            <w:vMerge w:val="restart"/>
            <w:vAlign w:val="center"/>
          </w:tcPr>
          <w:p w14:paraId="47381D75">
            <w:pPr>
              <w:rPr>
                <w:rFonts w:ascii="方正仿宋_GBK" w:hAnsi="仿宋" w:eastAsia="方正仿宋_GBK"/>
                <w:b/>
                <w:sz w:val="21"/>
                <w:szCs w:val="21"/>
              </w:rPr>
            </w:pPr>
            <w:r>
              <w:rPr>
                <w:rFonts w:hint="eastAsia" w:ascii="方正仿宋_GBK" w:hAnsi="仿宋" w:eastAsia="方正仿宋_GBK"/>
                <w:sz w:val="21"/>
                <w:szCs w:val="21"/>
              </w:rPr>
              <w:t>供应商提供“基本资格条件承诺函”（格式详见第七篇）</w:t>
            </w:r>
          </w:p>
        </w:tc>
      </w:tr>
      <w:tr w14:paraId="02934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740E27C3">
            <w:pPr>
              <w:jc w:val="center"/>
              <w:rPr>
                <w:rFonts w:ascii="方正仿宋_GBK" w:hAnsi="仿宋" w:eastAsia="方正仿宋_GBK"/>
                <w:sz w:val="21"/>
                <w:szCs w:val="21"/>
              </w:rPr>
            </w:pPr>
          </w:p>
        </w:tc>
        <w:tc>
          <w:tcPr>
            <w:tcW w:w="709" w:type="dxa"/>
            <w:vMerge w:val="continue"/>
            <w:vAlign w:val="center"/>
          </w:tcPr>
          <w:p w14:paraId="22DE4883">
            <w:pPr>
              <w:rPr>
                <w:rFonts w:ascii="方正仿宋_GBK" w:hAnsi="仿宋" w:eastAsia="方正仿宋_GBK" w:cs="仿宋_GB2312"/>
                <w:sz w:val="21"/>
                <w:szCs w:val="21"/>
                <w:lang w:val="zh-CN"/>
              </w:rPr>
            </w:pPr>
          </w:p>
        </w:tc>
        <w:tc>
          <w:tcPr>
            <w:tcW w:w="3118" w:type="dxa"/>
            <w:vAlign w:val="center"/>
          </w:tcPr>
          <w:p w14:paraId="3B3A047E">
            <w:pPr>
              <w:rPr>
                <w:rFonts w:ascii="方正仿宋_GBK" w:hAnsi="仿宋" w:eastAsia="方正仿宋_GBK" w:cs="仿宋_GB2312"/>
                <w:sz w:val="21"/>
                <w:szCs w:val="21"/>
                <w:lang w:val="zh-CN"/>
              </w:rPr>
            </w:pPr>
            <w:r>
              <w:rPr>
                <w:rFonts w:hint="eastAsia" w:ascii="Times New Roman" w:hAnsi="Times New Roman" w:eastAsia="方正仿宋_GBK" w:cs="仿宋_GB2312"/>
                <w:sz w:val="21"/>
                <w:szCs w:val="21"/>
                <w:lang w:val="zh-CN"/>
              </w:rPr>
              <w:t>3</w:t>
            </w:r>
            <w:r>
              <w:rPr>
                <w:rFonts w:hint="eastAsia" w:ascii="方正仿宋_GBK" w:hAnsi="仿宋" w:eastAsia="方正仿宋_GBK" w:cs="仿宋_GB2312"/>
                <w:sz w:val="21"/>
                <w:szCs w:val="21"/>
                <w:lang w:val="zh-CN"/>
              </w:rPr>
              <w:t>.具有履行合同所必需的设备和专业技术能力</w:t>
            </w:r>
          </w:p>
        </w:tc>
        <w:tc>
          <w:tcPr>
            <w:tcW w:w="4984" w:type="dxa"/>
            <w:vMerge w:val="continue"/>
            <w:vAlign w:val="center"/>
          </w:tcPr>
          <w:p w14:paraId="77AC221D">
            <w:pPr>
              <w:rPr>
                <w:rFonts w:ascii="方正仿宋_GBK" w:hAnsi="仿宋" w:eastAsia="方正仿宋_GBK"/>
                <w:sz w:val="21"/>
                <w:szCs w:val="21"/>
              </w:rPr>
            </w:pPr>
          </w:p>
        </w:tc>
      </w:tr>
      <w:tr w14:paraId="373C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505B7EA2">
            <w:pPr>
              <w:jc w:val="center"/>
              <w:rPr>
                <w:rFonts w:ascii="方正仿宋_GBK" w:hAnsi="仿宋" w:eastAsia="方正仿宋_GBK"/>
                <w:sz w:val="21"/>
                <w:szCs w:val="21"/>
              </w:rPr>
            </w:pPr>
          </w:p>
        </w:tc>
        <w:tc>
          <w:tcPr>
            <w:tcW w:w="709" w:type="dxa"/>
            <w:vMerge w:val="continue"/>
            <w:vAlign w:val="center"/>
          </w:tcPr>
          <w:p w14:paraId="11753AA4">
            <w:pPr>
              <w:rPr>
                <w:rFonts w:ascii="方正仿宋_GBK" w:hAnsi="仿宋" w:eastAsia="方正仿宋_GBK" w:cs="仿宋_GB2312"/>
                <w:sz w:val="21"/>
                <w:szCs w:val="21"/>
                <w:lang w:val="zh-CN"/>
              </w:rPr>
            </w:pPr>
          </w:p>
        </w:tc>
        <w:tc>
          <w:tcPr>
            <w:tcW w:w="3118" w:type="dxa"/>
            <w:vAlign w:val="center"/>
          </w:tcPr>
          <w:p w14:paraId="16B85F0F">
            <w:pPr>
              <w:rPr>
                <w:rFonts w:ascii="方正仿宋_GBK" w:hAnsi="仿宋" w:eastAsia="方正仿宋_GBK" w:cs="仿宋_GB2312"/>
                <w:sz w:val="21"/>
                <w:szCs w:val="21"/>
                <w:lang w:val="zh-CN"/>
              </w:rPr>
            </w:pPr>
            <w:r>
              <w:rPr>
                <w:rFonts w:hint="eastAsia" w:ascii="Times New Roman" w:hAnsi="Times New Roman" w:eastAsia="方正仿宋_GBK" w:cs="仿宋_GB2312"/>
                <w:sz w:val="21"/>
                <w:szCs w:val="21"/>
                <w:lang w:val="zh-CN"/>
              </w:rPr>
              <w:t>4</w:t>
            </w:r>
            <w:r>
              <w:rPr>
                <w:rFonts w:hint="eastAsia" w:ascii="方正仿宋_GBK" w:hAnsi="仿宋" w:eastAsia="方正仿宋_GBK" w:cs="仿宋_GB2312"/>
                <w:sz w:val="21"/>
                <w:szCs w:val="21"/>
                <w:lang w:val="zh-CN"/>
              </w:rPr>
              <w:t>.有依法缴纳税收和社会保障金的良好记录</w:t>
            </w:r>
          </w:p>
        </w:tc>
        <w:tc>
          <w:tcPr>
            <w:tcW w:w="4984" w:type="dxa"/>
            <w:vMerge w:val="continue"/>
            <w:vAlign w:val="center"/>
          </w:tcPr>
          <w:p w14:paraId="601BC90D">
            <w:pPr>
              <w:rPr>
                <w:rFonts w:ascii="方正仿宋_GBK" w:hAnsi="仿宋" w:eastAsia="方正仿宋_GBK"/>
                <w:sz w:val="21"/>
                <w:szCs w:val="21"/>
              </w:rPr>
            </w:pPr>
          </w:p>
        </w:tc>
      </w:tr>
      <w:tr w14:paraId="5D34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4010BC2D">
            <w:pPr>
              <w:jc w:val="center"/>
              <w:rPr>
                <w:rFonts w:ascii="方正仿宋_GBK" w:hAnsi="仿宋" w:eastAsia="方正仿宋_GBK"/>
                <w:sz w:val="21"/>
                <w:szCs w:val="21"/>
              </w:rPr>
            </w:pPr>
          </w:p>
        </w:tc>
        <w:tc>
          <w:tcPr>
            <w:tcW w:w="709" w:type="dxa"/>
            <w:vMerge w:val="continue"/>
            <w:vAlign w:val="center"/>
          </w:tcPr>
          <w:p w14:paraId="1C2EDA7C">
            <w:pPr>
              <w:rPr>
                <w:rFonts w:ascii="方正仿宋_GBK" w:hAnsi="仿宋" w:eastAsia="方正仿宋_GBK" w:cs="仿宋_GB2312"/>
                <w:sz w:val="21"/>
                <w:szCs w:val="21"/>
                <w:lang w:val="zh-CN"/>
              </w:rPr>
            </w:pPr>
          </w:p>
        </w:tc>
        <w:tc>
          <w:tcPr>
            <w:tcW w:w="3118" w:type="dxa"/>
            <w:vAlign w:val="center"/>
          </w:tcPr>
          <w:p w14:paraId="4BF77752">
            <w:pPr>
              <w:rPr>
                <w:rFonts w:ascii="方正仿宋_GBK" w:hAnsi="仿宋" w:eastAsia="方正仿宋_GBK" w:cs="仿宋_GB2312"/>
                <w:sz w:val="21"/>
                <w:szCs w:val="21"/>
                <w:lang w:val="zh-CN"/>
              </w:rPr>
            </w:pPr>
            <w:r>
              <w:rPr>
                <w:rFonts w:hint="eastAsia" w:ascii="Times New Roman" w:hAnsi="Times New Roman" w:eastAsia="方正仿宋_GBK"/>
                <w:sz w:val="21"/>
                <w:szCs w:val="21"/>
              </w:rPr>
              <w:t>5</w:t>
            </w:r>
            <w:r>
              <w:rPr>
                <w:rFonts w:hint="eastAsia" w:ascii="方正仿宋_GBK" w:hAnsi="仿宋" w:eastAsia="方正仿宋_GBK"/>
                <w:sz w:val="21"/>
                <w:szCs w:val="21"/>
              </w:rPr>
              <w:t>.参加政府采购活动前三年内，在经营活动中没有重大违法记录</w:t>
            </w:r>
          </w:p>
        </w:tc>
        <w:tc>
          <w:tcPr>
            <w:tcW w:w="4984" w:type="dxa"/>
            <w:vMerge w:val="continue"/>
            <w:vAlign w:val="center"/>
          </w:tcPr>
          <w:p w14:paraId="2D7E10DD">
            <w:pPr>
              <w:rPr>
                <w:rFonts w:ascii="方正仿宋_GBK" w:hAnsi="仿宋" w:eastAsia="方正仿宋_GBK"/>
                <w:b/>
                <w:sz w:val="21"/>
                <w:szCs w:val="21"/>
              </w:rPr>
            </w:pPr>
          </w:p>
        </w:tc>
      </w:tr>
      <w:tr w14:paraId="1E38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32A3C95F">
            <w:pPr>
              <w:jc w:val="center"/>
              <w:rPr>
                <w:rFonts w:ascii="方正仿宋_GBK" w:hAnsi="仿宋" w:eastAsia="方正仿宋_GBK"/>
                <w:sz w:val="21"/>
                <w:szCs w:val="21"/>
              </w:rPr>
            </w:pPr>
          </w:p>
        </w:tc>
        <w:tc>
          <w:tcPr>
            <w:tcW w:w="709" w:type="dxa"/>
            <w:vMerge w:val="continue"/>
            <w:vAlign w:val="center"/>
          </w:tcPr>
          <w:p w14:paraId="4E210C22">
            <w:pPr>
              <w:rPr>
                <w:rFonts w:ascii="方正仿宋_GBK" w:hAnsi="仿宋" w:eastAsia="方正仿宋_GBK" w:cs="仿宋_GB2312"/>
                <w:sz w:val="21"/>
                <w:szCs w:val="21"/>
              </w:rPr>
            </w:pPr>
          </w:p>
        </w:tc>
        <w:tc>
          <w:tcPr>
            <w:tcW w:w="3118" w:type="dxa"/>
            <w:vAlign w:val="center"/>
          </w:tcPr>
          <w:p w14:paraId="4EF48045">
            <w:pPr>
              <w:rPr>
                <w:rFonts w:ascii="方正仿宋_GBK" w:hAnsi="仿宋" w:eastAsia="方正仿宋_GBK"/>
                <w:sz w:val="21"/>
                <w:szCs w:val="21"/>
              </w:rPr>
            </w:pPr>
            <w:r>
              <w:rPr>
                <w:rFonts w:hint="eastAsia" w:ascii="Times New Roman" w:hAnsi="Times New Roman" w:eastAsia="方正仿宋_GBK"/>
                <w:sz w:val="21"/>
                <w:szCs w:val="21"/>
              </w:rPr>
              <w:t>6</w:t>
            </w:r>
            <w:r>
              <w:rPr>
                <w:rFonts w:hint="eastAsia" w:ascii="方正仿宋_GBK" w:hAnsi="仿宋" w:eastAsia="方正仿宋_GBK"/>
                <w:sz w:val="21"/>
                <w:szCs w:val="21"/>
              </w:rPr>
              <w:t>.法律、行政法规规定的其他条件</w:t>
            </w:r>
          </w:p>
        </w:tc>
        <w:tc>
          <w:tcPr>
            <w:tcW w:w="4984" w:type="dxa"/>
            <w:vAlign w:val="center"/>
          </w:tcPr>
          <w:p w14:paraId="4E28C5E9">
            <w:pPr>
              <w:rPr>
                <w:rFonts w:ascii="方正仿宋_GBK" w:hAnsi="仿宋" w:eastAsia="方正仿宋_GBK"/>
                <w:sz w:val="21"/>
                <w:szCs w:val="21"/>
              </w:rPr>
            </w:pPr>
          </w:p>
        </w:tc>
      </w:tr>
      <w:tr w14:paraId="0FA7C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vAlign w:val="center"/>
          </w:tcPr>
          <w:p w14:paraId="19EE30B5">
            <w:pPr>
              <w:jc w:val="center"/>
              <w:rPr>
                <w:rFonts w:ascii="方正仿宋_GBK" w:hAnsi="仿宋" w:eastAsia="方正仿宋_GBK"/>
                <w:sz w:val="21"/>
                <w:szCs w:val="21"/>
              </w:rPr>
            </w:pPr>
          </w:p>
        </w:tc>
        <w:tc>
          <w:tcPr>
            <w:tcW w:w="709" w:type="dxa"/>
            <w:vMerge w:val="continue"/>
            <w:vAlign w:val="center"/>
          </w:tcPr>
          <w:p w14:paraId="072ADA80">
            <w:pPr>
              <w:rPr>
                <w:rFonts w:ascii="方正仿宋_GBK" w:hAnsi="仿宋" w:eastAsia="方正仿宋_GBK" w:cs="仿宋_GB2312"/>
                <w:sz w:val="21"/>
                <w:szCs w:val="21"/>
              </w:rPr>
            </w:pPr>
          </w:p>
        </w:tc>
        <w:tc>
          <w:tcPr>
            <w:tcW w:w="3118" w:type="dxa"/>
            <w:vAlign w:val="center"/>
          </w:tcPr>
          <w:p w14:paraId="058FA208">
            <w:pPr>
              <w:rPr>
                <w:rFonts w:ascii="方正仿宋_GBK" w:hAnsi="仿宋" w:eastAsia="方正仿宋_GBK"/>
                <w:sz w:val="21"/>
                <w:szCs w:val="21"/>
              </w:rPr>
            </w:pPr>
            <w:r>
              <w:rPr>
                <w:rFonts w:hint="eastAsia" w:ascii="Times New Roman" w:hAnsi="Times New Roman" w:eastAsia="方正仿宋_GBK"/>
                <w:sz w:val="21"/>
                <w:szCs w:val="21"/>
              </w:rPr>
              <w:t>7</w:t>
            </w:r>
            <w:r>
              <w:rPr>
                <w:rFonts w:hint="eastAsia" w:ascii="方正仿宋_GBK" w:hAnsi="仿宋" w:eastAsia="方正仿宋_GBK"/>
                <w:sz w:val="21"/>
                <w:szCs w:val="21"/>
              </w:rPr>
              <w:t>.本项目的特定资格要求</w:t>
            </w:r>
          </w:p>
        </w:tc>
        <w:tc>
          <w:tcPr>
            <w:tcW w:w="4984" w:type="dxa"/>
            <w:vAlign w:val="center"/>
          </w:tcPr>
          <w:p w14:paraId="0D3BA82D">
            <w:pPr>
              <w:rPr>
                <w:rFonts w:ascii="方正仿宋_GBK" w:hAnsi="仿宋" w:eastAsia="方正仿宋_GBK"/>
                <w:sz w:val="21"/>
                <w:szCs w:val="21"/>
              </w:rPr>
            </w:pPr>
            <w:r>
              <w:rPr>
                <w:rFonts w:hint="eastAsia" w:ascii="方正仿宋_GBK" w:hAnsi="仿宋" w:eastAsia="方正仿宋_GBK"/>
                <w:sz w:val="21"/>
                <w:szCs w:val="21"/>
              </w:rPr>
              <w:t>按“第一篇三、供应商资格要求（三）本项目的特定资格要求”的要求提交</w:t>
            </w:r>
            <w:r>
              <w:rPr>
                <w:rFonts w:hint="eastAsia" w:ascii="方正仿宋_GBK" w:hAnsi="宋体" w:eastAsia="方正仿宋_GBK"/>
                <w:sz w:val="21"/>
                <w:szCs w:val="21"/>
              </w:rPr>
              <w:t>（如果有）</w:t>
            </w:r>
            <w:r>
              <w:rPr>
                <w:rFonts w:hint="eastAsia" w:ascii="方正仿宋_GBK" w:hAnsi="仿宋" w:eastAsia="方正仿宋_GBK"/>
                <w:sz w:val="21"/>
                <w:szCs w:val="21"/>
              </w:rPr>
              <w:t>。</w:t>
            </w:r>
          </w:p>
        </w:tc>
      </w:tr>
      <w:tr w14:paraId="07D7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D52C1E3">
            <w:pPr>
              <w:jc w:val="center"/>
              <w:rPr>
                <w:rFonts w:ascii="方正仿宋_GBK" w:hAnsi="仿宋" w:eastAsia="方正仿宋_GBK"/>
                <w:sz w:val="21"/>
                <w:szCs w:val="21"/>
              </w:rPr>
            </w:pPr>
            <w:r>
              <w:rPr>
                <w:rFonts w:hint="eastAsia" w:ascii="方正仿宋_GBK" w:hAnsi="仿宋" w:eastAsia="方正仿宋_GBK"/>
                <w:sz w:val="21"/>
                <w:szCs w:val="21"/>
              </w:rPr>
              <w:t>（二）</w:t>
            </w:r>
          </w:p>
        </w:tc>
        <w:tc>
          <w:tcPr>
            <w:tcW w:w="3827" w:type="dxa"/>
            <w:gridSpan w:val="2"/>
            <w:vAlign w:val="center"/>
          </w:tcPr>
          <w:p w14:paraId="6D0A91AF">
            <w:pPr>
              <w:rPr>
                <w:rFonts w:ascii="方正仿宋_GBK" w:hAnsi="仿宋" w:eastAsia="方正仿宋_GBK"/>
                <w:sz w:val="21"/>
                <w:szCs w:val="21"/>
              </w:rPr>
            </w:pPr>
            <w:r>
              <w:rPr>
                <w:rFonts w:hint="eastAsia" w:ascii="方正仿宋_GBK" w:hAnsi="仿宋" w:eastAsia="方正仿宋_GBK"/>
                <w:sz w:val="21"/>
                <w:szCs w:val="21"/>
              </w:rPr>
              <w:t>落实政府采购政策需满足的资格要求</w:t>
            </w:r>
          </w:p>
        </w:tc>
        <w:tc>
          <w:tcPr>
            <w:tcW w:w="4984" w:type="dxa"/>
            <w:vAlign w:val="center"/>
          </w:tcPr>
          <w:p w14:paraId="0633BFCA">
            <w:pPr>
              <w:rPr>
                <w:rFonts w:ascii="方正仿宋_GBK" w:hAnsi="仿宋" w:eastAsia="方正仿宋_GBK"/>
                <w:sz w:val="21"/>
                <w:szCs w:val="21"/>
              </w:rPr>
            </w:pPr>
            <w:r>
              <w:rPr>
                <w:rFonts w:hint="eastAsia" w:ascii="方正仿宋_GBK" w:hAnsi="仿宋" w:eastAsia="方正仿宋_GBK"/>
                <w:sz w:val="21"/>
                <w:szCs w:val="21"/>
              </w:rPr>
              <w:t>按“第一篇三、供应商资格要求（二）落实政府采购政策需满足的资格要求”的要求提交</w:t>
            </w:r>
            <w:r>
              <w:rPr>
                <w:rFonts w:hint="eastAsia" w:ascii="方正仿宋_GBK" w:hAnsi="宋体" w:eastAsia="方正仿宋_GBK"/>
                <w:sz w:val="21"/>
                <w:szCs w:val="21"/>
              </w:rPr>
              <w:t>（如果有）</w:t>
            </w:r>
            <w:r>
              <w:rPr>
                <w:rFonts w:hint="eastAsia" w:ascii="方正仿宋_GBK" w:hAnsi="仿宋" w:eastAsia="方正仿宋_GBK"/>
                <w:sz w:val="21"/>
                <w:szCs w:val="21"/>
              </w:rPr>
              <w:t>。</w:t>
            </w:r>
          </w:p>
        </w:tc>
      </w:tr>
    </w:tbl>
    <w:p w14:paraId="63AF3365">
      <w:pPr>
        <w:snapToGrid w:val="0"/>
        <w:spacing w:line="400" w:lineRule="exact"/>
        <w:ind w:firstLine="480" w:firstLineChars="200"/>
        <w:rPr>
          <w:rFonts w:ascii="方正仿宋_GBK" w:hAnsi="宋体" w:eastAsia="方正仿宋_GBK" w:cs="宋体"/>
          <w:kern w:val="0"/>
          <w:sz w:val="24"/>
          <w:szCs w:val="24"/>
        </w:rPr>
      </w:pPr>
      <w:r>
        <w:rPr>
          <w:rFonts w:hint="eastAsia" w:ascii="方正仿宋_GBK" w:hAnsi="宋体" w:eastAsia="方正仿宋_GBK" w:cs="宋体"/>
          <w:kern w:val="0"/>
          <w:sz w:val="24"/>
          <w:szCs w:val="24"/>
        </w:rPr>
        <w:t>注：</w:t>
      </w:r>
    </w:p>
    <w:p w14:paraId="5E29713F">
      <w:pPr>
        <w:snapToGrid w:val="0"/>
        <w:spacing w:line="400" w:lineRule="exact"/>
        <w:ind w:firstLine="480" w:firstLineChars="200"/>
        <w:rPr>
          <w:rFonts w:ascii="方正仿宋_GBK" w:hAnsi="宋体" w:eastAsia="方正仿宋_GBK" w:cs="宋体"/>
          <w:kern w:val="0"/>
          <w:sz w:val="24"/>
          <w:szCs w:val="24"/>
        </w:rPr>
      </w:pPr>
      <w:r>
        <w:rPr>
          <w:rFonts w:ascii="方正仿宋_GBK" w:hAnsi="宋体" w:eastAsia="方正仿宋_GBK" w:cs="宋体"/>
          <w:kern w:val="0"/>
          <w:sz w:val="24"/>
          <w:szCs w:val="24"/>
        </w:rPr>
        <w:fldChar w:fldCharType="begin"/>
      </w:r>
      <w:r>
        <w:rPr>
          <w:rFonts w:ascii="方正仿宋_GBK" w:hAnsi="宋体" w:eastAsia="方正仿宋_GBK" w:cs="宋体"/>
          <w:kern w:val="0"/>
          <w:sz w:val="24"/>
          <w:szCs w:val="24"/>
        </w:rPr>
        <w:instrText xml:space="preserve"> </w:instrText>
      </w:r>
      <w:r>
        <w:rPr>
          <w:rFonts w:hint="eastAsia" w:ascii="方正仿宋_GBK" w:hAnsi="宋体" w:eastAsia="方正仿宋_GBK" w:cs="宋体"/>
          <w:kern w:val="0"/>
          <w:sz w:val="24"/>
          <w:szCs w:val="24"/>
        </w:rPr>
        <w:instrText xml:space="preserve">eq \o\ac(○,</w:instrText>
      </w:r>
      <w:r>
        <w:rPr>
          <w:rFonts w:hint="eastAsia" w:ascii="宋体" w:hAnsi="宋体" w:eastAsia="方正仿宋_GBK" w:cs="宋体"/>
          <w:kern w:val="0"/>
          <w:position w:val="3"/>
          <w:sz w:val="16"/>
          <w:szCs w:val="24"/>
        </w:rPr>
        <w:instrText xml:space="preserve">1</w:instrText>
      </w:r>
      <w:r>
        <w:rPr>
          <w:rFonts w:hint="eastAsia" w:ascii="方正仿宋_GBK" w:hAnsi="宋体" w:eastAsia="方正仿宋_GBK" w:cs="宋体"/>
          <w:kern w:val="0"/>
          <w:sz w:val="24"/>
          <w:szCs w:val="24"/>
        </w:rPr>
        <w:instrText xml:space="preserve">)</w:instrText>
      </w:r>
      <w:r>
        <w:rPr>
          <w:rFonts w:ascii="方正仿宋_GBK" w:hAnsi="宋体" w:eastAsia="方正仿宋_GBK" w:cs="宋体"/>
          <w:kern w:val="0"/>
          <w:sz w:val="24"/>
          <w:szCs w:val="24"/>
        </w:rPr>
        <w:fldChar w:fldCharType="end"/>
      </w:r>
      <w:r>
        <w:rPr>
          <w:rFonts w:hint="eastAsia" w:ascii="方正仿宋_GBK" w:hAnsi="宋体" w:eastAsia="方正仿宋_GBK" w:cs="宋体"/>
          <w:kern w:val="0"/>
          <w:sz w:val="24"/>
          <w:szCs w:val="24"/>
        </w:rPr>
        <w:t>根据《</w:t>
      </w:r>
      <w:r>
        <w:rPr>
          <w:rFonts w:ascii="方正仿宋_GBK" w:hAnsi="宋体" w:eastAsia="方正仿宋_GBK" w:cs="宋体"/>
          <w:kern w:val="0"/>
          <w:sz w:val="24"/>
          <w:szCs w:val="24"/>
        </w:rPr>
        <w:t>中华人民共和国政府采购法实施条例</w:t>
      </w:r>
      <w:r>
        <w:rPr>
          <w:rFonts w:hint="eastAsia" w:ascii="方正仿宋_GBK" w:hAnsi="宋体" w:eastAsia="方正仿宋_GBK" w:cs="宋体"/>
          <w:kern w:val="0"/>
          <w:sz w:val="24"/>
          <w:szCs w:val="24"/>
        </w:rPr>
        <w:t>》第十九条“参加政府采购活动前三年内，在经营活动中没有重大违法记录”中“重大违法记录”</w:t>
      </w:r>
      <w:r>
        <w:rPr>
          <w:rFonts w:ascii="方正仿宋_GBK" w:hAnsi="宋体" w:eastAsia="方正仿宋_GBK" w:cs="宋体"/>
          <w:kern w:val="0"/>
          <w:sz w:val="24"/>
          <w:szCs w:val="24"/>
        </w:rPr>
        <w:t>，是指供应商因违法经营受到刑事处罚或者责令停产停业、吊销许可证或者执照、较大数额罚款等行政处罚。</w:t>
      </w:r>
      <w:r>
        <w:rPr>
          <w:rFonts w:hint="eastAsia" w:ascii="方正仿宋_GBK" w:hAnsi="宋体" w:eastAsia="方正仿宋_GBK" w:cs="宋体"/>
          <w:kern w:val="0"/>
          <w:sz w:val="24"/>
          <w:szCs w:val="24"/>
        </w:rPr>
        <w:t>行政处罚中“较大数额”的认定标准，按照“</w:t>
      </w:r>
      <w:r>
        <w:rPr>
          <w:rFonts w:ascii="方正仿宋_GBK" w:hAnsi="宋体" w:eastAsia="方正仿宋_GBK" w:cs="宋体"/>
          <w:kern w:val="0"/>
          <w:sz w:val="24"/>
          <w:szCs w:val="24"/>
        </w:rPr>
        <w:t>财政部关于《中华人民共和国政府采购法实施条例》第十九条第一款“较大数额罚款”具体适用问题的意见</w:t>
      </w:r>
      <w:r>
        <w:rPr>
          <w:rFonts w:hint="eastAsia" w:ascii="方正仿宋_GBK" w:hAnsi="宋体" w:eastAsia="方正仿宋_GBK" w:cs="宋体"/>
          <w:kern w:val="0"/>
          <w:sz w:val="24"/>
          <w:szCs w:val="24"/>
        </w:rPr>
        <w:t>（财库〔</w:t>
      </w:r>
      <w:r>
        <w:rPr>
          <w:rFonts w:hint="eastAsia" w:ascii="Times New Roman" w:hAnsi="Times New Roman" w:eastAsia="方正仿宋_GBK" w:cs="宋体"/>
          <w:kern w:val="0"/>
          <w:sz w:val="24"/>
          <w:szCs w:val="24"/>
        </w:rPr>
        <w:t>2022</w:t>
      </w:r>
      <w:r>
        <w:rPr>
          <w:rFonts w:hint="eastAsia" w:ascii="方正仿宋_GBK" w:hAnsi="宋体" w:eastAsia="方正仿宋_GBK" w:cs="宋体"/>
          <w:kern w:val="0"/>
          <w:sz w:val="24"/>
          <w:szCs w:val="24"/>
        </w:rPr>
        <w:t>〕</w:t>
      </w:r>
      <w:r>
        <w:rPr>
          <w:rFonts w:hint="eastAsia" w:ascii="Times New Roman" w:hAnsi="Times New Roman" w:eastAsia="方正仿宋_GBK" w:cs="宋体"/>
          <w:kern w:val="0"/>
          <w:sz w:val="24"/>
          <w:szCs w:val="24"/>
        </w:rPr>
        <w:t>3</w:t>
      </w:r>
      <w:r>
        <w:rPr>
          <w:rFonts w:hint="eastAsia" w:ascii="方正仿宋_GBK" w:hAnsi="宋体" w:eastAsia="方正仿宋_GBK" w:cs="宋体"/>
          <w:kern w:val="0"/>
          <w:sz w:val="24"/>
          <w:szCs w:val="24"/>
        </w:rPr>
        <w:t xml:space="preserve"> 号）”执行。供应商可于响应文件递交截止时间前通过 “信用中国”网站(</w:t>
      </w:r>
      <w:r>
        <w:rPr>
          <w:rFonts w:hint="eastAsia" w:ascii="Times New Roman" w:hAnsi="Times New Roman" w:eastAsia="方正仿宋_GBK" w:cs="宋体"/>
          <w:kern w:val="0"/>
          <w:sz w:val="24"/>
          <w:szCs w:val="24"/>
        </w:rPr>
        <w:t>www</w:t>
      </w:r>
      <w:r>
        <w:rPr>
          <w:rFonts w:hint="eastAsia" w:ascii="方正仿宋_GBK" w:hAnsi="宋体" w:eastAsia="方正仿宋_GBK" w:cs="宋体"/>
          <w:kern w:val="0"/>
          <w:sz w:val="24"/>
          <w:szCs w:val="24"/>
        </w:rPr>
        <w:t>.</w:t>
      </w:r>
      <w:r>
        <w:rPr>
          <w:rFonts w:hint="eastAsia" w:ascii="Times New Roman" w:hAnsi="Times New Roman" w:eastAsia="方正仿宋_GBK" w:cs="宋体"/>
          <w:kern w:val="0"/>
          <w:sz w:val="24"/>
          <w:szCs w:val="24"/>
        </w:rPr>
        <w:t>creditchina</w:t>
      </w:r>
      <w:r>
        <w:rPr>
          <w:rFonts w:hint="eastAsia" w:ascii="方正仿宋_GBK" w:hAnsi="宋体" w:eastAsia="方正仿宋_GBK" w:cs="宋体"/>
          <w:kern w:val="0"/>
          <w:sz w:val="24"/>
          <w:szCs w:val="24"/>
        </w:rPr>
        <w:t>.</w:t>
      </w:r>
      <w:r>
        <w:rPr>
          <w:rFonts w:hint="eastAsia" w:ascii="Times New Roman" w:hAnsi="Times New Roman" w:eastAsia="方正仿宋_GBK" w:cs="宋体"/>
          <w:kern w:val="0"/>
          <w:sz w:val="24"/>
          <w:szCs w:val="24"/>
        </w:rPr>
        <w:t>gov</w:t>
      </w:r>
      <w:r>
        <w:rPr>
          <w:rFonts w:hint="eastAsia" w:ascii="方正仿宋_GBK" w:hAnsi="宋体" w:eastAsia="方正仿宋_GBK" w:cs="宋体"/>
          <w:kern w:val="0"/>
          <w:sz w:val="24"/>
          <w:szCs w:val="24"/>
        </w:rPr>
        <w:t>.</w:t>
      </w:r>
      <w:r>
        <w:rPr>
          <w:rFonts w:hint="eastAsia" w:ascii="Times New Roman" w:hAnsi="Times New Roman" w:eastAsia="方正仿宋_GBK" w:cs="宋体"/>
          <w:kern w:val="0"/>
          <w:sz w:val="24"/>
          <w:szCs w:val="24"/>
        </w:rPr>
        <w:t>cn</w:t>
      </w:r>
      <w:r>
        <w:rPr>
          <w:rFonts w:hint="eastAsia" w:ascii="方正仿宋_GBK" w:hAnsi="宋体" w:eastAsia="方正仿宋_GBK" w:cs="宋体"/>
          <w:kern w:val="0"/>
          <w:sz w:val="24"/>
          <w:szCs w:val="24"/>
        </w:rPr>
        <w:t>)、"中国政府采购网"(</w:t>
      </w:r>
      <w:r>
        <w:rPr>
          <w:rFonts w:hint="eastAsia" w:ascii="Times New Roman" w:hAnsi="Times New Roman" w:eastAsia="方正仿宋_GBK" w:cs="宋体"/>
          <w:kern w:val="0"/>
          <w:sz w:val="24"/>
          <w:szCs w:val="24"/>
        </w:rPr>
        <w:t>www</w:t>
      </w:r>
      <w:r>
        <w:rPr>
          <w:rFonts w:hint="eastAsia" w:ascii="方正仿宋_GBK" w:hAnsi="宋体" w:eastAsia="方正仿宋_GBK" w:cs="宋体"/>
          <w:kern w:val="0"/>
          <w:sz w:val="24"/>
          <w:szCs w:val="24"/>
        </w:rPr>
        <w:t>.</w:t>
      </w:r>
      <w:r>
        <w:rPr>
          <w:rFonts w:hint="eastAsia" w:ascii="Times New Roman" w:hAnsi="Times New Roman" w:eastAsia="方正仿宋_GBK" w:cs="宋体"/>
          <w:kern w:val="0"/>
          <w:sz w:val="24"/>
          <w:szCs w:val="24"/>
        </w:rPr>
        <w:t>ccgp</w:t>
      </w:r>
      <w:r>
        <w:rPr>
          <w:rFonts w:hint="eastAsia" w:ascii="方正仿宋_GBK" w:hAnsi="宋体" w:eastAsia="方正仿宋_GBK" w:cs="宋体"/>
          <w:kern w:val="0"/>
          <w:sz w:val="24"/>
          <w:szCs w:val="24"/>
        </w:rPr>
        <w:t>.</w:t>
      </w:r>
      <w:r>
        <w:rPr>
          <w:rFonts w:hint="eastAsia" w:ascii="Times New Roman" w:hAnsi="Times New Roman" w:eastAsia="方正仿宋_GBK" w:cs="宋体"/>
          <w:kern w:val="0"/>
          <w:sz w:val="24"/>
          <w:szCs w:val="24"/>
        </w:rPr>
        <w:t>gov</w:t>
      </w:r>
      <w:r>
        <w:rPr>
          <w:rFonts w:hint="eastAsia" w:ascii="方正仿宋_GBK" w:hAnsi="宋体" w:eastAsia="方正仿宋_GBK" w:cs="宋体"/>
          <w:kern w:val="0"/>
          <w:sz w:val="24"/>
          <w:szCs w:val="24"/>
        </w:rPr>
        <w:t>.</w:t>
      </w:r>
      <w:r>
        <w:rPr>
          <w:rFonts w:hint="eastAsia" w:ascii="Times New Roman" w:hAnsi="Times New Roman" w:eastAsia="方正仿宋_GBK" w:cs="宋体"/>
          <w:kern w:val="0"/>
          <w:sz w:val="24"/>
          <w:szCs w:val="24"/>
        </w:rPr>
        <w:t>cn</w:t>
      </w:r>
      <w:r>
        <w:rPr>
          <w:rFonts w:hint="eastAsia" w:ascii="方正仿宋_GBK" w:hAnsi="宋体" w:eastAsia="方正仿宋_GBK" w:cs="宋体"/>
          <w:kern w:val="0"/>
          <w:sz w:val="24"/>
          <w:szCs w:val="24"/>
        </w:rPr>
        <w:t>)等渠道查询信用记录。</w:t>
      </w:r>
    </w:p>
    <w:p w14:paraId="1BF4E735">
      <w:pPr>
        <w:snapToGrid w:val="0"/>
        <w:spacing w:line="400" w:lineRule="exact"/>
        <w:ind w:firstLine="480" w:firstLineChars="200"/>
        <w:rPr>
          <w:rFonts w:ascii="方正仿宋_GBK" w:hAnsi="宋体" w:eastAsia="方正仿宋_GBK" w:cs="宋体"/>
          <w:kern w:val="0"/>
          <w:sz w:val="24"/>
          <w:szCs w:val="24"/>
        </w:rPr>
      </w:pPr>
      <w:r>
        <w:rPr>
          <w:rFonts w:ascii="方正仿宋_GBK" w:hAnsi="宋体" w:eastAsia="方正仿宋_GBK" w:cs="宋体"/>
          <w:kern w:val="0"/>
          <w:sz w:val="24"/>
          <w:szCs w:val="24"/>
        </w:rPr>
        <w:fldChar w:fldCharType="begin"/>
      </w:r>
      <w:r>
        <w:rPr>
          <w:rFonts w:ascii="方正仿宋_GBK" w:hAnsi="宋体" w:eastAsia="方正仿宋_GBK" w:cs="宋体"/>
          <w:kern w:val="0"/>
          <w:sz w:val="24"/>
          <w:szCs w:val="24"/>
        </w:rPr>
        <w:instrText xml:space="preserve"> </w:instrText>
      </w:r>
      <w:r>
        <w:rPr>
          <w:rFonts w:hint="eastAsia" w:ascii="方正仿宋_GBK" w:hAnsi="宋体" w:eastAsia="方正仿宋_GBK" w:cs="宋体"/>
          <w:kern w:val="0"/>
          <w:sz w:val="24"/>
          <w:szCs w:val="24"/>
        </w:rPr>
        <w:instrText xml:space="preserve">eq \o\ac(○,</w:instrText>
      </w:r>
      <w:r>
        <w:rPr>
          <w:rFonts w:hint="eastAsia" w:ascii="宋体" w:hAnsi="宋体" w:eastAsia="方正仿宋_GBK" w:cs="宋体"/>
          <w:kern w:val="0"/>
          <w:position w:val="3"/>
          <w:sz w:val="16"/>
          <w:szCs w:val="24"/>
        </w:rPr>
        <w:instrText xml:space="preserve">2</w:instrText>
      </w:r>
      <w:r>
        <w:rPr>
          <w:rFonts w:hint="eastAsia" w:ascii="方正仿宋_GBK" w:hAnsi="宋体" w:eastAsia="方正仿宋_GBK" w:cs="宋体"/>
          <w:kern w:val="0"/>
          <w:sz w:val="24"/>
          <w:szCs w:val="24"/>
        </w:rPr>
        <w:instrText xml:space="preserve">)</w:instrText>
      </w:r>
      <w:r>
        <w:rPr>
          <w:rFonts w:ascii="方正仿宋_GBK" w:hAnsi="宋体" w:eastAsia="方正仿宋_GBK" w:cs="宋体"/>
          <w:kern w:val="0"/>
          <w:sz w:val="24"/>
          <w:szCs w:val="24"/>
        </w:rPr>
        <w:fldChar w:fldCharType="end"/>
      </w:r>
      <w:r>
        <w:rPr>
          <w:rFonts w:hint="eastAsia" w:ascii="方正仿宋_GBK" w:hAnsi="宋体" w:eastAsia="方正仿宋_GBK" w:cs="宋体"/>
          <w:kern w:val="0"/>
          <w:sz w:val="24"/>
          <w:szCs w:val="24"/>
        </w:rPr>
        <w:t>以联合体形式参与磋商的，共同联合协议中应确定主办方（主体），</w:t>
      </w:r>
      <w:r>
        <w:rPr>
          <w:rFonts w:hint="eastAsia" w:ascii="方正仿宋_GBK" w:hAnsi="宋体" w:eastAsia="方正仿宋_GBK"/>
          <w:sz w:val="24"/>
        </w:rPr>
        <w:t>代表联合体进行磋商和澄清。</w:t>
      </w:r>
      <w:r>
        <w:rPr>
          <w:rFonts w:hint="eastAsia" w:ascii="方正仿宋_GBK" w:hAnsi="宋体" w:eastAsia="方正仿宋_GBK" w:cs="宋体"/>
          <w:kern w:val="0"/>
          <w:sz w:val="24"/>
          <w:szCs w:val="24"/>
        </w:rPr>
        <w:t>联合体各方均应满足供应商资格要求（详见“第一篇”）。</w:t>
      </w:r>
    </w:p>
    <w:p w14:paraId="62514B97">
      <w:pPr>
        <w:snapToGrid w:val="0"/>
        <w:spacing w:line="400" w:lineRule="exact"/>
        <w:ind w:firstLine="480" w:firstLineChars="200"/>
        <w:rPr>
          <w:rFonts w:ascii="方正仿宋_GBK" w:eastAsia="方正仿宋_GBK"/>
          <w:kern w:val="0"/>
          <w:sz w:val="24"/>
          <w:szCs w:val="24"/>
        </w:rPr>
      </w:pPr>
      <w:r>
        <w:rPr>
          <w:rFonts w:hint="eastAsia" w:ascii="Times New Roman" w:hAnsi="Times New Roman" w:eastAsia="方正仿宋_GBK" w:cs="宋体"/>
          <w:kern w:val="0"/>
          <w:sz w:val="24"/>
          <w:szCs w:val="24"/>
        </w:rPr>
        <w:t>2</w:t>
      </w:r>
      <w:r>
        <w:rPr>
          <w:rFonts w:hint="eastAsia" w:ascii="方正仿宋_GBK" w:hAnsi="宋体" w:eastAsia="方正仿宋_GBK" w:cs="宋体"/>
          <w:kern w:val="0"/>
          <w:sz w:val="24"/>
          <w:szCs w:val="24"/>
        </w:rPr>
        <w:t>.符合性审查。依据竞争性磋商文件的规定，从响应文件的有效性、完整性和对竞争性磋商文件的响应程度进行审查，以确定是否对竞争性磋商文件的实质性要求作出响应。</w:t>
      </w:r>
      <w:r>
        <w:rPr>
          <w:rFonts w:hint="eastAsia" w:ascii="方正仿宋_GBK" w:eastAsia="方正仿宋_GBK"/>
          <w:kern w:val="0"/>
          <w:sz w:val="24"/>
          <w:szCs w:val="24"/>
        </w:rPr>
        <w:t>符合性审查资料表如下：</w:t>
      </w:r>
    </w:p>
    <w:tbl>
      <w:tblPr>
        <w:tblStyle w:val="5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984"/>
        <w:gridCol w:w="5409"/>
      </w:tblGrid>
      <w:tr w14:paraId="34FF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atLeast"/>
        </w:trPr>
        <w:tc>
          <w:tcPr>
            <w:tcW w:w="675" w:type="dxa"/>
            <w:vAlign w:val="center"/>
          </w:tcPr>
          <w:p w14:paraId="66FE862D">
            <w:pPr>
              <w:jc w:val="cente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序号</w:t>
            </w:r>
          </w:p>
        </w:tc>
        <w:tc>
          <w:tcPr>
            <w:tcW w:w="3544" w:type="dxa"/>
            <w:gridSpan w:val="2"/>
            <w:vAlign w:val="center"/>
          </w:tcPr>
          <w:p w14:paraId="52978C7F">
            <w:pPr>
              <w:jc w:val="cente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评审因素</w:t>
            </w:r>
          </w:p>
        </w:tc>
        <w:tc>
          <w:tcPr>
            <w:tcW w:w="5409" w:type="dxa"/>
            <w:vAlign w:val="center"/>
          </w:tcPr>
          <w:p w14:paraId="2E63CAD3">
            <w:pPr>
              <w:jc w:val="center"/>
              <w:rPr>
                <w:rFonts w:ascii="方正仿宋_GBK" w:hAnsi="宋体" w:eastAsia="方正仿宋_GBK" w:cs="宋体"/>
                <w:b/>
                <w:kern w:val="0"/>
                <w:sz w:val="21"/>
                <w:szCs w:val="21"/>
              </w:rPr>
            </w:pPr>
            <w:r>
              <w:rPr>
                <w:rFonts w:hint="eastAsia" w:ascii="方正仿宋_GBK" w:hAnsi="宋体" w:eastAsia="方正仿宋_GBK" w:cs="宋体"/>
                <w:b/>
                <w:kern w:val="0"/>
                <w:sz w:val="21"/>
                <w:szCs w:val="21"/>
              </w:rPr>
              <w:t>评审标准</w:t>
            </w:r>
          </w:p>
        </w:tc>
      </w:tr>
      <w:tr w14:paraId="7F1C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6B5243DD">
            <w:pPr>
              <w:jc w:val="center"/>
              <w:rPr>
                <w:rFonts w:ascii="方正仿宋_GBK" w:hAnsi="宋体" w:eastAsia="方正仿宋_GBK" w:cs="宋体"/>
                <w:kern w:val="0"/>
                <w:sz w:val="21"/>
                <w:szCs w:val="21"/>
              </w:rPr>
            </w:pPr>
            <w:r>
              <w:rPr>
                <w:rFonts w:hint="eastAsia" w:ascii="Times New Roman" w:hAnsi="Times New Roman" w:eastAsia="方正仿宋_GBK" w:cs="宋体"/>
                <w:kern w:val="0"/>
                <w:sz w:val="21"/>
                <w:szCs w:val="21"/>
              </w:rPr>
              <w:t>1</w:t>
            </w:r>
          </w:p>
        </w:tc>
        <w:tc>
          <w:tcPr>
            <w:tcW w:w="1560" w:type="dxa"/>
            <w:vMerge w:val="restart"/>
            <w:vAlign w:val="center"/>
          </w:tcPr>
          <w:p w14:paraId="07CFDDB3">
            <w:pPr>
              <w:rPr>
                <w:rFonts w:ascii="方正仿宋_GBK" w:hAnsi="宋体" w:eastAsia="方正仿宋_GBK" w:cs="宋体"/>
                <w:kern w:val="0"/>
                <w:sz w:val="21"/>
                <w:szCs w:val="21"/>
              </w:rPr>
            </w:pPr>
            <w:r>
              <w:rPr>
                <w:rFonts w:hint="eastAsia" w:ascii="方正仿宋_GBK" w:hAnsi="宋体" w:eastAsia="方正仿宋_GBK" w:cs="宋体"/>
                <w:kern w:val="0"/>
                <w:sz w:val="21"/>
                <w:szCs w:val="21"/>
              </w:rPr>
              <w:t>有效性审查</w:t>
            </w:r>
          </w:p>
        </w:tc>
        <w:tc>
          <w:tcPr>
            <w:tcW w:w="1984" w:type="dxa"/>
            <w:vAlign w:val="center"/>
          </w:tcPr>
          <w:p w14:paraId="173DECAF">
            <w:pPr>
              <w:rPr>
                <w:rFonts w:ascii="方正仿宋_GBK" w:hAnsi="宋体" w:eastAsia="方正仿宋_GBK" w:cs="宋体"/>
                <w:kern w:val="0"/>
                <w:sz w:val="21"/>
                <w:szCs w:val="21"/>
              </w:rPr>
            </w:pPr>
            <w:r>
              <w:rPr>
                <w:rFonts w:hint="eastAsia" w:ascii="方正仿宋_GBK" w:hAnsi="宋体" w:eastAsia="方正仿宋_GBK"/>
                <w:sz w:val="21"/>
                <w:szCs w:val="21"/>
              </w:rPr>
              <w:t>响应文件签署或盖章</w:t>
            </w:r>
          </w:p>
        </w:tc>
        <w:tc>
          <w:tcPr>
            <w:tcW w:w="5409" w:type="dxa"/>
            <w:vAlign w:val="center"/>
          </w:tcPr>
          <w:p w14:paraId="2A6A7787">
            <w:pPr>
              <w:rPr>
                <w:rFonts w:ascii="方正仿宋_GBK" w:hAnsi="宋体" w:eastAsia="方正仿宋_GBK" w:cs="宋体"/>
                <w:kern w:val="0"/>
                <w:sz w:val="21"/>
                <w:szCs w:val="21"/>
              </w:rPr>
            </w:pPr>
            <w:r>
              <w:rPr>
                <w:rFonts w:hint="eastAsia" w:ascii="方正仿宋_GBK" w:hAnsi="宋体" w:eastAsia="方正仿宋_GBK"/>
                <w:sz w:val="21"/>
                <w:szCs w:val="21"/>
              </w:rPr>
              <w:t>按竞争性磋商文件“第七篇响应文件编制要求”要求签署或盖章。</w:t>
            </w:r>
          </w:p>
        </w:tc>
      </w:tr>
      <w:tr w14:paraId="6EB6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0B57A59E">
            <w:pPr>
              <w:jc w:val="center"/>
              <w:rPr>
                <w:rFonts w:ascii="方正仿宋_GBK" w:hAnsi="宋体" w:eastAsia="方正仿宋_GBK" w:cs="宋体"/>
                <w:kern w:val="0"/>
                <w:sz w:val="21"/>
                <w:szCs w:val="21"/>
              </w:rPr>
            </w:pPr>
          </w:p>
        </w:tc>
        <w:tc>
          <w:tcPr>
            <w:tcW w:w="1560" w:type="dxa"/>
            <w:vMerge w:val="continue"/>
            <w:vAlign w:val="center"/>
          </w:tcPr>
          <w:p w14:paraId="0968C785">
            <w:pPr>
              <w:rPr>
                <w:rFonts w:ascii="方正仿宋_GBK" w:hAnsi="宋体" w:eastAsia="方正仿宋_GBK" w:cs="宋体"/>
                <w:kern w:val="0"/>
                <w:sz w:val="21"/>
                <w:szCs w:val="21"/>
              </w:rPr>
            </w:pPr>
          </w:p>
        </w:tc>
        <w:tc>
          <w:tcPr>
            <w:tcW w:w="1984" w:type="dxa"/>
            <w:vAlign w:val="center"/>
          </w:tcPr>
          <w:p w14:paraId="002DE156">
            <w:pPr>
              <w:rPr>
                <w:rFonts w:ascii="方正仿宋_GBK" w:hAnsi="宋体" w:eastAsia="方正仿宋_GBK"/>
                <w:sz w:val="21"/>
                <w:szCs w:val="21"/>
              </w:rPr>
            </w:pPr>
            <w:r>
              <w:rPr>
                <w:rFonts w:hint="eastAsia" w:ascii="方正仿宋_GBK" w:hAnsi="宋体" w:eastAsia="方正仿宋_GBK"/>
                <w:sz w:val="21"/>
                <w:szCs w:val="21"/>
              </w:rPr>
              <w:t>法定代表人</w:t>
            </w:r>
            <w:r>
              <w:rPr>
                <w:rFonts w:hint="eastAsia" w:ascii="方正仿宋_GBK" w:hAnsi="仿宋" w:eastAsia="方正仿宋_GBK"/>
                <w:sz w:val="21"/>
                <w:szCs w:val="21"/>
              </w:rPr>
              <w:t>（或单位负责人）</w:t>
            </w:r>
            <w:r>
              <w:rPr>
                <w:rFonts w:hint="eastAsia" w:ascii="方正仿宋_GBK" w:hAnsi="宋体" w:eastAsia="方正仿宋_GBK"/>
                <w:sz w:val="21"/>
                <w:szCs w:val="21"/>
              </w:rPr>
              <w:t>身份证明及授权委托书</w:t>
            </w:r>
          </w:p>
        </w:tc>
        <w:tc>
          <w:tcPr>
            <w:tcW w:w="5409" w:type="dxa"/>
            <w:vAlign w:val="center"/>
          </w:tcPr>
          <w:p w14:paraId="13C29798">
            <w:pPr>
              <w:rPr>
                <w:rFonts w:ascii="方正仿宋_GBK" w:hAnsi="宋体" w:eastAsia="方正仿宋_GBK"/>
                <w:sz w:val="21"/>
                <w:szCs w:val="21"/>
              </w:rPr>
            </w:pPr>
            <w:r>
              <w:rPr>
                <w:rFonts w:hint="eastAsia" w:ascii="方正仿宋_GBK" w:hAnsi="宋体" w:eastAsia="方正仿宋_GBK"/>
                <w:sz w:val="21"/>
                <w:szCs w:val="21"/>
              </w:rPr>
              <w:t>法定代表人</w:t>
            </w:r>
            <w:r>
              <w:rPr>
                <w:rFonts w:hint="eastAsia" w:ascii="方正仿宋_GBK" w:hAnsi="仿宋" w:eastAsia="方正仿宋_GBK"/>
                <w:sz w:val="21"/>
                <w:szCs w:val="21"/>
              </w:rPr>
              <w:t>（或单位负责人）</w:t>
            </w:r>
            <w:r>
              <w:rPr>
                <w:rFonts w:hint="eastAsia" w:ascii="方正仿宋_GBK" w:hAnsi="宋体" w:eastAsia="方正仿宋_GBK"/>
                <w:sz w:val="21"/>
                <w:szCs w:val="21"/>
              </w:rPr>
              <w:t>身份证明及授权委托书有效，符合竞争性磋商文件规定的格式，签署或盖章齐全。</w:t>
            </w:r>
          </w:p>
        </w:tc>
      </w:tr>
      <w:tr w14:paraId="43F8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537735BB">
            <w:pPr>
              <w:jc w:val="center"/>
              <w:rPr>
                <w:rFonts w:ascii="方正仿宋_GBK" w:hAnsi="宋体" w:eastAsia="方正仿宋_GBK" w:cs="宋体"/>
                <w:kern w:val="0"/>
                <w:sz w:val="21"/>
                <w:szCs w:val="21"/>
              </w:rPr>
            </w:pPr>
          </w:p>
        </w:tc>
        <w:tc>
          <w:tcPr>
            <w:tcW w:w="1560" w:type="dxa"/>
            <w:vMerge w:val="continue"/>
            <w:vAlign w:val="center"/>
          </w:tcPr>
          <w:p w14:paraId="55B2F40D">
            <w:pPr>
              <w:rPr>
                <w:rFonts w:ascii="方正仿宋_GBK" w:hAnsi="宋体" w:eastAsia="方正仿宋_GBK" w:cs="宋体"/>
                <w:kern w:val="0"/>
                <w:sz w:val="21"/>
                <w:szCs w:val="21"/>
              </w:rPr>
            </w:pPr>
          </w:p>
        </w:tc>
        <w:tc>
          <w:tcPr>
            <w:tcW w:w="1984" w:type="dxa"/>
            <w:vAlign w:val="center"/>
          </w:tcPr>
          <w:p w14:paraId="74E62168">
            <w:pPr>
              <w:rPr>
                <w:rFonts w:ascii="方正仿宋_GBK" w:hAnsi="宋体" w:eastAsia="方正仿宋_GBK" w:cs="仿宋_GB2312"/>
                <w:sz w:val="21"/>
                <w:szCs w:val="21"/>
                <w:lang w:val="zh-CN"/>
              </w:rPr>
            </w:pP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方案</w:t>
            </w:r>
          </w:p>
        </w:tc>
        <w:tc>
          <w:tcPr>
            <w:tcW w:w="5409" w:type="dxa"/>
            <w:vAlign w:val="center"/>
          </w:tcPr>
          <w:p w14:paraId="7B794643">
            <w:pPr>
              <w:rPr>
                <w:rFonts w:ascii="方正仿宋_GBK" w:hAnsi="宋体" w:eastAsia="方正仿宋_GBK" w:cs="宋体"/>
                <w:kern w:val="0"/>
                <w:sz w:val="21"/>
                <w:szCs w:val="21"/>
              </w:rPr>
            </w:pPr>
            <w:r>
              <w:rPr>
                <w:rFonts w:hint="eastAsia" w:ascii="方正仿宋_GBK" w:hAnsi="宋体" w:eastAsia="方正仿宋_GBK" w:cs="仿宋_GB2312"/>
                <w:sz w:val="21"/>
                <w:szCs w:val="21"/>
                <w:lang w:val="zh-CN"/>
              </w:rPr>
              <w:t>每个包只能有一个</w:t>
            </w: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方案。</w:t>
            </w:r>
          </w:p>
        </w:tc>
      </w:tr>
      <w:tr w14:paraId="2590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75" w:type="dxa"/>
            <w:vMerge w:val="continue"/>
            <w:vAlign w:val="center"/>
          </w:tcPr>
          <w:p w14:paraId="226B8456">
            <w:pPr>
              <w:jc w:val="center"/>
              <w:rPr>
                <w:rFonts w:ascii="方正仿宋_GBK" w:hAnsi="宋体" w:eastAsia="方正仿宋_GBK" w:cs="宋体"/>
                <w:kern w:val="0"/>
                <w:sz w:val="21"/>
                <w:szCs w:val="21"/>
              </w:rPr>
            </w:pPr>
          </w:p>
        </w:tc>
        <w:tc>
          <w:tcPr>
            <w:tcW w:w="1560" w:type="dxa"/>
            <w:vMerge w:val="continue"/>
            <w:vAlign w:val="center"/>
          </w:tcPr>
          <w:p w14:paraId="321AB0A8">
            <w:pPr>
              <w:rPr>
                <w:rFonts w:ascii="方正仿宋_GBK" w:hAnsi="宋体" w:eastAsia="方正仿宋_GBK" w:cs="宋体"/>
                <w:kern w:val="0"/>
                <w:sz w:val="21"/>
                <w:szCs w:val="21"/>
              </w:rPr>
            </w:pPr>
          </w:p>
        </w:tc>
        <w:tc>
          <w:tcPr>
            <w:tcW w:w="1984" w:type="dxa"/>
            <w:vAlign w:val="center"/>
          </w:tcPr>
          <w:p w14:paraId="11DC011C">
            <w:pPr>
              <w:rPr>
                <w:rFonts w:ascii="方正仿宋_GBK" w:hAnsi="宋体" w:eastAsia="方正仿宋_GBK" w:cs="仿宋_GB2312"/>
                <w:sz w:val="21"/>
                <w:szCs w:val="21"/>
                <w:lang w:val="zh-CN"/>
              </w:rPr>
            </w:pPr>
            <w:r>
              <w:rPr>
                <w:rFonts w:hint="eastAsia" w:ascii="方正仿宋_GBK" w:hAnsi="宋体" w:eastAsia="方正仿宋_GBK"/>
                <w:sz w:val="21"/>
                <w:szCs w:val="21"/>
              </w:rPr>
              <w:t>报价唯一</w:t>
            </w:r>
          </w:p>
        </w:tc>
        <w:tc>
          <w:tcPr>
            <w:tcW w:w="5409" w:type="dxa"/>
            <w:vAlign w:val="center"/>
          </w:tcPr>
          <w:p w14:paraId="68352A9E">
            <w:pPr>
              <w:rPr>
                <w:rFonts w:ascii="方正仿宋_GBK" w:hAnsi="宋体" w:eastAsia="方正仿宋_GBK" w:cs="宋体"/>
                <w:kern w:val="0"/>
                <w:sz w:val="21"/>
                <w:szCs w:val="21"/>
              </w:rPr>
            </w:pPr>
            <w:r>
              <w:rPr>
                <w:rFonts w:hint="eastAsia" w:ascii="方正仿宋_GBK" w:hAnsi="宋体" w:eastAsia="方正仿宋_GBK"/>
                <w:sz w:val="21"/>
                <w:szCs w:val="21"/>
              </w:rPr>
              <w:t>只能有一个有效报价，不得提交选择性报价。</w:t>
            </w:r>
          </w:p>
        </w:tc>
      </w:tr>
      <w:tr w14:paraId="7EE45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vAlign w:val="center"/>
          </w:tcPr>
          <w:p w14:paraId="421BF8E7">
            <w:pPr>
              <w:jc w:val="center"/>
              <w:rPr>
                <w:rFonts w:ascii="方正仿宋_GBK" w:hAnsi="宋体" w:eastAsia="方正仿宋_GBK" w:cs="宋体"/>
                <w:kern w:val="0"/>
                <w:sz w:val="21"/>
                <w:szCs w:val="21"/>
              </w:rPr>
            </w:pPr>
            <w:r>
              <w:rPr>
                <w:rFonts w:hint="eastAsia" w:ascii="Times New Roman" w:hAnsi="Times New Roman" w:eastAsia="方正仿宋_GBK" w:cs="宋体"/>
                <w:kern w:val="0"/>
                <w:sz w:val="21"/>
                <w:szCs w:val="21"/>
              </w:rPr>
              <w:t>2</w:t>
            </w:r>
          </w:p>
        </w:tc>
        <w:tc>
          <w:tcPr>
            <w:tcW w:w="1560" w:type="dxa"/>
            <w:vAlign w:val="center"/>
          </w:tcPr>
          <w:p w14:paraId="726E11D1">
            <w:pPr>
              <w:rPr>
                <w:rFonts w:ascii="方正仿宋_GBK" w:hAnsi="宋体" w:eastAsia="方正仿宋_GBK" w:cs="宋体"/>
                <w:kern w:val="0"/>
                <w:sz w:val="21"/>
                <w:szCs w:val="21"/>
              </w:rPr>
            </w:pPr>
            <w:r>
              <w:rPr>
                <w:rFonts w:hint="eastAsia" w:ascii="方正仿宋_GBK" w:hAnsi="宋体" w:eastAsia="方正仿宋_GBK" w:cs="宋体"/>
                <w:kern w:val="0"/>
                <w:sz w:val="21"/>
                <w:szCs w:val="21"/>
              </w:rPr>
              <w:t>完整性审查</w:t>
            </w:r>
          </w:p>
        </w:tc>
        <w:tc>
          <w:tcPr>
            <w:tcW w:w="1984" w:type="dxa"/>
            <w:vAlign w:val="center"/>
          </w:tcPr>
          <w:p w14:paraId="71D98235">
            <w:pPr>
              <w:rPr>
                <w:rFonts w:ascii="方正仿宋_GBK" w:hAnsi="宋体" w:eastAsia="方正仿宋_GBK" w:cs="宋体"/>
                <w:kern w:val="0"/>
                <w:sz w:val="21"/>
                <w:szCs w:val="21"/>
              </w:rPr>
            </w:pP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文件份数</w:t>
            </w:r>
          </w:p>
        </w:tc>
        <w:tc>
          <w:tcPr>
            <w:tcW w:w="5409" w:type="dxa"/>
            <w:vAlign w:val="center"/>
          </w:tcPr>
          <w:p w14:paraId="4D7A3413">
            <w:pPr>
              <w:rPr>
                <w:rFonts w:ascii="方正仿宋_GBK" w:hAnsi="宋体" w:eastAsia="方正仿宋_GBK" w:cs="宋体"/>
                <w:kern w:val="0"/>
                <w:sz w:val="21"/>
                <w:szCs w:val="21"/>
              </w:rPr>
            </w:pPr>
            <w:r>
              <w:rPr>
                <w:rFonts w:hint="eastAsia" w:ascii="方正仿宋_GBK" w:hAnsi="宋体" w:eastAsia="方正仿宋_GBK" w:cs="仿宋_GB2312"/>
                <w:sz w:val="21"/>
                <w:szCs w:val="21"/>
              </w:rPr>
              <w:t>响应</w:t>
            </w:r>
            <w:r>
              <w:rPr>
                <w:rFonts w:hint="eastAsia" w:ascii="方正仿宋_GBK" w:hAnsi="宋体" w:eastAsia="方正仿宋_GBK" w:cs="仿宋_GB2312"/>
                <w:sz w:val="21"/>
                <w:szCs w:val="21"/>
                <w:lang w:val="zh-CN"/>
              </w:rPr>
              <w:t>文件正、副本数量符合</w:t>
            </w:r>
            <w:r>
              <w:rPr>
                <w:rFonts w:hint="eastAsia" w:ascii="方正仿宋_GBK" w:hAnsi="宋体" w:eastAsia="方正仿宋_GBK" w:cs="仿宋_GB2312"/>
                <w:sz w:val="21"/>
                <w:szCs w:val="21"/>
              </w:rPr>
              <w:t>竞争性磋商</w:t>
            </w:r>
            <w:r>
              <w:rPr>
                <w:rFonts w:hint="eastAsia" w:ascii="方正仿宋_GBK" w:hAnsi="宋体" w:eastAsia="方正仿宋_GBK" w:cs="仿宋_GB2312"/>
                <w:sz w:val="21"/>
                <w:szCs w:val="21"/>
                <w:lang w:val="zh-CN"/>
              </w:rPr>
              <w:t>文件要求。</w:t>
            </w:r>
          </w:p>
        </w:tc>
      </w:tr>
      <w:tr w14:paraId="5ABD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159CA6D7">
            <w:pPr>
              <w:jc w:val="center"/>
              <w:rPr>
                <w:rFonts w:ascii="方正仿宋_GBK" w:hAnsi="宋体" w:eastAsia="方正仿宋_GBK" w:cs="宋体"/>
                <w:kern w:val="0"/>
                <w:sz w:val="21"/>
                <w:szCs w:val="21"/>
              </w:rPr>
            </w:pPr>
            <w:r>
              <w:rPr>
                <w:rFonts w:hint="eastAsia" w:ascii="Times New Roman" w:hAnsi="Times New Roman" w:eastAsia="方正仿宋_GBK" w:cs="宋体"/>
                <w:kern w:val="0"/>
                <w:sz w:val="21"/>
                <w:szCs w:val="21"/>
              </w:rPr>
              <w:t>3</w:t>
            </w:r>
          </w:p>
        </w:tc>
        <w:tc>
          <w:tcPr>
            <w:tcW w:w="1560" w:type="dxa"/>
            <w:vMerge w:val="restart"/>
            <w:vAlign w:val="center"/>
          </w:tcPr>
          <w:p w14:paraId="48857445">
            <w:pPr>
              <w:rPr>
                <w:rFonts w:ascii="方正仿宋_GBK" w:hAnsi="宋体" w:eastAsia="方正仿宋_GBK" w:cs="仿宋_GB2312"/>
                <w:sz w:val="21"/>
                <w:szCs w:val="21"/>
                <w:lang w:val="zh-CN"/>
              </w:rPr>
            </w:pPr>
            <w:r>
              <w:rPr>
                <w:rFonts w:hint="eastAsia" w:ascii="方正仿宋_GBK" w:hAnsi="宋体" w:eastAsia="方正仿宋_GBK" w:cs="宋体"/>
                <w:kern w:val="0"/>
                <w:sz w:val="21"/>
                <w:szCs w:val="21"/>
              </w:rPr>
              <w:t>响应程度审查</w:t>
            </w:r>
          </w:p>
        </w:tc>
        <w:tc>
          <w:tcPr>
            <w:tcW w:w="1984" w:type="dxa"/>
            <w:vAlign w:val="center"/>
          </w:tcPr>
          <w:p w14:paraId="45BF58AE">
            <w:pPr>
              <w:rPr>
                <w:rFonts w:ascii="方正仿宋_GBK" w:hAnsi="宋体" w:eastAsia="方正仿宋_GBK" w:cs="宋体"/>
                <w:kern w:val="0"/>
                <w:sz w:val="21"/>
                <w:szCs w:val="21"/>
              </w:rPr>
            </w:pPr>
            <w:r>
              <w:rPr>
                <w:rFonts w:hint="eastAsia" w:ascii="方正仿宋_GBK" w:hAnsi="宋体" w:eastAsia="方正仿宋_GBK" w:cs="宋体"/>
                <w:kern w:val="0"/>
                <w:sz w:val="21"/>
                <w:szCs w:val="21"/>
              </w:rPr>
              <w:t>实质性响应</w:t>
            </w:r>
          </w:p>
        </w:tc>
        <w:tc>
          <w:tcPr>
            <w:tcW w:w="5409" w:type="dxa"/>
            <w:vAlign w:val="center"/>
          </w:tcPr>
          <w:p w14:paraId="29CE9FD8">
            <w:pPr>
              <w:pStyle w:val="32"/>
              <w:rPr>
                <w:rFonts w:ascii="方正仿宋_GBK" w:hAnsi="宋体" w:eastAsia="方正仿宋_GBK" w:cs="宋体"/>
                <w:kern w:val="0"/>
                <w:sz w:val="21"/>
                <w:szCs w:val="21"/>
              </w:rPr>
            </w:pPr>
            <w:r>
              <w:rPr>
                <w:rFonts w:hint="eastAsia" w:ascii="方正仿宋_GBK" w:hAnsi="宋体" w:eastAsia="方正仿宋_GBK" w:cs="宋体"/>
                <w:kern w:val="0"/>
                <w:sz w:val="21"/>
                <w:szCs w:val="21"/>
              </w:rPr>
              <w:t>对竞争性磋商文件第二篇、第三篇的内容进行实质性响应。</w:t>
            </w:r>
          </w:p>
        </w:tc>
      </w:tr>
      <w:tr w14:paraId="113C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675" w:type="dxa"/>
            <w:vMerge w:val="continue"/>
            <w:vAlign w:val="center"/>
          </w:tcPr>
          <w:p w14:paraId="7E46EB35">
            <w:pPr>
              <w:jc w:val="center"/>
              <w:rPr>
                <w:rFonts w:ascii="方正仿宋_GBK" w:hAnsi="宋体" w:eastAsia="方正仿宋_GBK" w:cs="宋体"/>
                <w:kern w:val="0"/>
                <w:sz w:val="21"/>
                <w:szCs w:val="21"/>
              </w:rPr>
            </w:pPr>
          </w:p>
        </w:tc>
        <w:tc>
          <w:tcPr>
            <w:tcW w:w="1560" w:type="dxa"/>
            <w:vMerge w:val="continue"/>
            <w:vAlign w:val="center"/>
          </w:tcPr>
          <w:p w14:paraId="1EEAAF3B">
            <w:pPr>
              <w:rPr>
                <w:rFonts w:ascii="方正仿宋_GBK" w:hAnsi="宋体" w:eastAsia="方正仿宋_GBK" w:cs="仿宋_GB2312"/>
                <w:sz w:val="21"/>
                <w:szCs w:val="21"/>
                <w:lang w:val="zh-CN"/>
              </w:rPr>
            </w:pPr>
          </w:p>
        </w:tc>
        <w:tc>
          <w:tcPr>
            <w:tcW w:w="1984" w:type="dxa"/>
            <w:vAlign w:val="center"/>
          </w:tcPr>
          <w:p w14:paraId="6B642EEC">
            <w:pPr>
              <w:rPr>
                <w:rFonts w:ascii="方正仿宋_GBK" w:hAnsi="宋体" w:eastAsia="方正仿宋_GBK" w:cs="宋体"/>
                <w:kern w:val="0"/>
                <w:sz w:val="21"/>
                <w:szCs w:val="21"/>
              </w:rPr>
            </w:pPr>
            <w:r>
              <w:rPr>
                <w:rFonts w:hint="eastAsia" w:ascii="方正仿宋_GBK" w:hAnsi="宋体" w:eastAsia="方正仿宋_GBK" w:cs="宋体"/>
                <w:kern w:val="0"/>
                <w:sz w:val="21"/>
                <w:szCs w:val="21"/>
              </w:rPr>
              <w:t>磋商有效期</w:t>
            </w:r>
          </w:p>
        </w:tc>
        <w:tc>
          <w:tcPr>
            <w:tcW w:w="5409" w:type="dxa"/>
            <w:vAlign w:val="center"/>
          </w:tcPr>
          <w:p w14:paraId="180811A9">
            <w:pPr>
              <w:rPr>
                <w:rFonts w:ascii="方正仿宋_GBK" w:hAnsi="宋体" w:eastAsia="方正仿宋_GBK" w:cs="宋体"/>
                <w:kern w:val="0"/>
                <w:sz w:val="21"/>
                <w:szCs w:val="21"/>
              </w:rPr>
            </w:pPr>
            <w:r>
              <w:rPr>
                <w:rFonts w:hint="eastAsia" w:ascii="方正仿宋_GBK" w:hAnsi="宋体" w:eastAsia="方正仿宋_GBK" w:cs="宋体"/>
                <w:kern w:val="0"/>
                <w:sz w:val="21"/>
                <w:szCs w:val="21"/>
              </w:rPr>
              <w:t>响应文件及有关承诺文件有效期为提交响应文件截止时间起</w:t>
            </w:r>
            <w:r>
              <w:rPr>
                <w:rFonts w:hint="eastAsia" w:ascii="Times New Roman" w:hAnsi="Times New Roman" w:eastAsia="方正仿宋_GBK" w:cs="宋体"/>
                <w:kern w:val="0"/>
                <w:sz w:val="21"/>
                <w:szCs w:val="21"/>
              </w:rPr>
              <w:t>90</w:t>
            </w:r>
            <w:r>
              <w:rPr>
                <w:rFonts w:hint="eastAsia" w:ascii="方正仿宋_GBK" w:hAnsi="宋体" w:eastAsia="方正仿宋_GBK" w:cs="宋体"/>
                <w:kern w:val="0"/>
                <w:sz w:val="21"/>
                <w:szCs w:val="21"/>
              </w:rPr>
              <w:t>天。</w:t>
            </w:r>
          </w:p>
        </w:tc>
      </w:tr>
    </w:tbl>
    <w:p w14:paraId="13DCCA00">
      <w:pPr>
        <w:spacing w:line="400" w:lineRule="exact"/>
        <w:ind w:firstLine="480" w:firstLineChars="200"/>
        <w:rPr>
          <w:rFonts w:ascii="方正仿宋_GBK" w:hAnsi="宋体" w:eastAsia="方正仿宋_GBK"/>
          <w:sz w:val="24"/>
          <w:szCs w:val="24"/>
        </w:rPr>
      </w:pPr>
      <w:r>
        <w:rPr>
          <w:rFonts w:hint="eastAsia" w:ascii="Times New Roman" w:hAnsi="Times New Roman" w:eastAsia="方正仿宋_GBK"/>
          <w:sz w:val="24"/>
          <w:szCs w:val="24"/>
        </w:rPr>
        <w:t>3</w:t>
      </w:r>
      <w:r>
        <w:rPr>
          <w:rFonts w:hint="eastAsia" w:ascii="方正仿宋_GBK" w:hAnsi="宋体" w:eastAsia="方正仿宋_GBK"/>
          <w:sz w:val="24"/>
          <w:szCs w:val="24"/>
        </w:rPr>
        <w:t>.根据《财政部关于政府采购竞争性磋商采购方式管理暂行办法有关问题的补充通知》（财库〔</w:t>
      </w:r>
      <w:r>
        <w:rPr>
          <w:rFonts w:hint="eastAsia" w:ascii="Times New Roman" w:hAnsi="Times New Roman" w:eastAsia="方正仿宋_GBK"/>
          <w:sz w:val="24"/>
          <w:szCs w:val="24"/>
        </w:rPr>
        <w:t>2015</w:t>
      </w:r>
      <w:r>
        <w:rPr>
          <w:rFonts w:hint="eastAsia" w:ascii="方正仿宋_GBK" w:hAnsi="宋体" w:eastAsia="方正仿宋_GBK"/>
          <w:sz w:val="24"/>
          <w:szCs w:val="24"/>
        </w:rPr>
        <w:t>〕</w:t>
      </w:r>
      <w:r>
        <w:rPr>
          <w:rFonts w:hint="eastAsia" w:ascii="Times New Roman" w:hAnsi="Times New Roman" w:eastAsia="方正仿宋_GBK"/>
          <w:sz w:val="24"/>
          <w:szCs w:val="24"/>
        </w:rPr>
        <w:t>124</w:t>
      </w:r>
      <w:r>
        <w:rPr>
          <w:rFonts w:hint="eastAsia" w:ascii="方正仿宋_GBK" w:hAnsi="宋体" w:eastAsia="方正仿宋_GBK"/>
          <w:sz w:val="24"/>
          <w:szCs w:val="24"/>
        </w:rPr>
        <w:t>号）采用竞争性磋商采购方式采购的政府购买服务项目（含政府和社会资本合作项目），在采购过程中符合要求的供应商（社会资本）只有</w:t>
      </w:r>
      <w:r>
        <w:rPr>
          <w:rFonts w:hint="eastAsia" w:ascii="Times New Roman" w:hAnsi="Times New Roman" w:eastAsia="方正仿宋_GBK"/>
          <w:sz w:val="24"/>
          <w:szCs w:val="24"/>
        </w:rPr>
        <w:t>2</w:t>
      </w:r>
      <w:r>
        <w:rPr>
          <w:rFonts w:hint="eastAsia" w:ascii="方正仿宋_GBK" w:hAnsi="宋体" w:eastAsia="方正仿宋_GBK"/>
          <w:sz w:val="24"/>
          <w:szCs w:val="24"/>
        </w:rPr>
        <w:t>家的，竞争性磋商采购活动可以继续进行。</w:t>
      </w:r>
    </w:p>
    <w:p w14:paraId="17CFC7C5">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澄清有关问题。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5675A78">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四）磋商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71B52C06">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（五）在磋商过程中磋商的任何一方不得向他人透露与磋商有关的服务资料、价格或其他信息。</w:t>
      </w:r>
    </w:p>
    <w:p w14:paraId="51E73B5F">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作出的实质性变动是竞争性磋商文件的有效组成部分，磋商小组应当及时以书面形式同时通知所有参加磋商的供应商。</w:t>
      </w:r>
    </w:p>
    <w:p w14:paraId="691E2165">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（七）供应商在磋商时作出的所有书面承诺须由法定代表人（或其授权代表）或自然人（供应商为自然人）签署。</w:t>
      </w:r>
    </w:p>
    <w:p w14:paraId="154FB239">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（八）经磋商确定最终采购需求且磋商结束后，供应商应当按照竞争性磋商文件的变动情况和磋商小组的要求重新提交响应文件或重新做出相关的书面承诺，最后书面提交最后报价及有关承诺</w:t>
      </w:r>
      <w:r>
        <w:rPr>
          <w:rFonts w:hint="eastAsia" w:ascii="方正仿宋_GBK" w:hAnsi="宋体" w:eastAsia="方正仿宋_GBK"/>
          <w:b/>
          <w:bCs/>
          <w:sz w:val="24"/>
          <w:szCs w:val="24"/>
        </w:rPr>
        <w:t>（《最后报价表》由供应商提前准备并盖章后携带至磋商现场填报）</w:t>
      </w:r>
      <w:r>
        <w:rPr>
          <w:rFonts w:hint="eastAsia" w:ascii="方正仿宋_GBK" w:hAnsi="宋体" w:eastAsia="方正仿宋_GBK"/>
          <w:sz w:val="24"/>
          <w:szCs w:val="24"/>
        </w:rPr>
        <w:t>。</w:t>
      </w:r>
      <w:r>
        <w:rPr>
          <w:rFonts w:ascii="方正仿宋_GBK" w:hAnsi="宋体" w:eastAsia="方正仿宋_GBK"/>
          <w:sz w:val="24"/>
          <w:szCs w:val="24"/>
        </w:rPr>
        <w:t>已提交响应文件</w:t>
      </w:r>
      <w:r>
        <w:rPr>
          <w:rFonts w:hint="eastAsia" w:ascii="方正仿宋_GBK" w:hAnsi="宋体" w:eastAsia="方正仿宋_GBK"/>
          <w:sz w:val="24"/>
          <w:szCs w:val="24"/>
        </w:rPr>
        <w:t>但未在规定时间内进行最后报价</w:t>
      </w:r>
      <w:r>
        <w:rPr>
          <w:rFonts w:ascii="方正仿宋_GBK" w:hAnsi="宋体" w:eastAsia="方正仿宋_GBK"/>
          <w:sz w:val="24"/>
          <w:szCs w:val="24"/>
        </w:rPr>
        <w:t>的供应商，</w:t>
      </w:r>
      <w:r>
        <w:rPr>
          <w:rFonts w:hint="eastAsia" w:ascii="方正仿宋_GBK" w:hAnsi="宋体" w:eastAsia="方正仿宋_GBK"/>
          <w:sz w:val="24"/>
          <w:szCs w:val="24"/>
        </w:rPr>
        <w:t>视为放弃最后报价，以供应商响应文件中的报价为准。</w:t>
      </w:r>
    </w:p>
    <w:p w14:paraId="38C0650E">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（九）磋商小组采用综合评分法对提交最后报价的供应商的响应文件和最后报价（含有效书面承诺）进行综合评分。</w:t>
      </w:r>
      <w:r>
        <w:rPr>
          <w:rFonts w:hint="eastAsia" w:ascii="方正仿宋_GBK" w:hAnsi="宋体" w:eastAsia="方正仿宋_GBK" w:cs="宋体"/>
          <w:kern w:val="0"/>
          <w:sz w:val="24"/>
          <w:szCs w:val="24"/>
        </w:rPr>
        <w:t>综合评分法，是指响应</w:t>
      </w:r>
      <w:r>
        <w:rPr>
          <w:rFonts w:ascii="方正仿宋_GBK" w:hAnsi="宋体" w:eastAsia="方正仿宋_GBK" w:cs="宋体"/>
          <w:kern w:val="0"/>
          <w:sz w:val="24"/>
          <w:szCs w:val="24"/>
        </w:rPr>
        <w:t>文件满足</w:t>
      </w:r>
      <w:r>
        <w:rPr>
          <w:rFonts w:hint="eastAsia" w:ascii="方正仿宋_GBK" w:hAnsi="宋体" w:eastAsia="方正仿宋_GBK" w:cs="宋体"/>
          <w:kern w:val="0"/>
          <w:sz w:val="24"/>
          <w:szCs w:val="24"/>
        </w:rPr>
        <w:t>竞争性磋商</w:t>
      </w:r>
      <w:r>
        <w:rPr>
          <w:rFonts w:ascii="方正仿宋_GBK" w:hAnsi="宋体" w:eastAsia="方正仿宋_GBK" w:cs="宋体"/>
          <w:kern w:val="0"/>
          <w:sz w:val="24"/>
          <w:szCs w:val="24"/>
        </w:rPr>
        <w:t>文件全部实质性要求且按照评审因素的量化指标评审得分最高的供应商为</w:t>
      </w:r>
      <w:r>
        <w:rPr>
          <w:rFonts w:hint="eastAsia" w:ascii="方正仿宋_GBK" w:hAnsi="宋体" w:eastAsia="方正仿宋_GBK" w:cs="宋体"/>
          <w:kern w:val="0"/>
          <w:sz w:val="24"/>
          <w:szCs w:val="24"/>
        </w:rPr>
        <w:t>成交</w:t>
      </w:r>
      <w:r>
        <w:rPr>
          <w:rFonts w:ascii="方正仿宋_GBK" w:hAnsi="宋体" w:eastAsia="方正仿宋_GBK" w:cs="宋体"/>
          <w:kern w:val="0"/>
          <w:sz w:val="24"/>
          <w:szCs w:val="24"/>
        </w:rPr>
        <w:t>候选</w:t>
      </w:r>
      <w:r>
        <w:rPr>
          <w:rFonts w:hint="eastAsia" w:ascii="方正仿宋_GBK" w:hAnsi="宋体" w:eastAsia="方正仿宋_GBK" w:cs="宋体"/>
          <w:kern w:val="0"/>
          <w:sz w:val="24"/>
          <w:szCs w:val="24"/>
        </w:rPr>
        <w:t>供应商</w:t>
      </w:r>
      <w:r>
        <w:rPr>
          <w:rFonts w:ascii="方正仿宋_GBK" w:hAnsi="宋体" w:eastAsia="方正仿宋_GBK" w:cs="宋体"/>
          <w:kern w:val="0"/>
          <w:sz w:val="24"/>
          <w:szCs w:val="24"/>
        </w:rPr>
        <w:t>的</w:t>
      </w:r>
      <w:r>
        <w:rPr>
          <w:rFonts w:hint="eastAsia" w:ascii="方正仿宋_GBK" w:hAnsi="宋体" w:eastAsia="方正仿宋_GBK" w:cs="宋体"/>
          <w:kern w:val="0"/>
          <w:sz w:val="24"/>
          <w:szCs w:val="24"/>
        </w:rPr>
        <w:t>评审</w:t>
      </w:r>
      <w:r>
        <w:rPr>
          <w:rFonts w:ascii="方正仿宋_GBK" w:hAnsi="宋体" w:eastAsia="方正仿宋_GBK" w:cs="宋体"/>
          <w:kern w:val="0"/>
          <w:sz w:val="24"/>
          <w:szCs w:val="24"/>
        </w:rPr>
        <w:t>方法</w:t>
      </w:r>
      <w:r>
        <w:rPr>
          <w:rFonts w:hint="eastAsia" w:ascii="方正仿宋_GBK" w:hAnsi="宋体" w:eastAsia="方正仿宋_GBK" w:cs="宋体"/>
          <w:kern w:val="0"/>
          <w:sz w:val="24"/>
          <w:szCs w:val="24"/>
        </w:rPr>
        <w:t>。供应商总得分为价格、服务、商务等评定因素分别按照相应权重值计算分项得分后相加，满分为</w:t>
      </w:r>
      <w:r>
        <w:rPr>
          <w:rFonts w:hint="eastAsia" w:ascii="Times New Roman" w:hAnsi="Times New Roman" w:eastAsia="方正仿宋_GBK" w:cs="宋体"/>
          <w:kern w:val="0"/>
          <w:sz w:val="24"/>
          <w:szCs w:val="24"/>
        </w:rPr>
        <w:t>100</w:t>
      </w:r>
      <w:r>
        <w:rPr>
          <w:rFonts w:hint="eastAsia" w:ascii="方正仿宋_GBK" w:hAnsi="宋体" w:eastAsia="方正仿宋_GBK" w:cs="宋体"/>
          <w:kern w:val="0"/>
          <w:sz w:val="24"/>
          <w:szCs w:val="24"/>
        </w:rPr>
        <w:t>分</w:t>
      </w:r>
      <w:r>
        <w:rPr>
          <w:rFonts w:hint="eastAsia" w:ascii="方正仿宋_GBK" w:hAnsi="宋体" w:eastAsia="方正仿宋_GBK"/>
          <w:sz w:val="24"/>
          <w:szCs w:val="24"/>
        </w:rPr>
        <w:t>。</w:t>
      </w:r>
    </w:p>
    <w:p w14:paraId="4E64AE26">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（十）磋商小组各成员独立对每个有效响应（通过资格性审查、</w:t>
      </w:r>
      <w:r>
        <w:rPr>
          <w:rFonts w:hint="eastAsia" w:ascii="方正仿宋_GBK" w:hAnsi="宋体" w:eastAsia="方正仿宋_GBK" w:cs="宋体"/>
          <w:kern w:val="0"/>
          <w:sz w:val="24"/>
          <w:szCs w:val="24"/>
        </w:rPr>
        <w:t>符合性审查的供应商</w:t>
      </w:r>
      <w:r>
        <w:rPr>
          <w:rFonts w:hint="eastAsia" w:ascii="方正仿宋_GBK" w:hAnsi="宋体" w:eastAsia="方正仿宋_GBK"/>
          <w:sz w:val="24"/>
          <w:szCs w:val="24"/>
        </w:rPr>
        <w:t>）的文件进行评价、打分，然后汇总每个供应商每项评分因素的得分，并根据综合评分情况按照评审得分由高到低顺序推荐</w:t>
      </w:r>
      <w:r>
        <w:rPr>
          <w:rFonts w:hint="eastAsia" w:ascii="Times New Roman" w:hAnsi="Times New Roman" w:eastAsia="方正仿宋_GBK"/>
          <w:sz w:val="24"/>
          <w:szCs w:val="24"/>
        </w:rPr>
        <w:t>3</w:t>
      </w:r>
      <w:r>
        <w:rPr>
          <w:rFonts w:hint="eastAsia" w:ascii="方正仿宋_GBK" w:hAnsi="宋体" w:eastAsia="方正仿宋_GBK"/>
          <w:sz w:val="24"/>
          <w:szCs w:val="24"/>
        </w:rPr>
        <w:t>名以上成交候选供应商，并编写评审报告。若供应商的评审得分相同的，按照最后报价由低到高的顺序排列推荐。评审得分且最后报价相同的，按照服务指标优劣顺序排列推荐。以上都相同的，按商务条款的优劣顺序排列推荐。</w:t>
      </w:r>
    </w:p>
    <w:p w14:paraId="7E53676A">
      <w:pPr>
        <w:pStyle w:val="4"/>
        <w:adjustRightInd w:val="0"/>
        <w:snapToGrid w:val="0"/>
        <w:spacing w:before="0" w:after="0" w:line="400" w:lineRule="exact"/>
        <w:ind w:firstLine="482" w:firstLineChars="200"/>
        <w:rPr>
          <w:rFonts w:ascii="方正仿宋_GBK" w:hAnsi="宋体" w:eastAsia="方正仿宋_GBK"/>
          <w:sz w:val="24"/>
        </w:rPr>
      </w:pPr>
      <w:bookmarkStart w:id="70" w:name="_Toc106030889"/>
      <w:bookmarkStart w:id="71" w:name="_Toc25622"/>
      <w:bookmarkStart w:id="72" w:name="_Toc76462334"/>
      <w:r>
        <w:rPr>
          <w:rFonts w:hint="eastAsia" w:ascii="方正仿宋_GBK" w:hAnsi="宋体" w:eastAsia="方正仿宋_GBK"/>
          <w:sz w:val="24"/>
        </w:rPr>
        <w:t>二、</w:t>
      </w:r>
      <w:bookmarkStart w:id="73" w:name="_Toc102227320"/>
      <w:bookmarkStart w:id="74" w:name="_Toc342913394"/>
      <w:r>
        <w:rPr>
          <w:rFonts w:hint="eastAsia" w:ascii="方正仿宋_GBK" w:hAnsi="宋体" w:eastAsia="方正仿宋_GBK"/>
          <w:sz w:val="24"/>
        </w:rPr>
        <w:t>评审标准</w:t>
      </w:r>
      <w:bookmarkEnd w:id="70"/>
      <w:bookmarkEnd w:id="71"/>
      <w:bookmarkEnd w:id="72"/>
    </w:p>
    <w:p w14:paraId="68F331A6">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 评审因素</w:t>
      </w:r>
    </w:p>
    <w:tbl>
      <w:tblPr>
        <w:tblStyle w:val="58"/>
        <w:tblW w:w="9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108"/>
        <w:gridCol w:w="1143"/>
        <w:gridCol w:w="5832"/>
        <w:gridCol w:w="1175"/>
      </w:tblGrid>
      <w:tr w14:paraId="0824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14:paraId="5288BFF8">
            <w:pPr>
              <w:ind w:firstLine="28"/>
              <w:jc w:val="center"/>
              <w:rPr>
                <w:rFonts w:ascii="Times New Roman" w:hAnsi="Times New Roman" w:eastAsia="方正仿宋_GBK"/>
                <w:b/>
                <w:sz w:val="21"/>
                <w:szCs w:val="21"/>
              </w:rPr>
            </w:pPr>
            <w:bookmarkStart w:id="75" w:name="_Toc106030890"/>
            <w:bookmarkStart w:id="76" w:name="_Toc23270"/>
            <w:bookmarkStart w:id="77" w:name="_Toc76462335"/>
            <w:r>
              <w:rPr>
                <w:rFonts w:ascii="Times New Roman" w:hAnsi="Times New Roman" w:eastAsia="方正仿宋_GBK"/>
                <w:b/>
                <w:sz w:val="21"/>
                <w:szCs w:val="21"/>
              </w:rPr>
              <w:t>序号</w:t>
            </w:r>
          </w:p>
        </w:tc>
        <w:tc>
          <w:tcPr>
            <w:tcW w:w="1108" w:type="dxa"/>
            <w:vAlign w:val="center"/>
          </w:tcPr>
          <w:p w14:paraId="72FA5BEE">
            <w:pPr>
              <w:ind w:firstLine="28"/>
              <w:jc w:val="center"/>
              <w:rPr>
                <w:rFonts w:ascii="Times New Roman" w:hAnsi="Times New Roman" w:eastAsia="方正仿宋_GBK"/>
                <w:b/>
                <w:sz w:val="21"/>
                <w:szCs w:val="21"/>
              </w:rPr>
            </w:pPr>
            <w:r>
              <w:rPr>
                <w:rFonts w:ascii="Times New Roman" w:hAnsi="Times New Roman" w:eastAsia="方正仿宋_GBK"/>
                <w:b/>
                <w:sz w:val="21"/>
                <w:szCs w:val="21"/>
              </w:rPr>
              <w:t>评分因素及权值</w:t>
            </w:r>
          </w:p>
        </w:tc>
        <w:tc>
          <w:tcPr>
            <w:tcW w:w="1143" w:type="dxa"/>
            <w:vAlign w:val="center"/>
          </w:tcPr>
          <w:p w14:paraId="4467DE15">
            <w:pPr>
              <w:ind w:firstLine="28"/>
              <w:jc w:val="center"/>
              <w:rPr>
                <w:rFonts w:ascii="Times New Roman" w:hAnsi="Times New Roman" w:eastAsia="方正仿宋_GBK"/>
                <w:b/>
                <w:sz w:val="21"/>
                <w:szCs w:val="21"/>
              </w:rPr>
            </w:pPr>
            <w:r>
              <w:rPr>
                <w:rFonts w:ascii="Times New Roman" w:hAnsi="Times New Roman" w:eastAsia="方正仿宋_GBK"/>
                <w:b/>
                <w:sz w:val="21"/>
                <w:szCs w:val="21"/>
              </w:rPr>
              <w:t>分值</w:t>
            </w:r>
          </w:p>
        </w:tc>
        <w:tc>
          <w:tcPr>
            <w:tcW w:w="5832" w:type="dxa"/>
            <w:vAlign w:val="center"/>
          </w:tcPr>
          <w:p w14:paraId="6489B3D2">
            <w:pPr>
              <w:ind w:firstLine="28"/>
              <w:jc w:val="center"/>
              <w:rPr>
                <w:rFonts w:ascii="Times New Roman" w:hAnsi="Times New Roman" w:eastAsia="方正仿宋_GBK"/>
                <w:b/>
                <w:sz w:val="21"/>
                <w:szCs w:val="21"/>
              </w:rPr>
            </w:pPr>
            <w:r>
              <w:rPr>
                <w:rFonts w:ascii="Times New Roman" w:hAnsi="Times New Roman" w:eastAsia="方正仿宋_GBK"/>
                <w:b/>
                <w:sz w:val="21"/>
                <w:szCs w:val="21"/>
              </w:rPr>
              <w:t>评分标准</w:t>
            </w:r>
          </w:p>
        </w:tc>
        <w:tc>
          <w:tcPr>
            <w:tcW w:w="1175" w:type="dxa"/>
            <w:vAlign w:val="center"/>
          </w:tcPr>
          <w:p w14:paraId="3427B7F8">
            <w:pPr>
              <w:pStyle w:val="143"/>
              <w:spacing w:before="0" w:after="0" w:line="240" w:lineRule="auto"/>
              <w:ind w:firstLine="422" w:firstLineChars="200"/>
              <w:jc w:val="both"/>
              <w:rPr>
                <w:rFonts w:ascii="Times New Roman" w:hAnsi="Times New Roman" w:eastAsia="方正仿宋_GBK"/>
                <w:sz w:val="21"/>
                <w:szCs w:val="21"/>
              </w:rPr>
            </w:pPr>
            <w:r>
              <w:rPr>
                <w:rFonts w:ascii="Times New Roman" w:hAnsi="Times New Roman" w:eastAsia="方正仿宋_GBK"/>
                <w:sz w:val="21"/>
                <w:szCs w:val="21"/>
              </w:rPr>
              <w:t>说明</w:t>
            </w:r>
          </w:p>
        </w:tc>
      </w:tr>
      <w:tr w14:paraId="6841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14:paraId="3A8DBA58">
            <w:pPr>
              <w:ind w:firstLine="28"/>
              <w:jc w:val="center"/>
              <w:rPr>
                <w:rFonts w:ascii="Times New Roman" w:hAnsi="Times New Roman" w:eastAsia="方正仿宋_GBK"/>
                <w:sz w:val="21"/>
                <w:szCs w:val="21"/>
              </w:rPr>
            </w:pPr>
            <w:r>
              <w:rPr>
                <w:rFonts w:ascii="Times New Roman" w:hAnsi="Times New Roman" w:eastAsia="方正仿宋_GBK"/>
                <w:sz w:val="21"/>
                <w:szCs w:val="21"/>
              </w:rPr>
              <w:t>1</w:t>
            </w:r>
          </w:p>
        </w:tc>
        <w:tc>
          <w:tcPr>
            <w:tcW w:w="1108" w:type="dxa"/>
            <w:vAlign w:val="center"/>
          </w:tcPr>
          <w:p w14:paraId="0E9D2BD9">
            <w:pPr>
              <w:ind w:firstLine="28"/>
              <w:jc w:val="center"/>
              <w:rPr>
                <w:rFonts w:ascii="Times New Roman" w:hAnsi="Times New Roman" w:eastAsia="方正仿宋_GBK"/>
                <w:sz w:val="21"/>
                <w:szCs w:val="21"/>
              </w:rPr>
            </w:pPr>
            <w:r>
              <w:rPr>
                <w:rFonts w:ascii="Times New Roman" w:hAnsi="Times New Roman" w:eastAsia="方正仿宋_GBK"/>
                <w:sz w:val="21"/>
                <w:szCs w:val="21"/>
              </w:rPr>
              <w:t>磋商报价</w:t>
            </w:r>
          </w:p>
          <w:p w14:paraId="47C5BD9C">
            <w:pPr>
              <w:ind w:firstLine="28"/>
              <w:jc w:val="center"/>
              <w:rPr>
                <w:rFonts w:ascii="Times New Roman" w:hAnsi="Times New Roman" w:eastAsia="方正仿宋_GBK"/>
                <w:sz w:val="21"/>
                <w:szCs w:val="21"/>
              </w:rPr>
            </w:pPr>
            <w:r>
              <w:rPr>
                <w:rFonts w:ascii="Times New Roman" w:hAnsi="Times New Roman" w:eastAsia="方正仿宋_GBK"/>
                <w:sz w:val="21"/>
                <w:szCs w:val="21"/>
              </w:rPr>
              <w:t>（</w:t>
            </w:r>
            <w:r>
              <w:rPr>
                <w:rFonts w:hint="eastAsia" w:ascii="Times New Roman" w:hAnsi="Times New Roman" w:eastAsia="方正仿宋_GBK"/>
                <w:sz w:val="21"/>
                <w:szCs w:val="21"/>
                <w:lang w:val="en-US" w:eastAsia="zh-CN"/>
              </w:rPr>
              <w:t>3</w:t>
            </w:r>
            <w:r>
              <w:rPr>
                <w:rFonts w:ascii="Times New Roman" w:hAnsi="Times New Roman" w:eastAsia="方正仿宋_GBK"/>
                <w:sz w:val="21"/>
                <w:szCs w:val="21"/>
              </w:rPr>
              <w:t>0%）</w:t>
            </w:r>
          </w:p>
        </w:tc>
        <w:tc>
          <w:tcPr>
            <w:tcW w:w="1143" w:type="dxa"/>
            <w:vAlign w:val="center"/>
          </w:tcPr>
          <w:p w14:paraId="1CD9B2F0">
            <w:pPr>
              <w:ind w:firstLine="28"/>
              <w:jc w:val="center"/>
              <w:rPr>
                <w:rFonts w:ascii="Times New Roman" w:hAnsi="Times New Roman" w:eastAsia="方正仿宋_GBK"/>
                <w:sz w:val="21"/>
                <w:szCs w:val="21"/>
              </w:rPr>
            </w:pPr>
            <w:r>
              <w:rPr>
                <w:rFonts w:hint="eastAsia" w:ascii="Times New Roman" w:hAnsi="Times New Roman" w:eastAsia="方正仿宋_GBK"/>
                <w:sz w:val="21"/>
                <w:szCs w:val="21"/>
                <w:lang w:val="en-US" w:eastAsia="zh-CN"/>
              </w:rPr>
              <w:t>3</w:t>
            </w:r>
            <w:r>
              <w:rPr>
                <w:rFonts w:ascii="Times New Roman" w:hAnsi="Times New Roman" w:eastAsia="方正仿宋_GBK"/>
                <w:sz w:val="21"/>
                <w:szCs w:val="21"/>
              </w:rPr>
              <w:t>0分</w:t>
            </w:r>
          </w:p>
        </w:tc>
        <w:tc>
          <w:tcPr>
            <w:tcW w:w="5832" w:type="dxa"/>
            <w:vAlign w:val="center"/>
          </w:tcPr>
          <w:p w14:paraId="618BA2F9">
            <w:pPr>
              <w:rPr>
                <w:rFonts w:ascii="Times New Roman" w:hAnsi="Times New Roman" w:eastAsia="方正仿宋_GBK"/>
                <w:sz w:val="21"/>
                <w:szCs w:val="21"/>
              </w:rPr>
            </w:pPr>
            <w:r>
              <w:rPr>
                <w:rFonts w:ascii="Times New Roman" w:hAnsi="Times New Roman" w:eastAsia="方正仿宋_GBK"/>
                <w:sz w:val="21"/>
                <w:szCs w:val="21"/>
              </w:rPr>
              <w:t>满足资格性、符合性要求且最后报价最低的供应商的价格为磋商基准价，其价格分为满分。其他供应商的价格分统一按照下列公式计算：</w:t>
            </w:r>
          </w:p>
          <w:p w14:paraId="4AAD19C9">
            <w:pPr>
              <w:rPr>
                <w:rFonts w:ascii="Times New Roman" w:hAnsi="Times New Roman" w:eastAsia="方正仿宋_GBK"/>
                <w:sz w:val="21"/>
                <w:szCs w:val="21"/>
              </w:rPr>
            </w:pPr>
            <w:r>
              <w:rPr>
                <w:rFonts w:ascii="Times New Roman" w:hAnsi="Times New Roman" w:eastAsia="方正仿宋_GBK"/>
                <w:sz w:val="21"/>
                <w:szCs w:val="21"/>
              </w:rPr>
              <w:t>磋商报价得分=（磋商基准价/最后磋商报价）×价格权值×100</w:t>
            </w:r>
          </w:p>
        </w:tc>
        <w:tc>
          <w:tcPr>
            <w:tcW w:w="1175" w:type="dxa"/>
            <w:vAlign w:val="center"/>
          </w:tcPr>
          <w:p w14:paraId="0D14B263">
            <w:pPr>
              <w:ind w:left="-38"/>
              <w:rPr>
                <w:rFonts w:ascii="Times New Roman" w:hAnsi="Times New Roman" w:eastAsia="方正仿宋_GBK"/>
                <w:sz w:val="21"/>
                <w:szCs w:val="21"/>
              </w:rPr>
            </w:pPr>
          </w:p>
        </w:tc>
      </w:tr>
      <w:tr w14:paraId="68D3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Merge w:val="restart"/>
            <w:vAlign w:val="center"/>
          </w:tcPr>
          <w:p w14:paraId="15CF2570">
            <w:pPr>
              <w:ind w:firstLine="28"/>
              <w:jc w:val="center"/>
              <w:rPr>
                <w:rFonts w:ascii="Times New Roman" w:hAnsi="Times New Roman" w:eastAsia="方正仿宋_GBK"/>
                <w:sz w:val="21"/>
                <w:szCs w:val="21"/>
              </w:rPr>
            </w:pPr>
            <w:r>
              <w:rPr>
                <w:rFonts w:ascii="Times New Roman" w:hAnsi="Times New Roman" w:eastAsia="方正仿宋_GBK"/>
                <w:sz w:val="21"/>
                <w:szCs w:val="21"/>
              </w:rPr>
              <w:t>2</w:t>
            </w:r>
          </w:p>
        </w:tc>
        <w:tc>
          <w:tcPr>
            <w:tcW w:w="1108" w:type="dxa"/>
            <w:vMerge w:val="restart"/>
            <w:vAlign w:val="center"/>
          </w:tcPr>
          <w:p w14:paraId="621FAB95">
            <w:pPr>
              <w:ind w:firstLine="28"/>
              <w:jc w:val="center"/>
              <w:rPr>
                <w:rFonts w:ascii="Times New Roman" w:hAnsi="Times New Roman" w:eastAsia="方正仿宋_GBK"/>
                <w:sz w:val="21"/>
                <w:szCs w:val="21"/>
              </w:rPr>
            </w:pPr>
            <w:r>
              <w:rPr>
                <w:rFonts w:ascii="Times New Roman" w:hAnsi="Times New Roman" w:eastAsia="方正仿宋_GBK"/>
                <w:sz w:val="21"/>
                <w:szCs w:val="21"/>
              </w:rPr>
              <w:t>技术部分</w:t>
            </w:r>
          </w:p>
          <w:p w14:paraId="1F7BDB99">
            <w:pPr>
              <w:ind w:firstLine="28"/>
              <w:jc w:val="center"/>
              <w:rPr>
                <w:rFonts w:ascii="Times New Roman" w:hAnsi="Times New Roman" w:eastAsia="方正仿宋_GBK"/>
                <w:sz w:val="21"/>
                <w:szCs w:val="21"/>
              </w:rPr>
            </w:pPr>
            <w:r>
              <w:rPr>
                <w:rFonts w:ascii="Times New Roman" w:hAnsi="Times New Roman" w:eastAsia="方正仿宋_GBK"/>
                <w:sz w:val="21"/>
                <w:szCs w:val="21"/>
              </w:rPr>
              <w:t>（</w:t>
            </w:r>
            <w:r>
              <w:rPr>
                <w:rFonts w:hint="eastAsia" w:ascii="Times New Roman" w:hAnsi="Times New Roman" w:eastAsia="方正仿宋_GBK"/>
                <w:sz w:val="21"/>
                <w:szCs w:val="21"/>
                <w:lang w:val="en-US" w:eastAsia="zh-CN"/>
              </w:rPr>
              <w:t>5</w:t>
            </w:r>
            <w:r>
              <w:rPr>
                <w:rFonts w:hint="eastAsia" w:ascii="Times New Roman" w:hAnsi="Times New Roman" w:eastAsia="方正仿宋_GBK"/>
                <w:sz w:val="21"/>
                <w:szCs w:val="21"/>
              </w:rPr>
              <w:t>0</w:t>
            </w:r>
            <w:r>
              <w:rPr>
                <w:rFonts w:ascii="Times New Roman" w:hAnsi="Times New Roman" w:eastAsia="方正仿宋_GBK"/>
                <w:sz w:val="21"/>
                <w:szCs w:val="21"/>
              </w:rPr>
              <w:t>%）</w:t>
            </w:r>
          </w:p>
        </w:tc>
        <w:tc>
          <w:tcPr>
            <w:tcW w:w="1143" w:type="dxa"/>
            <w:tcBorders>
              <w:bottom w:val="single" w:color="auto" w:sz="4" w:space="0"/>
            </w:tcBorders>
            <w:vAlign w:val="center"/>
          </w:tcPr>
          <w:p w14:paraId="31AC88E1">
            <w:pPr>
              <w:rPr>
                <w:rFonts w:ascii="Times New Roman" w:hAnsi="Times New Roman" w:eastAsia="方正仿宋_GBK"/>
                <w:sz w:val="21"/>
                <w:szCs w:val="21"/>
              </w:rPr>
            </w:pPr>
            <w:r>
              <w:rPr>
                <w:rFonts w:hint="eastAsia" w:ascii="Times New Roman" w:hAnsi="Times New Roman" w:eastAsia="方正仿宋_GBK"/>
                <w:sz w:val="21"/>
                <w:szCs w:val="21"/>
              </w:rPr>
              <w:t>项目实施方案</w:t>
            </w:r>
            <w:r>
              <w:rPr>
                <w:rFonts w:ascii="Times New Roman" w:hAnsi="Times New Roman" w:eastAsia="方正仿宋_GBK"/>
                <w:sz w:val="21"/>
                <w:szCs w:val="21"/>
              </w:rPr>
              <w:t>（</w:t>
            </w:r>
            <w:r>
              <w:rPr>
                <w:rFonts w:hint="eastAsia" w:ascii="Times New Roman" w:hAnsi="Times New Roman" w:eastAsia="方正仿宋_GBK"/>
                <w:sz w:val="21"/>
                <w:szCs w:val="21"/>
              </w:rPr>
              <w:t>3</w:t>
            </w:r>
            <w:r>
              <w:rPr>
                <w:rFonts w:ascii="Times New Roman" w:hAnsi="Times New Roman" w:eastAsia="方正仿宋_GBK"/>
                <w:sz w:val="21"/>
                <w:szCs w:val="21"/>
              </w:rPr>
              <w:t>0分）</w:t>
            </w:r>
          </w:p>
        </w:tc>
        <w:tc>
          <w:tcPr>
            <w:tcW w:w="5832" w:type="dxa"/>
            <w:tcBorders>
              <w:bottom w:val="single" w:color="auto" w:sz="4" w:space="0"/>
            </w:tcBorders>
            <w:vAlign w:val="center"/>
          </w:tcPr>
          <w:p w14:paraId="695EC41B">
            <w:pPr>
              <w:rPr>
                <w:rFonts w:ascii="Times New Roman" w:hAnsi="Times New Roman" w:eastAsia="方正仿宋_GBK"/>
                <w:sz w:val="21"/>
                <w:szCs w:val="21"/>
              </w:rPr>
            </w:pPr>
            <w:r>
              <w:rPr>
                <w:rFonts w:ascii="Times New Roman" w:hAnsi="Times New Roman" w:eastAsia="方正仿宋_GBK"/>
                <w:sz w:val="21"/>
                <w:szCs w:val="21"/>
              </w:rPr>
              <w:t>根据供应商提供的本项目的实施方案进行综合评分</w:t>
            </w:r>
            <w:r>
              <w:rPr>
                <w:rFonts w:hint="eastAsia" w:ascii="Times New Roman" w:hAnsi="Times New Roman" w:eastAsia="方正仿宋_GBK"/>
                <w:sz w:val="21"/>
                <w:szCs w:val="21"/>
              </w:rPr>
              <w:t>，包括以下评审要素：</w:t>
            </w:r>
          </w:p>
          <w:p w14:paraId="7F892E3B">
            <w:pPr>
              <w:rPr>
                <w:rFonts w:ascii="Times New Roman" w:hAnsi="Times New Roman" w:eastAsia="方正仿宋_GBK"/>
                <w:sz w:val="21"/>
                <w:szCs w:val="21"/>
              </w:rPr>
            </w:pPr>
            <w:r>
              <w:rPr>
                <w:rFonts w:hint="eastAsia" w:ascii="Times New Roman" w:hAnsi="Times New Roman" w:eastAsia="方正仿宋_GBK"/>
                <w:sz w:val="21"/>
                <w:szCs w:val="21"/>
              </w:rPr>
              <w:t>①项目组织计划方案；</w:t>
            </w:r>
          </w:p>
          <w:p w14:paraId="3BB2FD8B">
            <w:pPr>
              <w:rPr>
                <w:rFonts w:ascii="Times New Roman" w:hAnsi="Times New Roman" w:eastAsia="方正仿宋_GBK"/>
                <w:sz w:val="21"/>
                <w:szCs w:val="21"/>
              </w:rPr>
            </w:pPr>
            <w:r>
              <w:rPr>
                <w:rFonts w:hint="eastAsia" w:ascii="Times New Roman" w:hAnsi="Times New Roman" w:eastAsia="方正仿宋_GBK"/>
                <w:sz w:val="21"/>
                <w:szCs w:val="21"/>
              </w:rPr>
              <w:t>②项目产品生产能力及过程安排计划方案；</w:t>
            </w:r>
          </w:p>
          <w:p w14:paraId="1F396BEA">
            <w:pPr>
              <w:rPr>
                <w:rFonts w:ascii="Times New Roman" w:hAnsi="Times New Roman" w:eastAsia="方正仿宋_GBK"/>
                <w:sz w:val="21"/>
                <w:szCs w:val="21"/>
              </w:rPr>
            </w:pPr>
            <w:r>
              <w:rPr>
                <w:rFonts w:hint="eastAsia" w:ascii="Times New Roman" w:hAnsi="Times New Roman" w:eastAsia="方正仿宋_GBK"/>
                <w:sz w:val="21"/>
                <w:szCs w:val="21"/>
              </w:rPr>
              <w:t>③项目实施人员配置及分工；</w:t>
            </w:r>
          </w:p>
          <w:p w14:paraId="7A1B7335">
            <w:pPr>
              <w:rPr>
                <w:rFonts w:ascii="Times New Roman" w:hAnsi="Times New Roman" w:eastAsia="方正仿宋_GBK"/>
                <w:sz w:val="21"/>
                <w:szCs w:val="21"/>
              </w:rPr>
            </w:pPr>
            <w:r>
              <w:rPr>
                <w:rFonts w:hint="eastAsia" w:ascii="Times New Roman" w:hAnsi="Times New Roman" w:eastAsia="方正仿宋_GBK"/>
                <w:sz w:val="21"/>
                <w:szCs w:val="21"/>
              </w:rPr>
              <w:t>④项目运输、搬运、安装实施方案；</w:t>
            </w:r>
          </w:p>
          <w:p w14:paraId="22A05ADF">
            <w:pPr>
              <w:rPr>
                <w:rFonts w:ascii="Times New Roman" w:hAnsi="Times New Roman" w:eastAsia="方正仿宋_GBK"/>
                <w:sz w:val="21"/>
                <w:szCs w:val="21"/>
              </w:rPr>
            </w:pPr>
            <w:r>
              <w:rPr>
                <w:rFonts w:hint="eastAsia" w:ascii="Times New Roman" w:hAnsi="Times New Roman" w:eastAsia="方正仿宋_GBK"/>
                <w:sz w:val="21"/>
                <w:szCs w:val="21"/>
              </w:rPr>
              <w:t>⑤沟通机制与应急处理方案</w:t>
            </w:r>
          </w:p>
          <w:p w14:paraId="00FCE17C">
            <w:pPr>
              <w:rPr>
                <w:rFonts w:ascii="Times New Roman" w:hAnsi="Times New Roman" w:eastAsia="方正仿宋_GBK"/>
                <w:sz w:val="21"/>
                <w:szCs w:val="21"/>
              </w:rPr>
            </w:pPr>
            <w:r>
              <w:rPr>
                <w:rFonts w:hint="eastAsia" w:ascii="Times New Roman" w:hAnsi="Times New Roman" w:eastAsia="方正仿宋_GBK"/>
                <w:sz w:val="21"/>
                <w:szCs w:val="21"/>
              </w:rPr>
              <w:t>⑥本项目相关产品效果图</w:t>
            </w:r>
          </w:p>
          <w:p w14:paraId="63B1AA7A">
            <w:pPr>
              <w:rPr>
                <w:rFonts w:ascii="Times New Roman" w:hAnsi="Times New Roman" w:eastAsia="方正仿宋_GBK"/>
                <w:sz w:val="21"/>
                <w:szCs w:val="21"/>
              </w:rPr>
            </w:pPr>
            <w:r>
              <w:rPr>
                <w:rFonts w:ascii="Times New Roman" w:hAnsi="Times New Roman" w:eastAsia="方正仿宋_GBK"/>
                <w:sz w:val="21"/>
                <w:szCs w:val="21"/>
              </w:rPr>
              <w:t>1.项目实施方案的科学、合理、规范、可操作性完善得</w:t>
            </w:r>
            <w:r>
              <w:rPr>
                <w:rFonts w:hint="eastAsia" w:ascii="Times New Roman" w:hAnsi="Times New Roman" w:eastAsia="方正仿宋_GBK"/>
                <w:sz w:val="21"/>
                <w:szCs w:val="21"/>
              </w:rPr>
              <w:t>25</w:t>
            </w:r>
            <w:r>
              <w:rPr>
                <w:rFonts w:ascii="Times New Roman" w:hAnsi="Times New Roman" w:eastAsia="方正仿宋_GBK"/>
                <w:sz w:val="21"/>
                <w:szCs w:val="21"/>
              </w:rPr>
              <w:t>-</w:t>
            </w:r>
            <w:r>
              <w:rPr>
                <w:rFonts w:hint="eastAsia" w:ascii="Times New Roman" w:hAnsi="Times New Roman" w:eastAsia="方正仿宋_GBK"/>
                <w:sz w:val="21"/>
                <w:szCs w:val="21"/>
              </w:rPr>
              <w:t>3</w:t>
            </w:r>
            <w:r>
              <w:rPr>
                <w:rFonts w:ascii="Times New Roman" w:hAnsi="Times New Roman" w:eastAsia="方正仿宋_GBK"/>
                <w:sz w:val="21"/>
                <w:szCs w:val="21"/>
              </w:rPr>
              <w:t>0分；</w:t>
            </w:r>
          </w:p>
          <w:p w14:paraId="1B88F57D">
            <w:pPr>
              <w:rPr>
                <w:rFonts w:ascii="Times New Roman" w:hAnsi="Times New Roman" w:eastAsia="方正仿宋_GBK"/>
                <w:sz w:val="21"/>
                <w:szCs w:val="21"/>
              </w:rPr>
            </w:pPr>
            <w:r>
              <w:rPr>
                <w:rFonts w:ascii="Times New Roman" w:hAnsi="Times New Roman" w:eastAsia="方正仿宋_GBK"/>
                <w:sz w:val="21"/>
                <w:szCs w:val="21"/>
              </w:rPr>
              <w:t>2.项目实施方案的在科学性、合理性、规范性、可操作性方面有待完善得</w:t>
            </w:r>
            <w:r>
              <w:rPr>
                <w:rFonts w:hint="eastAsia" w:ascii="Times New Roman" w:hAnsi="Times New Roman" w:eastAsia="方正仿宋_GBK"/>
                <w:sz w:val="21"/>
                <w:szCs w:val="21"/>
              </w:rPr>
              <w:t>14</w:t>
            </w:r>
            <w:r>
              <w:rPr>
                <w:rFonts w:ascii="Times New Roman" w:hAnsi="Times New Roman" w:eastAsia="方正仿宋_GBK"/>
                <w:sz w:val="21"/>
                <w:szCs w:val="21"/>
              </w:rPr>
              <w:t>-</w:t>
            </w:r>
            <w:r>
              <w:rPr>
                <w:rFonts w:hint="eastAsia" w:ascii="Times New Roman" w:hAnsi="Times New Roman" w:eastAsia="方正仿宋_GBK"/>
                <w:sz w:val="21"/>
                <w:szCs w:val="21"/>
              </w:rPr>
              <w:t>24</w:t>
            </w:r>
            <w:r>
              <w:rPr>
                <w:rFonts w:ascii="Times New Roman" w:hAnsi="Times New Roman" w:eastAsia="方正仿宋_GBK"/>
                <w:sz w:val="21"/>
                <w:szCs w:val="21"/>
              </w:rPr>
              <w:t>分；</w:t>
            </w:r>
          </w:p>
          <w:p w14:paraId="520F8822">
            <w:pPr>
              <w:rPr>
                <w:rFonts w:ascii="Times New Roman" w:hAnsi="Times New Roman" w:eastAsia="方正仿宋_GBK"/>
                <w:sz w:val="21"/>
                <w:szCs w:val="21"/>
              </w:rPr>
            </w:pPr>
            <w:r>
              <w:rPr>
                <w:rFonts w:ascii="Times New Roman" w:hAnsi="Times New Roman" w:eastAsia="方正仿宋_GBK"/>
                <w:sz w:val="21"/>
                <w:szCs w:val="21"/>
              </w:rPr>
              <w:t>3.项目实施方案的在科学性、合理性、规范性、可操作性方面有较大偏差得1-</w:t>
            </w:r>
            <w:r>
              <w:rPr>
                <w:rFonts w:hint="eastAsia" w:ascii="Times New Roman" w:hAnsi="Times New Roman" w:eastAsia="方正仿宋_GBK"/>
                <w:sz w:val="21"/>
                <w:szCs w:val="21"/>
              </w:rPr>
              <w:t>13</w:t>
            </w:r>
            <w:r>
              <w:rPr>
                <w:rFonts w:ascii="Times New Roman" w:hAnsi="Times New Roman" w:eastAsia="方正仿宋_GBK"/>
                <w:sz w:val="21"/>
                <w:szCs w:val="21"/>
              </w:rPr>
              <w:t>分。</w:t>
            </w:r>
          </w:p>
          <w:p w14:paraId="7E7F7ECB">
            <w:pPr>
              <w:rPr>
                <w:rFonts w:ascii="Times New Roman" w:hAnsi="Times New Roman" w:eastAsia="方正仿宋_GBK"/>
                <w:sz w:val="21"/>
                <w:szCs w:val="21"/>
              </w:rPr>
            </w:pPr>
            <w:r>
              <w:rPr>
                <w:rFonts w:hint="eastAsia" w:ascii="Times New Roman" w:hAnsi="Times New Roman" w:eastAsia="方正仿宋_GBK"/>
                <w:sz w:val="21"/>
                <w:szCs w:val="21"/>
              </w:rPr>
              <w:t>注：本项目相关产品效果图未提供</w:t>
            </w:r>
            <w:r>
              <w:rPr>
                <w:rFonts w:ascii="Times New Roman" w:hAnsi="Times New Roman" w:eastAsia="方正仿宋_GBK"/>
                <w:sz w:val="21"/>
                <w:szCs w:val="21"/>
              </w:rPr>
              <w:t>得0分。</w:t>
            </w:r>
          </w:p>
        </w:tc>
        <w:tc>
          <w:tcPr>
            <w:tcW w:w="1175" w:type="dxa"/>
            <w:vAlign w:val="center"/>
          </w:tcPr>
          <w:p w14:paraId="2A3A6328">
            <w:pPr>
              <w:spacing w:line="300" w:lineRule="exact"/>
              <w:rPr>
                <w:rFonts w:ascii="Times New Roman" w:hAnsi="Times New Roman" w:eastAsia="方正仿宋_GBK"/>
                <w:sz w:val="21"/>
                <w:szCs w:val="21"/>
              </w:rPr>
            </w:pPr>
          </w:p>
        </w:tc>
      </w:tr>
      <w:tr w14:paraId="5D7E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95" w:type="dxa"/>
            <w:vMerge w:val="continue"/>
            <w:vAlign w:val="center"/>
          </w:tcPr>
          <w:p w14:paraId="27640479">
            <w:pPr>
              <w:ind w:firstLine="28"/>
              <w:jc w:val="center"/>
              <w:rPr>
                <w:rFonts w:ascii="Times New Roman" w:hAnsi="Times New Roman" w:eastAsia="方正仿宋_GBK"/>
                <w:sz w:val="21"/>
                <w:szCs w:val="21"/>
              </w:rPr>
            </w:pPr>
          </w:p>
        </w:tc>
        <w:tc>
          <w:tcPr>
            <w:tcW w:w="1108" w:type="dxa"/>
            <w:vMerge w:val="continue"/>
            <w:vAlign w:val="center"/>
          </w:tcPr>
          <w:p w14:paraId="72DBB4BB">
            <w:pPr>
              <w:ind w:firstLine="28"/>
              <w:jc w:val="center"/>
              <w:rPr>
                <w:rFonts w:ascii="Times New Roman" w:hAnsi="Times New Roman" w:eastAsia="方正仿宋_GBK"/>
                <w:sz w:val="21"/>
                <w:szCs w:val="21"/>
              </w:rPr>
            </w:pPr>
          </w:p>
        </w:tc>
        <w:tc>
          <w:tcPr>
            <w:tcW w:w="1143" w:type="dxa"/>
            <w:vAlign w:val="center"/>
          </w:tcPr>
          <w:p w14:paraId="189DAE87">
            <w:pPr>
              <w:jc w:val="left"/>
              <w:rPr>
                <w:rFonts w:ascii="Times New Roman" w:hAnsi="Times New Roman" w:eastAsia="方正仿宋_GBK"/>
                <w:sz w:val="21"/>
                <w:szCs w:val="21"/>
              </w:rPr>
            </w:pPr>
            <w:r>
              <w:rPr>
                <w:rFonts w:hint="eastAsia" w:ascii="Times New Roman" w:hAnsi="Times New Roman" w:eastAsia="方正仿宋_GBK"/>
                <w:sz w:val="21"/>
                <w:szCs w:val="21"/>
              </w:rPr>
              <w:t>质量保证措施（</w:t>
            </w:r>
            <w:r>
              <w:rPr>
                <w:rFonts w:hint="eastAsia" w:ascii="Times New Roman" w:hAnsi="Times New Roman" w:eastAsia="方正仿宋_GBK"/>
                <w:sz w:val="21"/>
                <w:szCs w:val="21"/>
                <w:lang w:val="en-US" w:eastAsia="zh-CN"/>
              </w:rPr>
              <w:t>10</w:t>
            </w:r>
            <w:r>
              <w:rPr>
                <w:rFonts w:hint="eastAsia" w:ascii="Times New Roman" w:hAnsi="Times New Roman" w:eastAsia="方正仿宋_GBK"/>
                <w:sz w:val="21"/>
                <w:szCs w:val="21"/>
              </w:rPr>
              <w:t>分）</w:t>
            </w:r>
          </w:p>
        </w:tc>
        <w:tc>
          <w:tcPr>
            <w:tcW w:w="5832" w:type="dxa"/>
            <w:vAlign w:val="center"/>
          </w:tcPr>
          <w:p w14:paraId="39F73FA6">
            <w:pPr>
              <w:rPr>
                <w:rFonts w:ascii="Times New Roman" w:hAnsi="Times New Roman" w:eastAsia="方正仿宋_GBK"/>
                <w:sz w:val="21"/>
                <w:szCs w:val="21"/>
              </w:rPr>
            </w:pPr>
            <w:r>
              <w:rPr>
                <w:rFonts w:hint="eastAsia" w:ascii="Times New Roman" w:hAnsi="Times New Roman" w:eastAsia="方正仿宋_GBK"/>
                <w:sz w:val="21"/>
                <w:szCs w:val="21"/>
              </w:rPr>
              <w:t>根据供应商提供的质量保证措施进行综合评分，包括以下评审要素：</w:t>
            </w:r>
          </w:p>
          <w:p w14:paraId="55D2B43E">
            <w:pPr>
              <w:rPr>
                <w:rFonts w:ascii="Times New Roman" w:hAnsi="Times New Roman" w:eastAsia="方正仿宋_GBK"/>
                <w:sz w:val="21"/>
                <w:szCs w:val="21"/>
              </w:rPr>
            </w:pPr>
            <w:r>
              <w:rPr>
                <w:rFonts w:hint="eastAsia" w:ascii="Times New Roman" w:hAnsi="Times New Roman" w:eastAsia="方正仿宋_GBK"/>
                <w:sz w:val="21"/>
                <w:szCs w:val="21"/>
              </w:rPr>
              <w:t>①质量保障方案；</w:t>
            </w:r>
          </w:p>
          <w:p w14:paraId="4BA174F9">
            <w:pPr>
              <w:rPr>
                <w:rFonts w:ascii="Times New Roman" w:hAnsi="Times New Roman" w:eastAsia="方正仿宋_GBK"/>
                <w:sz w:val="21"/>
                <w:szCs w:val="21"/>
              </w:rPr>
            </w:pPr>
            <w:r>
              <w:rPr>
                <w:rFonts w:hint="eastAsia" w:ascii="Times New Roman" w:hAnsi="Times New Roman" w:eastAsia="方正仿宋_GBK"/>
                <w:sz w:val="21"/>
                <w:szCs w:val="21"/>
              </w:rPr>
              <w:t>②备品备件保障；</w:t>
            </w:r>
          </w:p>
          <w:p w14:paraId="5B868215">
            <w:pPr>
              <w:rPr>
                <w:rFonts w:ascii="Times New Roman" w:hAnsi="Times New Roman" w:eastAsia="方正仿宋_GBK"/>
                <w:sz w:val="21"/>
                <w:szCs w:val="21"/>
              </w:rPr>
            </w:pPr>
            <w:r>
              <w:rPr>
                <w:rFonts w:hint="eastAsia" w:ascii="Times New Roman" w:hAnsi="Times New Roman" w:eastAsia="方正仿宋_GBK"/>
                <w:sz w:val="21"/>
                <w:szCs w:val="21"/>
              </w:rPr>
              <w:t>③质量管理和安全措施；</w:t>
            </w:r>
          </w:p>
          <w:p w14:paraId="3500E842">
            <w:pPr>
              <w:rPr>
                <w:rFonts w:ascii="Times New Roman" w:hAnsi="Times New Roman" w:eastAsia="方正仿宋_GBK"/>
                <w:color w:val="auto"/>
                <w:sz w:val="21"/>
                <w:szCs w:val="21"/>
              </w:rPr>
            </w:pPr>
            <w:r>
              <w:rPr>
                <w:rFonts w:hint="eastAsia" w:ascii="Times New Roman" w:hAnsi="Times New Roman" w:eastAsia="方正仿宋_GBK"/>
                <w:color w:val="auto"/>
                <w:sz w:val="21"/>
                <w:szCs w:val="21"/>
              </w:rPr>
              <w:t>④商标注册证书</w:t>
            </w:r>
          </w:p>
          <w:p w14:paraId="17A919A3">
            <w:pPr>
              <w:rPr>
                <w:rFonts w:ascii="Times New Roman" w:hAnsi="Times New Roman" w:eastAsia="方正仿宋_GBK"/>
                <w:color w:val="auto"/>
                <w:sz w:val="21"/>
                <w:szCs w:val="21"/>
              </w:rPr>
            </w:pPr>
            <w:r>
              <w:rPr>
                <w:rFonts w:hint="eastAsia" w:ascii="Times New Roman" w:hAnsi="Times New Roman" w:eastAsia="方正仿宋_GBK"/>
                <w:color w:val="auto"/>
                <w:sz w:val="21"/>
                <w:szCs w:val="21"/>
              </w:rPr>
              <w:t>⑤第二篇项目技术需求带</w:t>
            </w:r>
            <w:r>
              <w:rPr>
                <w:rFonts w:hint="eastAsia" w:ascii="方正仿宋_GB2312" w:hAnsi="方正仿宋_GB2312" w:eastAsia="方正仿宋_GB2312" w:cs="方正仿宋_GB2312"/>
                <w:color w:val="auto"/>
                <w:sz w:val="18"/>
                <w:szCs w:val="18"/>
              </w:rPr>
              <w:t>▲</w:t>
            </w:r>
            <w:r>
              <w:rPr>
                <w:rFonts w:hint="eastAsia" w:ascii="方正仿宋_GB2312" w:hAnsi="方正仿宋_GB2312" w:eastAsia="方正仿宋_GB2312" w:cs="方正仿宋_GB2312"/>
                <w:color w:val="auto"/>
                <w:sz w:val="21"/>
                <w:szCs w:val="21"/>
              </w:rPr>
              <w:t>条款</w:t>
            </w:r>
            <w:r>
              <w:rPr>
                <w:rFonts w:hint="eastAsia" w:ascii="Times New Roman" w:hAnsi="Times New Roman" w:eastAsia="方正仿宋_GBK"/>
                <w:color w:val="auto"/>
                <w:sz w:val="21"/>
                <w:szCs w:val="21"/>
              </w:rPr>
              <w:t>检测报告。</w:t>
            </w:r>
          </w:p>
          <w:p w14:paraId="7C3BF650">
            <w:pPr>
              <w:rPr>
                <w:rFonts w:ascii="Times New Roman" w:hAnsi="Times New Roman" w:eastAsia="方正仿宋_GBK"/>
                <w:sz w:val="21"/>
                <w:szCs w:val="21"/>
              </w:rPr>
            </w:pPr>
            <w:r>
              <w:rPr>
                <w:rFonts w:hint="eastAsia" w:ascii="Times New Roman" w:hAnsi="Times New Roman" w:eastAsia="方正仿宋_GBK"/>
                <w:sz w:val="21"/>
                <w:szCs w:val="21"/>
              </w:rPr>
              <w:t>1.保证质量的技术组织措施科学可行，完全满足项目要求的得</w:t>
            </w:r>
            <w:r>
              <w:rPr>
                <w:rFonts w:hint="eastAsia" w:ascii="Times New Roman" w:hAnsi="Times New Roman" w:eastAsia="方正仿宋_GBK"/>
                <w:sz w:val="21"/>
                <w:szCs w:val="21"/>
                <w:lang w:val="en-US" w:eastAsia="zh-CN"/>
              </w:rPr>
              <w:t>15-20</w:t>
            </w:r>
            <w:r>
              <w:rPr>
                <w:rFonts w:hint="eastAsia" w:ascii="Times New Roman" w:hAnsi="Times New Roman" w:eastAsia="方正仿宋_GBK"/>
                <w:sz w:val="21"/>
                <w:szCs w:val="21"/>
              </w:rPr>
              <w:t>分；</w:t>
            </w:r>
            <w:r>
              <w:rPr>
                <w:rFonts w:hint="eastAsia" w:ascii="Times New Roman" w:hAnsi="Times New Roman" w:eastAsia="方正仿宋_GBK"/>
                <w:sz w:val="21"/>
                <w:szCs w:val="21"/>
              </w:rPr>
              <w:br w:type="textWrapping"/>
            </w:r>
            <w:r>
              <w:rPr>
                <w:rFonts w:hint="eastAsia" w:ascii="Times New Roman" w:hAnsi="Times New Roman" w:eastAsia="方正仿宋_GBK"/>
                <w:sz w:val="21"/>
                <w:szCs w:val="21"/>
              </w:rPr>
              <w:t>2.保证质量的技术组织措施有一定的可行性，基本能满足项目要求的得</w:t>
            </w:r>
            <w:r>
              <w:rPr>
                <w:rFonts w:hint="eastAsia" w:ascii="Times New Roman" w:hAnsi="Times New Roman" w:eastAsia="方正仿宋_GBK"/>
                <w:sz w:val="21"/>
                <w:szCs w:val="21"/>
                <w:lang w:val="en-US" w:eastAsia="zh-CN"/>
              </w:rPr>
              <w:t>7-15</w:t>
            </w:r>
            <w:r>
              <w:rPr>
                <w:rFonts w:hint="eastAsia" w:ascii="Times New Roman" w:hAnsi="Times New Roman" w:eastAsia="方正仿宋_GBK"/>
                <w:sz w:val="21"/>
                <w:szCs w:val="21"/>
              </w:rPr>
              <w:t>分；</w:t>
            </w:r>
            <w:r>
              <w:rPr>
                <w:rFonts w:hint="eastAsia" w:ascii="Times New Roman" w:hAnsi="Times New Roman" w:eastAsia="方正仿宋_GBK"/>
                <w:sz w:val="21"/>
                <w:szCs w:val="21"/>
              </w:rPr>
              <w:br w:type="textWrapping"/>
            </w:r>
            <w:r>
              <w:rPr>
                <w:rFonts w:hint="eastAsia" w:ascii="Times New Roman" w:hAnsi="Times New Roman" w:eastAsia="方正仿宋_GBK"/>
                <w:sz w:val="21"/>
                <w:szCs w:val="21"/>
              </w:rPr>
              <w:t>3.</w:t>
            </w:r>
            <w:r>
              <w:rPr>
                <w:rFonts w:hint="eastAsia" w:ascii="Times New Roman" w:hAnsi="Times New Roman" w:eastAsia="方正仿宋_GBK"/>
                <w:color w:val="auto"/>
                <w:sz w:val="21"/>
                <w:szCs w:val="21"/>
              </w:rPr>
              <w:t>保证质量的技术组织措施有较多欠缺的得</w:t>
            </w:r>
            <w:r>
              <w:rPr>
                <w:rFonts w:hint="eastAsia" w:ascii="Times New Roman" w:hAnsi="Times New Roman" w:eastAsia="方正仿宋_GBK"/>
                <w:color w:val="auto"/>
                <w:sz w:val="21"/>
                <w:szCs w:val="21"/>
                <w:lang w:val="en-US" w:eastAsia="zh-CN"/>
              </w:rPr>
              <w:t>1-6</w:t>
            </w:r>
            <w:r>
              <w:rPr>
                <w:rFonts w:hint="eastAsia" w:ascii="Times New Roman" w:hAnsi="Times New Roman" w:eastAsia="方正仿宋_GBK"/>
                <w:color w:val="auto"/>
                <w:sz w:val="21"/>
                <w:szCs w:val="21"/>
              </w:rPr>
              <w:t>分。</w:t>
            </w:r>
            <w:r>
              <w:rPr>
                <w:rFonts w:hint="eastAsia" w:ascii="Times New Roman" w:hAnsi="Times New Roman" w:eastAsia="方正仿宋_GBK"/>
                <w:color w:val="auto"/>
                <w:sz w:val="21"/>
                <w:szCs w:val="21"/>
              </w:rPr>
              <w:br w:type="textWrapping"/>
            </w:r>
            <w:r>
              <w:rPr>
                <w:rFonts w:hint="eastAsia" w:ascii="Times New Roman" w:hAnsi="Times New Roman" w:eastAsia="方正仿宋_GBK"/>
                <w:color w:val="auto"/>
                <w:sz w:val="21"/>
                <w:szCs w:val="21"/>
              </w:rPr>
              <w:t>注：⑤检查报告未提供或未完全提供的本项不得分。</w:t>
            </w:r>
          </w:p>
        </w:tc>
        <w:tc>
          <w:tcPr>
            <w:tcW w:w="1175" w:type="dxa"/>
            <w:vAlign w:val="center"/>
          </w:tcPr>
          <w:p w14:paraId="41EB31C7">
            <w:pPr>
              <w:spacing w:line="300" w:lineRule="exact"/>
              <w:rPr>
                <w:rFonts w:ascii="Times New Roman" w:hAnsi="Times New Roman" w:eastAsia="方正仿宋_GBK"/>
                <w:sz w:val="21"/>
                <w:szCs w:val="21"/>
              </w:rPr>
            </w:pPr>
          </w:p>
        </w:tc>
      </w:tr>
      <w:tr w14:paraId="5156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695" w:type="dxa"/>
            <w:vMerge w:val="continue"/>
            <w:vAlign w:val="center"/>
          </w:tcPr>
          <w:p w14:paraId="4AD2945A">
            <w:pPr>
              <w:ind w:firstLine="28"/>
              <w:jc w:val="center"/>
              <w:rPr>
                <w:rFonts w:ascii="Times New Roman" w:hAnsi="Times New Roman" w:eastAsia="方正仿宋_GBK"/>
                <w:sz w:val="21"/>
                <w:szCs w:val="21"/>
              </w:rPr>
            </w:pPr>
          </w:p>
        </w:tc>
        <w:tc>
          <w:tcPr>
            <w:tcW w:w="1108" w:type="dxa"/>
            <w:vMerge w:val="continue"/>
            <w:vAlign w:val="center"/>
          </w:tcPr>
          <w:p w14:paraId="6088E01E">
            <w:pPr>
              <w:ind w:firstLine="28"/>
              <w:jc w:val="center"/>
              <w:rPr>
                <w:rFonts w:ascii="Times New Roman" w:hAnsi="Times New Roman" w:eastAsia="方正仿宋_GBK"/>
                <w:sz w:val="21"/>
                <w:szCs w:val="21"/>
              </w:rPr>
            </w:pPr>
          </w:p>
        </w:tc>
        <w:tc>
          <w:tcPr>
            <w:tcW w:w="1143" w:type="dxa"/>
            <w:vAlign w:val="center"/>
          </w:tcPr>
          <w:p w14:paraId="7C60B9B1">
            <w:pPr>
              <w:rPr>
                <w:rFonts w:ascii="Times New Roman" w:hAnsi="Times New Roman" w:eastAsia="方正仿宋_GBK"/>
                <w:sz w:val="21"/>
                <w:szCs w:val="21"/>
              </w:rPr>
            </w:pPr>
            <w:r>
              <w:rPr>
                <w:rFonts w:hint="eastAsia" w:ascii="Times New Roman" w:hAnsi="Times New Roman" w:eastAsia="方正仿宋_GBK"/>
                <w:sz w:val="21"/>
                <w:szCs w:val="21"/>
              </w:rPr>
              <w:t>售后服务方案（10分）</w:t>
            </w:r>
          </w:p>
        </w:tc>
        <w:tc>
          <w:tcPr>
            <w:tcW w:w="5832" w:type="dxa"/>
            <w:vAlign w:val="center"/>
          </w:tcPr>
          <w:p w14:paraId="255F6690">
            <w:pPr>
              <w:rPr>
                <w:rFonts w:ascii="Times New Roman" w:hAnsi="Times New Roman" w:eastAsia="方正仿宋_GBK"/>
                <w:sz w:val="21"/>
                <w:szCs w:val="21"/>
              </w:rPr>
            </w:pPr>
            <w:r>
              <w:rPr>
                <w:rFonts w:hint="eastAsia" w:ascii="Times New Roman" w:hAnsi="Times New Roman" w:eastAsia="方正仿宋_GBK"/>
                <w:sz w:val="21"/>
                <w:szCs w:val="21"/>
              </w:rPr>
              <w:t>根据供应商提供的售后服务方案：包括以下评审要素：</w:t>
            </w:r>
          </w:p>
          <w:p w14:paraId="3141E68A">
            <w:pPr>
              <w:rPr>
                <w:rFonts w:ascii="Times New Roman" w:hAnsi="Times New Roman" w:eastAsia="方正仿宋_GBK"/>
                <w:sz w:val="21"/>
                <w:szCs w:val="21"/>
              </w:rPr>
            </w:pPr>
            <w:r>
              <w:rPr>
                <w:rFonts w:hint="eastAsia" w:ascii="Times New Roman" w:hAnsi="Times New Roman" w:eastAsia="方正仿宋_GBK"/>
                <w:sz w:val="21"/>
                <w:szCs w:val="21"/>
              </w:rPr>
              <w:fldChar w:fldCharType="begin"/>
            </w:r>
            <w:r>
              <w:rPr>
                <w:rFonts w:hint="eastAsia" w:ascii="Times New Roman" w:hAnsi="Times New Roman" w:eastAsia="方正仿宋_GBK"/>
                <w:sz w:val="21"/>
                <w:szCs w:val="21"/>
              </w:rPr>
              <w:instrText xml:space="preserve"> EQ \o\ac(○,</w:instrText>
            </w:r>
            <w:r>
              <w:rPr>
                <w:rFonts w:hint="eastAsia" w:ascii="Times New Roman" w:hAnsi="Times New Roman" w:eastAsia="方正仿宋_GBK"/>
                <w:position w:val="2"/>
                <w:sz w:val="14"/>
                <w:szCs w:val="21"/>
              </w:rPr>
              <w:instrText xml:space="preserve">1</w:instrText>
            </w:r>
            <w:r>
              <w:rPr>
                <w:rFonts w:hint="eastAsia" w:ascii="Times New Roman" w:hAnsi="Times New Roman" w:eastAsia="方正仿宋_GBK"/>
                <w:sz w:val="21"/>
                <w:szCs w:val="21"/>
              </w:rPr>
              <w:instrText xml:space="preserve">)</w:instrText>
            </w:r>
            <w:r>
              <w:rPr>
                <w:rFonts w:hint="eastAsia" w:ascii="Times New Roman" w:hAnsi="Times New Roman" w:eastAsia="方正仿宋_GBK"/>
                <w:sz w:val="21"/>
                <w:szCs w:val="21"/>
              </w:rPr>
              <w:fldChar w:fldCharType="end"/>
            </w:r>
            <w:r>
              <w:rPr>
                <w:rFonts w:hint="eastAsia" w:ascii="Times New Roman" w:hAnsi="Times New Roman" w:eastAsia="方正仿宋_GBK"/>
                <w:sz w:val="21"/>
                <w:szCs w:val="21"/>
              </w:rPr>
              <w:t>服务网点</w:t>
            </w:r>
          </w:p>
          <w:p w14:paraId="7CAD594B">
            <w:pPr>
              <w:rPr>
                <w:rFonts w:ascii="Times New Roman" w:hAnsi="Times New Roman" w:eastAsia="方正仿宋_GBK"/>
                <w:sz w:val="21"/>
                <w:szCs w:val="21"/>
              </w:rPr>
            </w:pPr>
            <w:r>
              <w:rPr>
                <w:rFonts w:hint="eastAsia" w:ascii="Times New Roman" w:hAnsi="Times New Roman" w:eastAsia="方正仿宋_GBK"/>
                <w:sz w:val="21"/>
                <w:szCs w:val="21"/>
              </w:rPr>
              <w:fldChar w:fldCharType="begin"/>
            </w:r>
            <w:r>
              <w:rPr>
                <w:rFonts w:hint="eastAsia" w:ascii="Times New Roman" w:hAnsi="Times New Roman" w:eastAsia="方正仿宋_GBK"/>
                <w:sz w:val="21"/>
                <w:szCs w:val="21"/>
              </w:rPr>
              <w:instrText xml:space="preserve"> EQ \o\ac(○,</w:instrText>
            </w:r>
            <w:r>
              <w:rPr>
                <w:rFonts w:hint="eastAsia" w:ascii="Times New Roman" w:hAnsi="Times New Roman" w:eastAsia="方正仿宋_GBK"/>
                <w:position w:val="2"/>
                <w:sz w:val="14"/>
                <w:szCs w:val="21"/>
              </w:rPr>
              <w:instrText xml:space="preserve">2</w:instrText>
            </w:r>
            <w:r>
              <w:rPr>
                <w:rFonts w:hint="eastAsia" w:ascii="Times New Roman" w:hAnsi="Times New Roman" w:eastAsia="方正仿宋_GBK"/>
                <w:sz w:val="21"/>
                <w:szCs w:val="21"/>
              </w:rPr>
              <w:instrText xml:space="preserve">)</w:instrText>
            </w:r>
            <w:r>
              <w:rPr>
                <w:rFonts w:hint="eastAsia" w:ascii="Times New Roman" w:hAnsi="Times New Roman" w:eastAsia="方正仿宋_GBK"/>
                <w:sz w:val="21"/>
                <w:szCs w:val="21"/>
              </w:rPr>
              <w:fldChar w:fldCharType="end"/>
            </w:r>
            <w:r>
              <w:rPr>
                <w:rFonts w:hint="eastAsia" w:ascii="Times New Roman" w:hAnsi="Times New Roman" w:eastAsia="方正仿宋_GBK"/>
                <w:sz w:val="21"/>
                <w:szCs w:val="21"/>
              </w:rPr>
              <w:t>售后服务人员</w:t>
            </w:r>
          </w:p>
          <w:p w14:paraId="2E13D7A3">
            <w:pPr>
              <w:rPr>
                <w:rFonts w:ascii="Times New Roman" w:hAnsi="Times New Roman" w:eastAsia="方正仿宋_GBK"/>
                <w:sz w:val="21"/>
                <w:szCs w:val="21"/>
              </w:rPr>
            </w:pPr>
            <w:r>
              <w:rPr>
                <w:rFonts w:hint="eastAsia" w:ascii="Times New Roman" w:hAnsi="Times New Roman" w:eastAsia="方正仿宋_GBK"/>
                <w:sz w:val="21"/>
                <w:szCs w:val="21"/>
              </w:rPr>
              <w:fldChar w:fldCharType="begin"/>
            </w:r>
            <w:r>
              <w:rPr>
                <w:rFonts w:hint="eastAsia" w:ascii="Times New Roman" w:hAnsi="Times New Roman" w:eastAsia="方正仿宋_GBK"/>
                <w:sz w:val="21"/>
                <w:szCs w:val="21"/>
              </w:rPr>
              <w:instrText xml:space="preserve"> EQ \o\ac(○,</w:instrText>
            </w:r>
            <w:r>
              <w:rPr>
                <w:rFonts w:hint="eastAsia" w:ascii="Times New Roman" w:hAnsi="Times New Roman" w:eastAsia="方正仿宋_GBK"/>
                <w:position w:val="2"/>
                <w:sz w:val="14"/>
                <w:szCs w:val="21"/>
              </w:rPr>
              <w:instrText xml:space="preserve">3</w:instrText>
            </w:r>
            <w:r>
              <w:rPr>
                <w:rFonts w:hint="eastAsia" w:ascii="Times New Roman" w:hAnsi="Times New Roman" w:eastAsia="方正仿宋_GBK"/>
                <w:sz w:val="21"/>
                <w:szCs w:val="21"/>
              </w:rPr>
              <w:instrText xml:space="preserve">)</w:instrText>
            </w:r>
            <w:r>
              <w:rPr>
                <w:rFonts w:hint="eastAsia" w:ascii="Times New Roman" w:hAnsi="Times New Roman" w:eastAsia="方正仿宋_GBK"/>
                <w:sz w:val="21"/>
                <w:szCs w:val="21"/>
              </w:rPr>
              <w:fldChar w:fldCharType="end"/>
            </w:r>
            <w:r>
              <w:rPr>
                <w:rFonts w:hint="eastAsia" w:ascii="Times New Roman" w:hAnsi="Times New Roman" w:eastAsia="方正仿宋_GBK"/>
                <w:sz w:val="21"/>
                <w:szCs w:val="21"/>
              </w:rPr>
              <w:t>服务承诺</w:t>
            </w:r>
          </w:p>
          <w:p w14:paraId="47D89FC9">
            <w:pPr>
              <w:rPr>
                <w:rFonts w:ascii="Times New Roman" w:hAnsi="Times New Roman" w:eastAsia="方正仿宋_GBK"/>
                <w:sz w:val="21"/>
                <w:szCs w:val="21"/>
              </w:rPr>
            </w:pPr>
            <w:r>
              <w:rPr>
                <w:rFonts w:hint="eastAsia" w:ascii="Times New Roman" w:hAnsi="Times New Roman" w:eastAsia="方正仿宋_GBK"/>
                <w:sz w:val="21"/>
                <w:szCs w:val="21"/>
              </w:rPr>
              <w:fldChar w:fldCharType="begin"/>
            </w:r>
            <w:r>
              <w:rPr>
                <w:rFonts w:hint="eastAsia" w:ascii="Times New Roman" w:hAnsi="Times New Roman" w:eastAsia="方正仿宋_GBK"/>
                <w:sz w:val="21"/>
                <w:szCs w:val="21"/>
              </w:rPr>
              <w:instrText xml:space="preserve"> EQ \o\ac(○,</w:instrText>
            </w:r>
            <w:r>
              <w:rPr>
                <w:rFonts w:hint="eastAsia" w:ascii="Times New Roman" w:hAnsi="Times New Roman" w:eastAsia="方正仿宋_GBK"/>
                <w:position w:val="2"/>
                <w:sz w:val="14"/>
                <w:szCs w:val="21"/>
              </w:rPr>
              <w:instrText xml:space="preserve">4</w:instrText>
            </w:r>
            <w:r>
              <w:rPr>
                <w:rFonts w:hint="eastAsia" w:ascii="Times New Roman" w:hAnsi="Times New Roman" w:eastAsia="方正仿宋_GBK"/>
                <w:sz w:val="21"/>
                <w:szCs w:val="21"/>
              </w:rPr>
              <w:instrText xml:space="preserve">)</w:instrText>
            </w:r>
            <w:r>
              <w:rPr>
                <w:rFonts w:hint="eastAsia" w:ascii="Times New Roman" w:hAnsi="Times New Roman" w:eastAsia="方正仿宋_GBK"/>
                <w:sz w:val="21"/>
                <w:szCs w:val="21"/>
              </w:rPr>
              <w:fldChar w:fldCharType="end"/>
            </w:r>
            <w:r>
              <w:rPr>
                <w:rFonts w:hint="eastAsia" w:ascii="Times New Roman" w:hAnsi="Times New Roman" w:eastAsia="方正仿宋_GBK"/>
                <w:sz w:val="21"/>
                <w:szCs w:val="21"/>
              </w:rPr>
              <w:t>响应时间等内容</w:t>
            </w:r>
          </w:p>
          <w:p w14:paraId="2B0D841B">
            <w:pPr>
              <w:rPr>
                <w:rFonts w:ascii="Times New Roman" w:hAnsi="Times New Roman" w:eastAsia="方正仿宋_GBK"/>
                <w:sz w:val="21"/>
                <w:szCs w:val="21"/>
              </w:rPr>
            </w:pPr>
            <w:r>
              <w:rPr>
                <w:rFonts w:hint="eastAsia" w:ascii="Times New Roman" w:hAnsi="Times New Roman" w:eastAsia="方正仿宋_GBK"/>
                <w:sz w:val="21"/>
                <w:szCs w:val="21"/>
              </w:rPr>
              <w:t>1.售后服务方案、承诺完善，响应及时、工作效率高的，得8-10分；</w:t>
            </w:r>
          </w:p>
          <w:p w14:paraId="04E22273">
            <w:pPr>
              <w:rPr>
                <w:rFonts w:ascii="Times New Roman" w:hAnsi="Times New Roman" w:eastAsia="方正仿宋_GBK"/>
                <w:sz w:val="21"/>
                <w:szCs w:val="21"/>
              </w:rPr>
            </w:pPr>
            <w:r>
              <w:rPr>
                <w:rFonts w:hint="eastAsia" w:ascii="Times New Roman" w:hAnsi="Times New Roman" w:eastAsia="方正仿宋_GBK"/>
                <w:sz w:val="21"/>
                <w:szCs w:val="21"/>
              </w:rPr>
              <w:t>2.售后服务方案、承诺一般，响应不及时、工作效率一般的，得4-7分；</w:t>
            </w:r>
          </w:p>
          <w:p w14:paraId="486532A7">
            <w:pPr>
              <w:rPr>
                <w:rFonts w:ascii="Times New Roman" w:hAnsi="Times New Roman" w:eastAsia="方正仿宋_GBK"/>
                <w:sz w:val="21"/>
                <w:szCs w:val="21"/>
              </w:rPr>
            </w:pPr>
            <w:r>
              <w:rPr>
                <w:rFonts w:hint="eastAsia" w:ascii="Times New Roman" w:hAnsi="Times New Roman" w:eastAsia="方正仿宋_GBK"/>
                <w:sz w:val="21"/>
                <w:szCs w:val="21"/>
              </w:rPr>
              <w:t>3.售后服务方案、承诺差，响应不及时效率低的，得1-3分。</w:t>
            </w:r>
          </w:p>
        </w:tc>
        <w:tc>
          <w:tcPr>
            <w:tcW w:w="1175" w:type="dxa"/>
            <w:vAlign w:val="center"/>
          </w:tcPr>
          <w:p w14:paraId="48F3D253">
            <w:pPr>
              <w:spacing w:line="300" w:lineRule="exact"/>
              <w:rPr>
                <w:rFonts w:ascii="Times New Roman" w:hAnsi="Times New Roman" w:eastAsia="方正仿宋_GBK"/>
                <w:sz w:val="21"/>
                <w:szCs w:val="21"/>
              </w:rPr>
            </w:pPr>
          </w:p>
        </w:tc>
      </w:tr>
      <w:tr w14:paraId="0D66F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695" w:type="dxa"/>
            <w:vAlign w:val="center"/>
          </w:tcPr>
          <w:p w14:paraId="4024E062">
            <w:pPr>
              <w:ind w:firstLine="28"/>
              <w:jc w:val="center"/>
              <w:rPr>
                <w:rFonts w:ascii="Times New Roman" w:hAnsi="Times New Roman" w:eastAsia="方正仿宋_GBK"/>
                <w:sz w:val="21"/>
                <w:szCs w:val="21"/>
              </w:rPr>
            </w:pPr>
          </w:p>
        </w:tc>
        <w:tc>
          <w:tcPr>
            <w:tcW w:w="1108" w:type="dxa"/>
            <w:vAlign w:val="center"/>
          </w:tcPr>
          <w:p w14:paraId="3D698E24">
            <w:pPr>
              <w:ind w:firstLine="28"/>
              <w:jc w:val="center"/>
              <w:rPr>
                <w:rFonts w:hint="default" w:ascii="Times New Roman" w:hAnsi="Times New Roman" w:eastAsia="方正仿宋_GBK"/>
                <w:sz w:val="21"/>
                <w:szCs w:val="21"/>
                <w:lang w:val="en-US" w:eastAsia="zh-CN"/>
              </w:rPr>
            </w:pPr>
            <w:r>
              <w:rPr>
                <w:rFonts w:hint="eastAsia" w:ascii="Times New Roman" w:hAnsi="Times New Roman" w:eastAsia="方正仿宋_GBK"/>
                <w:sz w:val="21"/>
                <w:szCs w:val="21"/>
                <w:lang w:val="en-US" w:eastAsia="zh-CN"/>
              </w:rPr>
              <w:t>商务部分</w:t>
            </w:r>
          </w:p>
        </w:tc>
        <w:tc>
          <w:tcPr>
            <w:tcW w:w="1143" w:type="dxa"/>
            <w:vAlign w:val="center"/>
          </w:tcPr>
          <w:p w14:paraId="55ED97EA">
            <w:pPr>
              <w:rPr>
                <w:rFonts w:hint="default" w:ascii="Times New Roman" w:hAnsi="Times New Roman" w:eastAsia="方正仿宋_GBK"/>
                <w:sz w:val="21"/>
                <w:szCs w:val="21"/>
                <w:lang w:val="en-US" w:eastAsia="zh-CN"/>
              </w:rPr>
            </w:pPr>
            <w:r>
              <w:rPr>
                <w:rFonts w:hint="eastAsia" w:ascii="Times New Roman" w:hAnsi="Times New Roman" w:eastAsia="方正仿宋_GBK"/>
                <w:sz w:val="21"/>
                <w:szCs w:val="21"/>
                <w:lang w:val="en-US" w:eastAsia="zh-CN"/>
              </w:rPr>
              <w:t>检测报告（20分）</w:t>
            </w:r>
          </w:p>
        </w:tc>
        <w:tc>
          <w:tcPr>
            <w:tcW w:w="5832" w:type="dxa"/>
            <w:vAlign w:val="center"/>
          </w:tcPr>
          <w:p w14:paraId="7B7C700B">
            <w:pPr>
              <w:rPr>
                <w:rFonts w:hint="eastAsia" w:ascii="Times New Roman" w:hAnsi="Times New Roman" w:eastAsia="方正仿宋_GBK"/>
                <w:color w:val="auto"/>
                <w:sz w:val="21"/>
                <w:szCs w:val="21"/>
              </w:rPr>
            </w:pPr>
            <w:r>
              <w:rPr>
                <w:rFonts w:hint="eastAsia" w:ascii="Times New Roman" w:hAnsi="Times New Roman" w:eastAsia="方正仿宋_GBK"/>
                <w:sz w:val="21"/>
                <w:szCs w:val="21"/>
                <w:lang w:val="en-US" w:eastAsia="zh-CN"/>
              </w:rPr>
              <w:t>提供</w:t>
            </w:r>
            <w:r>
              <w:rPr>
                <w:rFonts w:hint="eastAsia" w:ascii="Times New Roman" w:hAnsi="Times New Roman" w:eastAsia="方正仿宋_GBK"/>
                <w:color w:val="auto"/>
                <w:sz w:val="21"/>
                <w:szCs w:val="21"/>
              </w:rPr>
              <w:t>第二篇项目技术需求</w:t>
            </w:r>
            <w:r>
              <w:rPr>
                <w:rFonts w:hint="eastAsia" w:ascii="Times New Roman" w:hAnsi="Times New Roman" w:eastAsia="方正仿宋_GBK"/>
                <w:color w:val="auto"/>
                <w:sz w:val="21"/>
                <w:szCs w:val="21"/>
                <w:lang w:val="en-US" w:eastAsia="zh-CN"/>
              </w:rPr>
              <w:t>中所有</w:t>
            </w:r>
            <w:r>
              <w:rPr>
                <w:rFonts w:hint="eastAsia" w:ascii="Times New Roman" w:hAnsi="Times New Roman" w:eastAsia="方正仿宋_GBK"/>
                <w:color w:val="auto"/>
                <w:sz w:val="21"/>
                <w:szCs w:val="21"/>
              </w:rPr>
              <w:t>带</w:t>
            </w:r>
            <w:r>
              <w:rPr>
                <w:rFonts w:hint="eastAsia" w:ascii="方正仿宋_GB2312" w:hAnsi="方正仿宋_GB2312" w:eastAsia="方正仿宋_GB2312" w:cs="方正仿宋_GB2312"/>
                <w:color w:val="auto"/>
                <w:sz w:val="18"/>
                <w:szCs w:val="18"/>
              </w:rPr>
              <w:t>▲</w:t>
            </w:r>
            <w:r>
              <w:rPr>
                <w:rFonts w:hint="eastAsia" w:ascii="方正仿宋_GB2312" w:hAnsi="方正仿宋_GB2312" w:eastAsia="方正仿宋_GB2312" w:cs="方正仿宋_GB2312"/>
                <w:color w:val="auto"/>
                <w:sz w:val="21"/>
                <w:szCs w:val="21"/>
              </w:rPr>
              <w:t>条款</w:t>
            </w:r>
            <w:r>
              <w:rPr>
                <w:rFonts w:hint="eastAsia" w:ascii="方正仿宋_GB2312" w:hAnsi="方正仿宋_GB2312" w:eastAsia="方正仿宋_GB2312" w:cs="方正仿宋_GB2312"/>
                <w:color w:val="auto"/>
                <w:sz w:val="21"/>
                <w:szCs w:val="21"/>
                <w:lang w:eastAsia="zh-CN"/>
              </w:rPr>
              <w:t>的</w:t>
            </w:r>
            <w:r>
              <w:rPr>
                <w:rFonts w:hint="eastAsia" w:ascii="Times New Roman" w:hAnsi="Times New Roman" w:eastAsia="方正仿宋_GBK"/>
                <w:color w:val="auto"/>
                <w:sz w:val="21"/>
                <w:szCs w:val="21"/>
              </w:rPr>
              <w:t>检测报告</w:t>
            </w:r>
          </w:p>
          <w:p w14:paraId="0F44EC72">
            <w:pPr>
              <w:pStyle w:val="2"/>
              <w:rPr>
                <w:rFonts w:hint="eastAsia" w:eastAsia="方正仿宋_GBK"/>
                <w:lang w:val="en-US" w:eastAsia="zh-CN"/>
              </w:rPr>
            </w:pPr>
            <w:r>
              <w:rPr>
                <w:rFonts w:hint="eastAsia" w:ascii="Times New Roman" w:hAnsi="Times New Roman" w:eastAsia="方正仿宋_GBK"/>
                <w:color w:val="auto"/>
                <w:sz w:val="21"/>
                <w:szCs w:val="21"/>
                <w:lang w:val="en-US" w:eastAsia="zh-CN"/>
              </w:rPr>
              <w:t>注：</w:t>
            </w:r>
            <w:r>
              <w:rPr>
                <w:rFonts w:hint="eastAsia" w:ascii="Times New Roman" w:hAnsi="Times New Roman" w:eastAsia="方正仿宋_GBK"/>
                <w:color w:val="auto"/>
                <w:sz w:val="21"/>
                <w:szCs w:val="21"/>
              </w:rPr>
              <w:t>检查报告未提供或未完全提供的本项不得分</w:t>
            </w:r>
          </w:p>
        </w:tc>
        <w:tc>
          <w:tcPr>
            <w:tcW w:w="1175" w:type="dxa"/>
            <w:vAlign w:val="center"/>
          </w:tcPr>
          <w:p w14:paraId="40898928">
            <w:pPr>
              <w:spacing w:line="300" w:lineRule="exact"/>
              <w:rPr>
                <w:rFonts w:hint="default" w:ascii="Times New Roman" w:hAnsi="Times New Roman" w:eastAsia="方正仿宋_GBK"/>
                <w:sz w:val="21"/>
                <w:szCs w:val="21"/>
                <w:lang w:val="en-US" w:eastAsia="zh-CN"/>
              </w:rPr>
            </w:pPr>
            <w:r>
              <w:rPr>
                <w:rFonts w:hint="eastAsia" w:ascii="Times New Roman" w:hAnsi="Times New Roman" w:eastAsia="方正仿宋_GBK"/>
                <w:sz w:val="21"/>
                <w:szCs w:val="21"/>
                <w:lang w:val="en-US" w:eastAsia="zh-CN"/>
              </w:rPr>
              <w:t>提供检测报告复印件加盖投标人公章</w:t>
            </w:r>
          </w:p>
        </w:tc>
      </w:tr>
    </w:tbl>
    <w:p w14:paraId="7D084169">
      <w:pPr>
        <w:snapToGrid w:val="0"/>
        <w:spacing w:line="400" w:lineRule="exact"/>
        <w:ind w:firstLine="465"/>
        <w:rPr>
          <w:rFonts w:ascii="方正仿宋_GBK" w:hAnsi="宋体" w:eastAsia="方正仿宋_GBK"/>
          <w:sz w:val="24"/>
          <w:szCs w:val="24"/>
        </w:rPr>
      </w:pPr>
    </w:p>
    <w:p w14:paraId="235DB689">
      <w:pPr>
        <w:snapToGrid w:val="0"/>
        <w:spacing w:line="400" w:lineRule="exact"/>
        <w:ind w:firstLine="465"/>
        <w:rPr>
          <w:rFonts w:ascii="方正仿宋_GBK" w:hAnsi="宋体" w:eastAsia="方正仿宋_GBK"/>
          <w:sz w:val="24"/>
          <w:szCs w:val="24"/>
        </w:rPr>
      </w:pPr>
      <w:r>
        <w:rPr>
          <w:rFonts w:hint="eastAsia" w:ascii="方正仿宋_GBK" w:hAnsi="宋体" w:eastAsia="方正仿宋_GBK"/>
          <w:sz w:val="24"/>
          <w:szCs w:val="24"/>
        </w:rPr>
        <w:t>说明：</w:t>
      </w:r>
      <w:bookmarkStart w:id="78" w:name="_Hlk63588472"/>
      <w:r>
        <w:rPr>
          <w:rFonts w:hint="eastAsia" w:ascii="方正仿宋_GBK" w:hAnsi="宋体" w:eastAsia="方正仿宋_GBK"/>
          <w:sz w:val="24"/>
          <w:szCs w:val="24"/>
        </w:rPr>
        <w:t>评标委员会认为投标人的报价明显低于其他通过符合性审查投标人的报价，有可能影响产品质量或者不能诚信履约的，应当要求其在评标现场合理的时间内提供书面说明并提交相关证明材料；投标人不能证明其报价合理性的，评标委员会应当将其作为无效投标处理。</w:t>
      </w:r>
      <w:bookmarkEnd w:id="78"/>
    </w:p>
    <w:p w14:paraId="3324F476">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（二）投标报价政策性扣减：无</w:t>
      </w:r>
    </w:p>
    <w:p w14:paraId="409E35A6">
      <w:pPr>
        <w:pStyle w:val="4"/>
        <w:adjustRightInd w:val="0"/>
        <w:snapToGrid w:val="0"/>
        <w:spacing w:before="0" w:after="0" w:line="400" w:lineRule="exact"/>
        <w:ind w:firstLine="482" w:firstLineChars="200"/>
        <w:rPr>
          <w:rFonts w:ascii="方正仿宋_GBK" w:hAnsi="宋体" w:eastAsia="方正仿宋_GBK"/>
          <w:sz w:val="24"/>
          <w:szCs w:val="22"/>
        </w:rPr>
      </w:pPr>
      <w:r>
        <w:rPr>
          <w:rFonts w:hint="eastAsia" w:ascii="方正仿宋_GBK" w:hAnsi="宋体" w:eastAsia="方正仿宋_GBK"/>
          <w:sz w:val="24"/>
          <w:szCs w:val="22"/>
        </w:rPr>
        <w:t>三、无效响应</w:t>
      </w:r>
      <w:bookmarkEnd w:id="75"/>
      <w:bookmarkEnd w:id="76"/>
      <w:bookmarkEnd w:id="77"/>
    </w:p>
    <w:p w14:paraId="08EEE595">
      <w:pPr>
        <w:snapToGrid w:val="0"/>
        <w:spacing w:line="400" w:lineRule="exact"/>
        <w:ind w:firstLine="465"/>
        <w:rPr>
          <w:rFonts w:ascii="方正仿宋_GBK" w:hAnsi="宋体" w:eastAsia="方正仿宋_GBK"/>
          <w:sz w:val="24"/>
          <w:szCs w:val="24"/>
        </w:rPr>
      </w:pPr>
      <w:r>
        <w:rPr>
          <w:rFonts w:hint="eastAsia" w:ascii="方正仿宋_GBK" w:hAnsi="宋体" w:eastAsia="方正仿宋_GBK"/>
          <w:sz w:val="24"/>
          <w:szCs w:val="24"/>
        </w:rPr>
        <w:t>供应商发生以下条款情况之一者，视为无效响应，其响应文件将被拒绝：</w:t>
      </w:r>
    </w:p>
    <w:p w14:paraId="1E2AC4B4">
      <w:pPr>
        <w:snapToGrid w:val="0"/>
        <w:spacing w:line="400" w:lineRule="exact"/>
        <w:ind w:firstLine="465"/>
        <w:rPr>
          <w:rFonts w:ascii="方正仿宋_GBK" w:hAnsi="宋体" w:eastAsia="方正仿宋_GBK"/>
          <w:sz w:val="24"/>
          <w:szCs w:val="24"/>
        </w:rPr>
      </w:pPr>
      <w:r>
        <w:rPr>
          <w:rFonts w:hint="eastAsia" w:ascii="方正仿宋_GBK" w:hAnsi="宋体" w:eastAsia="方正仿宋_GBK"/>
          <w:sz w:val="24"/>
          <w:szCs w:val="24"/>
        </w:rPr>
        <w:t>（一）供应商不符合规定的资格条件的；</w:t>
      </w:r>
    </w:p>
    <w:p w14:paraId="195416C1">
      <w:pPr>
        <w:snapToGrid w:val="0"/>
        <w:spacing w:line="400" w:lineRule="exact"/>
        <w:ind w:firstLine="465"/>
        <w:rPr>
          <w:rFonts w:ascii="方正仿宋_GBK" w:hAnsi="宋体" w:eastAsia="方正仿宋_GBK"/>
          <w:sz w:val="24"/>
          <w:szCs w:val="24"/>
        </w:rPr>
      </w:pPr>
      <w:r>
        <w:rPr>
          <w:rFonts w:hint="eastAsia" w:ascii="方正仿宋_GBK" w:hAnsi="宋体" w:eastAsia="方正仿宋_GBK"/>
          <w:sz w:val="24"/>
          <w:szCs w:val="24"/>
        </w:rPr>
        <w:t>（二）供应商的法定代表人（或其授权代表）或自然人未参加磋商；</w:t>
      </w:r>
    </w:p>
    <w:p w14:paraId="0B91CC20">
      <w:pPr>
        <w:snapToGrid w:val="0"/>
        <w:spacing w:line="400" w:lineRule="exact"/>
        <w:ind w:firstLine="465"/>
        <w:rPr>
          <w:rFonts w:ascii="方正仿宋_GBK" w:hAnsi="宋体" w:eastAsia="方正仿宋_GBK"/>
          <w:sz w:val="24"/>
          <w:szCs w:val="24"/>
        </w:rPr>
      </w:pPr>
      <w:r>
        <w:rPr>
          <w:rFonts w:hint="eastAsia" w:ascii="方正仿宋_GBK" w:hAnsi="宋体" w:eastAsia="方正仿宋_GBK"/>
          <w:sz w:val="24"/>
          <w:szCs w:val="24"/>
        </w:rPr>
        <w:t>（三）供应商所提交的响应文件不按“第七篇响应文件编制要求”要求签署或盖章；</w:t>
      </w:r>
    </w:p>
    <w:p w14:paraId="25D30D9E">
      <w:pPr>
        <w:snapToGrid w:val="0"/>
        <w:spacing w:line="400" w:lineRule="exact"/>
        <w:ind w:firstLine="465"/>
        <w:rPr>
          <w:rFonts w:ascii="方正仿宋_GBK" w:hAnsi="宋体" w:eastAsia="方正仿宋_GBK"/>
          <w:sz w:val="24"/>
          <w:szCs w:val="24"/>
        </w:rPr>
      </w:pPr>
      <w:r>
        <w:rPr>
          <w:rFonts w:hint="eastAsia" w:ascii="方正仿宋_GBK" w:hAnsi="宋体" w:eastAsia="方正仿宋_GBK"/>
          <w:sz w:val="24"/>
          <w:szCs w:val="24"/>
        </w:rPr>
        <w:t>（四）供应商的最后报价超过采购预算或最高限价的；</w:t>
      </w:r>
    </w:p>
    <w:p w14:paraId="2F00A5DC">
      <w:pPr>
        <w:snapToGrid w:val="0"/>
        <w:spacing w:line="400" w:lineRule="exact"/>
        <w:ind w:firstLine="465"/>
        <w:rPr>
          <w:rFonts w:ascii="方正仿宋_GBK" w:hAnsi="宋体" w:eastAsia="方正仿宋_GBK"/>
          <w:sz w:val="24"/>
          <w:szCs w:val="24"/>
        </w:rPr>
      </w:pPr>
      <w:r>
        <w:rPr>
          <w:rFonts w:hint="eastAsia" w:ascii="方正仿宋_GBK" w:hAnsi="宋体" w:eastAsia="方正仿宋_GBK"/>
          <w:sz w:val="24"/>
          <w:szCs w:val="24"/>
        </w:rPr>
        <w:t>（五）法定代表人为同一个人的两个及两个以上法人，母公司、全资子公司及其控股公司，在同一包采购中同时参与磋商；</w:t>
      </w:r>
    </w:p>
    <w:p w14:paraId="05340A3A">
      <w:pPr>
        <w:snapToGrid w:val="0"/>
        <w:spacing w:line="400" w:lineRule="exact"/>
        <w:ind w:firstLine="465"/>
        <w:rPr>
          <w:rFonts w:ascii="方正仿宋_GBK" w:hAnsi="宋体" w:eastAsia="方正仿宋_GBK"/>
          <w:sz w:val="24"/>
          <w:szCs w:val="24"/>
        </w:rPr>
      </w:pPr>
      <w:r>
        <w:rPr>
          <w:rFonts w:hint="eastAsia" w:ascii="方正仿宋_GBK" w:hAnsi="宋体" w:eastAsia="方正仿宋_GBK"/>
          <w:sz w:val="24"/>
          <w:szCs w:val="24"/>
        </w:rPr>
        <w:t>（六）单位负责人为同一人或者存在直接控股、管理关系的不同供应商，参加同一合同项下的政府采购活动的；</w:t>
      </w:r>
    </w:p>
    <w:p w14:paraId="78E5CC91">
      <w:pPr>
        <w:snapToGrid w:val="0"/>
        <w:spacing w:line="400" w:lineRule="exact"/>
        <w:ind w:firstLine="465"/>
        <w:rPr>
          <w:rFonts w:ascii="方正仿宋_GBK" w:hAnsi="宋体" w:eastAsia="方正仿宋_GBK"/>
          <w:sz w:val="24"/>
          <w:szCs w:val="24"/>
        </w:rPr>
      </w:pPr>
      <w:r>
        <w:rPr>
          <w:rFonts w:hint="eastAsia" w:ascii="方正仿宋_GBK" w:hAnsi="宋体" w:eastAsia="方正仿宋_GBK"/>
          <w:sz w:val="24"/>
          <w:szCs w:val="24"/>
        </w:rPr>
        <w:t>（七）</w:t>
      </w:r>
      <w:r>
        <w:rPr>
          <w:rFonts w:ascii="方正仿宋_GBK" w:hAnsi="宋体" w:eastAsia="方正仿宋_GBK"/>
          <w:sz w:val="24"/>
          <w:szCs w:val="24"/>
        </w:rPr>
        <w:t>为采购项目提供整体设计、规范编制或者项目管理、监理、检测等服务的供应商，再参加</w:t>
      </w:r>
      <w:r>
        <w:rPr>
          <w:rFonts w:hint="eastAsia" w:ascii="方正仿宋_GBK" w:hAnsi="宋体" w:eastAsia="方正仿宋_GBK"/>
          <w:sz w:val="24"/>
          <w:szCs w:val="24"/>
        </w:rPr>
        <w:t>该采购</w:t>
      </w:r>
      <w:r>
        <w:rPr>
          <w:rFonts w:ascii="方正仿宋_GBK" w:hAnsi="宋体" w:eastAsia="方正仿宋_GBK"/>
          <w:sz w:val="24"/>
          <w:szCs w:val="24"/>
        </w:rPr>
        <w:t>项目的</w:t>
      </w:r>
      <w:r>
        <w:rPr>
          <w:rFonts w:hint="eastAsia" w:ascii="方正仿宋_GBK" w:hAnsi="宋体" w:eastAsia="方正仿宋_GBK"/>
          <w:sz w:val="24"/>
          <w:szCs w:val="24"/>
        </w:rPr>
        <w:t>其他</w:t>
      </w:r>
      <w:r>
        <w:rPr>
          <w:rFonts w:ascii="方正仿宋_GBK" w:hAnsi="宋体" w:eastAsia="方正仿宋_GBK"/>
          <w:sz w:val="24"/>
          <w:szCs w:val="24"/>
        </w:rPr>
        <w:t>采购活动</w:t>
      </w:r>
      <w:r>
        <w:rPr>
          <w:rFonts w:hint="eastAsia" w:ascii="方正仿宋_GBK" w:hAnsi="宋体" w:eastAsia="方正仿宋_GBK"/>
          <w:sz w:val="24"/>
          <w:szCs w:val="24"/>
        </w:rPr>
        <w:t>；</w:t>
      </w:r>
    </w:p>
    <w:p w14:paraId="52641FEC">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（八）供应商磋商有效期不满足竞争性磋商文件要求的；</w:t>
      </w:r>
    </w:p>
    <w:p w14:paraId="3408B036">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（九）供应商响应文件内容有与国家现行法律法规相违背的内容，或附有采购人无法接受的条件；</w:t>
      </w:r>
    </w:p>
    <w:p w14:paraId="4A99D89E">
      <w:pPr>
        <w:snapToGrid w:val="0"/>
        <w:spacing w:line="400" w:lineRule="exact"/>
        <w:ind w:firstLine="465"/>
        <w:rPr>
          <w:rFonts w:ascii="方正仿宋_GBK" w:hAnsi="宋体" w:eastAsia="方正仿宋_GBK"/>
          <w:sz w:val="24"/>
          <w:szCs w:val="24"/>
        </w:rPr>
      </w:pPr>
      <w:r>
        <w:rPr>
          <w:rFonts w:hint="eastAsia" w:ascii="方正仿宋_GBK" w:hAnsi="宋体" w:eastAsia="方正仿宋_GBK"/>
          <w:sz w:val="24"/>
          <w:szCs w:val="24"/>
        </w:rPr>
        <w:t>（十）法律、法规和竞争性磋商文件规定的其他无效情形。</w:t>
      </w:r>
    </w:p>
    <w:p w14:paraId="3786911D">
      <w:pPr>
        <w:pStyle w:val="4"/>
        <w:adjustRightInd w:val="0"/>
        <w:snapToGrid w:val="0"/>
        <w:spacing w:before="0" w:after="0" w:line="400" w:lineRule="exact"/>
        <w:ind w:firstLine="482" w:firstLineChars="200"/>
        <w:rPr>
          <w:rFonts w:ascii="方正仿宋_GBK" w:hAnsi="宋体" w:eastAsia="方正仿宋_GBK"/>
          <w:sz w:val="24"/>
        </w:rPr>
      </w:pPr>
      <w:bookmarkStart w:id="79" w:name="_Toc106030891"/>
      <w:bookmarkStart w:id="80" w:name="_Toc28979"/>
      <w:bookmarkStart w:id="81" w:name="_Toc76462336"/>
      <w:r>
        <w:rPr>
          <w:rFonts w:hint="eastAsia" w:ascii="方正仿宋_GBK" w:hAnsi="宋体" w:eastAsia="方正仿宋_GBK"/>
          <w:sz w:val="24"/>
        </w:rPr>
        <w:t>四、</w:t>
      </w:r>
      <w:bookmarkEnd w:id="73"/>
      <w:bookmarkEnd w:id="74"/>
      <w:r>
        <w:rPr>
          <w:rFonts w:hint="eastAsia" w:ascii="方正仿宋_GBK" w:hAnsi="宋体" w:eastAsia="方正仿宋_GBK"/>
          <w:sz w:val="24"/>
        </w:rPr>
        <w:t>采购终止</w:t>
      </w:r>
      <w:bookmarkEnd w:id="79"/>
      <w:bookmarkEnd w:id="80"/>
      <w:bookmarkEnd w:id="81"/>
    </w:p>
    <w:p w14:paraId="2369E9FD">
      <w:pPr>
        <w:snapToGrid w:val="0"/>
        <w:spacing w:line="400" w:lineRule="exact"/>
        <w:ind w:firstLine="465"/>
        <w:rPr>
          <w:rFonts w:ascii="方正仿宋_GBK" w:hAnsi="宋体" w:eastAsia="方正仿宋_GBK"/>
          <w:sz w:val="24"/>
          <w:szCs w:val="24"/>
        </w:rPr>
      </w:pPr>
      <w:r>
        <w:rPr>
          <w:rFonts w:hint="eastAsia" w:ascii="方正仿宋_GBK" w:hAnsi="宋体" w:eastAsia="方正仿宋_GBK"/>
          <w:sz w:val="24"/>
          <w:szCs w:val="24"/>
        </w:rPr>
        <w:t>出现下列情形之一的，采购人或者采购代理机构应当终止竞争性磋商采购活动，发布项目终止公告并说明原因，重新开展采购活动：</w:t>
      </w:r>
    </w:p>
    <w:p w14:paraId="76C2561C">
      <w:pPr>
        <w:snapToGrid w:val="0"/>
        <w:spacing w:line="400" w:lineRule="exact"/>
        <w:ind w:firstLine="465"/>
        <w:rPr>
          <w:rFonts w:ascii="方正仿宋_GBK" w:hAnsi="宋体" w:eastAsia="方正仿宋_GBK"/>
          <w:sz w:val="24"/>
          <w:szCs w:val="24"/>
        </w:rPr>
      </w:pPr>
      <w:r>
        <w:rPr>
          <w:rFonts w:hint="eastAsia" w:ascii="方正仿宋_GBK" w:hAnsi="宋体" w:eastAsia="方正仿宋_GBK"/>
          <w:sz w:val="24"/>
          <w:szCs w:val="24"/>
        </w:rPr>
        <w:t>（一）因情况变化，不再符合规定的竞争性磋商采购方式适用情形的；</w:t>
      </w:r>
    </w:p>
    <w:p w14:paraId="257FA9BF">
      <w:pPr>
        <w:snapToGrid w:val="0"/>
        <w:spacing w:line="400" w:lineRule="exact"/>
        <w:ind w:firstLine="465"/>
        <w:rPr>
          <w:rFonts w:ascii="方正仿宋_GBK" w:hAnsi="宋体" w:eastAsia="方正仿宋_GBK"/>
          <w:sz w:val="24"/>
          <w:szCs w:val="24"/>
        </w:rPr>
      </w:pPr>
      <w:r>
        <w:rPr>
          <w:rFonts w:hint="eastAsia" w:ascii="方正仿宋_GBK" w:hAnsi="宋体" w:eastAsia="方正仿宋_GBK"/>
          <w:sz w:val="24"/>
          <w:szCs w:val="24"/>
        </w:rPr>
        <w:t>（二）出现影响采购公正的违法、违规行为的；</w:t>
      </w:r>
    </w:p>
    <w:p w14:paraId="57B45948">
      <w:pPr>
        <w:snapToGrid w:val="0"/>
        <w:spacing w:line="400" w:lineRule="exact"/>
        <w:ind w:firstLine="465"/>
        <w:jc w:val="center"/>
        <w:rPr>
          <w:rFonts w:ascii="方正仿宋_GBK" w:hAnsi="宋体" w:eastAsia="方正仿宋_GBK"/>
          <w:sz w:val="24"/>
          <w:szCs w:val="24"/>
        </w:rPr>
      </w:pPr>
      <w:r>
        <w:rPr>
          <w:rFonts w:hint="eastAsia" w:ascii="方正仿宋_GBK" w:hAnsi="宋体" w:eastAsia="方正仿宋_GBK"/>
          <w:sz w:val="24"/>
          <w:szCs w:val="24"/>
        </w:rPr>
        <w:t>（三）在采购过程中符合要求的供应商或者报价未超过采购预算的供应商不足</w:t>
      </w:r>
      <w:r>
        <w:rPr>
          <w:rFonts w:hint="eastAsia" w:ascii="Times New Roman" w:hAnsi="Times New Roman" w:eastAsia="方正仿宋_GBK"/>
          <w:sz w:val="24"/>
          <w:szCs w:val="24"/>
        </w:rPr>
        <w:t>3</w:t>
      </w:r>
      <w:r>
        <w:rPr>
          <w:rFonts w:hint="eastAsia" w:ascii="方正仿宋_GBK" w:hAnsi="宋体" w:eastAsia="方正仿宋_GBK"/>
          <w:sz w:val="24"/>
          <w:szCs w:val="24"/>
        </w:rPr>
        <w:t>家的，但《政府采购竞争性磋商采购方式管理暂行办法》第二十一条第三款规定的情形除外。</w:t>
      </w:r>
      <w:bookmarkStart w:id="82" w:name="_Toc76462337"/>
      <w:bookmarkStart w:id="83" w:name="_Toc106030892"/>
      <w:bookmarkStart w:id="84" w:name="_Toc1796"/>
      <w:bookmarkStart w:id="85" w:name="_Toc102227313"/>
    </w:p>
    <w:p w14:paraId="3C6E9763">
      <w:pPr>
        <w:rPr>
          <w:rFonts w:ascii="方正仿宋_GBK" w:hAnsi="宋体" w:eastAsia="方正仿宋_GBK"/>
          <w:sz w:val="24"/>
          <w:szCs w:val="24"/>
        </w:rPr>
      </w:pPr>
      <w:r>
        <w:rPr>
          <w:rFonts w:hint="eastAsia" w:ascii="方正仿宋_GBK" w:hAnsi="宋体" w:eastAsia="方正仿宋_GBK"/>
          <w:sz w:val="24"/>
          <w:szCs w:val="24"/>
        </w:rPr>
        <w:br w:type="page"/>
      </w:r>
    </w:p>
    <w:p w14:paraId="1B98CF58">
      <w:pPr>
        <w:pStyle w:val="2"/>
      </w:pPr>
    </w:p>
    <w:p w14:paraId="14B2D4EB">
      <w:pPr>
        <w:snapToGrid w:val="0"/>
        <w:spacing w:line="400" w:lineRule="exact"/>
        <w:ind w:firstLine="465"/>
        <w:jc w:val="center"/>
        <w:outlineLvl w:val="0"/>
        <w:rPr>
          <w:rFonts w:ascii="方正小标宋_GBK" w:hAnsi="宋体" w:eastAsia="方正小标宋_GBK"/>
          <w:bCs/>
          <w:sz w:val="36"/>
          <w:szCs w:val="30"/>
        </w:rPr>
      </w:pPr>
      <w:r>
        <w:rPr>
          <w:rFonts w:hint="eastAsia" w:ascii="方正小标宋_GBK" w:hAnsi="宋体" w:eastAsia="方正小标宋_GBK"/>
          <w:bCs/>
          <w:sz w:val="36"/>
          <w:szCs w:val="30"/>
        </w:rPr>
        <w:t>第五篇  供应商须知</w:t>
      </w:r>
      <w:bookmarkEnd w:id="82"/>
      <w:bookmarkEnd w:id="83"/>
      <w:bookmarkEnd w:id="84"/>
      <w:bookmarkEnd w:id="85"/>
    </w:p>
    <w:p w14:paraId="27CAA857">
      <w:pPr>
        <w:pStyle w:val="4"/>
        <w:adjustRightInd w:val="0"/>
        <w:snapToGrid w:val="0"/>
        <w:spacing w:before="0" w:after="0" w:line="440" w:lineRule="exact"/>
        <w:ind w:firstLine="482" w:firstLineChars="200"/>
        <w:rPr>
          <w:rFonts w:ascii="方正仿宋_GBK" w:hAnsi="宋体" w:eastAsia="方正仿宋_GBK"/>
          <w:sz w:val="24"/>
        </w:rPr>
      </w:pPr>
      <w:bookmarkStart w:id="86" w:name="_Toc76462338"/>
      <w:bookmarkStart w:id="87" w:name="_Toc106030893"/>
      <w:bookmarkStart w:id="88" w:name="_Toc8346"/>
      <w:bookmarkStart w:id="89" w:name="_Toc342913389"/>
      <w:r>
        <w:rPr>
          <w:rFonts w:hint="eastAsia" w:ascii="方正仿宋_GBK" w:hAnsi="宋体" w:eastAsia="方正仿宋_GBK"/>
          <w:sz w:val="24"/>
        </w:rPr>
        <w:t>一、磋商费用</w:t>
      </w:r>
      <w:bookmarkEnd w:id="86"/>
      <w:bookmarkEnd w:id="87"/>
      <w:bookmarkEnd w:id="88"/>
      <w:bookmarkEnd w:id="89"/>
    </w:p>
    <w:p w14:paraId="594BE8E9">
      <w:pPr>
        <w:pStyle w:val="197"/>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参与</w:t>
      </w:r>
      <w:r>
        <w:rPr>
          <w:rFonts w:hint="eastAsia" w:ascii="方正仿宋_GBK" w:eastAsia="方正仿宋_GBK"/>
          <w:sz w:val="24"/>
          <w:szCs w:val="24"/>
        </w:rPr>
        <w:t>磋商</w:t>
      </w:r>
      <w:r>
        <w:rPr>
          <w:rFonts w:hint="eastAsia" w:ascii="方正仿宋_GBK" w:hAnsi="宋体" w:eastAsia="方正仿宋_GBK"/>
          <w:sz w:val="24"/>
          <w:szCs w:val="24"/>
        </w:rPr>
        <w:t>的供应商应承担其编制响应文件与递交响应文件所涉及的一切费用，不论</w:t>
      </w:r>
      <w:r>
        <w:rPr>
          <w:rFonts w:hint="eastAsia" w:ascii="方正仿宋_GBK" w:eastAsia="方正仿宋_GBK"/>
          <w:sz w:val="24"/>
          <w:szCs w:val="24"/>
        </w:rPr>
        <w:t>磋商</w:t>
      </w:r>
      <w:r>
        <w:rPr>
          <w:rFonts w:hint="eastAsia" w:ascii="方正仿宋_GBK" w:hAnsi="宋体" w:eastAsia="方正仿宋_GBK"/>
          <w:sz w:val="24"/>
          <w:szCs w:val="24"/>
        </w:rPr>
        <w:t>结果如何，采购人和采购代理机构在任何情况下无义务也无责任承担这些费用。</w:t>
      </w:r>
    </w:p>
    <w:p w14:paraId="240AF100">
      <w:pPr>
        <w:pStyle w:val="4"/>
        <w:adjustRightInd w:val="0"/>
        <w:snapToGrid w:val="0"/>
        <w:spacing w:before="0" w:after="0" w:line="440" w:lineRule="exact"/>
        <w:ind w:firstLine="482" w:firstLineChars="200"/>
        <w:rPr>
          <w:rFonts w:ascii="方正仿宋_GBK" w:hAnsi="宋体" w:eastAsia="方正仿宋_GBK"/>
          <w:sz w:val="24"/>
        </w:rPr>
      </w:pPr>
      <w:bookmarkStart w:id="90" w:name="_Toc106030894"/>
      <w:bookmarkStart w:id="91" w:name="_Toc76462339"/>
      <w:bookmarkStart w:id="92" w:name="_Toc21292"/>
      <w:bookmarkStart w:id="93" w:name="_Toc342913391"/>
      <w:r>
        <w:rPr>
          <w:rFonts w:hint="eastAsia" w:ascii="方正仿宋_GBK" w:hAnsi="宋体" w:eastAsia="方正仿宋_GBK"/>
          <w:sz w:val="24"/>
        </w:rPr>
        <w:t>二、竞争性磋商文件</w:t>
      </w:r>
      <w:bookmarkEnd w:id="90"/>
      <w:bookmarkEnd w:id="91"/>
      <w:bookmarkEnd w:id="92"/>
      <w:bookmarkEnd w:id="93"/>
    </w:p>
    <w:p w14:paraId="4B0634A4">
      <w:pPr>
        <w:snapToGrid w:val="0"/>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（一）竞争性磋商文件由采购邀请书、项目服务需求、供应商须知、项目商务需求、磋商程序及方法、评审标准、无效响应和采购终止、供应商须知</w:t>
      </w:r>
      <w:r>
        <w:rPr>
          <w:rFonts w:hint="eastAsia" w:ascii="方正仿宋_GBK" w:hAnsi="宋体" w:eastAsia="方正仿宋_GBK"/>
          <w:b/>
          <w:sz w:val="24"/>
          <w:szCs w:val="24"/>
        </w:rPr>
        <w:t>、</w:t>
      </w:r>
      <w:r>
        <w:rPr>
          <w:rFonts w:hint="eastAsia" w:ascii="方正仿宋_GBK" w:hAnsi="宋体" w:eastAsia="方正仿宋_GBK"/>
          <w:sz w:val="24"/>
          <w:szCs w:val="24"/>
        </w:rPr>
        <w:t>政府采购合同</w:t>
      </w:r>
      <w:r>
        <w:rPr>
          <w:rFonts w:hint="eastAsia" w:ascii="方正仿宋_GBK" w:hAnsi="宋体" w:eastAsia="方正仿宋_GBK"/>
          <w:b/>
          <w:sz w:val="24"/>
          <w:szCs w:val="24"/>
        </w:rPr>
        <w:t>、</w:t>
      </w:r>
      <w:r>
        <w:rPr>
          <w:rFonts w:hint="eastAsia" w:ascii="方正仿宋_GBK" w:hAnsi="宋体" w:eastAsia="方正仿宋_GBK"/>
          <w:sz w:val="24"/>
          <w:szCs w:val="24"/>
        </w:rPr>
        <w:t>响应文件编制要求七部分组成。</w:t>
      </w:r>
    </w:p>
    <w:p w14:paraId="2B1C2E5E">
      <w:pPr>
        <w:snapToGrid w:val="0"/>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（二）采购人（或采购代理机构）所作的一切有效的书面通知、修改及补充，都是竞争性磋商文件不可分割的部分。</w:t>
      </w:r>
    </w:p>
    <w:p w14:paraId="0FF37AB7">
      <w:pPr>
        <w:snapToGrid w:val="0"/>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（三）竞争性磋商文件的解释</w:t>
      </w:r>
    </w:p>
    <w:p w14:paraId="653B6ED3">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供应商如对竞争性磋商文件有疑问，必须以书面形式在提交响应文件截止时间</w:t>
      </w:r>
      <w:r>
        <w:rPr>
          <w:rFonts w:hint="eastAsia" w:ascii="Times New Roman" w:hAnsi="Times New Roman" w:eastAsia="方正仿宋_GBK"/>
          <w:sz w:val="24"/>
          <w:szCs w:val="24"/>
        </w:rPr>
        <w:t>3</w:t>
      </w:r>
      <w:r>
        <w:rPr>
          <w:rFonts w:hint="eastAsia" w:ascii="方正仿宋_GBK" w:hAnsi="宋体" w:eastAsia="方正仿宋_GBK"/>
          <w:sz w:val="24"/>
          <w:szCs w:val="24"/>
        </w:rPr>
        <w:t>个工作日前向采购人（或采购代理机构）要求澄清，采购人（或采购代理机构）可视具体情况做出处理或答复。如供应商未提出疑问，视为完全理解并同意本竞争性磋商文件。一经进入磋商程序，即视为供应商已详细阅读全部文件资料，完全理解竞争性磋商文件所有条款内容并同意放弃对这方面有不明白及误解的权利。</w:t>
      </w:r>
      <w:bookmarkStart w:id="94" w:name="_Toc318166429"/>
      <w:bookmarkStart w:id="95" w:name="_Toc318159349"/>
      <w:bookmarkStart w:id="96" w:name="_Toc318159780"/>
      <w:bookmarkStart w:id="97" w:name="_Toc318159160"/>
    </w:p>
    <w:p w14:paraId="1011FE1C">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（四）本竞争性磋商文件中，磋商小组根据与供应商进行磋商可能实质性变动的内容为竞争性磋商文件第二、三、六篇全部内容。</w:t>
      </w:r>
    </w:p>
    <w:p w14:paraId="52305A2F">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（五）评审的依据为竞争性磋商文件和响应文件（含有效的书面承诺）。磋商小组判断响应文件对竞争性磋商文件的响应，仅基于响应文件本身而不靠外部证据。</w:t>
      </w:r>
    </w:p>
    <w:bookmarkEnd w:id="94"/>
    <w:bookmarkEnd w:id="95"/>
    <w:bookmarkEnd w:id="96"/>
    <w:bookmarkEnd w:id="97"/>
    <w:p w14:paraId="2FBF41A0">
      <w:pPr>
        <w:pStyle w:val="4"/>
        <w:adjustRightInd w:val="0"/>
        <w:snapToGrid w:val="0"/>
        <w:spacing w:before="0" w:after="0" w:line="440" w:lineRule="exact"/>
        <w:ind w:firstLine="482" w:firstLineChars="200"/>
        <w:rPr>
          <w:rFonts w:ascii="方正仿宋_GBK" w:hAnsi="宋体" w:eastAsia="方正仿宋_GBK"/>
          <w:sz w:val="24"/>
        </w:rPr>
      </w:pPr>
      <w:bookmarkStart w:id="98" w:name="_Toc106030895"/>
      <w:bookmarkStart w:id="99" w:name="_Toc342913392"/>
      <w:bookmarkStart w:id="100" w:name="_Toc102227318"/>
      <w:bookmarkStart w:id="101" w:name="_Toc19498"/>
      <w:bookmarkStart w:id="102" w:name="_Toc76462340"/>
      <w:bookmarkStart w:id="103" w:name="_Toc179714297"/>
      <w:r>
        <w:rPr>
          <w:rFonts w:hint="eastAsia" w:ascii="方正仿宋_GBK" w:hAnsi="宋体" w:eastAsia="方正仿宋_GBK"/>
          <w:sz w:val="24"/>
        </w:rPr>
        <w:t>三、磋商要求</w:t>
      </w:r>
      <w:bookmarkEnd w:id="98"/>
      <w:bookmarkEnd w:id="99"/>
      <w:bookmarkEnd w:id="100"/>
      <w:bookmarkEnd w:id="101"/>
      <w:bookmarkEnd w:id="102"/>
      <w:bookmarkEnd w:id="103"/>
    </w:p>
    <w:p w14:paraId="71E9A99B">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（一）响应文件</w:t>
      </w:r>
    </w:p>
    <w:p w14:paraId="7B13F475">
      <w:pPr>
        <w:spacing w:line="440" w:lineRule="exact"/>
        <w:ind w:firstLine="480" w:firstLineChars="200"/>
        <w:rPr>
          <w:rFonts w:ascii="方正仿宋_GBK" w:hAnsi="宋体" w:eastAsia="方正仿宋_GBK"/>
          <w:sz w:val="24"/>
          <w:szCs w:val="24"/>
        </w:rPr>
      </w:pPr>
      <w:r>
        <w:rPr>
          <w:rFonts w:hint="eastAsia" w:ascii="Times New Roman" w:hAnsi="Times New Roman" w:eastAsia="方正仿宋_GBK"/>
          <w:sz w:val="24"/>
          <w:szCs w:val="24"/>
        </w:rPr>
        <w:t>1</w:t>
      </w:r>
      <w:r>
        <w:rPr>
          <w:rFonts w:hint="eastAsia" w:ascii="方正仿宋_GBK" w:hAnsi="宋体" w:eastAsia="方正仿宋_GBK"/>
          <w:sz w:val="24"/>
          <w:szCs w:val="24"/>
        </w:rPr>
        <w:t>.供应商应当按照竞争性磋商文件的要求编制响应文件，并对竞争性磋商文件提出的要求和条件作出实质性响应，响应文件原则上采用软面订本，同时应编制完整的页码、目录。</w:t>
      </w:r>
    </w:p>
    <w:p w14:paraId="35611950">
      <w:pPr>
        <w:spacing w:line="440" w:lineRule="exact"/>
        <w:ind w:firstLine="480" w:firstLineChars="200"/>
        <w:rPr>
          <w:rFonts w:ascii="方正仿宋_GBK" w:hAnsi="宋体" w:eastAsia="方正仿宋_GBK"/>
          <w:sz w:val="24"/>
          <w:szCs w:val="24"/>
        </w:rPr>
      </w:pPr>
      <w:r>
        <w:rPr>
          <w:rFonts w:hint="eastAsia" w:ascii="Times New Roman" w:hAnsi="Times New Roman" w:eastAsia="方正仿宋_GBK"/>
          <w:sz w:val="24"/>
          <w:szCs w:val="24"/>
        </w:rPr>
        <w:t>2</w:t>
      </w:r>
      <w:r>
        <w:rPr>
          <w:rFonts w:hint="eastAsia" w:ascii="方正仿宋_GBK" w:hAnsi="宋体" w:eastAsia="方正仿宋_GBK"/>
          <w:sz w:val="24"/>
          <w:szCs w:val="24"/>
        </w:rPr>
        <w:t>.响应文件组成</w:t>
      </w:r>
    </w:p>
    <w:p w14:paraId="0FABE717">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响应文件由“第七篇响应文件编制要求”规定的部分和供应商所作的一切有效补充、修改和承诺等文件组成，供应商应按照“第七篇响应文件编制要求”规定的目录顺序组织编写和装订，也可在基本格式基础上对表格进行扩展，未规定格式的由供应商自定格式。</w:t>
      </w:r>
    </w:p>
    <w:p w14:paraId="3A28BEB0">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（二）联合体</w:t>
      </w:r>
    </w:p>
    <w:p w14:paraId="192D002D">
      <w:pPr>
        <w:spacing w:line="440" w:lineRule="exact"/>
        <w:ind w:firstLine="480" w:firstLineChars="200"/>
        <w:rPr>
          <w:rFonts w:ascii="方正仿宋_GBK" w:hAnsi="宋体" w:eastAsia="方正仿宋_GBK"/>
          <w:sz w:val="24"/>
          <w:szCs w:val="24"/>
        </w:rPr>
      </w:pPr>
      <w:r>
        <w:rPr>
          <w:rFonts w:hint="eastAsia" w:ascii="Times New Roman" w:hAnsi="Times New Roman" w:eastAsia="方正仿宋_GBK"/>
          <w:sz w:val="24"/>
          <w:szCs w:val="24"/>
        </w:rPr>
        <w:t>1</w:t>
      </w:r>
      <w:r>
        <w:rPr>
          <w:rFonts w:hint="eastAsia" w:ascii="方正仿宋_GBK" w:hAnsi="宋体" w:eastAsia="方正仿宋_GBK"/>
          <w:sz w:val="24"/>
          <w:szCs w:val="24"/>
        </w:rPr>
        <w:t>.两个以上供应商可以组成一个联合体，以一个供应商的身份共同参与磋商。</w:t>
      </w:r>
    </w:p>
    <w:p w14:paraId="6F42430F">
      <w:pPr>
        <w:spacing w:line="440" w:lineRule="exact"/>
        <w:ind w:firstLine="480" w:firstLineChars="200"/>
        <w:rPr>
          <w:rFonts w:ascii="方正仿宋_GBK" w:hAnsi="宋体" w:eastAsia="方正仿宋_GBK"/>
          <w:sz w:val="24"/>
          <w:szCs w:val="24"/>
        </w:rPr>
      </w:pPr>
      <w:r>
        <w:rPr>
          <w:rFonts w:hint="eastAsia" w:ascii="Times New Roman" w:hAnsi="Times New Roman" w:eastAsia="方正仿宋_GBK"/>
          <w:sz w:val="24"/>
          <w:szCs w:val="24"/>
        </w:rPr>
        <w:t>2</w:t>
      </w:r>
      <w:r>
        <w:rPr>
          <w:rFonts w:hint="eastAsia" w:ascii="方正仿宋_GBK" w:hAnsi="宋体" w:eastAsia="方正仿宋_GBK"/>
          <w:sz w:val="24"/>
          <w:szCs w:val="24"/>
        </w:rPr>
        <w:t>.以联合体形式参加磋商的，联合体各方均应满足</w:t>
      </w:r>
      <w:r>
        <w:rPr>
          <w:rFonts w:hint="eastAsia" w:ascii="方正仿宋_GBK" w:eastAsia="方正仿宋_GBK"/>
          <w:sz w:val="24"/>
          <w:szCs w:val="24"/>
        </w:rPr>
        <w:t>供应商资格条件</w:t>
      </w:r>
      <w:r>
        <w:rPr>
          <w:rFonts w:hint="eastAsia" w:ascii="方正仿宋_GBK" w:hAnsi="宋体" w:eastAsia="方正仿宋_GBK"/>
          <w:sz w:val="24"/>
          <w:szCs w:val="24"/>
        </w:rPr>
        <w:t>（详见“第一篇”）</w:t>
      </w:r>
      <w:r>
        <w:rPr>
          <w:rFonts w:ascii="方正仿宋_GBK" w:hAnsi="宋体" w:eastAsia="方正仿宋_GBK"/>
          <w:sz w:val="24"/>
        </w:rPr>
        <w:t>联合体中有同类资质的供应商按照联合体分工承担相同工作的，应当按照资质等级较低的供应商确定资质等级。</w:t>
      </w:r>
    </w:p>
    <w:p w14:paraId="0D813E05">
      <w:pPr>
        <w:spacing w:line="440" w:lineRule="exact"/>
        <w:ind w:firstLine="480" w:firstLineChars="200"/>
        <w:rPr>
          <w:rFonts w:ascii="方正仿宋_GBK" w:hAnsi="宋体" w:eastAsia="方正仿宋_GBK"/>
          <w:sz w:val="24"/>
          <w:szCs w:val="24"/>
        </w:rPr>
      </w:pPr>
      <w:r>
        <w:rPr>
          <w:rFonts w:hint="eastAsia" w:ascii="Times New Roman" w:hAnsi="Times New Roman" w:eastAsia="方正仿宋_GBK"/>
          <w:sz w:val="24"/>
          <w:szCs w:val="24"/>
        </w:rPr>
        <w:t>3</w:t>
      </w:r>
      <w:r>
        <w:rPr>
          <w:rFonts w:hint="eastAsia" w:ascii="方正仿宋_GBK" w:hAnsi="宋体" w:eastAsia="方正仿宋_GBK"/>
          <w:sz w:val="24"/>
          <w:szCs w:val="24"/>
        </w:rPr>
        <w:t>.联合体各方之间应当签订共同联合协议，共同联合协议中应确定主办方（主体），代表联合体进行磋商和澄清。共同联合协议应明确约定联合体各方承担的工作和相应的责任及协议合同金额，并将共同联合协议连同响应文件一并提交采购人和采购代理机构。</w:t>
      </w:r>
    </w:p>
    <w:p w14:paraId="3E2842A9">
      <w:pPr>
        <w:spacing w:line="440" w:lineRule="exact"/>
        <w:ind w:firstLine="480" w:firstLineChars="200"/>
        <w:rPr>
          <w:rFonts w:ascii="方正仿宋_GBK" w:hAnsi="宋体" w:eastAsia="方正仿宋_GBK"/>
          <w:sz w:val="24"/>
          <w:szCs w:val="24"/>
        </w:rPr>
      </w:pPr>
      <w:r>
        <w:rPr>
          <w:rFonts w:hint="eastAsia" w:ascii="Times New Roman" w:hAnsi="Times New Roman" w:eastAsia="方正仿宋_GBK"/>
          <w:sz w:val="24"/>
          <w:szCs w:val="24"/>
        </w:rPr>
        <w:t>4</w:t>
      </w:r>
      <w:r>
        <w:rPr>
          <w:rFonts w:hint="eastAsia" w:ascii="方正仿宋_GBK" w:hAnsi="宋体" w:eastAsia="方正仿宋_GBK"/>
          <w:sz w:val="24"/>
          <w:szCs w:val="24"/>
        </w:rPr>
        <w:t>.</w:t>
      </w:r>
      <w:r>
        <w:rPr>
          <w:rFonts w:ascii="方正仿宋_GBK" w:hAnsi="宋体" w:eastAsia="方正仿宋_GBK"/>
          <w:sz w:val="24"/>
        </w:rPr>
        <w:t>以联合体形式参加政府采购活动的，联合体各方不得再单独参加或者与其他供应商另外组成联合体参加同一合同项下的政府采购活动。</w:t>
      </w:r>
    </w:p>
    <w:p w14:paraId="7A6BEAB9">
      <w:pPr>
        <w:spacing w:line="440" w:lineRule="exact"/>
        <w:ind w:firstLine="480" w:firstLineChars="200"/>
        <w:rPr>
          <w:rFonts w:ascii="方正仿宋_GBK" w:hAnsi="宋体" w:eastAsia="方正仿宋_GBK"/>
          <w:sz w:val="24"/>
          <w:szCs w:val="24"/>
        </w:rPr>
      </w:pPr>
      <w:r>
        <w:rPr>
          <w:rFonts w:hint="eastAsia" w:ascii="Times New Roman" w:hAnsi="Times New Roman" w:eastAsia="方正仿宋_GBK"/>
          <w:sz w:val="24"/>
          <w:szCs w:val="24"/>
        </w:rPr>
        <w:t>5</w:t>
      </w:r>
      <w:r>
        <w:rPr>
          <w:rFonts w:hint="eastAsia" w:ascii="方正仿宋_GBK" w:hAnsi="宋体" w:eastAsia="方正仿宋_GBK"/>
          <w:sz w:val="24"/>
          <w:szCs w:val="24"/>
        </w:rPr>
        <w:t>.联合体业绩计算，按照共同联合协议分工认定。</w:t>
      </w:r>
    </w:p>
    <w:p w14:paraId="48DF9E0F">
      <w:pPr>
        <w:spacing w:line="440" w:lineRule="exact"/>
        <w:ind w:firstLine="480" w:firstLineChars="200"/>
        <w:rPr>
          <w:rFonts w:ascii="方正仿宋_GBK" w:hAnsi="宋体" w:eastAsia="方正仿宋_GBK"/>
          <w:sz w:val="24"/>
          <w:szCs w:val="24"/>
        </w:rPr>
      </w:pPr>
      <w:r>
        <w:rPr>
          <w:rFonts w:hint="eastAsia" w:ascii="Times New Roman" w:hAnsi="Times New Roman" w:eastAsia="方正仿宋_GBK"/>
          <w:sz w:val="24"/>
          <w:szCs w:val="24"/>
        </w:rPr>
        <w:t>6</w:t>
      </w:r>
      <w:r>
        <w:rPr>
          <w:rFonts w:hint="eastAsia" w:ascii="方正仿宋_GBK" w:hAnsi="宋体" w:eastAsia="方正仿宋_GBK"/>
          <w:sz w:val="24"/>
          <w:szCs w:val="24"/>
        </w:rPr>
        <w:t>.</w:t>
      </w:r>
      <w:r>
        <w:rPr>
          <w:rFonts w:ascii="方正仿宋_GBK" w:hAnsi="宋体" w:eastAsia="方正仿宋_GBK"/>
          <w:sz w:val="24"/>
          <w:szCs w:val="24"/>
        </w:rPr>
        <w:t>两个以上的自然人、法人或者其他组织组成一个联合体，以一个供应商的身份共同参加政府采购活动的，</w:t>
      </w:r>
      <w:r>
        <w:rPr>
          <w:rFonts w:hint="eastAsia" w:ascii="方正仿宋_GBK" w:hAnsi="宋体" w:eastAsia="方正仿宋_GBK"/>
          <w:sz w:val="24"/>
          <w:szCs w:val="24"/>
        </w:rPr>
        <w:t>将</w:t>
      </w:r>
      <w:r>
        <w:rPr>
          <w:rFonts w:ascii="方正仿宋_GBK" w:hAnsi="宋体" w:eastAsia="方正仿宋_GBK"/>
          <w:sz w:val="24"/>
          <w:szCs w:val="24"/>
        </w:rPr>
        <w:t>对所有联合体成员进行信用记录查询，联合体成员存在不良信用记录的，视同联合体存在不良信用记录</w:t>
      </w:r>
      <w:r>
        <w:rPr>
          <w:rFonts w:hint="eastAsia" w:ascii="方正仿宋_GBK" w:hAnsi="宋体" w:eastAsia="方正仿宋_GBK"/>
          <w:sz w:val="24"/>
          <w:szCs w:val="24"/>
        </w:rPr>
        <w:t>，将</w:t>
      </w:r>
      <w:r>
        <w:rPr>
          <w:rFonts w:ascii="方正仿宋_GBK" w:hAnsi="宋体" w:eastAsia="方正仿宋_GBK"/>
          <w:sz w:val="24"/>
          <w:szCs w:val="24"/>
        </w:rPr>
        <w:t>拒绝</w:t>
      </w:r>
      <w:r>
        <w:rPr>
          <w:rFonts w:hint="eastAsia" w:ascii="方正仿宋_GBK" w:hAnsi="宋体" w:eastAsia="方正仿宋_GBK"/>
          <w:sz w:val="24"/>
          <w:szCs w:val="24"/>
        </w:rPr>
        <w:t>该联合体</w:t>
      </w:r>
      <w:r>
        <w:rPr>
          <w:rFonts w:ascii="方正仿宋_GBK" w:hAnsi="宋体" w:eastAsia="方正仿宋_GBK"/>
          <w:sz w:val="24"/>
          <w:szCs w:val="24"/>
        </w:rPr>
        <w:t>参与政府采购活动。</w:t>
      </w:r>
    </w:p>
    <w:p w14:paraId="76FB4D8D">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（三）磋商有效期：响应文件及有关承诺文件有效期为提交响应文件截止时间起</w:t>
      </w:r>
      <w:r>
        <w:rPr>
          <w:rFonts w:hint="eastAsia" w:ascii="Times New Roman" w:hAnsi="Times New Roman" w:eastAsia="方正仿宋_GBK"/>
          <w:sz w:val="24"/>
          <w:szCs w:val="24"/>
        </w:rPr>
        <w:t>90</w:t>
      </w:r>
      <w:r>
        <w:rPr>
          <w:rFonts w:hint="eastAsia" w:ascii="方正仿宋_GBK" w:hAnsi="宋体" w:eastAsia="方正仿宋_GBK"/>
          <w:sz w:val="24"/>
          <w:szCs w:val="24"/>
        </w:rPr>
        <w:t>天。</w:t>
      </w:r>
    </w:p>
    <w:p w14:paraId="6496564A">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（四）修正错误</w:t>
      </w:r>
    </w:p>
    <w:p w14:paraId="56C60533">
      <w:pPr>
        <w:spacing w:line="440" w:lineRule="exact"/>
        <w:ind w:firstLine="480" w:firstLineChars="200"/>
        <w:rPr>
          <w:rFonts w:ascii="方正仿宋_GBK" w:hAnsi="宋体" w:eastAsia="方正仿宋_GBK"/>
          <w:sz w:val="24"/>
          <w:szCs w:val="24"/>
        </w:rPr>
      </w:pPr>
      <w:r>
        <w:rPr>
          <w:rFonts w:hint="eastAsia" w:ascii="Times New Roman" w:hAnsi="Times New Roman" w:eastAsia="方正仿宋_GBK"/>
          <w:sz w:val="24"/>
          <w:szCs w:val="24"/>
        </w:rPr>
        <w:t>1</w:t>
      </w:r>
      <w:r>
        <w:rPr>
          <w:rFonts w:hint="eastAsia" w:ascii="方正仿宋_GBK" w:hAnsi="宋体" w:eastAsia="方正仿宋_GBK"/>
          <w:sz w:val="24"/>
          <w:szCs w:val="24"/>
        </w:rPr>
        <w:t>.若供应商所递交的响应文件或最后报价中的价格出现大写金额和小写金额不一致的错误，以大写金额修正为准。</w:t>
      </w:r>
    </w:p>
    <w:p w14:paraId="64750E26">
      <w:pPr>
        <w:spacing w:line="440" w:lineRule="exact"/>
        <w:ind w:firstLine="480" w:firstLineChars="200"/>
        <w:rPr>
          <w:rFonts w:ascii="方正仿宋_GBK" w:hAnsi="宋体" w:eastAsia="方正仿宋_GBK"/>
          <w:sz w:val="24"/>
          <w:szCs w:val="24"/>
        </w:rPr>
      </w:pPr>
      <w:r>
        <w:rPr>
          <w:rFonts w:hint="eastAsia" w:ascii="Times New Roman" w:hAnsi="Times New Roman" w:eastAsia="方正仿宋_GBK"/>
          <w:sz w:val="24"/>
          <w:szCs w:val="24"/>
        </w:rPr>
        <w:t>2</w:t>
      </w:r>
      <w:r>
        <w:rPr>
          <w:rFonts w:hint="eastAsia" w:ascii="方正仿宋_GBK" w:hAnsi="宋体" w:eastAsia="方正仿宋_GBK"/>
          <w:sz w:val="24"/>
          <w:szCs w:val="24"/>
        </w:rPr>
        <w:t>.磋商小组按上述修正错误的原则及方法修正供应商的报价，供应商同意并签字确认后，修正后的报价对供应商具有约束作用。如果供应商不接受修正后的价格，将失去成为成交供应商的资格。</w:t>
      </w:r>
    </w:p>
    <w:p w14:paraId="763E2D97">
      <w:pPr>
        <w:snapToGrid w:val="0"/>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（五）提交响应文件的份数和签署</w:t>
      </w:r>
    </w:p>
    <w:p w14:paraId="5E336C4A">
      <w:pPr>
        <w:snapToGrid w:val="0"/>
        <w:spacing w:line="440" w:lineRule="exact"/>
        <w:ind w:firstLine="480" w:firstLineChars="200"/>
        <w:rPr>
          <w:rFonts w:ascii="方正仿宋_GBK" w:hAnsi="宋体" w:eastAsia="方正仿宋_GBK"/>
          <w:sz w:val="24"/>
          <w:szCs w:val="24"/>
        </w:rPr>
      </w:pPr>
      <w:r>
        <w:rPr>
          <w:rFonts w:hint="eastAsia" w:ascii="Times New Roman" w:hAnsi="Times New Roman" w:eastAsia="方正仿宋_GBK"/>
          <w:sz w:val="24"/>
          <w:szCs w:val="24"/>
        </w:rPr>
        <w:t>1</w:t>
      </w:r>
      <w:r>
        <w:rPr>
          <w:rFonts w:hint="eastAsia" w:ascii="方正仿宋_GBK" w:hAnsi="宋体" w:eastAsia="方正仿宋_GBK"/>
          <w:sz w:val="24"/>
          <w:szCs w:val="24"/>
        </w:rPr>
        <w:t>.响应文件一式四份，其中正本一份，副本二份，电子文件一份，推荐使用u盘为载体；副本可为正本的复印件，应与正本一致，如出现不一致情况以正本为准。</w:t>
      </w:r>
    </w:p>
    <w:p w14:paraId="2A6C652C">
      <w:pPr>
        <w:snapToGrid w:val="0"/>
        <w:spacing w:line="440" w:lineRule="exact"/>
        <w:ind w:firstLine="480" w:firstLineChars="200"/>
        <w:rPr>
          <w:rFonts w:ascii="方正仿宋_GBK" w:hAnsi="宋体" w:eastAsia="方正仿宋_GBK"/>
          <w:sz w:val="24"/>
          <w:szCs w:val="24"/>
        </w:rPr>
      </w:pPr>
      <w:r>
        <w:rPr>
          <w:rFonts w:hint="eastAsia" w:ascii="Times New Roman" w:hAnsi="Times New Roman" w:eastAsia="方正仿宋_GBK"/>
          <w:sz w:val="24"/>
          <w:szCs w:val="24"/>
        </w:rPr>
        <w:t>2</w:t>
      </w:r>
      <w:r>
        <w:rPr>
          <w:rFonts w:hint="eastAsia" w:ascii="方正仿宋_GBK" w:hAnsi="宋体" w:eastAsia="方正仿宋_GBK"/>
          <w:sz w:val="24"/>
          <w:szCs w:val="24"/>
        </w:rPr>
        <w:t>.</w:t>
      </w:r>
      <w:r>
        <w:rPr>
          <w:rFonts w:hint="eastAsia" w:ascii="方正仿宋_GBK" w:hAnsi="宋体" w:eastAsia="方正仿宋_GBK"/>
          <w:sz w:val="24"/>
        </w:rPr>
        <w:t>响应文件按竞争性磋商文件“第七篇响应文件编制要求”要求签署或盖章。</w:t>
      </w:r>
    </w:p>
    <w:p w14:paraId="3C494B8F">
      <w:pPr>
        <w:snapToGrid w:val="0"/>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（六）响应文件的递交</w:t>
      </w:r>
    </w:p>
    <w:p w14:paraId="10EDDA0B">
      <w:pPr>
        <w:snapToGrid w:val="0"/>
        <w:spacing w:line="440" w:lineRule="exact"/>
        <w:ind w:firstLine="480" w:firstLineChars="200"/>
        <w:rPr>
          <w:rFonts w:ascii="方正仿宋_GBK" w:hAnsi="宋体" w:eastAsia="方正仿宋_GBK"/>
          <w:sz w:val="24"/>
        </w:rPr>
      </w:pPr>
      <w:r>
        <w:rPr>
          <w:rFonts w:hint="eastAsia" w:ascii="方正仿宋_GBK" w:hAnsi="宋体" w:eastAsia="方正仿宋_GBK"/>
          <w:sz w:val="24"/>
        </w:rPr>
        <w:t>响应文件的正本、副本以及电子文档均应密封送达报价地点，应在封套上注明询价项目名称、供应商名称。若正本、副本以及电子文档分别进行密封的，还应在封套上注明“正本”、“副本”、“电子文档”字样。</w:t>
      </w:r>
    </w:p>
    <w:p w14:paraId="662A30DD">
      <w:pPr>
        <w:snapToGrid w:val="0"/>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（七）供应商参与人员</w:t>
      </w:r>
    </w:p>
    <w:p w14:paraId="04C2250E">
      <w:pPr>
        <w:snapToGrid w:val="0"/>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各个供应商应当派</w:t>
      </w:r>
      <w:r>
        <w:rPr>
          <w:rFonts w:hint="eastAsia" w:ascii="Times New Roman" w:hAnsi="Times New Roman" w:eastAsia="方正仿宋_GBK"/>
          <w:sz w:val="24"/>
          <w:szCs w:val="24"/>
        </w:rPr>
        <w:t>1</w:t>
      </w:r>
      <w:r>
        <w:rPr>
          <w:rFonts w:hint="eastAsia" w:ascii="方正仿宋_GBK" w:hAnsi="宋体" w:eastAsia="方正仿宋_GBK"/>
          <w:sz w:val="24"/>
          <w:szCs w:val="24"/>
        </w:rPr>
        <w:t>-</w:t>
      </w:r>
      <w:r>
        <w:rPr>
          <w:rFonts w:hint="eastAsia" w:ascii="Times New Roman" w:hAnsi="Times New Roman" w:eastAsia="方正仿宋_GBK"/>
          <w:sz w:val="24"/>
          <w:szCs w:val="24"/>
        </w:rPr>
        <w:t>2</w:t>
      </w:r>
      <w:r>
        <w:rPr>
          <w:rFonts w:hint="eastAsia" w:ascii="方正仿宋_GBK" w:hAnsi="宋体" w:eastAsia="方正仿宋_GBK"/>
          <w:sz w:val="24"/>
          <w:szCs w:val="24"/>
        </w:rPr>
        <w:t>名代表参与磋商，至少</w:t>
      </w:r>
      <w:r>
        <w:rPr>
          <w:rFonts w:hint="eastAsia" w:ascii="Times New Roman" w:hAnsi="Times New Roman" w:eastAsia="方正仿宋_GBK"/>
          <w:sz w:val="24"/>
          <w:szCs w:val="24"/>
        </w:rPr>
        <w:t>1</w:t>
      </w:r>
      <w:r>
        <w:rPr>
          <w:rFonts w:hint="eastAsia" w:ascii="方正仿宋_GBK" w:hAnsi="宋体" w:eastAsia="方正仿宋_GBK"/>
          <w:sz w:val="24"/>
          <w:szCs w:val="24"/>
        </w:rPr>
        <w:t>人应为法定代表人（或单位负责人）（或其授权代表）。</w:t>
      </w:r>
    </w:p>
    <w:p w14:paraId="1C43B0BC">
      <w:pPr>
        <w:pStyle w:val="4"/>
        <w:adjustRightInd w:val="0"/>
        <w:snapToGrid w:val="0"/>
        <w:spacing w:before="0" w:after="0" w:line="440" w:lineRule="exact"/>
        <w:ind w:firstLine="482" w:firstLineChars="200"/>
        <w:rPr>
          <w:rFonts w:ascii="方正仿宋_GBK" w:hAnsi="宋体" w:eastAsia="方正仿宋_GBK"/>
          <w:sz w:val="24"/>
        </w:rPr>
      </w:pPr>
      <w:bookmarkStart w:id="104" w:name="_Toc106030896"/>
      <w:bookmarkStart w:id="105" w:name="_Toc17153"/>
      <w:bookmarkStart w:id="106" w:name="_Toc76462341"/>
      <w:r>
        <w:rPr>
          <w:rFonts w:hint="eastAsia" w:ascii="方正仿宋_GBK" w:hAnsi="宋体" w:eastAsia="方正仿宋_GBK"/>
          <w:sz w:val="24"/>
        </w:rPr>
        <w:t>四、成交供应商的确认和变更</w:t>
      </w:r>
      <w:bookmarkEnd w:id="104"/>
      <w:bookmarkEnd w:id="105"/>
      <w:bookmarkEnd w:id="106"/>
    </w:p>
    <w:p w14:paraId="3A829E91">
      <w:pPr>
        <w:snapToGrid w:val="0"/>
        <w:spacing w:line="440" w:lineRule="exact"/>
        <w:ind w:firstLine="480" w:firstLineChars="200"/>
        <w:outlineLvl w:val="2"/>
        <w:rPr>
          <w:rFonts w:ascii="方正仿宋_GBK" w:hAnsi="宋体" w:eastAsia="方正仿宋_GBK"/>
          <w:sz w:val="24"/>
          <w:szCs w:val="24"/>
        </w:rPr>
      </w:pPr>
      <w:r>
        <w:rPr>
          <w:rFonts w:hint="eastAsia" w:ascii="方正仿宋_GBK" w:hAnsi="宋体" w:eastAsia="方正仿宋_GBK"/>
          <w:sz w:val="24"/>
          <w:szCs w:val="24"/>
        </w:rPr>
        <w:t>（一）成交供应商的确认</w:t>
      </w:r>
    </w:p>
    <w:p w14:paraId="56B7494C">
      <w:pPr>
        <w:snapToGrid w:val="0"/>
        <w:spacing w:line="440" w:lineRule="exact"/>
        <w:ind w:firstLine="480" w:firstLineChars="200"/>
        <w:rPr>
          <w:rFonts w:ascii="方正仿宋_GBK" w:hAnsi="宋体" w:eastAsia="方正仿宋_GBK"/>
          <w:sz w:val="24"/>
          <w:szCs w:val="24"/>
        </w:rPr>
      </w:pPr>
      <w:r>
        <w:rPr>
          <w:rFonts w:ascii="方正仿宋_GBK" w:hAnsi="宋体" w:eastAsia="方正仿宋_GBK"/>
          <w:sz w:val="24"/>
          <w:szCs w:val="24"/>
        </w:rPr>
        <w:t>采购代理机构应当在评审结束后</w:t>
      </w:r>
      <w:r>
        <w:rPr>
          <w:rFonts w:ascii="Times New Roman" w:hAnsi="Times New Roman" w:eastAsia="方正仿宋_GBK"/>
          <w:sz w:val="24"/>
          <w:szCs w:val="24"/>
        </w:rPr>
        <w:t>2</w:t>
      </w:r>
      <w:r>
        <w:rPr>
          <w:rFonts w:ascii="方正仿宋_GBK" w:hAnsi="宋体" w:eastAsia="方正仿宋_GBK"/>
          <w:sz w:val="24"/>
          <w:szCs w:val="24"/>
        </w:rPr>
        <w:t>个工作日内将评审报告送采购人确认。采购人应当在收到评审报告后</w:t>
      </w:r>
      <w:r>
        <w:rPr>
          <w:rFonts w:ascii="Times New Roman" w:hAnsi="Times New Roman" w:eastAsia="方正仿宋_GBK"/>
          <w:sz w:val="24"/>
          <w:szCs w:val="24"/>
        </w:rPr>
        <w:t>5</w:t>
      </w:r>
      <w:r>
        <w:rPr>
          <w:rFonts w:ascii="方正仿宋_GBK" w:hAnsi="宋体" w:eastAsia="方正仿宋_GBK"/>
          <w:sz w:val="24"/>
          <w:szCs w:val="24"/>
        </w:rPr>
        <w:t>个工作日内</w:t>
      </w:r>
      <w:r>
        <w:rPr>
          <w:rFonts w:hint="eastAsia" w:ascii="方正仿宋_GBK" w:hAnsi="宋体" w:eastAsia="方正仿宋_GBK"/>
          <w:sz w:val="24"/>
          <w:szCs w:val="24"/>
        </w:rPr>
        <w:t>，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96CA9F1">
      <w:pPr>
        <w:snapToGrid w:val="0"/>
        <w:spacing w:line="440" w:lineRule="exact"/>
        <w:ind w:firstLine="480" w:firstLineChars="200"/>
        <w:outlineLvl w:val="2"/>
        <w:rPr>
          <w:rFonts w:ascii="方正仿宋_GBK" w:hAnsi="宋体" w:eastAsia="方正仿宋_GBK"/>
          <w:sz w:val="24"/>
          <w:szCs w:val="24"/>
        </w:rPr>
      </w:pPr>
      <w:r>
        <w:rPr>
          <w:rFonts w:hint="eastAsia" w:ascii="方正仿宋_GBK" w:hAnsi="宋体" w:eastAsia="方正仿宋_GBK"/>
          <w:sz w:val="24"/>
          <w:szCs w:val="24"/>
        </w:rPr>
        <w:t>（二）成交供应商的变更</w:t>
      </w:r>
    </w:p>
    <w:p w14:paraId="7184D333">
      <w:pPr>
        <w:snapToGrid w:val="0"/>
        <w:spacing w:line="440" w:lineRule="exact"/>
        <w:ind w:firstLine="480" w:firstLineChars="200"/>
        <w:rPr>
          <w:rFonts w:ascii="方正仿宋_GBK" w:hAnsi="宋体" w:eastAsia="方正仿宋_GBK"/>
          <w:sz w:val="24"/>
          <w:szCs w:val="24"/>
        </w:rPr>
      </w:pPr>
      <w:r>
        <w:rPr>
          <w:rFonts w:hint="eastAsia" w:ascii="方正仿宋_GBK" w:eastAsia="方正仿宋_GBK"/>
          <w:sz w:val="24"/>
        </w:rPr>
        <w:t>成交供应商拒绝与采购人签订合同的，采购人可以按照评标报告推荐的成交候选供应商顺序，确定排名下一位的候选人为成交供应商，也可以重新开展政府采购活动。</w:t>
      </w:r>
    </w:p>
    <w:p w14:paraId="74A43BD4">
      <w:pPr>
        <w:pStyle w:val="4"/>
        <w:adjustRightInd w:val="0"/>
        <w:snapToGrid w:val="0"/>
        <w:spacing w:before="0" w:after="0" w:line="440" w:lineRule="exact"/>
        <w:ind w:firstLine="482" w:firstLineChars="200"/>
        <w:rPr>
          <w:rFonts w:ascii="方正仿宋_GBK" w:hAnsi="宋体" w:eastAsia="方正仿宋_GBK"/>
          <w:sz w:val="24"/>
        </w:rPr>
      </w:pPr>
      <w:bookmarkStart w:id="107" w:name="_Toc342913395"/>
      <w:bookmarkStart w:id="108" w:name="_Toc106030897"/>
      <w:bookmarkStart w:id="109" w:name="_Toc76462342"/>
      <w:bookmarkStart w:id="110" w:name="_Toc15667"/>
      <w:bookmarkStart w:id="111" w:name="_Toc102227321"/>
      <w:r>
        <w:rPr>
          <w:rFonts w:hint="eastAsia" w:ascii="方正仿宋_GBK" w:hAnsi="宋体" w:eastAsia="方正仿宋_GBK"/>
          <w:sz w:val="24"/>
        </w:rPr>
        <w:t>五、成交通知</w:t>
      </w:r>
      <w:bookmarkEnd w:id="107"/>
      <w:bookmarkEnd w:id="108"/>
      <w:bookmarkEnd w:id="109"/>
      <w:bookmarkEnd w:id="110"/>
      <w:bookmarkEnd w:id="111"/>
    </w:p>
    <w:p w14:paraId="3C2A1847">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（一）成交供应商确定后，采购人将在行采家（https://www.gec123.com/）或红星集团BIP系统（https://erp.redstarchem.com/#/）上发布成交结果公告。</w:t>
      </w:r>
    </w:p>
    <w:p w14:paraId="5CA0AEA1">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（二）结果公告发出同时，采购代理机构将以书面形式发出《成交通知书》。《成交通知书》一经发出即发生法律效力。</w:t>
      </w:r>
    </w:p>
    <w:p w14:paraId="462DD8C8">
      <w:pPr>
        <w:spacing w:line="44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（三）《成交通知书》将作为签订合同的依据。</w:t>
      </w:r>
    </w:p>
    <w:p w14:paraId="710FB99B">
      <w:pPr>
        <w:pStyle w:val="4"/>
        <w:adjustRightInd w:val="0"/>
        <w:snapToGrid w:val="0"/>
        <w:spacing w:before="0" w:after="0" w:line="440" w:lineRule="exact"/>
        <w:ind w:firstLine="482" w:firstLineChars="200"/>
        <w:rPr>
          <w:rFonts w:ascii="方正仿宋_GBK" w:hAnsi="宋体" w:eastAsia="方正仿宋_GBK"/>
          <w:sz w:val="24"/>
        </w:rPr>
      </w:pPr>
      <w:bookmarkStart w:id="112" w:name="_Toc26090"/>
      <w:bookmarkStart w:id="113" w:name="_Toc106030898"/>
      <w:bookmarkStart w:id="114" w:name="_Toc76462343"/>
      <w:r>
        <w:rPr>
          <w:rFonts w:hint="eastAsia" w:ascii="方正仿宋_GBK" w:hAnsi="宋体" w:eastAsia="方正仿宋_GBK"/>
          <w:sz w:val="24"/>
        </w:rPr>
        <w:t>六、关于质疑和投诉</w:t>
      </w:r>
      <w:bookmarkEnd w:id="112"/>
      <w:bookmarkEnd w:id="113"/>
      <w:bookmarkEnd w:id="114"/>
    </w:p>
    <w:p w14:paraId="4EC64C75">
      <w:pPr>
        <w:spacing w:line="440" w:lineRule="exact"/>
        <w:ind w:firstLine="480" w:firstLineChars="200"/>
        <w:outlineLvl w:val="2"/>
        <w:rPr>
          <w:rFonts w:ascii="方正仿宋_GBK" w:hAnsi="宋体" w:eastAsia="方正仿宋_GBK"/>
          <w:sz w:val="24"/>
          <w:szCs w:val="24"/>
        </w:rPr>
      </w:pPr>
      <w:r>
        <w:rPr>
          <w:rFonts w:hint="eastAsia" w:ascii="方正仿宋_GBK" w:hAnsi="宋体" w:eastAsia="方正仿宋_GBK"/>
          <w:sz w:val="24"/>
          <w:szCs w:val="24"/>
        </w:rPr>
        <w:t>（一）质疑</w:t>
      </w:r>
    </w:p>
    <w:p w14:paraId="6CB56B1F">
      <w:pPr>
        <w:spacing w:line="440" w:lineRule="exact"/>
        <w:ind w:firstLine="482" w:firstLineChars="200"/>
        <w:rPr>
          <w:rFonts w:ascii="方正仿宋_GBK" w:hAnsi="宋体" w:eastAsia="方正仿宋_GBK"/>
          <w:b/>
          <w:bCs/>
          <w:sz w:val="24"/>
          <w:szCs w:val="24"/>
        </w:rPr>
      </w:pPr>
      <w:r>
        <w:rPr>
          <w:rFonts w:hint="eastAsia" w:ascii="方正仿宋_GBK" w:hAnsi="宋体" w:eastAsia="方正仿宋_GBK"/>
          <w:b/>
          <w:bCs/>
          <w:sz w:val="24"/>
          <w:szCs w:val="24"/>
        </w:rPr>
        <w:t>供应商认为采购文件、采购过程和成交结果使自己的权益受到伤害的，可向采购人或采购代理机构以书面现场递交的形式提出质疑，否则采购人或采购代理机构有权拒绝受理。</w:t>
      </w:r>
    </w:p>
    <w:p w14:paraId="53ACCD9F">
      <w:pPr>
        <w:spacing w:line="440" w:lineRule="exact"/>
        <w:ind w:firstLine="482" w:firstLineChars="200"/>
        <w:rPr>
          <w:rFonts w:ascii="方正仿宋_GBK" w:hAnsi="宋体" w:eastAsia="方正仿宋_GBK"/>
          <w:b/>
          <w:bCs/>
          <w:sz w:val="24"/>
          <w:szCs w:val="24"/>
        </w:rPr>
      </w:pPr>
      <w:r>
        <w:rPr>
          <w:rFonts w:hint="eastAsia" w:ascii="方正仿宋_GBK" w:hAnsi="宋体" w:eastAsia="方正仿宋_GBK"/>
          <w:b/>
          <w:bCs/>
          <w:sz w:val="24"/>
          <w:szCs w:val="24"/>
        </w:rPr>
        <w:t xml:space="preserve">提出质疑的应当是参与所质疑项目采购活动的供应商。 </w:t>
      </w:r>
    </w:p>
    <w:p w14:paraId="6DEB6CC3">
      <w:pPr>
        <w:spacing w:line="440" w:lineRule="exact"/>
        <w:ind w:right="12" w:firstLine="480"/>
        <w:outlineLvl w:val="2"/>
        <w:rPr>
          <w:rFonts w:ascii="方正仿宋_GBK" w:hAnsi="仿宋" w:eastAsia="方正仿宋_GBK" w:cs="仿宋"/>
          <w:sz w:val="24"/>
        </w:rPr>
      </w:pPr>
      <w:r>
        <w:rPr>
          <w:rFonts w:hint="eastAsia" w:ascii="Times New Roman" w:hAnsi="Times New Roman" w:eastAsia="方正仿宋_GBK" w:cs="仿宋"/>
          <w:sz w:val="24"/>
        </w:rPr>
        <w:t>1</w:t>
      </w:r>
      <w:r>
        <w:rPr>
          <w:rFonts w:hint="eastAsia" w:ascii="方正仿宋_GBK" w:hAnsi="仿宋" w:eastAsia="方正仿宋_GBK" w:cs="仿宋"/>
          <w:sz w:val="24"/>
        </w:rPr>
        <w:t>.质疑时限、内容</w:t>
      </w:r>
    </w:p>
    <w:p w14:paraId="7EF9C3EE">
      <w:pPr>
        <w:spacing w:line="440" w:lineRule="exact"/>
        <w:ind w:right="12" w:firstLine="480"/>
        <w:rPr>
          <w:rFonts w:ascii="方正仿宋_GBK" w:hAnsi="仿宋" w:eastAsia="方正仿宋_GBK" w:cs="仿宋"/>
          <w:sz w:val="24"/>
        </w:rPr>
      </w:pPr>
      <w:r>
        <w:rPr>
          <w:rFonts w:hint="eastAsia" w:ascii="方正仿宋_GBK" w:hAnsi="仿宋" w:eastAsia="方正仿宋_GBK" w:cs="仿宋"/>
          <w:sz w:val="24"/>
        </w:rPr>
        <w:t>供应商认为采购文件、采购过程、成交结果使自己的权益受到损害的，可以在知道或者应知其权益受到损害之日起</w:t>
      </w:r>
      <w:r>
        <w:rPr>
          <w:rFonts w:hint="eastAsia" w:ascii="Times New Roman" w:hAnsi="Times New Roman" w:eastAsia="方正仿宋_GBK" w:cs="仿宋"/>
          <w:sz w:val="24"/>
        </w:rPr>
        <w:t>7</w:t>
      </w:r>
      <w:r>
        <w:rPr>
          <w:rFonts w:hint="eastAsia" w:ascii="方正仿宋_GBK" w:hAnsi="仿宋" w:eastAsia="方正仿宋_GBK" w:cs="仿宋"/>
          <w:sz w:val="24"/>
        </w:rPr>
        <w:t>个工作日内，以书面形式向采购人、采购代理机构提出质疑。</w:t>
      </w:r>
    </w:p>
    <w:p w14:paraId="06B900C1">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1</w:t>
      </w:r>
      <w:r>
        <w:rPr>
          <w:rFonts w:hint="eastAsia" w:ascii="方正仿宋_GBK" w:hAnsi="仿宋" w:eastAsia="方正仿宋_GBK" w:cs="仿宋"/>
          <w:sz w:val="24"/>
        </w:rPr>
        <w:t>.</w:t>
      </w:r>
      <w:r>
        <w:rPr>
          <w:rFonts w:hint="eastAsia" w:ascii="Times New Roman" w:hAnsi="Times New Roman" w:eastAsia="方正仿宋_GBK" w:cs="仿宋"/>
          <w:sz w:val="24"/>
        </w:rPr>
        <w:t>2</w:t>
      </w:r>
      <w:r>
        <w:rPr>
          <w:rFonts w:hint="eastAsia" w:ascii="方正仿宋_GBK" w:hAnsi="仿宋" w:eastAsia="方正仿宋_GBK" w:cs="仿宋"/>
          <w:sz w:val="24"/>
        </w:rPr>
        <w:t>供应商提出质疑应当提交质疑函和必要的证明材料，质疑函应当包括下列内容：</w:t>
      </w:r>
    </w:p>
    <w:p w14:paraId="7FF5BD71">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1</w:t>
      </w:r>
      <w:r>
        <w:rPr>
          <w:rFonts w:hint="eastAsia" w:ascii="方正仿宋_GBK" w:hAnsi="仿宋" w:eastAsia="方正仿宋_GBK" w:cs="仿宋"/>
          <w:sz w:val="24"/>
        </w:rPr>
        <w:t>.</w:t>
      </w:r>
      <w:r>
        <w:rPr>
          <w:rFonts w:hint="eastAsia" w:ascii="Times New Roman" w:hAnsi="Times New Roman" w:eastAsia="方正仿宋_GBK" w:cs="仿宋"/>
          <w:sz w:val="24"/>
        </w:rPr>
        <w:t>2</w:t>
      </w:r>
      <w:r>
        <w:rPr>
          <w:rFonts w:hint="eastAsia" w:ascii="方正仿宋_GBK" w:hAnsi="仿宋" w:eastAsia="方正仿宋_GBK" w:cs="仿宋"/>
          <w:sz w:val="24"/>
        </w:rPr>
        <w:t>.</w:t>
      </w:r>
      <w:r>
        <w:rPr>
          <w:rFonts w:hint="eastAsia" w:ascii="Times New Roman" w:hAnsi="Times New Roman" w:eastAsia="方正仿宋_GBK" w:cs="仿宋"/>
          <w:sz w:val="24"/>
        </w:rPr>
        <w:t>1</w:t>
      </w:r>
      <w:r>
        <w:rPr>
          <w:rFonts w:hint="eastAsia" w:ascii="方正仿宋_GBK" w:hAnsi="仿宋" w:eastAsia="方正仿宋_GBK" w:cs="仿宋"/>
          <w:sz w:val="24"/>
        </w:rPr>
        <w:t>供应商的姓名或者名称、地址、邮编、联系人及联系电话；</w:t>
      </w:r>
    </w:p>
    <w:p w14:paraId="7515440E">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1</w:t>
      </w:r>
      <w:r>
        <w:rPr>
          <w:rFonts w:hint="eastAsia" w:ascii="方正仿宋_GBK" w:hAnsi="仿宋" w:eastAsia="方正仿宋_GBK" w:cs="仿宋"/>
          <w:sz w:val="24"/>
        </w:rPr>
        <w:t>.</w:t>
      </w:r>
      <w:r>
        <w:rPr>
          <w:rFonts w:hint="eastAsia" w:ascii="Times New Roman" w:hAnsi="Times New Roman" w:eastAsia="方正仿宋_GBK" w:cs="仿宋"/>
          <w:sz w:val="24"/>
        </w:rPr>
        <w:t>2</w:t>
      </w:r>
      <w:r>
        <w:rPr>
          <w:rFonts w:hint="eastAsia" w:ascii="方正仿宋_GBK" w:hAnsi="仿宋" w:eastAsia="方正仿宋_GBK" w:cs="仿宋"/>
          <w:sz w:val="24"/>
        </w:rPr>
        <w:t>.</w:t>
      </w:r>
      <w:r>
        <w:rPr>
          <w:rFonts w:hint="eastAsia" w:ascii="Times New Roman" w:hAnsi="Times New Roman" w:eastAsia="方正仿宋_GBK" w:cs="仿宋"/>
          <w:sz w:val="24"/>
        </w:rPr>
        <w:t>2</w:t>
      </w:r>
      <w:r>
        <w:rPr>
          <w:rFonts w:hint="eastAsia" w:ascii="方正仿宋_GBK" w:hAnsi="仿宋" w:eastAsia="方正仿宋_GBK" w:cs="仿宋"/>
          <w:sz w:val="24"/>
        </w:rPr>
        <w:t>质疑项目的名称、项目号以及采购执行编号；</w:t>
      </w:r>
    </w:p>
    <w:p w14:paraId="1041518E">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1</w:t>
      </w:r>
      <w:r>
        <w:rPr>
          <w:rFonts w:hint="eastAsia" w:ascii="方正仿宋_GBK" w:hAnsi="仿宋" w:eastAsia="方正仿宋_GBK" w:cs="仿宋"/>
          <w:sz w:val="24"/>
        </w:rPr>
        <w:t>.</w:t>
      </w:r>
      <w:r>
        <w:rPr>
          <w:rFonts w:hint="eastAsia" w:ascii="Times New Roman" w:hAnsi="Times New Roman" w:eastAsia="方正仿宋_GBK" w:cs="仿宋"/>
          <w:sz w:val="24"/>
        </w:rPr>
        <w:t>2</w:t>
      </w:r>
      <w:r>
        <w:rPr>
          <w:rFonts w:hint="eastAsia" w:ascii="方正仿宋_GBK" w:hAnsi="仿宋" w:eastAsia="方正仿宋_GBK" w:cs="仿宋"/>
          <w:sz w:val="24"/>
        </w:rPr>
        <w:t>.</w:t>
      </w:r>
      <w:r>
        <w:rPr>
          <w:rFonts w:hint="eastAsia" w:ascii="Times New Roman" w:hAnsi="Times New Roman" w:eastAsia="方正仿宋_GBK" w:cs="仿宋"/>
          <w:sz w:val="24"/>
        </w:rPr>
        <w:t>3</w:t>
      </w:r>
      <w:r>
        <w:rPr>
          <w:rFonts w:hint="eastAsia" w:ascii="方正仿宋_GBK" w:hAnsi="仿宋" w:eastAsia="方正仿宋_GBK" w:cs="仿宋"/>
          <w:sz w:val="24"/>
        </w:rPr>
        <w:t>具体、明确的质疑事项和与质疑事项相关的请求；</w:t>
      </w:r>
    </w:p>
    <w:p w14:paraId="7C16F46A">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1</w:t>
      </w:r>
      <w:r>
        <w:rPr>
          <w:rFonts w:hint="eastAsia" w:ascii="方正仿宋_GBK" w:hAnsi="仿宋" w:eastAsia="方正仿宋_GBK" w:cs="仿宋"/>
          <w:sz w:val="24"/>
        </w:rPr>
        <w:t>.</w:t>
      </w:r>
      <w:r>
        <w:rPr>
          <w:rFonts w:hint="eastAsia" w:ascii="Times New Roman" w:hAnsi="Times New Roman" w:eastAsia="方正仿宋_GBK" w:cs="仿宋"/>
          <w:sz w:val="24"/>
        </w:rPr>
        <w:t>2</w:t>
      </w:r>
      <w:r>
        <w:rPr>
          <w:rFonts w:hint="eastAsia" w:ascii="方正仿宋_GBK" w:hAnsi="仿宋" w:eastAsia="方正仿宋_GBK" w:cs="仿宋"/>
          <w:sz w:val="24"/>
        </w:rPr>
        <w:t>.</w:t>
      </w:r>
      <w:r>
        <w:rPr>
          <w:rFonts w:hint="eastAsia" w:ascii="Times New Roman" w:hAnsi="Times New Roman" w:eastAsia="方正仿宋_GBK" w:cs="仿宋"/>
          <w:sz w:val="24"/>
        </w:rPr>
        <w:t>4</w:t>
      </w:r>
      <w:r>
        <w:rPr>
          <w:rFonts w:hint="eastAsia" w:ascii="方正仿宋_GBK" w:hAnsi="仿宋" w:eastAsia="方正仿宋_GBK" w:cs="仿宋"/>
          <w:sz w:val="24"/>
        </w:rPr>
        <w:t>事实依据；</w:t>
      </w:r>
    </w:p>
    <w:p w14:paraId="22AE3317">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1</w:t>
      </w:r>
      <w:r>
        <w:rPr>
          <w:rFonts w:hint="eastAsia" w:ascii="方正仿宋_GBK" w:hAnsi="仿宋" w:eastAsia="方正仿宋_GBK" w:cs="仿宋"/>
          <w:sz w:val="24"/>
        </w:rPr>
        <w:t>.</w:t>
      </w:r>
      <w:r>
        <w:rPr>
          <w:rFonts w:hint="eastAsia" w:ascii="Times New Roman" w:hAnsi="Times New Roman" w:eastAsia="方正仿宋_GBK" w:cs="仿宋"/>
          <w:sz w:val="24"/>
        </w:rPr>
        <w:t>2</w:t>
      </w:r>
      <w:r>
        <w:rPr>
          <w:rFonts w:hint="eastAsia" w:ascii="方正仿宋_GBK" w:hAnsi="仿宋" w:eastAsia="方正仿宋_GBK" w:cs="仿宋"/>
          <w:sz w:val="24"/>
        </w:rPr>
        <w:t>.</w:t>
      </w:r>
      <w:r>
        <w:rPr>
          <w:rFonts w:hint="eastAsia" w:ascii="Times New Roman" w:hAnsi="Times New Roman" w:eastAsia="方正仿宋_GBK" w:cs="仿宋"/>
          <w:sz w:val="24"/>
        </w:rPr>
        <w:t>5</w:t>
      </w:r>
      <w:r>
        <w:rPr>
          <w:rFonts w:hint="eastAsia" w:ascii="方正仿宋_GBK" w:hAnsi="仿宋" w:eastAsia="方正仿宋_GBK" w:cs="仿宋"/>
          <w:sz w:val="24"/>
        </w:rPr>
        <w:t>必要的法律依据；</w:t>
      </w:r>
    </w:p>
    <w:p w14:paraId="6BF8B9D7">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1</w:t>
      </w:r>
      <w:r>
        <w:rPr>
          <w:rFonts w:hint="eastAsia" w:ascii="方正仿宋_GBK" w:hAnsi="仿宋" w:eastAsia="方正仿宋_GBK" w:cs="仿宋"/>
          <w:sz w:val="24"/>
        </w:rPr>
        <w:t>.</w:t>
      </w:r>
      <w:r>
        <w:rPr>
          <w:rFonts w:hint="eastAsia" w:ascii="Times New Roman" w:hAnsi="Times New Roman" w:eastAsia="方正仿宋_GBK" w:cs="仿宋"/>
          <w:sz w:val="24"/>
        </w:rPr>
        <w:t>2</w:t>
      </w:r>
      <w:r>
        <w:rPr>
          <w:rFonts w:hint="eastAsia" w:ascii="方正仿宋_GBK" w:hAnsi="仿宋" w:eastAsia="方正仿宋_GBK" w:cs="仿宋"/>
          <w:sz w:val="24"/>
        </w:rPr>
        <w:t>.</w:t>
      </w:r>
      <w:r>
        <w:rPr>
          <w:rFonts w:hint="eastAsia" w:ascii="Times New Roman" w:hAnsi="Times New Roman" w:eastAsia="方正仿宋_GBK" w:cs="仿宋"/>
          <w:sz w:val="24"/>
        </w:rPr>
        <w:t>6</w:t>
      </w:r>
      <w:r>
        <w:rPr>
          <w:rFonts w:hint="eastAsia" w:ascii="方正仿宋_GBK" w:hAnsi="仿宋" w:eastAsia="方正仿宋_GBK" w:cs="仿宋"/>
          <w:sz w:val="24"/>
        </w:rPr>
        <w:t>提出质疑的日期；</w:t>
      </w:r>
    </w:p>
    <w:p w14:paraId="29CD076B">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1</w:t>
      </w:r>
      <w:r>
        <w:rPr>
          <w:rFonts w:hint="eastAsia" w:ascii="方正仿宋_GBK" w:hAnsi="仿宋" w:eastAsia="方正仿宋_GBK" w:cs="仿宋"/>
          <w:sz w:val="24"/>
        </w:rPr>
        <w:t>.</w:t>
      </w:r>
      <w:r>
        <w:rPr>
          <w:rFonts w:hint="eastAsia" w:ascii="Times New Roman" w:hAnsi="Times New Roman" w:eastAsia="方正仿宋_GBK" w:cs="仿宋"/>
          <w:sz w:val="24"/>
        </w:rPr>
        <w:t>2</w:t>
      </w:r>
      <w:r>
        <w:rPr>
          <w:rFonts w:hint="eastAsia" w:ascii="方正仿宋_GBK" w:hAnsi="仿宋" w:eastAsia="方正仿宋_GBK" w:cs="仿宋"/>
          <w:sz w:val="24"/>
        </w:rPr>
        <w:t>.</w:t>
      </w:r>
      <w:r>
        <w:rPr>
          <w:rFonts w:hint="eastAsia" w:ascii="Times New Roman" w:hAnsi="Times New Roman" w:eastAsia="方正仿宋_GBK" w:cs="仿宋"/>
          <w:sz w:val="24"/>
        </w:rPr>
        <w:t>7</w:t>
      </w:r>
      <w:r>
        <w:rPr>
          <w:rFonts w:hint="eastAsia" w:ascii="方正仿宋_GBK" w:hAnsi="仿宋" w:eastAsia="方正仿宋_GBK" w:cs="仿宋"/>
          <w:sz w:val="24"/>
        </w:rPr>
        <w:t>营业执照（或事业单位法人证书，或个体工商户营业执照或有效的自然人身份证明）复印件；</w:t>
      </w:r>
    </w:p>
    <w:p w14:paraId="299E1390">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1</w:t>
      </w:r>
      <w:r>
        <w:rPr>
          <w:rFonts w:hint="eastAsia" w:ascii="方正仿宋_GBK" w:hAnsi="仿宋" w:eastAsia="方正仿宋_GBK" w:cs="仿宋"/>
          <w:sz w:val="24"/>
        </w:rPr>
        <w:t>.</w:t>
      </w:r>
      <w:r>
        <w:rPr>
          <w:rFonts w:hint="eastAsia" w:ascii="Times New Roman" w:hAnsi="Times New Roman" w:eastAsia="方正仿宋_GBK" w:cs="仿宋"/>
          <w:sz w:val="24"/>
        </w:rPr>
        <w:t>2</w:t>
      </w:r>
      <w:r>
        <w:rPr>
          <w:rFonts w:hint="eastAsia" w:ascii="方正仿宋_GBK" w:hAnsi="仿宋" w:eastAsia="方正仿宋_GBK" w:cs="仿宋"/>
          <w:sz w:val="24"/>
        </w:rPr>
        <w:t>.</w:t>
      </w:r>
      <w:r>
        <w:rPr>
          <w:rFonts w:hint="eastAsia" w:ascii="Times New Roman" w:hAnsi="Times New Roman" w:eastAsia="方正仿宋_GBK" w:cs="仿宋"/>
          <w:sz w:val="24"/>
        </w:rPr>
        <w:t>8</w:t>
      </w:r>
      <w:r>
        <w:rPr>
          <w:rFonts w:hint="eastAsia" w:ascii="方正仿宋_GBK" w:hAnsi="仿宋" w:eastAsia="方正仿宋_GBK" w:cs="仿宋"/>
          <w:sz w:val="24"/>
        </w:rPr>
        <w:t>法定代表人授权委托书原件、法定代表人身份证复印件和其授权代表的身份证复印件（供应商为自然人的提供自然人身份证复印件）；</w:t>
      </w:r>
    </w:p>
    <w:p w14:paraId="3F746C6B">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1</w:t>
      </w:r>
      <w:r>
        <w:rPr>
          <w:rFonts w:hint="eastAsia" w:ascii="方正仿宋_GBK" w:hAnsi="仿宋" w:eastAsia="方正仿宋_GBK" w:cs="仿宋"/>
          <w:sz w:val="24"/>
        </w:rPr>
        <w:t>.</w:t>
      </w:r>
      <w:r>
        <w:rPr>
          <w:rFonts w:hint="eastAsia" w:ascii="Times New Roman" w:hAnsi="Times New Roman" w:eastAsia="方正仿宋_GBK" w:cs="仿宋"/>
          <w:sz w:val="24"/>
        </w:rPr>
        <w:t>3</w:t>
      </w:r>
      <w:r>
        <w:rPr>
          <w:rFonts w:hint="eastAsia" w:ascii="方正仿宋_GBK" w:hAnsi="仿宋" w:eastAsia="方正仿宋_GBK" w:cs="仿宋"/>
          <w:sz w:val="24"/>
        </w:rPr>
        <w:t>供应商为自然人的，质疑函应当由本人签字；供应商为法人或者其他组织的，质疑函应当由法定代表人、主要负责人，或者其授权代表签字或者盖章，并加盖公章。</w:t>
      </w:r>
    </w:p>
    <w:p w14:paraId="12287B8E">
      <w:pPr>
        <w:spacing w:line="440" w:lineRule="exact"/>
        <w:ind w:right="12" w:firstLine="480"/>
        <w:outlineLvl w:val="2"/>
        <w:rPr>
          <w:rFonts w:ascii="方正仿宋_GBK" w:hAnsi="仿宋" w:eastAsia="方正仿宋_GBK" w:cs="仿宋"/>
          <w:sz w:val="24"/>
        </w:rPr>
      </w:pPr>
      <w:r>
        <w:rPr>
          <w:rFonts w:hint="eastAsia" w:ascii="Times New Roman" w:hAnsi="Times New Roman" w:eastAsia="方正仿宋_GBK" w:cs="仿宋"/>
          <w:sz w:val="24"/>
        </w:rPr>
        <w:t>2</w:t>
      </w:r>
      <w:r>
        <w:rPr>
          <w:rFonts w:hint="eastAsia" w:ascii="方正仿宋_GBK" w:hAnsi="仿宋" w:eastAsia="方正仿宋_GBK" w:cs="仿宋"/>
          <w:sz w:val="24"/>
        </w:rPr>
        <w:t>.质疑答复</w:t>
      </w:r>
    </w:p>
    <w:p w14:paraId="2FBA1F1D">
      <w:pPr>
        <w:spacing w:line="440" w:lineRule="exact"/>
        <w:ind w:right="12" w:firstLine="480"/>
        <w:rPr>
          <w:rFonts w:ascii="方正仿宋_GBK" w:hAnsi="仿宋" w:eastAsia="方正仿宋_GBK" w:cs="仿宋"/>
          <w:sz w:val="24"/>
        </w:rPr>
      </w:pPr>
      <w:r>
        <w:rPr>
          <w:rFonts w:hint="eastAsia" w:ascii="方正仿宋_GBK" w:hAnsi="仿宋" w:eastAsia="方正仿宋_GBK" w:cs="仿宋"/>
          <w:sz w:val="24"/>
        </w:rPr>
        <w:t>采购人、采购代理机构应当在收到供应商的书面质疑后七个工作日内作出答复，并以书面形式通知质疑供应商和其他有关供应商。</w:t>
      </w:r>
    </w:p>
    <w:p w14:paraId="50FBC7D8">
      <w:pPr>
        <w:spacing w:line="440" w:lineRule="exact"/>
        <w:ind w:right="12" w:firstLine="480"/>
        <w:outlineLvl w:val="2"/>
        <w:rPr>
          <w:rFonts w:ascii="方正仿宋_GBK" w:hAnsi="仿宋" w:eastAsia="方正仿宋_GBK" w:cs="仿宋"/>
          <w:sz w:val="24"/>
        </w:rPr>
      </w:pPr>
      <w:r>
        <w:rPr>
          <w:rFonts w:hint="eastAsia" w:ascii="Times New Roman" w:hAnsi="Times New Roman" w:eastAsia="方正仿宋_GBK" w:cs="仿宋"/>
          <w:sz w:val="24"/>
        </w:rPr>
        <w:t>3</w:t>
      </w:r>
      <w:r>
        <w:rPr>
          <w:rFonts w:hint="eastAsia" w:ascii="方正仿宋_GBK" w:hAnsi="仿宋" w:eastAsia="方正仿宋_GBK" w:cs="仿宋"/>
          <w:sz w:val="24"/>
        </w:rPr>
        <w:t>.其他</w:t>
      </w:r>
    </w:p>
    <w:p w14:paraId="0F6C0877">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3</w:t>
      </w:r>
      <w:r>
        <w:rPr>
          <w:rFonts w:hint="eastAsia" w:ascii="方正仿宋_GBK" w:hAnsi="仿宋" w:eastAsia="方正仿宋_GBK" w:cs="仿宋"/>
          <w:sz w:val="24"/>
        </w:rPr>
        <w:t>.</w:t>
      </w:r>
      <w:r>
        <w:rPr>
          <w:rFonts w:hint="eastAsia" w:ascii="Times New Roman" w:hAnsi="Times New Roman" w:eastAsia="方正仿宋_GBK" w:cs="仿宋"/>
          <w:sz w:val="24"/>
        </w:rPr>
        <w:t>1</w:t>
      </w:r>
      <w:r>
        <w:rPr>
          <w:rFonts w:hint="eastAsia" w:ascii="方正仿宋_GBK" w:hAnsi="仿宋" w:eastAsia="方正仿宋_GBK" w:cs="仿宋"/>
          <w:sz w:val="24"/>
        </w:rPr>
        <w:t>供应商应按照《政府采购质疑和投诉办法》（财政部令第</w:t>
      </w:r>
      <w:r>
        <w:rPr>
          <w:rFonts w:hint="eastAsia" w:ascii="Times New Roman" w:hAnsi="Times New Roman" w:eastAsia="方正仿宋_GBK" w:cs="仿宋"/>
          <w:sz w:val="24"/>
        </w:rPr>
        <w:t>94</w:t>
      </w:r>
      <w:r>
        <w:rPr>
          <w:rFonts w:hint="eastAsia" w:ascii="方正仿宋_GBK" w:hAnsi="仿宋" w:eastAsia="方正仿宋_GBK" w:cs="仿宋"/>
          <w:sz w:val="24"/>
        </w:rPr>
        <w:t>号）及相关法律法规要求，在法定质疑期内一次性提出针对同一采购程序环节的质疑。</w:t>
      </w:r>
    </w:p>
    <w:p w14:paraId="6EA9D0FB">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3</w:t>
      </w:r>
      <w:r>
        <w:rPr>
          <w:rFonts w:hint="eastAsia" w:ascii="方正仿宋_GBK" w:hAnsi="仿宋" w:eastAsia="方正仿宋_GBK" w:cs="仿宋"/>
          <w:sz w:val="24"/>
        </w:rPr>
        <w:t>.</w:t>
      </w:r>
      <w:r>
        <w:rPr>
          <w:rFonts w:hint="eastAsia" w:ascii="Times New Roman" w:hAnsi="Times New Roman" w:eastAsia="方正仿宋_GBK" w:cs="仿宋"/>
          <w:sz w:val="24"/>
        </w:rPr>
        <w:t>2</w:t>
      </w:r>
      <w:r>
        <w:rPr>
          <w:rFonts w:hint="eastAsia" w:ascii="方正仿宋_GBK" w:hAnsi="仿宋" w:eastAsia="方正仿宋_GBK" w:cs="仿宋"/>
          <w:sz w:val="24"/>
        </w:rPr>
        <w:t>质疑函范本可在财政部门户网站和中国政府采购网下载。</w:t>
      </w:r>
    </w:p>
    <w:p w14:paraId="6702E9AE">
      <w:pPr>
        <w:spacing w:line="440" w:lineRule="exact"/>
        <w:ind w:right="12" w:firstLine="480"/>
        <w:outlineLvl w:val="2"/>
        <w:rPr>
          <w:rFonts w:ascii="方正仿宋_GBK" w:hAnsi="仿宋" w:eastAsia="方正仿宋_GBK" w:cs="仿宋"/>
          <w:sz w:val="24"/>
        </w:rPr>
      </w:pPr>
      <w:r>
        <w:rPr>
          <w:rFonts w:hint="eastAsia" w:ascii="方正仿宋_GBK" w:hAnsi="仿宋" w:eastAsia="方正仿宋_GBK" w:cs="仿宋"/>
          <w:sz w:val="24"/>
        </w:rPr>
        <w:t>（二）投诉</w:t>
      </w:r>
    </w:p>
    <w:p w14:paraId="386C65BD">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1</w:t>
      </w:r>
      <w:r>
        <w:rPr>
          <w:rFonts w:hint="eastAsia" w:ascii="方正仿宋_GBK" w:hAnsi="仿宋" w:eastAsia="方正仿宋_GBK" w:cs="仿宋"/>
          <w:sz w:val="24"/>
        </w:rPr>
        <w:t>.供应商对采购人、采购代理机构的答复不满意，或者采购人、采购代理机构未在规定时间内作出答复的，可以在答复期满后</w:t>
      </w:r>
      <w:r>
        <w:rPr>
          <w:rFonts w:hint="eastAsia" w:ascii="Times New Roman" w:hAnsi="Times New Roman" w:eastAsia="方正仿宋_GBK" w:cs="仿宋"/>
          <w:sz w:val="24"/>
        </w:rPr>
        <w:t>15</w:t>
      </w:r>
      <w:r>
        <w:rPr>
          <w:rFonts w:hint="eastAsia" w:ascii="方正仿宋_GBK" w:hAnsi="仿宋" w:eastAsia="方正仿宋_GBK" w:cs="仿宋"/>
          <w:sz w:val="24"/>
        </w:rPr>
        <w:t>个工作日内按照相关法律法规向财政部门提起投诉。</w:t>
      </w:r>
    </w:p>
    <w:p w14:paraId="44728C7D">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2</w:t>
      </w:r>
      <w:r>
        <w:rPr>
          <w:rFonts w:hint="eastAsia" w:ascii="方正仿宋_GBK" w:hAnsi="仿宋" w:eastAsia="方正仿宋_GBK" w:cs="仿宋"/>
          <w:sz w:val="24"/>
        </w:rPr>
        <w:t>.供应商应按照《政府采购质疑和投诉办法》（财政部令第</w:t>
      </w:r>
      <w:r>
        <w:rPr>
          <w:rFonts w:hint="eastAsia" w:ascii="Times New Roman" w:hAnsi="Times New Roman" w:eastAsia="方正仿宋_GBK" w:cs="仿宋"/>
          <w:sz w:val="24"/>
        </w:rPr>
        <w:t>94</w:t>
      </w:r>
      <w:r>
        <w:rPr>
          <w:rFonts w:hint="eastAsia" w:ascii="方正仿宋_GBK" w:hAnsi="仿宋" w:eastAsia="方正仿宋_GBK" w:cs="仿宋"/>
          <w:sz w:val="24"/>
        </w:rPr>
        <w:t>号）及相关法律法规要求递交投诉书和必要的证明材料。投诉书范本可在财政部门户网站和中国政府采购网下载。</w:t>
      </w:r>
    </w:p>
    <w:p w14:paraId="5CFA2E5C">
      <w:pPr>
        <w:spacing w:line="440" w:lineRule="exact"/>
        <w:ind w:right="12" w:firstLine="480"/>
        <w:rPr>
          <w:rFonts w:ascii="方正仿宋_GBK" w:hAnsi="仿宋" w:eastAsia="方正仿宋_GBK" w:cs="仿宋"/>
          <w:sz w:val="24"/>
        </w:rPr>
      </w:pPr>
      <w:r>
        <w:rPr>
          <w:rFonts w:hint="eastAsia" w:ascii="Times New Roman" w:hAnsi="Times New Roman" w:eastAsia="方正仿宋_GBK" w:cs="仿宋"/>
          <w:sz w:val="24"/>
        </w:rPr>
        <w:t>3</w:t>
      </w:r>
      <w:r>
        <w:rPr>
          <w:rFonts w:hint="eastAsia" w:ascii="方正仿宋_GBK" w:hAnsi="仿宋" w:eastAsia="方正仿宋_GBK" w:cs="仿宋"/>
          <w:sz w:val="24"/>
        </w:rPr>
        <w:t>.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542AD9C5">
      <w:pPr>
        <w:spacing w:line="440" w:lineRule="exact"/>
        <w:ind w:firstLine="480" w:firstLineChars="200"/>
        <w:rPr>
          <w:rFonts w:ascii="方正仿宋_GBK" w:hAnsi="宋体" w:eastAsia="方正仿宋_GBK"/>
          <w:sz w:val="24"/>
          <w:szCs w:val="24"/>
        </w:rPr>
      </w:pPr>
      <w:r>
        <w:rPr>
          <w:rFonts w:hint="eastAsia" w:ascii="Times New Roman" w:hAnsi="Times New Roman" w:eastAsia="方正仿宋_GBK" w:cs="仿宋"/>
          <w:sz w:val="24"/>
        </w:rPr>
        <w:t>4</w:t>
      </w:r>
      <w:r>
        <w:rPr>
          <w:rFonts w:hint="eastAsia" w:ascii="方正仿宋_GBK" w:hAnsi="仿宋" w:eastAsia="方正仿宋_GBK" w:cs="仿宋"/>
          <w:sz w:val="24"/>
        </w:rPr>
        <w:t>.在确定受理投诉后，财政部门自受理投诉之日起</w:t>
      </w:r>
      <w:r>
        <w:rPr>
          <w:rFonts w:hint="eastAsia" w:ascii="Times New Roman" w:hAnsi="Times New Roman" w:eastAsia="方正仿宋_GBK" w:cs="仿宋"/>
          <w:sz w:val="24"/>
        </w:rPr>
        <w:t>30</w:t>
      </w:r>
      <w:r>
        <w:rPr>
          <w:rFonts w:hint="eastAsia" w:ascii="方正仿宋_GBK" w:hAnsi="仿宋" w:eastAsia="方正仿宋_GBK" w:cs="仿宋"/>
          <w:sz w:val="24"/>
        </w:rPr>
        <w:t>个工作日内（需要检验、检测、鉴定、专家评审以及需要投诉人补正材料的，所需时间不计算在投诉处理期限内）对投诉事项做出处理决定。</w:t>
      </w:r>
    </w:p>
    <w:p w14:paraId="009850C1">
      <w:pPr>
        <w:pStyle w:val="4"/>
        <w:adjustRightInd w:val="0"/>
        <w:snapToGrid w:val="0"/>
        <w:spacing w:before="0" w:after="0" w:line="440" w:lineRule="exact"/>
        <w:ind w:firstLine="482" w:firstLineChars="200"/>
        <w:rPr>
          <w:rFonts w:ascii="方正仿宋_GBK" w:hAnsi="宋体" w:eastAsia="方正仿宋_GBK"/>
          <w:sz w:val="24"/>
        </w:rPr>
      </w:pPr>
      <w:bookmarkStart w:id="115" w:name="_Toc102227322"/>
      <w:bookmarkStart w:id="116" w:name="_Toc106030901"/>
      <w:bookmarkStart w:id="117" w:name="_Toc342913396"/>
      <w:bookmarkStart w:id="118" w:name="_Toc76462346"/>
      <w:bookmarkStart w:id="119" w:name="_Toc19340"/>
      <w:bookmarkStart w:id="120" w:name="_Toc11641055"/>
      <w:bookmarkStart w:id="121" w:name="_Toc12789059"/>
      <w:r>
        <w:rPr>
          <w:rFonts w:hint="eastAsia" w:ascii="方正仿宋_GBK" w:hAnsi="宋体" w:eastAsia="方正仿宋_GBK"/>
          <w:sz w:val="24"/>
        </w:rPr>
        <w:t>七、签订</w:t>
      </w:r>
      <w:bookmarkEnd w:id="115"/>
      <w:r>
        <w:rPr>
          <w:rFonts w:hint="eastAsia" w:ascii="方正仿宋_GBK" w:hAnsi="宋体" w:eastAsia="方正仿宋_GBK"/>
          <w:sz w:val="24"/>
        </w:rPr>
        <w:t>合同</w:t>
      </w:r>
      <w:bookmarkEnd w:id="116"/>
      <w:bookmarkEnd w:id="117"/>
      <w:bookmarkEnd w:id="118"/>
      <w:bookmarkEnd w:id="119"/>
    </w:p>
    <w:p w14:paraId="55D76CF3">
      <w:pPr>
        <w:spacing w:line="44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（一）</w:t>
      </w:r>
      <w:r>
        <w:rPr>
          <w:rFonts w:hint="eastAsia" w:ascii="方正仿宋_GBK" w:hAnsi="方正仿宋_GBK" w:eastAsia="方正仿宋_GBK"/>
          <w:sz w:val="24"/>
        </w:rPr>
        <w:t>采购人原则上应在成交通知书发出之日起二十日内和成交供应商签订政府采购合同，无正当理由不得拒绝或拖延合同签订</w:t>
      </w:r>
      <w:r>
        <w:rPr>
          <w:rFonts w:hint="eastAsia" w:ascii="方正仿宋_GBK" w:hAnsi="宋体" w:eastAsia="方正仿宋_GBK"/>
          <w:sz w:val="24"/>
          <w:szCs w:val="24"/>
        </w:rPr>
        <w:t>。所签订的合同不得对竞争性磋商文件和供应商的响应文件作实质性修改。其他未尽事宜由采购人和成交供应商在采购合同中详细约定。</w:t>
      </w:r>
    </w:p>
    <w:p w14:paraId="4CDC3958">
      <w:pPr>
        <w:spacing w:line="44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（二）竞争性磋商文件、供应商的响应文件及澄清文件等，均为签订政府采购合同的依据。</w:t>
      </w:r>
    </w:p>
    <w:p w14:paraId="77121EBB">
      <w:pPr>
        <w:spacing w:line="44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（三）合同生效条款由供需双方约定，法律、行政法规规定应当办理批准、登记等手续后生效的合同，依照其规定。</w:t>
      </w:r>
    </w:p>
    <w:p w14:paraId="436F0DBE">
      <w:pPr>
        <w:spacing w:line="440" w:lineRule="exact"/>
        <w:ind w:firstLine="360" w:firstLineChars="150"/>
        <w:rPr>
          <w:rFonts w:ascii="方正仿宋_GBK" w:hAnsi="宋体" w:eastAsia="方正仿宋_GBK"/>
          <w:sz w:val="24"/>
          <w:szCs w:val="24"/>
        </w:rPr>
      </w:pPr>
      <w:r>
        <w:rPr>
          <w:rFonts w:hint="eastAsia" w:ascii="方正仿宋_GBK" w:hAnsi="宋体" w:eastAsia="方正仿宋_GBK"/>
          <w:sz w:val="24"/>
          <w:szCs w:val="24"/>
        </w:rPr>
        <w:t>（四）采购人要求成交供应商提供履约保证金的，应当在竞争性磋商文件中予以约定。成交供应商履约完毕后，采购人根据采购文件规定无息退还其履约保证金。</w:t>
      </w:r>
    </w:p>
    <w:p w14:paraId="2A26C389">
      <w:pPr>
        <w:pStyle w:val="4"/>
        <w:adjustRightInd w:val="0"/>
        <w:snapToGrid w:val="0"/>
        <w:spacing w:before="0" w:after="0" w:line="440" w:lineRule="exact"/>
        <w:ind w:firstLine="482" w:firstLineChars="200"/>
        <w:rPr>
          <w:rFonts w:ascii="方正仿宋_GBK" w:hAnsi="宋体" w:eastAsia="方正仿宋_GBK"/>
          <w:sz w:val="24"/>
        </w:rPr>
      </w:pPr>
      <w:bookmarkStart w:id="122" w:name="_Toc14780"/>
      <w:bookmarkStart w:id="123" w:name="_Toc76462347"/>
      <w:bookmarkStart w:id="124" w:name="_Toc19009"/>
      <w:bookmarkStart w:id="125" w:name="_Toc106030903"/>
      <w:r>
        <w:rPr>
          <w:rFonts w:hint="eastAsia" w:ascii="方正仿宋_GBK" w:hAnsi="宋体" w:eastAsia="方正仿宋_GBK"/>
          <w:sz w:val="24"/>
        </w:rPr>
        <w:t>八、</w:t>
      </w:r>
      <w:bookmarkEnd w:id="122"/>
      <w:bookmarkEnd w:id="123"/>
      <w:bookmarkEnd w:id="124"/>
      <w:bookmarkEnd w:id="125"/>
      <w:r>
        <w:rPr>
          <w:rFonts w:hint="eastAsia" w:ascii="方正仿宋_GBK" w:hAnsi="宋体" w:eastAsia="方正仿宋_GBK"/>
          <w:sz w:val="24"/>
        </w:rPr>
        <w:t>代理服务费</w:t>
      </w:r>
    </w:p>
    <w:p w14:paraId="17B4EA80">
      <w:pPr>
        <w:spacing w:line="400" w:lineRule="exact"/>
        <w:ind w:firstLine="480" w:firstLineChars="200"/>
        <w:rPr>
          <w:rFonts w:ascii="方正仿宋_GBK" w:hAnsi="方正仿宋_GBK" w:eastAsia="方正仿宋_GBK"/>
          <w:sz w:val="24"/>
        </w:rPr>
      </w:pPr>
      <w:r>
        <w:rPr>
          <w:rFonts w:hint="eastAsia" w:ascii="方正仿宋_GBK" w:hAnsi="方正仿宋_GBK" w:eastAsia="方正仿宋_GBK"/>
          <w:sz w:val="24"/>
        </w:rPr>
        <w:t>1、金额：人民币</w:t>
      </w:r>
      <w:r>
        <w:rPr>
          <w:rFonts w:hint="eastAsia" w:ascii="方正仿宋_GBK" w:hAnsi="方正仿宋_GBK" w:eastAsia="方正仿宋_GBK"/>
          <w:sz w:val="24"/>
          <w:lang w:val="en-US" w:eastAsia="zh-CN"/>
        </w:rPr>
        <w:t>6000</w:t>
      </w:r>
      <w:r>
        <w:rPr>
          <w:rFonts w:hint="eastAsia" w:ascii="方正仿宋_GBK" w:hAnsi="方正仿宋_GBK" w:eastAsia="方正仿宋_GBK"/>
          <w:sz w:val="24"/>
        </w:rPr>
        <w:t>。</w:t>
      </w:r>
    </w:p>
    <w:p w14:paraId="55E9D083">
      <w:pPr>
        <w:spacing w:line="400" w:lineRule="exact"/>
        <w:ind w:firstLine="480" w:firstLineChars="200"/>
        <w:rPr>
          <w:rFonts w:ascii="方正仿宋_GBK" w:hAnsi="宋体" w:eastAsia="方正仿宋_GBK"/>
          <w:sz w:val="24"/>
          <w:szCs w:val="24"/>
        </w:rPr>
      </w:pPr>
      <w:r>
        <w:rPr>
          <w:rFonts w:hint="eastAsia" w:ascii="方正仿宋_GBK" w:hAnsi="方正仿宋_GBK" w:eastAsia="方正仿宋_GBK"/>
          <w:sz w:val="24"/>
        </w:rPr>
        <w:t>2、缴纳时间：由中标人在领取成交通知书的同时一次性向采购代理机构缴纳。</w:t>
      </w:r>
    </w:p>
    <w:p w14:paraId="121E7DDB">
      <w:pPr>
        <w:pStyle w:val="3"/>
        <w:spacing w:line="360" w:lineRule="auto"/>
        <w:jc w:val="center"/>
        <w:rPr>
          <w:rFonts w:ascii="方正小标宋_GBK" w:hAnsi="宋体" w:eastAsia="方正小标宋_GBK"/>
          <w:sz w:val="36"/>
          <w:szCs w:val="30"/>
        </w:rPr>
      </w:pPr>
      <w:r>
        <w:rPr>
          <w:rFonts w:hAnsi="宋体"/>
          <w:sz w:val="36"/>
          <w:szCs w:val="30"/>
        </w:rPr>
        <w:br w:type="page"/>
      </w:r>
      <w:bookmarkStart w:id="126" w:name="_Toc76462348"/>
      <w:bookmarkStart w:id="127" w:name="_Toc4738"/>
      <w:bookmarkStart w:id="128" w:name="_Toc106030904"/>
      <w:r>
        <w:rPr>
          <w:rFonts w:hint="eastAsia" w:ascii="方正小标宋_GBK" w:hAnsi="宋体" w:eastAsia="方正小标宋_GBK"/>
          <w:sz w:val="36"/>
          <w:szCs w:val="30"/>
        </w:rPr>
        <w:t xml:space="preserve">第六篇  </w:t>
      </w:r>
      <w:bookmarkEnd w:id="120"/>
      <w:bookmarkEnd w:id="121"/>
      <w:r>
        <w:rPr>
          <w:rFonts w:hint="eastAsia" w:ascii="方正小标宋_GBK" w:hAnsi="宋体" w:eastAsia="方正小标宋_GBK"/>
          <w:sz w:val="36"/>
          <w:szCs w:val="30"/>
        </w:rPr>
        <w:t>采购合同</w:t>
      </w:r>
      <w:bookmarkEnd w:id="126"/>
      <w:bookmarkEnd w:id="127"/>
      <w:bookmarkEnd w:id="128"/>
    </w:p>
    <w:p w14:paraId="5A4238A1">
      <w:pPr>
        <w:widowControl/>
        <w:snapToGrid w:val="0"/>
        <w:spacing w:line="360" w:lineRule="auto"/>
        <w:jc w:val="center"/>
        <w:rPr>
          <w:rFonts w:ascii="方正仿宋_GBK" w:hAnsi="宋体" w:eastAsia="方正仿宋_GBK" w:cs="宋体"/>
          <w:b/>
          <w:szCs w:val="28"/>
        </w:rPr>
        <w:sectPr>
          <w:headerReference r:id="rId3" w:type="default"/>
          <w:footerReference r:id="rId4" w:type="default"/>
          <w:pgSz w:w="11907" w:h="16840"/>
          <w:pgMar w:top="1134" w:right="1191" w:bottom="1134" w:left="1304" w:header="567" w:footer="63" w:gutter="0"/>
          <w:pgNumType w:fmt="numberInDash"/>
          <w:cols w:space="720" w:num="1"/>
          <w:docGrid w:linePitch="380" w:charSpace="-5735"/>
        </w:sectPr>
      </w:pPr>
      <w:bookmarkStart w:id="129" w:name="_Hlt41879464"/>
      <w:bookmarkEnd w:id="129"/>
      <w:bookmarkStart w:id="130" w:name="_Toc106030905"/>
      <w:bookmarkStart w:id="131" w:name="_Toc13073"/>
      <w:bookmarkStart w:id="132" w:name="_Toc76462349"/>
      <w:r>
        <w:rPr>
          <w:rFonts w:hint="eastAsia" w:ascii="方正仿宋_GBK" w:hAnsi="宋体" w:eastAsia="方正仿宋_GBK" w:cs="宋体"/>
          <w:b/>
          <w:szCs w:val="28"/>
        </w:rPr>
        <w:t>（可根据项目情况修改完善或自拟签订）</w:t>
      </w:r>
    </w:p>
    <w:p w14:paraId="1995B356">
      <w:pPr>
        <w:spacing w:line="360" w:lineRule="auto"/>
        <w:ind w:firstLine="897"/>
        <w:jc w:val="center"/>
        <w:rPr>
          <w:rFonts w:ascii="宋体" w:hAnsi="宋体" w:cs="宋体"/>
          <w:b/>
          <w:bCs/>
          <w:sz w:val="44"/>
          <w:szCs w:val="44"/>
        </w:rPr>
      </w:pPr>
      <w:r>
        <w:rPr>
          <w:rFonts w:hint="eastAsia" w:ascii="宋体" w:hAnsi="宋体" w:cs="宋体"/>
          <w:b/>
          <w:bCs/>
          <w:sz w:val="44"/>
          <w:szCs w:val="44"/>
          <w:u w:val="single"/>
        </w:rPr>
        <w:t xml:space="preserve">                </w:t>
      </w:r>
      <w:r>
        <w:rPr>
          <w:rFonts w:hint="eastAsia" w:ascii="宋体" w:hAnsi="宋体" w:cs="宋体"/>
          <w:b/>
          <w:bCs/>
          <w:sz w:val="44"/>
          <w:szCs w:val="44"/>
        </w:rPr>
        <w:t>项目合同</w:t>
      </w:r>
    </w:p>
    <w:p w14:paraId="151802E4">
      <w:pPr>
        <w:spacing w:line="360" w:lineRule="auto"/>
        <w:ind w:firstLine="653"/>
        <w:jc w:val="center"/>
        <w:rPr>
          <w:rFonts w:ascii="宋体" w:hAnsi="宋体" w:cs="宋体"/>
          <w:b/>
          <w:bCs/>
          <w:sz w:val="32"/>
          <w:szCs w:val="32"/>
        </w:rPr>
      </w:pPr>
    </w:p>
    <w:p w14:paraId="32AC3B22">
      <w:pPr>
        <w:spacing w:line="360" w:lineRule="auto"/>
        <w:ind w:firstLine="653"/>
        <w:jc w:val="center"/>
        <w:rPr>
          <w:rFonts w:ascii="宋体" w:hAnsi="宋体" w:cs="宋体"/>
          <w:b/>
          <w:bCs/>
          <w:sz w:val="32"/>
          <w:szCs w:val="32"/>
        </w:rPr>
      </w:pPr>
    </w:p>
    <w:p w14:paraId="48A26040">
      <w:pPr>
        <w:spacing w:line="360" w:lineRule="auto"/>
        <w:ind w:firstLine="653"/>
        <w:jc w:val="center"/>
        <w:rPr>
          <w:rFonts w:ascii="宋体" w:hAnsi="宋体" w:cs="宋体"/>
          <w:b/>
          <w:bCs/>
          <w:sz w:val="32"/>
          <w:szCs w:val="32"/>
        </w:rPr>
      </w:pPr>
    </w:p>
    <w:p w14:paraId="636C57EB">
      <w:pPr>
        <w:spacing w:line="360" w:lineRule="auto"/>
        <w:ind w:firstLine="653"/>
        <w:jc w:val="center"/>
        <w:rPr>
          <w:rFonts w:ascii="宋体" w:hAnsi="宋体" w:cs="宋体"/>
          <w:b/>
          <w:bCs/>
          <w:sz w:val="32"/>
          <w:szCs w:val="32"/>
        </w:rPr>
      </w:pPr>
    </w:p>
    <w:p w14:paraId="526F9529">
      <w:pPr>
        <w:spacing w:line="360" w:lineRule="auto"/>
        <w:ind w:firstLine="653"/>
        <w:jc w:val="center"/>
        <w:rPr>
          <w:rFonts w:ascii="宋体" w:hAnsi="宋体" w:cs="宋体"/>
          <w:b/>
          <w:bCs/>
          <w:sz w:val="32"/>
          <w:szCs w:val="32"/>
        </w:rPr>
      </w:pPr>
    </w:p>
    <w:p w14:paraId="709A94EB">
      <w:pPr>
        <w:spacing w:line="360" w:lineRule="auto"/>
        <w:ind w:firstLine="653"/>
        <w:jc w:val="center"/>
        <w:rPr>
          <w:rFonts w:ascii="宋体" w:hAnsi="宋体" w:cs="宋体"/>
          <w:b/>
          <w:bCs/>
          <w:sz w:val="32"/>
          <w:szCs w:val="32"/>
        </w:rPr>
      </w:pPr>
    </w:p>
    <w:p w14:paraId="134F03F8">
      <w:pPr>
        <w:spacing w:line="360" w:lineRule="auto"/>
        <w:ind w:firstLine="653"/>
        <w:jc w:val="center"/>
        <w:rPr>
          <w:rFonts w:ascii="宋体" w:hAnsi="宋体" w:cs="宋体"/>
          <w:b/>
          <w:bCs/>
          <w:sz w:val="32"/>
          <w:szCs w:val="32"/>
        </w:rPr>
      </w:pPr>
    </w:p>
    <w:p w14:paraId="3F0569C0">
      <w:pPr>
        <w:spacing w:line="360" w:lineRule="auto"/>
        <w:ind w:firstLine="1405" w:firstLineChars="500"/>
        <w:rPr>
          <w:rFonts w:ascii="仿宋" w:hAnsi="仿宋" w:eastAsia="仿宋" w:cs="仿宋"/>
          <w:u w:val="single"/>
        </w:rPr>
      </w:pPr>
      <w:r>
        <w:rPr>
          <w:rFonts w:hint="eastAsia" w:ascii="仿宋" w:hAnsi="仿宋" w:eastAsia="仿宋" w:cs="仿宋"/>
          <w:b/>
        </w:rPr>
        <w:t>采购人（招标人）：</w:t>
      </w:r>
      <w:r>
        <w:rPr>
          <w:rFonts w:hint="eastAsia" w:ascii="仿宋" w:hAnsi="仿宋" w:eastAsia="仿宋" w:cs="仿宋"/>
          <w:u w:val="single"/>
        </w:rPr>
        <w:t xml:space="preserve">重庆瑞得思达光电科技有限公司  </w:t>
      </w:r>
    </w:p>
    <w:p w14:paraId="62DAFF97">
      <w:pPr>
        <w:spacing w:line="360" w:lineRule="auto"/>
        <w:ind w:firstLine="1400" w:firstLineChars="500"/>
        <w:rPr>
          <w:rFonts w:ascii="仿宋" w:hAnsi="仿宋" w:eastAsia="仿宋" w:cs="仿宋"/>
          <w:u w:val="single"/>
        </w:rPr>
      </w:pPr>
    </w:p>
    <w:p w14:paraId="6A9543AE">
      <w:pPr>
        <w:spacing w:line="360" w:lineRule="auto"/>
        <w:ind w:firstLine="1405" w:firstLineChars="500"/>
        <w:rPr>
          <w:rFonts w:ascii="仿宋" w:hAnsi="仿宋" w:eastAsia="仿宋" w:cs="仿宋"/>
          <w:u w:val="single"/>
        </w:rPr>
      </w:pPr>
      <w:r>
        <w:rPr>
          <w:rFonts w:hint="eastAsia" w:ascii="仿宋" w:hAnsi="仿宋" w:eastAsia="仿宋" w:cs="仿宋"/>
          <w:b/>
        </w:rPr>
        <w:t>成交人（中标人）</w:t>
      </w:r>
      <w:r>
        <w:rPr>
          <w:rFonts w:hint="eastAsia" w:ascii="仿宋" w:hAnsi="仿宋" w:eastAsia="仿宋" w:cs="仿宋"/>
        </w:rPr>
        <w:t>：</w:t>
      </w:r>
      <w:r>
        <w:rPr>
          <w:rFonts w:hint="eastAsia" w:ascii="仿宋" w:hAnsi="仿宋" w:eastAsia="仿宋" w:cs="仿宋"/>
          <w:u w:val="single"/>
        </w:rPr>
        <w:t xml:space="preserve">                              </w:t>
      </w:r>
    </w:p>
    <w:p w14:paraId="5ECA6EA0">
      <w:pPr>
        <w:spacing w:line="360" w:lineRule="auto"/>
        <w:ind w:firstLine="653"/>
        <w:jc w:val="center"/>
        <w:rPr>
          <w:rFonts w:ascii="宋体" w:hAnsi="宋体" w:cs="宋体"/>
          <w:b/>
          <w:bCs/>
          <w:sz w:val="32"/>
          <w:szCs w:val="32"/>
        </w:rPr>
      </w:pPr>
    </w:p>
    <w:p w14:paraId="208883B1">
      <w:pPr>
        <w:spacing w:line="360" w:lineRule="auto"/>
        <w:ind w:firstLine="653"/>
        <w:jc w:val="center"/>
        <w:rPr>
          <w:rFonts w:ascii="宋体" w:hAnsi="宋体" w:cs="宋体"/>
          <w:b/>
          <w:bCs/>
          <w:sz w:val="32"/>
          <w:szCs w:val="32"/>
        </w:rPr>
      </w:pPr>
    </w:p>
    <w:p w14:paraId="502BF97A">
      <w:pPr>
        <w:spacing w:line="360" w:lineRule="auto"/>
        <w:ind w:firstLine="653"/>
        <w:jc w:val="center"/>
        <w:rPr>
          <w:rFonts w:ascii="宋体" w:hAnsi="宋体" w:cs="宋体"/>
          <w:b/>
          <w:bCs/>
          <w:sz w:val="32"/>
          <w:szCs w:val="32"/>
        </w:rPr>
      </w:pPr>
    </w:p>
    <w:p w14:paraId="00FF6540">
      <w:pPr>
        <w:spacing w:line="360" w:lineRule="auto"/>
        <w:ind w:firstLine="653"/>
        <w:jc w:val="center"/>
        <w:rPr>
          <w:rFonts w:ascii="宋体" w:hAnsi="宋体" w:cs="宋体"/>
          <w:b/>
          <w:bCs/>
          <w:sz w:val="32"/>
          <w:szCs w:val="32"/>
        </w:rPr>
      </w:pPr>
    </w:p>
    <w:p w14:paraId="2DBB8768">
      <w:pPr>
        <w:spacing w:line="360" w:lineRule="auto"/>
        <w:ind w:firstLine="653"/>
        <w:jc w:val="center"/>
        <w:rPr>
          <w:rFonts w:ascii="宋体" w:hAnsi="宋体" w:cs="宋体"/>
          <w:b/>
          <w:bCs/>
          <w:sz w:val="32"/>
          <w:szCs w:val="32"/>
        </w:rPr>
      </w:pPr>
    </w:p>
    <w:p w14:paraId="3684DF0F">
      <w:pPr>
        <w:spacing w:line="360" w:lineRule="auto"/>
        <w:ind w:firstLine="571"/>
        <w:rPr>
          <w:rFonts w:ascii="仿宋" w:hAnsi="仿宋" w:eastAsia="仿宋" w:cs="仿宋"/>
          <w:b/>
        </w:rPr>
        <w:sectPr>
          <w:headerReference r:id="rId7" w:type="first"/>
          <w:footerReference r:id="rId10" w:type="first"/>
          <w:headerReference r:id="rId5" w:type="default"/>
          <w:footerReference r:id="rId8" w:type="default"/>
          <w:headerReference r:id="rId6" w:type="even"/>
          <w:footerReference r:id="rId9" w:type="even"/>
          <w:pgSz w:w="11907" w:h="16840"/>
          <w:pgMar w:top="1134" w:right="1191" w:bottom="1134" w:left="1304" w:header="567" w:footer="63" w:gutter="0"/>
          <w:cols w:space="720" w:num="1"/>
          <w:docGrid w:linePitch="380" w:charSpace="-5735"/>
        </w:sectPr>
      </w:pPr>
    </w:p>
    <w:p w14:paraId="05D769B7">
      <w:pPr>
        <w:spacing w:line="360" w:lineRule="auto"/>
        <w:ind w:firstLine="571"/>
        <w:rPr>
          <w:rFonts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b/>
          <w:sz w:val="24"/>
          <w:szCs w:val="24"/>
        </w:rPr>
        <w:t>采购人（甲方）：</w:t>
      </w:r>
      <w:r>
        <w:rPr>
          <w:rFonts w:hint="eastAsia" w:ascii="方正仿宋_GB2312" w:hAnsi="方正仿宋_GB2312" w:eastAsia="方正仿宋_GB2312" w:cs="方正仿宋_GB2312"/>
          <w:sz w:val="24"/>
          <w:szCs w:val="24"/>
          <w:u w:val="single"/>
        </w:rPr>
        <w:t xml:space="preserve">重庆瑞得思达光电科技有限公司    </w:t>
      </w:r>
    </w:p>
    <w:p w14:paraId="6F1F6836">
      <w:pPr>
        <w:spacing w:line="360" w:lineRule="auto"/>
        <w:ind w:firstLine="571"/>
        <w:rPr>
          <w:rFonts w:ascii="方正仿宋_GB2312" w:hAnsi="方正仿宋_GB2312" w:eastAsia="方正仿宋_GB2312" w:cs="方正仿宋_GB2312"/>
          <w:sz w:val="24"/>
          <w:szCs w:val="24"/>
          <w:u w:val="single"/>
        </w:rPr>
      </w:pPr>
      <w:r>
        <w:rPr>
          <w:rFonts w:hint="eastAsia" w:ascii="方正仿宋_GB2312" w:hAnsi="方正仿宋_GB2312" w:eastAsia="方正仿宋_GB2312" w:cs="方正仿宋_GB2312"/>
          <w:b/>
          <w:sz w:val="24"/>
          <w:szCs w:val="24"/>
        </w:rPr>
        <w:t>成交人（乙方）</w:t>
      </w:r>
      <w:r>
        <w:rPr>
          <w:rFonts w:hint="eastAsia" w:ascii="方正仿宋_GB2312" w:hAnsi="方正仿宋_GB2312" w:eastAsia="方正仿宋_GB2312" w:cs="方正仿宋_GB2312"/>
          <w:sz w:val="24"/>
          <w:szCs w:val="24"/>
        </w:rPr>
        <w:t>：</w:t>
      </w:r>
      <w:r>
        <w:rPr>
          <w:rFonts w:hint="eastAsia" w:ascii="方正仿宋_GB2312" w:hAnsi="方正仿宋_GB2312" w:eastAsia="方正仿宋_GB2312" w:cs="方正仿宋_GB2312"/>
          <w:sz w:val="24"/>
          <w:szCs w:val="24"/>
          <w:u w:val="single"/>
        </w:rPr>
        <w:t xml:space="preserve">                                </w:t>
      </w:r>
    </w:p>
    <w:p w14:paraId="085CD7B3">
      <w:pPr>
        <w:spacing w:beforeLines="50" w:afterLines="50"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在采购人</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采购项目（编号：</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）招标中，根据乙方对甲方招标项目的响应情况，经甲方开标评定，确定乙方为本项目的最终中标人，经甲乙双方协商，订立合同如下：</w:t>
      </w:r>
    </w:p>
    <w:p w14:paraId="245DBC80">
      <w:pPr>
        <w:spacing w:beforeLines="50" w:afterLines="50" w:line="360" w:lineRule="auto"/>
        <w:ind w:firstLine="489"/>
        <w:rPr>
          <w:rFonts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第一条 合同文件</w:t>
      </w:r>
    </w:p>
    <w:p w14:paraId="4847E2E9">
      <w:pPr>
        <w:tabs>
          <w:tab w:val="left" w:pos="426"/>
        </w:tabs>
        <w:autoSpaceDE w:val="0"/>
        <w:autoSpaceDN w:val="0"/>
        <w:spacing w:line="0" w:lineRule="atLeas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下述文件组成本合同不可分割的部分，与合同条款具有同等效力。</w:t>
      </w:r>
    </w:p>
    <w:p w14:paraId="6DEF0C1A">
      <w:pPr>
        <w:tabs>
          <w:tab w:val="left" w:pos="426"/>
        </w:tabs>
        <w:autoSpaceDE w:val="0"/>
        <w:autoSpaceDN w:val="0"/>
        <w:spacing w:line="0" w:lineRule="atLeast"/>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1、中标通知书。</w:t>
      </w:r>
    </w:p>
    <w:p w14:paraId="5E35C819">
      <w:pPr>
        <w:tabs>
          <w:tab w:val="left" w:pos="851"/>
        </w:tabs>
        <w:autoSpaceDE w:val="0"/>
        <w:autoSpaceDN w:val="0"/>
        <w:adjustRightInd w:val="0"/>
        <w:spacing w:line="360" w:lineRule="auto"/>
        <w:ind w:firstLine="480"/>
        <w:textAlignment w:val="baseline"/>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双方授权代表签字并指明的书面文件：所有招标文件及附件、投标文件及经双方确认的与本合同相关的其它书面文件均为本合同之有效组成部分。其中涉及修改和新增的部分，以双方书面签字盖章确认的文件为准。</w:t>
      </w:r>
    </w:p>
    <w:p w14:paraId="49DF395A">
      <w:pPr>
        <w:spacing w:beforeLines="50" w:afterLines="50" w:line="360" w:lineRule="auto"/>
        <w:ind w:firstLine="489"/>
        <w:rPr>
          <w:rFonts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 xml:space="preserve">第二条 </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b/>
          <w:sz w:val="24"/>
          <w:szCs w:val="24"/>
        </w:rPr>
        <w:t>标的物、数量、价款</w:t>
      </w:r>
    </w:p>
    <w:tbl>
      <w:tblPr>
        <w:tblStyle w:val="58"/>
        <w:tblW w:w="11094" w:type="dxa"/>
        <w:jc w:val="center"/>
        <w:tblLayout w:type="fixed"/>
        <w:tblCellMar>
          <w:top w:w="0" w:type="dxa"/>
          <w:left w:w="108" w:type="dxa"/>
          <w:bottom w:w="0" w:type="dxa"/>
          <w:right w:w="108" w:type="dxa"/>
        </w:tblCellMar>
      </w:tblPr>
      <w:tblGrid>
        <w:gridCol w:w="2051"/>
        <w:gridCol w:w="303"/>
        <w:gridCol w:w="1980"/>
        <w:gridCol w:w="2140"/>
        <w:gridCol w:w="1577"/>
        <w:gridCol w:w="1674"/>
        <w:gridCol w:w="1369"/>
      </w:tblGrid>
      <w:tr w14:paraId="0366A740">
        <w:tblPrEx>
          <w:tblCellMar>
            <w:top w:w="0" w:type="dxa"/>
            <w:left w:w="108" w:type="dxa"/>
            <w:bottom w:w="0" w:type="dxa"/>
            <w:right w:w="108" w:type="dxa"/>
          </w:tblCellMar>
        </w:tblPrEx>
        <w:trPr>
          <w:trHeight w:val="686" w:hRule="atLeast"/>
          <w:jc w:val="center"/>
        </w:trPr>
        <w:tc>
          <w:tcPr>
            <w:tcW w:w="2051" w:type="dxa"/>
            <w:tcBorders>
              <w:top w:val="single" w:color="auto" w:sz="4" w:space="0"/>
              <w:left w:val="single" w:color="auto" w:sz="4" w:space="0"/>
              <w:bottom w:val="single" w:color="auto" w:sz="4" w:space="0"/>
              <w:right w:val="single" w:color="auto" w:sz="4" w:space="0"/>
            </w:tcBorders>
            <w:vAlign w:val="center"/>
          </w:tcPr>
          <w:p w14:paraId="5AA5FF0D">
            <w:pPr>
              <w:spacing w:line="400" w:lineRule="exact"/>
              <w:jc w:val="center"/>
              <w:rPr>
                <w:rFonts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标的名称</w:t>
            </w:r>
          </w:p>
        </w:tc>
        <w:tc>
          <w:tcPr>
            <w:tcW w:w="2283" w:type="dxa"/>
            <w:gridSpan w:val="2"/>
            <w:tcBorders>
              <w:top w:val="single" w:color="auto" w:sz="4" w:space="0"/>
              <w:left w:val="single" w:color="auto" w:sz="4" w:space="0"/>
              <w:bottom w:val="single" w:color="auto" w:sz="4" w:space="0"/>
              <w:right w:val="single" w:color="auto" w:sz="4" w:space="0"/>
            </w:tcBorders>
            <w:vAlign w:val="center"/>
          </w:tcPr>
          <w:p w14:paraId="71F426AE">
            <w:pPr>
              <w:spacing w:line="400" w:lineRule="exact"/>
              <w:jc w:val="center"/>
              <w:rPr>
                <w:rFonts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产品名称</w:t>
            </w:r>
          </w:p>
        </w:tc>
        <w:tc>
          <w:tcPr>
            <w:tcW w:w="2140" w:type="dxa"/>
            <w:tcBorders>
              <w:top w:val="single" w:color="auto" w:sz="4" w:space="0"/>
              <w:left w:val="single" w:color="auto" w:sz="4" w:space="0"/>
              <w:bottom w:val="single" w:color="auto" w:sz="4" w:space="0"/>
              <w:right w:val="single" w:color="auto" w:sz="4" w:space="0"/>
            </w:tcBorders>
            <w:vAlign w:val="center"/>
          </w:tcPr>
          <w:p w14:paraId="22BE0041">
            <w:pPr>
              <w:spacing w:line="400" w:lineRule="exact"/>
              <w:jc w:val="center"/>
              <w:rPr>
                <w:rFonts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材质、参数、规格尺寸</w:t>
            </w:r>
          </w:p>
        </w:tc>
        <w:tc>
          <w:tcPr>
            <w:tcW w:w="1577" w:type="dxa"/>
            <w:tcBorders>
              <w:top w:val="single" w:color="auto" w:sz="4" w:space="0"/>
              <w:left w:val="single" w:color="auto" w:sz="4" w:space="0"/>
              <w:bottom w:val="single" w:color="auto" w:sz="4" w:space="0"/>
              <w:right w:val="single" w:color="auto" w:sz="4" w:space="0"/>
            </w:tcBorders>
            <w:vAlign w:val="center"/>
          </w:tcPr>
          <w:p w14:paraId="19967A67">
            <w:pPr>
              <w:spacing w:line="400" w:lineRule="exact"/>
              <w:jc w:val="center"/>
              <w:rPr>
                <w:rFonts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数量</w:t>
            </w:r>
          </w:p>
        </w:tc>
        <w:tc>
          <w:tcPr>
            <w:tcW w:w="1674" w:type="dxa"/>
            <w:tcBorders>
              <w:top w:val="single" w:color="auto" w:sz="4" w:space="0"/>
              <w:left w:val="single" w:color="auto" w:sz="4" w:space="0"/>
              <w:bottom w:val="single" w:color="auto" w:sz="4" w:space="0"/>
              <w:right w:val="single" w:color="auto" w:sz="4" w:space="0"/>
            </w:tcBorders>
            <w:vAlign w:val="center"/>
          </w:tcPr>
          <w:p w14:paraId="196726A7">
            <w:pPr>
              <w:spacing w:line="400" w:lineRule="exact"/>
              <w:jc w:val="center"/>
              <w:rPr>
                <w:rFonts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单价（元）</w:t>
            </w:r>
          </w:p>
        </w:tc>
        <w:tc>
          <w:tcPr>
            <w:tcW w:w="1369" w:type="dxa"/>
            <w:tcBorders>
              <w:top w:val="single" w:color="auto" w:sz="4" w:space="0"/>
              <w:left w:val="single" w:color="auto" w:sz="4" w:space="0"/>
              <w:bottom w:val="single" w:color="auto" w:sz="4" w:space="0"/>
              <w:right w:val="single" w:color="auto" w:sz="4" w:space="0"/>
            </w:tcBorders>
            <w:vAlign w:val="center"/>
          </w:tcPr>
          <w:p w14:paraId="2CA941E1">
            <w:pPr>
              <w:spacing w:line="400" w:lineRule="exact"/>
              <w:jc w:val="center"/>
              <w:rPr>
                <w:rFonts w:ascii="方正仿宋_GB2312" w:hAnsi="方正仿宋_GB2312" w:eastAsia="方正仿宋_GB2312" w:cs="方正仿宋_GB2312"/>
                <w:b/>
                <w:sz w:val="24"/>
                <w:szCs w:val="24"/>
              </w:rPr>
            </w:pPr>
            <w:r>
              <w:rPr>
                <w:rFonts w:hint="eastAsia" w:ascii="方正仿宋_GB2312" w:hAnsi="方正仿宋_GB2312" w:eastAsia="方正仿宋_GB2312" w:cs="方正仿宋_GB2312"/>
                <w:b/>
                <w:sz w:val="24"/>
                <w:szCs w:val="24"/>
              </w:rPr>
              <w:t>合价（元）</w:t>
            </w:r>
          </w:p>
        </w:tc>
      </w:tr>
      <w:tr w14:paraId="08A555AE">
        <w:tblPrEx>
          <w:tblCellMar>
            <w:top w:w="0" w:type="dxa"/>
            <w:left w:w="108" w:type="dxa"/>
            <w:bottom w:w="0" w:type="dxa"/>
            <w:right w:w="108" w:type="dxa"/>
          </w:tblCellMar>
        </w:tblPrEx>
        <w:trPr>
          <w:trHeight w:val="1950" w:hRule="atLeast"/>
          <w:jc w:val="center"/>
        </w:trPr>
        <w:tc>
          <w:tcPr>
            <w:tcW w:w="2051" w:type="dxa"/>
            <w:vMerge w:val="restart"/>
            <w:tcBorders>
              <w:top w:val="single" w:color="auto" w:sz="4" w:space="0"/>
              <w:left w:val="single" w:color="auto" w:sz="4" w:space="0"/>
              <w:right w:val="single" w:color="auto" w:sz="4" w:space="0"/>
            </w:tcBorders>
            <w:vAlign w:val="center"/>
          </w:tcPr>
          <w:p w14:paraId="0534343C">
            <w:pPr>
              <w:spacing w:beforeLines="50" w:afterLines="50" w:line="400" w:lineRule="exact"/>
              <w:jc w:val="center"/>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rPr>
              <w:t>重庆瑞得思达光电科技有限公司-办公家具采购</w:t>
            </w:r>
          </w:p>
        </w:tc>
        <w:tc>
          <w:tcPr>
            <w:tcW w:w="2283" w:type="dxa"/>
            <w:gridSpan w:val="2"/>
            <w:tcBorders>
              <w:top w:val="single" w:color="auto" w:sz="4" w:space="0"/>
              <w:left w:val="single" w:color="auto" w:sz="4" w:space="0"/>
              <w:right w:val="single" w:color="auto" w:sz="4" w:space="0"/>
            </w:tcBorders>
            <w:vAlign w:val="center"/>
          </w:tcPr>
          <w:p w14:paraId="50FE2C85">
            <w:pPr>
              <w:widowControl/>
              <w:jc w:val="center"/>
              <w:textAlignment w:val="center"/>
              <w:rPr>
                <w:rFonts w:ascii="方正仿宋_GB2312" w:hAnsi="方正仿宋_GB2312" w:eastAsia="方正仿宋_GB2312" w:cs="方正仿宋_GB2312"/>
                <w:kern w:val="0"/>
                <w:sz w:val="24"/>
                <w:szCs w:val="24"/>
              </w:rPr>
            </w:pPr>
          </w:p>
        </w:tc>
        <w:tc>
          <w:tcPr>
            <w:tcW w:w="2140" w:type="dxa"/>
            <w:tcBorders>
              <w:top w:val="single" w:color="auto" w:sz="4" w:space="0"/>
              <w:left w:val="single" w:color="auto" w:sz="4" w:space="0"/>
              <w:right w:val="single" w:color="auto" w:sz="4" w:space="0"/>
            </w:tcBorders>
            <w:vAlign w:val="center"/>
          </w:tcPr>
          <w:p w14:paraId="0C16F416">
            <w:pPr>
              <w:widowControl/>
              <w:jc w:val="center"/>
              <w:textAlignment w:val="center"/>
              <w:rPr>
                <w:rFonts w:ascii="方正仿宋_GB2312" w:hAnsi="方正仿宋_GB2312" w:eastAsia="方正仿宋_GB2312" w:cs="方正仿宋_GB2312"/>
                <w:color w:val="000000"/>
                <w:kern w:val="0"/>
                <w:sz w:val="24"/>
                <w:szCs w:val="24"/>
              </w:rPr>
            </w:pPr>
          </w:p>
        </w:tc>
        <w:tc>
          <w:tcPr>
            <w:tcW w:w="1577" w:type="dxa"/>
            <w:tcBorders>
              <w:top w:val="single" w:color="auto" w:sz="4" w:space="0"/>
              <w:left w:val="single" w:color="auto" w:sz="4" w:space="0"/>
              <w:right w:val="single" w:color="auto" w:sz="4" w:space="0"/>
            </w:tcBorders>
            <w:vAlign w:val="center"/>
          </w:tcPr>
          <w:p w14:paraId="1372DFD7">
            <w:pPr>
              <w:spacing w:beforeLines="50" w:afterLines="50" w:line="400" w:lineRule="exact"/>
              <w:jc w:val="left"/>
              <w:rPr>
                <w:rFonts w:ascii="方正仿宋_GB2312" w:hAnsi="方正仿宋_GB2312" w:eastAsia="方正仿宋_GB2312" w:cs="方正仿宋_GB2312"/>
                <w:b/>
                <w:sz w:val="24"/>
                <w:szCs w:val="24"/>
              </w:rPr>
            </w:pPr>
          </w:p>
        </w:tc>
        <w:tc>
          <w:tcPr>
            <w:tcW w:w="1674" w:type="dxa"/>
            <w:tcBorders>
              <w:top w:val="single" w:color="auto" w:sz="4" w:space="0"/>
              <w:left w:val="single" w:color="auto" w:sz="4" w:space="0"/>
              <w:bottom w:val="single" w:color="auto" w:sz="4" w:space="0"/>
              <w:right w:val="single" w:color="auto" w:sz="4" w:space="0"/>
            </w:tcBorders>
            <w:vAlign w:val="center"/>
          </w:tcPr>
          <w:p w14:paraId="732355D8">
            <w:pPr>
              <w:spacing w:beforeLines="50" w:afterLines="50" w:line="400" w:lineRule="exact"/>
              <w:jc w:val="left"/>
              <w:rPr>
                <w:rFonts w:ascii="方正仿宋_GB2312" w:hAnsi="方正仿宋_GB2312" w:eastAsia="方正仿宋_GB2312" w:cs="方正仿宋_GB2312"/>
                <w:b/>
                <w:sz w:val="24"/>
                <w:szCs w:val="24"/>
              </w:rPr>
            </w:pPr>
          </w:p>
        </w:tc>
        <w:tc>
          <w:tcPr>
            <w:tcW w:w="1369" w:type="dxa"/>
            <w:tcBorders>
              <w:top w:val="single" w:color="auto" w:sz="4" w:space="0"/>
              <w:left w:val="single" w:color="auto" w:sz="4" w:space="0"/>
              <w:bottom w:val="single" w:color="auto" w:sz="4" w:space="0"/>
              <w:right w:val="single" w:color="auto" w:sz="4" w:space="0"/>
            </w:tcBorders>
            <w:vAlign w:val="center"/>
          </w:tcPr>
          <w:p w14:paraId="61E01E41">
            <w:pPr>
              <w:spacing w:beforeLines="50" w:afterLines="50" w:line="400" w:lineRule="exact"/>
              <w:rPr>
                <w:rFonts w:ascii="方正仿宋_GB2312" w:hAnsi="方正仿宋_GB2312" w:eastAsia="方正仿宋_GB2312" w:cs="方正仿宋_GB2312"/>
                <w:b/>
                <w:sz w:val="24"/>
                <w:szCs w:val="24"/>
              </w:rPr>
            </w:pPr>
          </w:p>
        </w:tc>
      </w:tr>
      <w:tr w14:paraId="7AA8715F">
        <w:tblPrEx>
          <w:tblCellMar>
            <w:top w:w="0" w:type="dxa"/>
            <w:left w:w="108" w:type="dxa"/>
            <w:bottom w:w="0" w:type="dxa"/>
            <w:right w:w="108" w:type="dxa"/>
          </w:tblCellMar>
        </w:tblPrEx>
        <w:trPr>
          <w:trHeight w:val="2750" w:hRule="atLeast"/>
          <w:jc w:val="center"/>
        </w:trPr>
        <w:tc>
          <w:tcPr>
            <w:tcW w:w="2051" w:type="dxa"/>
            <w:vMerge w:val="continue"/>
            <w:tcBorders>
              <w:left w:val="single" w:color="auto" w:sz="4" w:space="0"/>
              <w:right w:val="single" w:color="auto" w:sz="4" w:space="0"/>
            </w:tcBorders>
            <w:vAlign w:val="center"/>
          </w:tcPr>
          <w:p w14:paraId="59C4A8CD">
            <w:pPr>
              <w:spacing w:beforeLines="50" w:afterLines="50" w:line="400" w:lineRule="exact"/>
              <w:jc w:val="left"/>
              <w:rPr>
                <w:rFonts w:ascii="方正仿宋_GB2312" w:hAnsi="方正仿宋_GB2312" w:eastAsia="方正仿宋_GB2312" w:cs="方正仿宋_GB2312"/>
                <w:sz w:val="24"/>
                <w:szCs w:val="24"/>
              </w:rPr>
            </w:pPr>
          </w:p>
        </w:tc>
        <w:tc>
          <w:tcPr>
            <w:tcW w:w="2283" w:type="dxa"/>
            <w:gridSpan w:val="2"/>
            <w:tcBorders>
              <w:top w:val="single" w:color="auto" w:sz="4" w:space="0"/>
              <w:left w:val="single" w:color="auto" w:sz="4" w:space="0"/>
              <w:right w:val="single" w:color="auto" w:sz="4" w:space="0"/>
            </w:tcBorders>
            <w:vAlign w:val="center"/>
          </w:tcPr>
          <w:p w14:paraId="2541C9E5">
            <w:pPr>
              <w:spacing w:beforeLines="50" w:afterLines="50" w:line="400" w:lineRule="exact"/>
              <w:jc w:val="center"/>
              <w:rPr>
                <w:rFonts w:ascii="方正仿宋_GB2312" w:hAnsi="方正仿宋_GB2312" w:eastAsia="方正仿宋_GB2312" w:cs="方正仿宋_GB2312"/>
                <w:kern w:val="0"/>
                <w:sz w:val="24"/>
                <w:szCs w:val="24"/>
              </w:rPr>
            </w:pPr>
          </w:p>
        </w:tc>
        <w:tc>
          <w:tcPr>
            <w:tcW w:w="2140" w:type="dxa"/>
            <w:tcBorders>
              <w:top w:val="single" w:color="auto" w:sz="4" w:space="0"/>
              <w:left w:val="single" w:color="auto" w:sz="4" w:space="0"/>
              <w:right w:val="single" w:color="auto" w:sz="4" w:space="0"/>
            </w:tcBorders>
            <w:vAlign w:val="center"/>
          </w:tcPr>
          <w:p w14:paraId="6EC877E0">
            <w:pPr>
              <w:spacing w:beforeLines="50" w:afterLines="50" w:line="400" w:lineRule="exact"/>
              <w:jc w:val="center"/>
              <w:rPr>
                <w:rFonts w:ascii="方正仿宋_GB2312" w:hAnsi="方正仿宋_GB2312" w:eastAsia="方正仿宋_GB2312" w:cs="方正仿宋_GB2312"/>
                <w:color w:val="000000"/>
                <w:kern w:val="0"/>
                <w:sz w:val="24"/>
                <w:szCs w:val="24"/>
              </w:rPr>
            </w:pPr>
          </w:p>
        </w:tc>
        <w:tc>
          <w:tcPr>
            <w:tcW w:w="1577" w:type="dxa"/>
            <w:tcBorders>
              <w:top w:val="single" w:color="auto" w:sz="4" w:space="0"/>
              <w:left w:val="single" w:color="auto" w:sz="4" w:space="0"/>
              <w:right w:val="single" w:color="auto" w:sz="4" w:space="0"/>
            </w:tcBorders>
            <w:vAlign w:val="center"/>
          </w:tcPr>
          <w:p w14:paraId="6DA078A4">
            <w:pPr>
              <w:spacing w:beforeLines="50" w:afterLines="50" w:line="400" w:lineRule="exact"/>
              <w:jc w:val="left"/>
              <w:rPr>
                <w:rFonts w:ascii="方正仿宋_GB2312" w:hAnsi="方正仿宋_GB2312" w:eastAsia="方正仿宋_GB2312" w:cs="方正仿宋_GB2312"/>
                <w:sz w:val="24"/>
                <w:szCs w:val="24"/>
              </w:rPr>
            </w:pPr>
          </w:p>
        </w:tc>
        <w:tc>
          <w:tcPr>
            <w:tcW w:w="1674" w:type="dxa"/>
            <w:tcBorders>
              <w:top w:val="single" w:color="auto" w:sz="4" w:space="0"/>
              <w:left w:val="single" w:color="auto" w:sz="4" w:space="0"/>
              <w:bottom w:val="single" w:color="auto" w:sz="4" w:space="0"/>
              <w:right w:val="single" w:color="auto" w:sz="4" w:space="0"/>
            </w:tcBorders>
            <w:vAlign w:val="center"/>
          </w:tcPr>
          <w:p w14:paraId="48D47CEE">
            <w:pPr>
              <w:spacing w:beforeLines="50" w:afterLines="50" w:line="400" w:lineRule="exact"/>
              <w:jc w:val="left"/>
              <w:rPr>
                <w:rFonts w:ascii="方正仿宋_GB2312" w:hAnsi="方正仿宋_GB2312" w:eastAsia="方正仿宋_GB2312" w:cs="方正仿宋_GB2312"/>
                <w:sz w:val="24"/>
                <w:szCs w:val="24"/>
              </w:rPr>
            </w:pPr>
          </w:p>
        </w:tc>
        <w:tc>
          <w:tcPr>
            <w:tcW w:w="1369" w:type="dxa"/>
            <w:tcBorders>
              <w:top w:val="single" w:color="auto" w:sz="4" w:space="0"/>
              <w:left w:val="single" w:color="auto" w:sz="4" w:space="0"/>
              <w:bottom w:val="single" w:color="auto" w:sz="4" w:space="0"/>
              <w:right w:val="single" w:color="auto" w:sz="4" w:space="0"/>
            </w:tcBorders>
            <w:vAlign w:val="center"/>
          </w:tcPr>
          <w:p w14:paraId="10BEA399">
            <w:pPr>
              <w:spacing w:beforeLines="50" w:afterLines="50" w:line="400" w:lineRule="exact"/>
              <w:jc w:val="left"/>
              <w:rPr>
                <w:rFonts w:ascii="方正仿宋_GB2312" w:hAnsi="方正仿宋_GB2312" w:eastAsia="方正仿宋_GB2312" w:cs="方正仿宋_GB2312"/>
                <w:sz w:val="24"/>
                <w:szCs w:val="24"/>
              </w:rPr>
            </w:pPr>
          </w:p>
        </w:tc>
      </w:tr>
      <w:tr w14:paraId="6CC49D75">
        <w:trPr>
          <w:trHeight w:val="337" w:hRule="atLeast"/>
          <w:jc w:val="center"/>
        </w:trPr>
        <w:tc>
          <w:tcPr>
            <w:tcW w:w="11094" w:type="dxa"/>
            <w:gridSpan w:val="7"/>
            <w:tcBorders>
              <w:top w:val="single" w:color="auto" w:sz="4" w:space="0"/>
              <w:left w:val="single" w:color="auto" w:sz="4" w:space="0"/>
              <w:bottom w:val="single" w:color="auto" w:sz="4" w:space="0"/>
              <w:right w:val="single" w:color="auto" w:sz="4" w:space="0"/>
            </w:tcBorders>
          </w:tcPr>
          <w:p w14:paraId="6EA0259B">
            <w:pPr>
              <w:spacing w:beforeLines="50" w:afterLines="50" w:line="400" w:lineRule="exact"/>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合同总价：</w:t>
            </w:r>
            <w:r>
              <w:rPr>
                <w:rFonts w:hint="eastAsia" w:ascii="方正仿宋_GB2312" w:hAnsi="方正仿宋_GB2312" w:eastAsia="方正仿宋_GB2312" w:cs="方正仿宋_GB2312"/>
                <w:sz w:val="24"/>
                <w:szCs w:val="24"/>
                <w:u w:val="single"/>
              </w:rPr>
              <w:t xml:space="preserve">                               </w:t>
            </w:r>
            <w:r>
              <w:rPr>
                <w:rFonts w:hint="eastAsia" w:ascii="方正仿宋_GB2312" w:hAnsi="方正仿宋_GB2312" w:eastAsia="方正仿宋_GB2312" w:cs="方正仿宋_GB2312"/>
                <w:sz w:val="24"/>
                <w:szCs w:val="24"/>
              </w:rPr>
              <w:t>元整</w:t>
            </w:r>
            <w:r>
              <w:rPr>
                <w:rFonts w:hint="eastAsia" w:ascii="方正仿宋_GB2312" w:hAnsi="方正仿宋_GB2312" w:eastAsia="方正仿宋_GB2312" w:cs="方正仿宋_GB2312"/>
                <w:b/>
                <w:sz w:val="24"/>
                <w:szCs w:val="24"/>
              </w:rPr>
              <w:t>（¥：</w:t>
            </w:r>
            <w:r>
              <w:rPr>
                <w:rFonts w:hint="eastAsia" w:ascii="方正仿宋_GB2312" w:hAnsi="方正仿宋_GB2312" w:eastAsia="方正仿宋_GB2312" w:cs="方正仿宋_GB2312"/>
                <w:b/>
                <w:sz w:val="24"/>
                <w:szCs w:val="24"/>
                <w:u w:val="single"/>
              </w:rPr>
              <w:t xml:space="preserve">                 </w:t>
            </w:r>
            <w:r>
              <w:rPr>
                <w:rFonts w:hint="eastAsia" w:ascii="方正仿宋_GB2312" w:hAnsi="方正仿宋_GB2312" w:eastAsia="方正仿宋_GB2312" w:cs="方正仿宋_GB2312"/>
                <w:b/>
                <w:sz w:val="24"/>
                <w:szCs w:val="24"/>
              </w:rPr>
              <w:t xml:space="preserve"> 元）   </w:t>
            </w:r>
          </w:p>
        </w:tc>
      </w:tr>
      <w:tr w14:paraId="114BCEC8">
        <w:tblPrEx>
          <w:tblCellMar>
            <w:top w:w="0" w:type="dxa"/>
            <w:left w:w="108" w:type="dxa"/>
            <w:bottom w:w="0" w:type="dxa"/>
            <w:right w:w="108" w:type="dxa"/>
          </w:tblCellMar>
        </w:tblPrEx>
        <w:trPr>
          <w:trHeight w:val="416" w:hRule="atLeast"/>
          <w:jc w:val="center"/>
        </w:trPr>
        <w:tc>
          <w:tcPr>
            <w:tcW w:w="2354" w:type="dxa"/>
            <w:gridSpan w:val="2"/>
            <w:tcBorders>
              <w:top w:val="single" w:color="auto" w:sz="4" w:space="0"/>
              <w:left w:val="single" w:color="auto" w:sz="4" w:space="0"/>
              <w:bottom w:val="single" w:color="auto" w:sz="4" w:space="0"/>
              <w:right w:val="single" w:color="auto" w:sz="4" w:space="0"/>
            </w:tcBorders>
            <w:vAlign w:val="center"/>
          </w:tcPr>
          <w:p w14:paraId="3D9CC494">
            <w:pPr>
              <w:spacing w:line="400" w:lineRule="exact"/>
              <w:ind w:firstLine="480"/>
              <w:jc w:val="center"/>
              <w:rPr>
                <w:rFonts w:ascii="方正仿宋_GB2312" w:hAnsi="方正仿宋_GB2312" w:eastAsia="方正仿宋_GB2312" w:cs="方正仿宋_GB2312"/>
                <w:bCs/>
                <w:sz w:val="24"/>
                <w:szCs w:val="24"/>
              </w:rPr>
            </w:pPr>
            <w:r>
              <w:rPr>
                <w:rFonts w:hint="eastAsia" w:ascii="方正仿宋_GB2312" w:hAnsi="方正仿宋_GB2312" w:eastAsia="方正仿宋_GB2312" w:cs="方正仿宋_GB2312"/>
                <w:bCs/>
                <w:sz w:val="24"/>
                <w:szCs w:val="24"/>
              </w:rPr>
              <w:t>备注</w:t>
            </w:r>
          </w:p>
        </w:tc>
        <w:tc>
          <w:tcPr>
            <w:tcW w:w="8740" w:type="dxa"/>
            <w:gridSpan w:val="5"/>
            <w:tcBorders>
              <w:top w:val="single" w:color="auto" w:sz="4" w:space="0"/>
              <w:left w:val="single" w:color="auto" w:sz="4" w:space="0"/>
              <w:bottom w:val="single" w:color="auto" w:sz="4" w:space="0"/>
              <w:right w:val="single" w:color="auto" w:sz="4" w:space="0"/>
            </w:tcBorders>
            <w:vAlign w:val="center"/>
          </w:tcPr>
          <w:p w14:paraId="4F0BC687">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kern w:val="0"/>
                <w:sz w:val="24"/>
                <w:szCs w:val="24"/>
              </w:rPr>
              <w:t>1、合同总价</w:t>
            </w:r>
            <w:r>
              <w:rPr>
                <w:rFonts w:hint="eastAsia" w:ascii="方正仿宋_GB2312" w:hAnsi="方正仿宋_GB2312" w:eastAsia="方正仿宋_GB2312" w:cs="方正仿宋_GB2312"/>
                <w:bCs/>
                <w:sz w:val="24"/>
                <w:szCs w:val="24"/>
              </w:rPr>
              <w:t>为标的物到甲方含税价，包括完成本项目所需的包含产品与材料的供货、包装运输（含装卸费）、搬运、安装（放）、验收并交付正常使用、售后服务、质保、规费、税金、利润及风险等全部费用。该合同总价已综合考虑了在合同有效期内的材料设备、机械、人工等所有市场价格波动的风险，在合同履行期间不做任何调整。</w:t>
            </w:r>
          </w:p>
        </w:tc>
      </w:tr>
    </w:tbl>
    <w:p w14:paraId="236EC12B">
      <w:pPr>
        <w:spacing w:line="360" w:lineRule="auto"/>
        <w:ind w:firstLine="489"/>
        <w:rPr>
          <w:rFonts w:ascii="方正仿宋_GB2312" w:hAnsi="方正仿宋_GB2312" w:eastAsia="方正仿宋_GB2312" w:cs="方正仿宋_GB2312"/>
          <w:b/>
          <w:sz w:val="24"/>
          <w:szCs w:val="24"/>
        </w:rPr>
      </w:pPr>
    </w:p>
    <w:p w14:paraId="10F7F4DC">
      <w:pPr>
        <w:spacing w:line="360" w:lineRule="auto"/>
        <w:ind w:firstLine="489"/>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rPr>
        <w:t>第三条  技术要求及质量标准</w:t>
      </w:r>
    </w:p>
    <w:p w14:paraId="7C3159F2">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产品的技术要求按招标文件第二篇执行。质量标准没有特殊约定的，必须按企业标准、行业标准和国家标准中的较高标准执行，如因设计或材质质量的缺陷，造成设备的质量下降或不符合要求给甲方造成的损失，乙方负责赔偿。</w:t>
      </w:r>
    </w:p>
    <w:p w14:paraId="3A423236">
      <w:pPr>
        <w:spacing w:line="360" w:lineRule="auto"/>
        <w:ind w:firstLine="489"/>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rPr>
        <w:t>第四条  交提货方式、时间和地点</w:t>
      </w:r>
    </w:p>
    <w:p w14:paraId="498206F6">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乙方将标的物送至甲方指定地点，并随货附上《送货清单》及乙方的出货自检报告或证明（必要时需提供第三方检测的材料性能测试报告供甲方备查）。《送货清单》须列明合同编号及货物信息（货物名称、型号规格、数量等）；卸车由乙方负责，费用由乙方承担，乙方必须派遣相关技术服务人员现场指导。</w:t>
      </w:r>
    </w:p>
    <w:p w14:paraId="711CE7D5">
      <w:pPr>
        <w:spacing w:line="360" w:lineRule="auto"/>
        <w:ind w:firstLine="480"/>
        <w:jc w:val="left"/>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2、交货时间：乙方应当</w:t>
      </w:r>
      <w:r>
        <w:rPr>
          <w:rFonts w:hint="eastAsia" w:ascii="方正仿宋_GB2312" w:hAnsi="方正仿宋_GB2312" w:eastAsia="方正仿宋_GB2312" w:cs="方正仿宋_GB2312"/>
          <w:kern w:val="0"/>
          <w:sz w:val="24"/>
          <w:szCs w:val="24"/>
        </w:rPr>
        <w:t>自合同签订后且甲方支付第一笔预付款之日起</w:t>
      </w:r>
      <w:r>
        <w:rPr>
          <w:rFonts w:hint="eastAsia" w:ascii="方正仿宋_GB2312" w:hAnsi="方正仿宋_GB2312" w:eastAsia="方正仿宋_GB2312" w:cs="方正仿宋_GB2312"/>
          <w:kern w:val="0"/>
          <w:sz w:val="24"/>
          <w:szCs w:val="24"/>
          <w:u w:val="single"/>
        </w:rPr>
        <w:t xml:space="preserve">    </w:t>
      </w:r>
      <w:r>
        <w:rPr>
          <w:rFonts w:hint="eastAsia" w:ascii="方正仿宋_GB2312" w:hAnsi="方正仿宋_GB2312" w:eastAsia="方正仿宋_GB2312" w:cs="方正仿宋_GB2312"/>
          <w:kern w:val="0"/>
          <w:sz w:val="24"/>
          <w:szCs w:val="24"/>
        </w:rPr>
        <w:t>天（日历天）内完成合同产品设计、制作、交付、安装并经甲方验收合同</w:t>
      </w:r>
      <w:r>
        <w:rPr>
          <w:rFonts w:hint="eastAsia" w:ascii="方正仿宋_GB2312" w:hAnsi="方正仿宋_GB2312" w:eastAsia="方正仿宋_GB2312" w:cs="方正仿宋_GB2312"/>
          <w:sz w:val="24"/>
          <w:szCs w:val="24"/>
        </w:rPr>
        <w:t>。</w:t>
      </w:r>
    </w:p>
    <w:p w14:paraId="28F9A296">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3、交货地点：</w:t>
      </w:r>
      <w:r>
        <w:rPr>
          <w:rFonts w:hint="eastAsia" w:ascii="方正仿宋_GB2312" w:hAnsi="方正仿宋_GB2312" w:eastAsia="方正仿宋_GB2312" w:cs="方正仿宋_GB2312"/>
          <w:b/>
          <w:sz w:val="24"/>
          <w:szCs w:val="24"/>
          <w:u w:val="single"/>
        </w:rPr>
        <w:t>重庆瑞得思达光电科技有限公司厂区内，甲方指定位置</w:t>
      </w:r>
      <w:r>
        <w:rPr>
          <w:rFonts w:hint="eastAsia" w:ascii="方正仿宋_GB2312" w:hAnsi="方正仿宋_GB2312" w:eastAsia="方正仿宋_GB2312" w:cs="方正仿宋_GB2312"/>
          <w:sz w:val="24"/>
          <w:szCs w:val="24"/>
          <w:u w:val="single"/>
        </w:rPr>
        <w:t xml:space="preserve">  。</w:t>
      </w:r>
    </w:p>
    <w:p w14:paraId="0B615E2C">
      <w:pPr>
        <w:spacing w:line="360" w:lineRule="auto"/>
        <w:ind w:firstLine="489"/>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rPr>
        <w:t>第五条 设备的安装与调试</w:t>
      </w:r>
    </w:p>
    <w:p w14:paraId="19653CE1">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乙方负责按照国家相关标准和行业规范进行操作安装。乙方派出的专业技术人员应当具备相应的资质和经验并指导施工队进行安装，安装费用（包括但不限于材料、设备、人工、运输等所有可能的支出）由乙方承担。乙方负责免费对甲方人员进行技术培训，培训内容应包括设备的操作、维护、常见故障处理等，培训时间不少于[  ]，培训效果应达到甲方人员能够独立熟练操作和维护设备的水平。乙方拆除设备以甲方通知时间为准。</w:t>
      </w:r>
    </w:p>
    <w:p w14:paraId="2916FDD5">
      <w:pPr>
        <w:spacing w:line="360" w:lineRule="auto"/>
        <w:ind w:firstLine="489"/>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rPr>
        <w:t>第六条</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b/>
          <w:sz w:val="24"/>
          <w:szCs w:val="24"/>
        </w:rPr>
        <w:t>检验及验收</w:t>
      </w:r>
    </w:p>
    <w:p w14:paraId="18D0FA76">
      <w:pPr>
        <w:spacing w:line="360" w:lineRule="auto"/>
        <w:ind w:firstLine="480"/>
        <w:jc w:val="left"/>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1、甲方有权随时到乙方工厂检查、检验所供设备生产各个环节的质量情况，乙方应全力配合，若甲方提出不符合项，乙方应在[  ]个工作日内完成整改，拒不整改或逾期未整改完成的，甲方有权单方面终止合同，所造成的损失由乙方承担；甲方有权到乙方的外购、外协等第三方厂家进行现场考察、验收，乙方应当予以配合和提供协助；</w:t>
      </w:r>
    </w:p>
    <w:p w14:paraId="22BC9CB0">
      <w:pPr>
        <w:spacing w:line="360" w:lineRule="auto"/>
        <w:ind w:firstLine="480"/>
        <w:jc w:val="left"/>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2、甲方有权选择在设备发货前或者设备送达甲方指定地点后按约定标准进行初验，如有问题，乙方应在[  ]个工作日内及时整改或更换；</w:t>
      </w:r>
    </w:p>
    <w:p w14:paraId="7BB05F33">
      <w:pPr>
        <w:spacing w:line="360" w:lineRule="auto"/>
        <w:ind w:firstLine="480"/>
        <w:rPr>
          <w:rFonts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sz w:val="24"/>
          <w:szCs w:val="24"/>
        </w:rPr>
        <w:t xml:space="preserve">3、设备经安装调试并正常运行 </w:t>
      </w:r>
      <w:r>
        <w:rPr>
          <w:rFonts w:hint="eastAsia" w:ascii="方正仿宋_GB2312" w:hAnsi="方正仿宋_GB2312" w:eastAsia="方正仿宋_GB2312" w:cs="方正仿宋_GB2312"/>
          <w:sz w:val="24"/>
          <w:szCs w:val="24"/>
          <w:u w:val="single"/>
        </w:rPr>
        <w:t xml:space="preserve"> 30 </w:t>
      </w:r>
      <w:r>
        <w:rPr>
          <w:rFonts w:hint="eastAsia" w:ascii="方正仿宋_GB2312" w:hAnsi="方正仿宋_GB2312" w:eastAsia="方正仿宋_GB2312" w:cs="方正仿宋_GB2312"/>
          <w:sz w:val="24"/>
          <w:szCs w:val="24"/>
        </w:rPr>
        <w:t>天，</w:t>
      </w:r>
      <w:r>
        <w:rPr>
          <w:rFonts w:hint="eastAsia" w:ascii="方正仿宋_GB2312" w:hAnsi="方正仿宋_GB2312" w:eastAsia="方正仿宋_GB2312" w:cs="方正仿宋_GB2312"/>
          <w:kern w:val="0"/>
          <w:sz w:val="24"/>
          <w:szCs w:val="24"/>
        </w:rPr>
        <w:t>完全达到甲方技术要求后，双方签定验收合格证书。</w:t>
      </w:r>
      <w:r>
        <w:rPr>
          <w:rFonts w:hint="eastAsia" w:ascii="方正仿宋_GB2312" w:hAnsi="方正仿宋_GB2312" w:eastAsia="方正仿宋_GB2312" w:cs="方正仿宋_GB2312"/>
          <w:sz w:val="24"/>
          <w:szCs w:val="24"/>
        </w:rPr>
        <w:t>若在试运行时不能满足技术标准及要求，乙方应在[  ]个工作日内无条件更换、改进物料或加工工艺，直至正常运行达到合格验收条件，该过程所发生的费用由乙方承担。乙方逾期未整改的，甲方有权解除合同并要求乙方停止供货，且不承担任何违约责任；</w:t>
      </w:r>
    </w:p>
    <w:p w14:paraId="2B6209AB">
      <w:pPr>
        <w:spacing w:line="360" w:lineRule="auto"/>
        <w:ind w:firstLine="480"/>
        <w:rPr>
          <w:rFonts w:ascii="方正仿宋_GB2312" w:hAnsi="方正仿宋_GB2312" w:eastAsia="方正仿宋_GB2312" w:cs="方正仿宋_GB2312"/>
          <w:kern w:val="0"/>
          <w:sz w:val="24"/>
          <w:szCs w:val="24"/>
        </w:rPr>
      </w:pPr>
      <w:r>
        <w:rPr>
          <w:rFonts w:hint="eastAsia" w:ascii="方正仿宋_GB2312" w:hAnsi="方正仿宋_GB2312" w:eastAsia="方正仿宋_GB2312" w:cs="方正仿宋_GB2312"/>
          <w:kern w:val="0"/>
          <w:sz w:val="24"/>
          <w:szCs w:val="24"/>
        </w:rPr>
        <w:t>4、甲方对乙方设备从生产制造到安装调试各阶段的检查、验收认可，均不免除乙方对所供产品的质量责任与义务。</w:t>
      </w:r>
    </w:p>
    <w:p w14:paraId="5E134504">
      <w:pPr>
        <w:spacing w:line="360" w:lineRule="auto"/>
        <w:ind w:firstLine="489"/>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rPr>
        <w:t>第七条  售后服务及质量承诺</w:t>
      </w:r>
    </w:p>
    <w:p w14:paraId="2BB96185">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1、本项目质保期为甲乙双方验收合格之日起</w:t>
      </w:r>
      <w:r>
        <w:rPr>
          <w:rFonts w:hint="eastAsia" w:ascii="方正仿宋_GB2312" w:hAnsi="方正仿宋_GB2312" w:eastAsia="方正仿宋_GB2312" w:cs="方正仿宋_GB2312"/>
          <w:sz w:val="24"/>
          <w:szCs w:val="24"/>
          <w:u w:val="single"/>
        </w:rPr>
        <w:t xml:space="preserve">  2 </w:t>
      </w:r>
      <w:r>
        <w:rPr>
          <w:rFonts w:hint="eastAsia" w:ascii="方正仿宋_GB2312" w:hAnsi="方正仿宋_GB2312" w:eastAsia="方正仿宋_GB2312" w:cs="方正仿宋_GB2312"/>
          <w:sz w:val="24"/>
          <w:szCs w:val="24"/>
        </w:rPr>
        <w:t>年（易损件除外）。</w:t>
      </w:r>
    </w:p>
    <w:p w14:paraId="0598CF26">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2、质保期内，甲方在正常操作状态下使用出现故障的，乙方负责免费提供材料、配件并免费修复。</w:t>
      </w:r>
    </w:p>
    <w:p w14:paraId="51CB97BD">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3、产品属于国家规定“三包”范围的，其产品质量保证期不得低于“三包”规定；</w:t>
      </w:r>
    </w:p>
    <w:p w14:paraId="7D2F894A">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3.质量保证期承诺优于国家“三包”规定的，按供应商实际承诺执行；</w:t>
      </w:r>
    </w:p>
    <w:p w14:paraId="7F2B8AA2">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4.产品由厂家（指产品生产厂家，或其负责销售、售后服务机构）负责标准售后服务的，应当予以明确说明,并附厂家售后服务承诺。</w:t>
      </w:r>
    </w:p>
    <w:p w14:paraId="5A1C8536">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（二）售后服务内容</w:t>
      </w:r>
    </w:p>
    <w:p w14:paraId="1C157E30">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1乙方在质量保证期内（含产品质量和安装质量）应当为甲方提供以下技术支持和服务：</w:t>
      </w:r>
    </w:p>
    <w:p w14:paraId="4A887E25">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（1）电话咨询</w:t>
      </w:r>
    </w:p>
    <w:p w14:paraId="79156C9F">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乙方和制造商应当为甲方提供技术援助电话，解答甲方在使用中遇到的问题，及时为甲方提出解决问题的建议；</w:t>
      </w:r>
    </w:p>
    <w:p w14:paraId="07BEBD20">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（2）现场响应</w:t>
      </w:r>
    </w:p>
    <w:p w14:paraId="1DE0F553">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甲方遇到使用及技术问题，电话咨询不能解决的，乙方和制造商应在4小内到达现场（远郊区4小时内到达现场）进行处理，确保产品正常工作；无法在24小时内解决的，应在48小时内提供备用产品，使甲方能够正常使用。</w:t>
      </w:r>
    </w:p>
    <w:p w14:paraId="44C23A44">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2.质保期外服务要求</w:t>
      </w:r>
    </w:p>
    <w:p w14:paraId="7218495C">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（1）质量保证期过后，乙方和厂家应同样提供免费电话咨询服务，并应承诺提供产品上门维护服务；</w:t>
      </w:r>
    </w:p>
    <w:p w14:paraId="65CED695">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（2）质量保证期过后，甲方需要继续由原乙方提供售后服务的，乙方应以优惠价格提供售后服务。</w:t>
      </w:r>
    </w:p>
    <w:p w14:paraId="5D8CA563">
      <w:pPr>
        <w:spacing w:line="360" w:lineRule="auto"/>
        <w:ind w:firstLine="489"/>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rPr>
        <w:t>第八条  包装标准、包装物的供应与回收</w:t>
      </w:r>
    </w:p>
    <w:p w14:paraId="66B26E02">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乙方应提供货物合同规定的最终目的地需要的包装，该包装应具备防潮、防晒、防锈、防腐蚀、防震动及防止其他损坏的功能，并在货物在转运过程中必要保护措施。包装物乙方应在设备验收合格后[  ]个工作日内回收，费用由乙方承担。</w:t>
      </w:r>
    </w:p>
    <w:p w14:paraId="4939B243">
      <w:pPr>
        <w:spacing w:line="360" w:lineRule="auto"/>
        <w:ind w:firstLine="489"/>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rPr>
        <w:t>第九条</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b/>
          <w:sz w:val="24"/>
          <w:szCs w:val="24"/>
        </w:rPr>
        <w:t>标的物所有权转移</w:t>
      </w:r>
    </w:p>
    <w:p w14:paraId="0D5E6898">
      <w:pPr>
        <w:spacing w:line="360" w:lineRule="auto"/>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   自货到甲方指定地点并安装调试验收合格，且货款付到合同总价款</w:t>
      </w:r>
      <w:r>
        <w:rPr>
          <w:rFonts w:hint="eastAsia" w:ascii="方正仿宋_GB2312" w:hAnsi="方正仿宋_GB2312" w:eastAsia="方正仿宋_GB2312" w:cs="方正仿宋_GB2312"/>
          <w:b/>
          <w:sz w:val="24"/>
          <w:szCs w:val="24"/>
        </w:rPr>
        <w:t>95%</w:t>
      </w:r>
      <w:r>
        <w:rPr>
          <w:rFonts w:hint="eastAsia" w:ascii="方正仿宋_GB2312" w:hAnsi="方正仿宋_GB2312" w:eastAsia="方正仿宋_GB2312" w:cs="方正仿宋_GB2312"/>
          <w:sz w:val="24"/>
          <w:szCs w:val="24"/>
        </w:rPr>
        <w:t>后，标的物所有权转移至甲方。</w:t>
      </w:r>
    </w:p>
    <w:p w14:paraId="0CAFFD42">
      <w:pPr>
        <w:spacing w:line="360" w:lineRule="auto"/>
        <w:ind w:firstLine="489"/>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rPr>
        <w:t xml:space="preserve">第十条 </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b/>
          <w:sz w:val="24"/>
          <w:szCs w:val="24"/>
        </w:rPr>
        <w:t>安全及费用</w:t>
      </w:r>
    </w:p>
    <w:p w14:paraId="288DB8B1">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设备自生产、制作、运输、安装、调试、验收等全过程中，即未交付甲方并验收合格使用前，非因甲方原因而造成第三人人身及财产损害的，由乙方承担全部法律责任，一切费用由乙方自行承担。</w:t>
      </w:r>
    </w:p>
    <w:p w14:paraId="641E3E7F">
      <w:pPr>
        <w:spacing w:line="360" w:lineRule="auto"/>
        <w:ind w:firstLine="489"/>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rPr>
        <w:t>第十一条</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b/>
          <w:sz w:val="24"/>
          <w:szCs w:val="24"/>
        </w:rPr>
        <w:t>付款方式</w:t>
      </w:r>
    </w:p>
    <w:p w14:paraId="57248ECA">
      <w:pPr>
        <w:spacing w:line="360" w:lineRule="auto"/>
        <w:ind w:firstLine="480"/>
        <w:rPr>
          <w:rFonts w:ascii="方正仿宋_GB2312" w:hAnsi="方正仿宋_GB2312" w:eastAsia="方正仿宋_GB2312" w:cs="方正仿宋_GB2312"/>
          <w:sz w:val="24"/>
          <w:szCs w:val="24"/>
        </w:rPr>
      </w:pPr>
      <w:bookmarkStart w:id="133" w:name="_Hlk523209845"/>
      <w:r>
        <w:rPr>
          <w:rFonts w:hint="eastAsia" w:ascii="方正仿宋_GB2312" w:hAnsi="方正仿宋_GB2312" w:eastAsia="方正仿宋_GB2312" w:cs="方正仿宋_GB2312"/>
          <w:sz w:val="24"/>
          <w:szCs w:val="24"/>
        </w:rPr>
        <w:t xml:space="preserve">1、合同签订后 7 个工作日内，甲方向乙方预付合同总价款的 </w:t>
      </w:r>
      <w:r>
        <w:rPr>
          <w:rFonts w:hint="eastAsia" w:ascii="方正仿宋_GB2312" w:hAnsi="方正仿宋_GB2312" w:eastAsia="方正仿宋_GB2312" w:cs="方正仿宋_GB2312"/>
          <w:sz w:val="24"/>
          <w:szCs w:val="24"/>
          <w:u w:val="single"/>
        </w:rPr>
        <w:t xml:space="preserve">30 </w:t>
      </w:r>
      <w:r>
        <w:rPr>
          <w:rFonts w:hint="eastAsia" w:ascii="方正仿宋_GB2312" w:hAnsi="方正仿宋_GB2312" w:eastAsia="方正仿宋_GB2312" w:cs="方正仿宋_GB2312"/>
          <w:sz w:val="24"/>
          <w:szCs w:val="24"/>
        </w:rPr>
        <w:t>%；所有设备运至甲方现场指定位置，甲方现场初验合格后，支付合同总价款的</w:t>
      </w:r>
      <w:r>
        <w:rPr>
          <w:rFonts w:hint="eastAsia" w:ascii="方正仿宋_GB2312" w:hAnsi="方正仿宋_GB2312" w:eastAsia="方正仿宋_GB2312" w:cs="方正仿宋_GB2312"/>
          <w:sz w:val="24"/>
          <w:szCs w:val="24"/>
          <w:u w:val="single"/>
        </w:rPr>
        <w:t xml:space="preserve">40 </w:t>
      </w:r>
      <w:r>
        <w:rPr>
          <w:rFonts w:hint="eastAsia" w:ascii="方正仿宋_GB2312" w:hAnsi="方正仿宋_GB2312" w:eastAsia="方正仿宋_GB2312" w:cs="方正仿宋_GB2312"/>
          <w:sz w:val="24"/>
          <w:szCs w:val="24"/>
        </w:rPr>
        <w:t>%；项目整体交付验收合格后付款至合同总价款的95%。付款前乙方必须提供全额增值税发票至甲方，余款质保期到期后一次性支付。</w:t>
      </w:r>
    </w:p>
    <w:p w14:paraId="1EAA8266">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2、甲方的付款包含银行承兑汇票和银行汇款。</w:t>
      </w:r>
    </w:p>
    <w:bookmarkEnd w:id="133"/>
    <w:p w14:paraId="3DC18705">
      <w:pPr>
        <w:spacing w:line="360" w:lineRule="auto"/>
        <w:ind w:firstLine="489"/>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rPr>
        <w:t>第十二条</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b/>
          <w:sz w:val="24"/>
          <w:szCs w:val="24"/>
        </w:rPr>
        <w:t>合同的变更和解除</w:t>
      </w:r>
    </w:p>
    <w:p w14:paraId="36126164">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本合同履行期间，发生特殊情况时，任何一方需变更或增补本合同的，需经双方协商同意后签订书面变更或增补协议，变更或增补协议将成为本合同不可分割的部分。未经双方签署书面文件，任何一方无权变更本合同，否则，由此造成对方的经济损失，由责任方承担。</w:t>
      </w:r>
    </w:p>
    <w:p w14:paraId="54715EC6">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2、除本合同另有约定外，出现下列情形之一的，有解除权的一方可解除合同：</w:t>
      </w:r>
    </w:p>
    <w:p w14:paraId="49F113A9">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（1）双方协商一致解除本合同；</w:t>
      </w:r>
    </w:p>
    <w:p w14:paraId="79CBBFA1">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（2）合同一方未及时、全面、正确履行合同约定之义务，对方书面催告</w:t>
      </w:r>
      <w:r>
        <w:rPr>
          <w:rFonts w:hint="eastAsia" w:ascii="方正仿宋_GB2312" w:hAnsi="方正仿宋_GB2312" w:eastAsia="方正仿宋_GB2312" w:cs="方正仿宋_GB2312"/>
          <w:sz w:val="24"/>
          <w:szCs w:val="24"/>
          <w:u w:val="single"/>
        </w:rPr>
        <w:t xml:space="preserve"> 15 </w:t>
      </w:r>
      <w:r>
        <w:rPr>
          <w:rFonts w:hint="eastAsia" w:ascii="方正仿宋_GB2312" w:hAnsi="方正仿宋_GB2312" w:eastAsia="方正仿宋_GB2312" w:cs="方正仿宋_GB2312"/>
          <w:sz w:val="24"/>
          <w:szCs w:val="24"/>
        </w:rPr>
        <w:t>日内仍未纠正或整改到位的，对方有权解除合同；</w:t>
      </w:r>
    </w:p>
    <w:p w14:paraId="38B5558B">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（3）因不可抗力导致合同目的无法实现的；</w:t>
      </w:r>
    </w:p>
    <w:p w14:paraId="48DE6826">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（4）其他法律法规规定的情形。</w:t>
      </w:r>
    </w:p>
    <w:p w14:paraId="65B07757">
      <w:pPr>
        <w:spacing w:line="360" w:lineRule="auto"/>
        <w:ind w:firstLine="489"/>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rPr>
        <w:t>第十三条</w:t>
      </w:r>
      <w:r>
        <w:rPr>
          <w:rFonts w:hint="eastAsia" w:ascii="方正仿宋_GB2312" w:hAnsi="方正仿宋_GB2312" w:eastAsia="方正仿宋_GB2312" w:cs="方正仿宋_GB2312"/>
          <w:sz w:val="24"/>
          <w:szCs w:val="24"/>
        </w:rPr>
        <w:t xml:space="preserve">  </w:t>
      </w:r>
      <w:r>
        <w:rPr>
          <w:rFonts w:hint="eastAsia" w:ascii="方正仿宋_GB2312" w:hAnsi="方正仿宋_GB2312" w:eastAsia="方正仿宋_GB2312" w:cs="方正仿宋_GB2312"/>
          <w:b/>
          <w:sz w:val="24"/>
          <w:szCs w:val="24"/>
        </w:rPr>
        <w:t xml:space="preserve">违约责任 </w:t>
      </w:r>
    </w:p>
    <w:p w14:paraId="07677AE2">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1、合同一方未及时、全面、正确履行合同约定之义务，导致守约方按本合同约定解除合同的，违约方承担守约方的所有损失，已经支付货款的，双倍返还对方；</w:t>
      </w:r>
    </w:p>
    <w:p w14:paraId="1C06D6BB">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2、因乙方原因延迟交付的，每逾期一日向甲方支付</w:t>
      </w:r>
      <w:r>
        <w:rPr>
          <w:rFonts w:hint="eastAsia" w:ascii="方正仿宋_GB2312" w:hAnsi="方正仿宋_GB2312" w:eastAsia="方正仿宋_GB2312" w:cs="方正仿宋_GB2312"/>
          <w:sz w:val="24"/>
          <w:szCs w:val="24"/>
          <w:u w:val="single"/>
        </w:rPr>
        <w:t xml:space="preserve"> 伍仟元 </w:t>
      </w:r>
      <w:r>
        <w:rPr>
          <w:rFonts w:hint="eastAsia" w:ascii="方正仿宋_GB2312" w:hAnsi="方正仿宋_GB2312" w:eastAsia="方正仿宋_GB2312" w:cs="方正仿宋_GB2312"/>
          <w:sz w:val="24"/>
          <w:szCs w:val="24"/>
        </w:rPr>
        <w:t xml:space="preserve"> 的违约金，最高不超过合同总价款的30%；</w:t>
      </w:r>
    </w:p>
    <w:p w14:paraId="180054E9">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3、如设备经多次（3次及以上）改进、调试仍不能满足甲方的生产使用要求，甲方有权单方面解除合同并要求乙方退回甲方已付货款并要求乙方赔偿给甲方造成的损失；乙方应在合同解除之日起3日内全额退还，否则每逾期一日应向甲方支付合同总价款1%的违约金并支付资金占用利息。</w:t>
      </w:r>
    </w:p>
    <w:p w14:paraId="33993772">
      <w:pPr>
        <w:spacing w:line="360" w:lineRule="auto"/>
        <w:ind w:firstLine="489"/>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rPr>
        <w:t>第十四条  合同争议的解决方式</w:t>
      </w:r>
    </w:p>
    <w:p w14:paraId="11DF9212">
      <w:pPr>
        <w:spacing w:line="360" w:lineRule="auto"/>
        <w:ind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 xml:space="preserve">合同在履行过程中发生的争议，由双方当事人协商解决；协商或调解不成的，应将争议提交至向合同签订地有管辖权的人民法院。  </w:t>
      </w:r>
    </w:p>
    <w:p w14:paraId="2AC7D578">
      <w:pPr>
        <w:spacing w:line="360" w:lineRule="auto"/>
        <w:ind w:firstLine="489"/>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b/>
          <w:sz w:val="24"/>
          <w:szCs w:val="24"/>
        </w:rPr>
        <w:t>第十五条</w:t>
      </w:r>
      <w:r>
        <w:rPr>
          <w:rFonts w:hint="eastAsia" w:ascii="方正仿宋_GB2312" w:hAnsi="方正仿宋_GB2312" w:eastAsia="方正仿宋_GB2312" w:cs="方正仿宋_GB2312"/>
          <w:sz w:val="24"/>
          <w:szCs w:val="24"/>
        </w:rPr>
        <w:t xml:space="preserve">  本合同经双方签字并盖章之日起生效。一式六份，双方各执三份。</w:t>
      </w:r>
    </w:p>
    <w:p w14:paraId="1EBBA866">
      <w:pPr>
        <w:spacing w:line="360" w:lineRule="auto"/>
        <w:rPr>
          <w:rFonts w:ascii="方正仿宋_GB2312" w:hAnsi="方正仿宋_GB2312" w:eastAsia="方正仿宋_GB2312" w:cs="方正仿宋_GB2312"/>
          <w:b/>
          <w:bCs/>
          <w:sz w:val="24"/>
          <w:szCs w:val="24"/>
        </w:rPr>
      </w:pPr>
    </w:p>
    <w:p w14:paraId="32DF5145">
      <w:pPr>
        <w:spacing w:line="360" w:lineRule="auto"/>
        <w:ind w:firstLine="480"/>
        <w:rPr>
          <w:rFonts w:ascii="方正仿宋_GB2312" w:hAnsi="方正仿宋_GB2312" w:eastAsia="方正仿宋_GB2312" w:cs="方正仿宋_GB2312"/>
          <w:sz w:val="24"/>
          <w:szCs w:val="24"/>
        </w:rPr>
      </w:pPr>
    </w:p>
    <w:p w14:paraId="65386FDF">
      <w:pPr>
        <w:spacing w:line="360" w:lineRule="auto"/>
        <w:ind w:firstLine="480"/>
        <w:rPr>
          <w:rFonts w:ascii="方正仿宋_GB2312" w:hAnsi="方正仿宋_GB2312" w:eastAsia="方正仿宋_GB2312" w:cs="方正仿宋_GB2312"/>
          <w:sz w:val="24"/>
          <w:szCs w:val="24"/>
        </w:rPr>
      </w:pPr>
    </w:p>
    <w:p w14:paraId="520373CC">
      <w:pPr>
        <w:spacing w:line="360" w:lineRule="auto"/>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采购人（公章）：重庆瑞得思达光电科技有限公司   成交人（公章）：</w:t>
      </w:r>
    </w:p>
    <w:p w14:paraId="210DEA91">
      <w:pPr>
        <w:spacing w:line="360" w:lineRule="auto"/>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法定代表人（签字）：                         法定代表人（签字）：</w:t>
      </w:r>
    </w:p>
    <w:p w14:paraId="1A7BD5BF">
      <w:pPr>
        <w:spacing w:line="360" w:lineRule="auto"/>
        <w:ind w:left="-560" w:leftChars="-200" w:right="-560" w:rightChars="-200"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委托代理人（签字）：                         委托代理人（签字）：</w:t>
      </w:r>
    </w:p>
    <w:p w14:paraId="087575F6">
      <w:pPr>
        <w:spacing w:line="360" w:lineRule="auto"/>
        <w:ind w:left="-560" w:leftChars="-200" w:right="-560" w:rightChars="-200"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开户银行：                                  开户银行：</w:t>
      </w:r>
    </w:p>
    <w:p w14:paraId="04327598">
      <w:pPr>
        <w:spacing w:line="360" w:lineRule="auto"/>
        <w:ind w:left="-560" w:leftChars="-200" w:right="-560" w:rightChars="-200"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账    号：                                  账    号：</w:t>
      </w:r>
    </w:p>
    <w:p w14:paraId="7DFBA0E4">
      <w:pPr>
        <w:spacing w:line="360" w:lineRule="auto"/>
        <w:ind w:left="-560" w:leftChars="-200" w:right="-560" w:rightChars="-200" w:firstLine="480"/>
        <w:rPr>
          <w:rFonts w:ascii="方正仿宋_GB2312" w:hAnsi="方正仿宋_GB2312" w:eastAsia="方正仿宋_GB2312" w:cs="方正仿宋_GB2312"/>
          <w:sz w:val="24"/>
          <w:szCs w:val="24"/>
        </w:rPr>
      </w:pPr>
      <w:r>
        <w:rPr>
          <w:rFonts w:hint="eastAsia" w:ascii="方正仿宋_GB2312" w:hAnsi="方正仿宋_GB2312" w:eastAsia="方正仿宋_GB2312" w:cs="方正仿宋_GB2312"/>
          <w:sz w:val="24"/>
          <w:szCs w:val="24"/>
        </w:rPr>
        <w:t>税    号：                                  税    号：</w:t>
      </w:r>
    </w:p>
    <w:p w14:paraId="1F670294">
      <w:r>
        <w:rPr>
          <w:rFonts w:hint="eastAsia" w:ascii="方正仿宋_GB2312" w:hAnsi="方正仿宋_GB2312" w:eastAsia="方正仿宋_GB2312" w:cs="方正仿宋_GB2312"/>
          <w:sz w:val="24"/>
          <w:szCs w:val="24"/>
        </w:rPr>
        <w:t>合同签订地点：                           合同签订日期：2025年</w:t>
      </w:r>
      <w:r>
        <w:rPr>
          <w:rFonts w:hint="eastAsia" w:ascii="方正仿宋_GB2312" w:hAnsi="方正仿宋_GB2312" w:eastAsia="方正仿宋_GB2312" w:cs="方正仿宋_GB2312"/>
          <w:sz w:val="24"/>
          <w:szCs w:val="24"/>
          <w:u w:val="single"/>
        </w:rPr>
        <w:t xml:space="preserve">   </w:t>
      </w:r>
      <w:r>
        <w:rPr>
          <w:rFonts w:hint="eastAsia" w:ascii="仿宋" w:hAnsi="仿宋" w:eastAsia="仿宋" w:cs="仿宋"/>
          <w:szCs w:val="24"/>
          <w:u w:val="single"/>
        </w:rPr>
        <w:t xml:space="preserve"> </w:t>
      </w:r>
      <w:r>
        <w:rPr>
          <w:rFonts w:hint="eastAsia" w:ascii="仿宋" w:hAnsi="仿宋" w:eastAsia="仿宋" w:cs="仿宋"/>
          <w:szCs w:val="24"/>
        </w:rPr>
        <w:t>月</w:t>
      </w:r>
    </w:p>
    <w:p w14:paraId="491DFDF5">
      <w:pPr>
        <w:pStyle w:val="3"/>
        <w:spacing w:line="360" w:lineRule="auto"/>
        <w:jc w:val="center"/>
        <w:rPr>
          <w:rFonts w:ascii="方正小标宋_GBK" w:hAnsi="宋体" w:eastAsia="方正小标宋_GBK"/>
          <w:sz w:val="36"/>
          <w:szCs w:val="30"/>
        </w:rPr>
      </w:pPr>
      <w:r>
        <w:rPr>
          <w:rFonts w:hint="eastAsia" w:ascii="方正小标宋_GBK" w:hAnsi="宋体" w:eastAsia="方正小标宋_GBK"/>
          <w:sz w:val="36"/>
          <w:szCs w:val="30"/>
        </w:rPr>
        <w:br w:type="page"/>
      </w:r>
      <w:r>
        <w:rPr>
          <w:rFonts w:hint="eastAsia" w:ascii="方正小标宋_GBK" w:hAnsi="宋体" w:eastAsia="方正小标宋_GBK"/>
          <w:sz w:val="36"/>
          <w:szCs w:val="30"/>
        </w:rPr>
        <w:t>第七篇  响应文件编制要求</w:t>
      </w:r>
      <w:bookmarkEnd w:id="130"/>
      <w:bookmarkEnd w:id="131"/>
      <w:bookmarkEnd w:id="132"/>
    </w:p>
    <w:p w14:paraId="48A54F95">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一、经济部分</w:t>
      </w:r>
    </w:p>
    <w:p w14:paraId="04CA4560">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（一）竞争性磋商报价函（格式）</w:t>
      </w:r>
    </w:p>
    <w:p w14:paraId="29B23EF5">
      <w:pPr>
        <w:spacing w:line="400" w:lineRule="exact"/>
        <w:ind w:firstLine="480" w:firstLineChars="200"/>
        <w:rPr>
          <w:rFonts w:eastAsia="方正仿宋_GBK"/>
        </w:rPr>
      </w:pPr>
      <w:r>
        <w:rPr>
          <w:rFonts w:hint="eastAsia" w:ascii="方正仿宋_GBK" w:hAnsi="宋体" w:eastAsia="方正仿宋_GBK"/>
          <w:sz w:val="24"/>
          <w:szCs w:val="24"/>
        </w:rPr>
        <w:t>（二）报价明细表</w:t>
      </w:r>
    </w:p>
    <w:p w14:paraId="5E4FCF21">
      <w:pPr>
        <w:spacing w:line="400" w:lineRule="exact"/>
        <w:ind w:firstLine="480" w:firstLineChars="200"/>
      </w:pPr>
      <w:r>
        <w:rPr>
          <w:rFonts w:hint="eastAsia" w:ascii="方正仿宋_GBK" w:hAnsi="宋体" w:eastAsia="方正仿宋_GBK"/>
          <w:sz w:val="24"/>
          <w:szCs w:val="24"/>
        </w:rPr>
        <w:t>（三）中小企业声明函、监狱企业证明文件、残疾人福利性单位声明函</w:t>
      </w:r>
    </w:p>
    <w:p w14:paraId="5AA61CD7">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二、技术部分</w:t>
      </w:r>
    </w:p>
    <w:p w14:paraId="20C28F24">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（一）技术响应偏离表（格式）</w:t>
      </w:r>
    </w:p>
    <w:p w14:paraId="296ECCF9">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（二）第二篇 项目技术（质量）需求要求提供的书面承诺（格式自拟）</w:t>
      </w:r>
    </w:p>
    <w:p w14:paraId="2F48BBC5">
      <w:pPr>
        <w:spacing w:line="400" w:lineRule="exact"/>
        <w:ind w:firstLine="480" w:firstLineChars="200"/>
      </w:pPr>
      <w:r>
        <w:rPr>
          <w:rFonts w:hint="eastAsia" w:ascii="方正仿宋_GBK" w:hAnsi="宋体" w:eastAsia="方正仿宋_GBK"/>
          <w:sz w:val="24"/>
          <w:szCs w:val="24"/>
        </w:rPr>
        <w:t>（三）第四篇 评审标准</w:t>
      </w:r>
      <w:bookmarkStart w:id="161" w:name="_GoBack"/>
      <w:bookmarkEnd w:id="161"/>
      <w:r>
        <w:rPr>
          <w:rFonts w:hint="eastAsia" w:ascii="方正仿宋_GBK" w:hAnsi="宋体" w:eastAsia="方正仿宋_GBK"/>
          <w:sz w:val="24"/>
          <w:szCs w:val="24"/>
        </w:rPr>
        <w:t>要求提供的相关证明资料(格式自拟）</w:t>
      </w:r>
    </w:p>
    <w:p w14:paraId="3B5D6FF3">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三、商务部分</w:t>
      </w:r>
    </w:p>
    <w:p w14:paraId="6DD3709B">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（一）商务承诺（格式）</w:t>
      </w:r>
    </w:p>
    <w:p w14:paraId="6BA5148F">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四、资格条件及其他</w:t>
      </w:r>
    </w:p>
    <w:p w14:paraId="66E0BBF8">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（一）法人（单位负责人）营业执照（副本）复印件</w:t>
      </w:r>
    </w:p>
    <w:p w14:paraId="2C909085">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（二）法定代表人身份证明书（格式）</w:t>
      </w:r>
    </w:p>
    <w:p w14:paraId="008C55AE">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（三）法定代表人授权委托书（格式）</w:t>
      </w:r>
    </w:p>
    <w:p w14:paraId="35BF50B7">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（四）基本资格条件承诺函（格式）</w:t>
      </w:r>
    </w:p>
    <w:p w14:paraId="010809AF">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（五）保证金证明材料</w:t>
      </w:r>
    </w:p>
    <w:p w14:paraId="7227752A">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五、其他资料</w:t>
      </w:r>
    </w:p>
    <w:p w14:paraId="420F51D6">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（一）其他与项目有关的资料</w:t>
      </w:r>
    </w:p>
    <w:p w14:paraId="1B23E8B8">
      <w:pPr>
        <w:spacing w:line="400" w:lineRule="exact"/>
        <w:ind w:firstLine="480" w:firstLineChars="200"/>
        <w:rPr>
          <w:rFonts w:ascii="方正仿宋_GBK" w:hAnsi="宋体" w:eastAsia="方正仿宋_GBK"/>
          <w:b/>
          <w:bCs/>
          <w:sz w:val="24"/>
          <w:szCs w:val="24"/>
        </w:rPr>
      </w:pPr>
      <w:r>
        <w:rPr>
          <w:rFonts w:hint="eastAsia" w:ascii="方正仿宋_GBK" w:hAnsi="宋体" w:eastAsia="方正仿宋_GBK"/>
          <w:sz w:val="24"/>
          <w:szCs w:val="24"/>
        </w:rPr>
        <w:t>（二）最后报价表</w:t>
      </w:r>
      <w:r>
        <w:rPr>
          <w:rFonts w:hint="eastAsia" w:ascii="方正仿宋_GBK" w:hAnsi="宋体" w:eastAsia="方正仿宋_GBK"/>
          <w:b/>
          <w:bCs/>
          <w:sz w:val="24"/>
          <w:szCs w:val="24"/>
        </w:rPr>
        <w:t>（本表由供应商提前准备并盖章后携带至磋商现场填报）</w:t>
      </w:r>
      <w:bookmarkStart w:id="134" w:name="_Toc313008356"/>
      <w:bookmarkStart w:id="135" w:name="_Toc342913419"/>
      <w:bookmarkStart w:id="136" w:name="_Toc313888360"/>
      <w:bookmarkStart w:id="137" w:name="_Toc21018"/>
      <w:bookmarkStart w:id="138" w:name="_Toc106030906"/>
      <w:bookmarkStart w:id="139" w:name="_Toc76462350"/>
      <w:bookmarkStart w:id="140" w:name="_Toc12789073"/>
      <w:bookmarkStart w:id="141" w:name="_Toc283382454"/>
    </w:p>
    <w:p w14:paraId="58897BAA">
      <w:pPr>
        <w:rPr>
          <w:rFonts w:ascii="方正仿宋_GBK" w:hAnsi="宋体" w:eastAsia="方正仿宋_GBK"/>
          <w:b/>
          <w:bCs/>
          <w:sz w:val="24"/>
          <w:szCs w:val="24"/>
        </w:rPr>
      </w:pPr>
      <w:r>
        <w:rPr>
          <w:rFonts w:hint="eastAsia" w:ascii="方正仿宋_GBK" w:hAnsi="宋体" w:eastAsia="方正仿宋_GBK"/>
          <w:b/>
          <w:bCs/>
          <w:sz w:val="24"/>
          <w:szCs w:val="24"/>
        </w:rPr>
        <w:br w:type="page"/>
      </w:r>
    </w:p>
    <w:p w14:paraId="298CD993">
      <w:pPr>
        <w:spacing w:line="400" w:lineRule="exact"/>
        <w:ind w:firstLine="480" w:firstLineChars="200"/>
        <w:outlineLvl w:val="1"/>
        <w:rPr>
          <w:rFonts w:ascii="方正仿宋_GBK" w:hAnsi="宋体" w:eastAsia="方正仿宋_GBK"/>
          <w:sz w:val="24"/>
        </w:rPr>
      </w:pPr>
      <w:r>
        <w:rPr>
          <w:rFonts w:hint="eastAsia" w:ascii="方正仿宋_GBK" w:hAnsi="宋体" w:eastAsia="方正仿宋_GBK"/>
          <w:sz w:val="24"/>
        </w:rPr>
        <w:t>一、经济部分</w:t>
      </w:r>
      <w:bookmarkEnd w:id="134"/>
      <w:bookmarkEnd w:id="135"/>
      <w:bookmarkEnd w:id="136"/>
      <w:bookmarkEnd w:id="137"/>
      <w:bookmarkEnd w:id="138"/>
      <w:bookmarkEnd w:id="139"/>
    </w:p>
    <w:bookmarkEnd w:id="140"/>
    <w:bookmarkEnd w:id="141"/>
    <w:p w14:paraId="17DE0250">
      <w:pPr>
        <w:tabs>
          <w:tab w:val="left" w:pos="6300"/>
        </w:tabs>
        <w:snapToGrid w:val="0"/>
        <w:spacing w:line="312" w:lineRule="auto"/>
        <w:ind w:firstLine="480" w:firstLineChars="200"/>
        <w:outlineLvl w:val="2"/>
        <w:rPr>
          <w:rFonts w:ascii="方正仿宋_GBK" w:hAnsi="宋体" w:eastAsia="方正仿宋_GBK"/>
          <w:sz w:val="24"/>
          <w:szCs w:val="24"/>
        </w:rPr>
      </w:pPr>
      <w:r>
        <w:rPr>
          <w:rFonts w:hint="eastAsia" w:ascii="方正仿宋_GBK" w:hAnsi="宋体" w:eastAsia="方正仿宋_GBK"/>
          <w:sz w:val="24"/>
          <w:szCs w:val="24"/>
        </w:rPr>
        <w:t>（一）竞争性磋商报价函</w:t>
      </w:r>
    </w:p>
    <w:p w14:paraId="7387E164">
      <w:pPr>
        <w:jc w:val="center"/>
        <w:rPr>
          <w:rFonts w:ascii="方正仿宋_GBK" w:eastAsia="方正仿宋_GBK"/>
          <w:b/>
          <w:szCs w:val="28"/>
        </w:rPr>
      </w:pPr>
      <w:r>
        <w:rPr>
          <w:rFonts w:hint="eastAsia" w:ascii="方正仿宋_GBK" w:eastAsia="方正仿宋_GBK"/>
          <w:b/>
          <w:szCs w:val="28"/>
        </w:rPr>
        <w:t>竞争性磋商报价函</w:t>
      </w:r>
    </w:p>
    <w:p w14:paraId="0A1BB959">
      <w:pPr>
        <w:tabs>
          <w:tab w:val="left" w:pos="6300"/>
        </w:tabs>
        <w:snapToGrid w:val="0"/>
        <w:spacing w:line="312" w:lineRule="auto"/>
        <w:rPr>
          <w:rFonts w:ascii="方正仿宋_GBK" w:hAnsi="宋体" w:eastAsia="方正仿宋_GBK"/>
          <w:sz w:val="24"/>
          <w:szCs w:val="24"/>
        </w:rPr>
      </w:pPr>
      <w:r>
        <w:rPr>
          <w:rFonts w:hint="eastAsia" w:ascii="方正仿宋_GBK" w:hAnsi="宋体" w:eastAsia="方正仿宋_GBK"/>
          <w:sz w:val="24"/>
          <w:szCs w:val="24"/>
          <w:u w:val="single"/>
        </w:rPr>
        <w:t>（采购人名称）</w:t>
      </w:r>
      <w:r>
        <w:rPr>
          <w:rFonts w:hint="eastAsia" w:ascii="方正仿宋_GBK" w:hAnsi="宋体" w:eastAsia="方正仿宋_GBK"/>
          <w:sz w:val="24"/>
          <w:szCs w:val="24"/>
        </w:rPr>
        <w:t>：</w:t>
      </w:r>
    </w:p>
    <w:p w14:paraId="5F14325D">
      <w:pPr>
        <w:tabs>
          <w:tab w:val="left" w:pos="6300"/>
        </w:tabs>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我方收到____________________________（磋商项目名称）的竞争性磋商文件，经详细研究，决定参加该项目的磋商。</w:t>
      </w:r>
    </w:p>
    <w:p w14:paraId="6A36640A">
      <w:pPr>
        <w:tabs>
          <w:tab w:val="left" w:pos="6300"/>
        </w:tabs>
        <w:snapToGrid w:val="0"/>
        <w:spacing w:line="312" w:lineRule="auto"/>
        <w:ind w:firstLine="480" w:firstLineChars="200"/>
        <w:rPr>
          <w:rFonts w:ascii="方正仿宋_GBK" w:hAnsi="宋体" w:eastAsia="方正仿宋_GBK"/>
          <w:sz w:val="24"/>
          <w:szCs w:val="24"/>
        </w:rPr>
      </w:pPr>
      <w:r>
        <w:rPr>
          <w:rFonts w:hint="eastAsia" w:ascii="Times New Roman" w:hAnsi="Times New Roman" w:eastAsia="方正仿宋_GBK"/>
          <w:sz w:val="24"/>
          <w:szCs w:val="24"/>
        </w:rPr>
        <w:t>1</w:t>
      </w:r>
      <w:r>
        <w:rPr>
          <w:rFonts w:hint="eastAsia" w:ascii="方正仿宋_GBK" w:hAnsi="宋体" w:eastAsia="方正仿宋_GBK"/>
          <w:sz w:val="24"/>
          <w:szCs w:val="24"/>
        </w:rPr>
        <w:t>.愿意按照竞争性磋商文件中的一切要求，提供本项目的服务，初始报价为人民币大写：      元整；人民币小写：    元。以我公司最后报价为准。</w:t>
      </w:r>
    </w:p>
    <w:p w14:paraId="1978749A">
      <w:pPr>
        <w:tabs>
          <w:tab w:val="left" w:pos="6300"/>
        </w:tabs>
        <w:snapToGrid w:val="0"/>
        <w:spacing w:line="312" w:lineRule="auto"/>
        <w:ind w:firstLine="480" w:firstLineChars="200"/>
        <w:rPr>
          <w:rFonts w:ascii="方正仿宋_GBK" w:hAnsi="宋体" w:eastAsia="方正仿宋_GBK"/>
          <w:sz w:val="24"/>
          <w:szCs w:val="24"/>
        </w:rPr>
      </w:pPr>
      <w:r>
        <w:rPr>
          <w:rFonts w:hint="eastAsia" w:ascii="Times New Roman" w:hAnsi="Times New Roman" w:eastAsia="方正仿宋_GBK"/>
          <w:sz w:val="24"/>
          <w:szCs w:val="24"/>
        </w:rPr>
        <w:t>2</w:t>
      </w:r>
      <w:r>
        <w:rPr>
          <w:rFonts w:hint="eastAsia" w:ascii="方正仿宋_GBK" w:hAnsi="宋体" w:eastAsia="方正仿宋_GBK"/>
          <w:sz w:val="24"/>
          <w:szCs w:val="24"/>
        </w:rPr>
        <w:t>.我方现提交的响应文件为：响应文件正本</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份，副本</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份，电子文档</w:t>
      </w:r>
      <w:r>
        <w:rPr>
          <w:rFonts w:hint="eastAsia" w:ascii="方正仿宋_GBK" w:hAnsi="宋体" w:eastAsia="方正仿宋_GBK"/>
          <w:sz w:val="24"/>
          <w:szCs w:val="24"/>
          <w:u w:val="single"/>
        </w:rPr>
        <w:t xml:space="preserve">   </w:t>
      </w:r>
      <w:r>
        <w:rPr>
          <w:rFonts w:hint="eastAsia" w:ascii="方正仿宋_GBK" w:hAnsi="宋体" w:eastAsia="方正仿宋_GBK"/>
          <w:sz w:val="24"/>
          <w:szCs w:val="24"/>
        </w:rPr>
        <w:t>份。</w:t>
      </w:r>
    </w:p>
    <w:p w14:paraId="56EAE82B">
      <w:pPr>
        <w:tabs>
          <w:tab w:val="left" w:pos="6300"/>
        </w:tabs>
        <w:snapToGrid w:val="0"/>
        <w:spacing w:line="312" w:lineRule="auto"/>
        <w:ind w:firstLine="480" w:firstLineChars="200"/>
        <w:rPr>
          <w:rFonts w:ascii="方正仿宋_GBK" w:hAnsi="宋体" w:eastAsia="方正仿宋_GBK"/>
          <w:sz w:val="24"/>
          <w:szCs w:val="24"/>
        </w:rPr>
      </w:pPr>
      <w:r>
        <w:rPr>
          <w:rFonts w:hint="eastAsia" w:ascii="Times New Roman" w:hAnsi="Times New Roman" w:eastAsia="方正仿宋_GBK"/>
          <w:sz w:val="24"/>
          <w:szCs w:val="24"/>
        </w:rPr>
        <w:t>3</w:t>
      </w:r>
      <w:r>
        <w:rPr>
          <w:rFonts w:hint="eastAsia" w:ascii="方正仿宋_GBK" w:hAnsi="宋体" w:eastAsia="方正仿宋_GBK"/>
          <w:sz w:val="24"/>
          <w:szCs w:val="24"/>
        </w:rPr>
        <w:t>.我方承诺：本次磋商的有效期为提交响应文件截止时间起</w:t>
      </w:r>
      <w:r>
        <w:rPr>
          <w:rFonts w:hint="eastAsia" w:ascii="Times New Roman" w:hAnsi="Times New Roman" w:eastAsia="方正仿宋_GBK"/>
          <w:sz w:val="24"/>
          <w:szCs w:val="24"/>
        </w:rPr>
        <w:t>90</w:t>
      </w:r>
      <w:r>
        <w:rPr>
          <w:rFonts w:hint="eastAsia" w:ascii="方正仿宋_GBK" w:hAnsi="宋体" w:eastAsia="方正仿宋_GBK"/>
          <w:sz w:val="24"/>
          <w:szCs w:val="24"/>
        </w:rPr>
        <w:t>天。</w:t>
      </w:r>
    </w:p>
    <w:p w14:paraId="53244C28">
      <w:pPr>
        <w:tabs>
          <w:tab w:val="left" w:pos="6300"/>
        </w:tabs>
        <w:snapToGrid w:val="0"/>
        <w:spacing w:line="312" w:lineRule="auto"/>
        <w:ind w:firstLine="480" w:firstLineChars="200"/>
        <w:rPr>
          <w:rFonts w:ascii="方正仿宋_GBK" w:hAnsi="宋体" w:eastAsia="方正仿宋_GBK"/>
          <w:sz w:val="24"/>
          <w:szCs w:val="24"/>
        </w:rPr>
      </w:pPr>
      <w:r>
        <w:rPr>
          <w:rFonts w:hint="eastAsia" w:ascii="Times New Roman" w:hAnsi="Times New Roman" w:eastAsia="方正仿宋_GBK"/>
          <w:sz w:val="24"/>
          <w:szCs w:val="24"/>
        </w:rPr>
        <w:t>4</w:t>
      </w:r>
      <w:r>
        <w:rPr>
          <w:rFonts w:hint="eastAsia" w:ascii="方正仿宋_GBK" w:hAnsi="宋体" w:eastAsia="方正仿宋_GBK"/>
          <w:sz w:val="24"/>
          <w:szCs w:val="24"/>
        </w:rPr>
        <w:t>.我方完全理解和接受贵方竞争性磋商文件的一切规定和要求及评审办法。</w:t>
      </w:r>
    </w:p>
    <w:p w14:paraId="5CE17751">
      <w:pPr>
        <w:tabs>
          <w:tab w:val="left" w:pos="6300"/>
        </w:tabs>
        <w:snapToGrid w:val="0"/>
        <w:spacing w:line="312" w:lineRule="auto"/>
        <w:ind w:firstLine="480" w:firstLineChars="200"/>
        <w:rPr>
          <w:rFonts w:ascii="方正仿宋_GBK" w:hAnsi="宋体" w:eastAsia="方正仿宋_GBK"/>
          <w:sz w:val="24"/>
          <w:szCs w:val="24"/>
        </w:rPr>
      </w:pPr>
      <w:r>
        <w:rPr>
          <w:rFonts w:hint="eastAsia" w:ascii="Times New Roman" w:hAnsi="Times New Roman" w:eastAsia="方正仿宋_GBK"/>
          <w:sz w:val="24"/>
          <w:szCs w:val="24"/>
        </w:rPr>
        <w:t>5</w:t>
      </w:r>
      <w:r>
        <w:rPr>
          <w:rFonts w:hint="eastAsia" w:ascii="方正仿宋_GBK" w:hAnsi="宋体" w:eastAsia="方正仿宋_GBK"/>
          <w:sz w:val="24"/>
          <w:szCs w:val="24"/>
        </w:rPr>
        <w:t>.在整个竞争性磋商过程中，我方若有违规行为，接受按照《中华人民共和国政府采购法》和《竞争性磋商文件》之规定给予惩罚。</w:t>
      </w:r>
    </w:p>
    <w:p w14:paraId="62B8D816">
      <w:pPr>
        <w:tabs>
          <w:tab w:val="left" w:pos="6300"/>
        </w:tabs>
        <w:snapToGrid w:val="0"/>
        <w:spacing w:line="312" w:lineRule="auto"/>
        <w:ind w:firstLine="480" w:firstLineChars="200"/>
        <w:rPr>
          <w:rFonts w:ascii="方正仿宋_GBK" w:hAnsi="宋体" w:eastAsia="方正仿宋_GBK"/>
          <w:sz w:val="24"/>
          <w:szCs w:val="24"/>
        </w:rPr>
      </w:pPr>
      <w:r>
        <w:rPr>
          <w:rFonts w:hint="eastAsia" w:ascii="Times New Roman" w:hAnsi="Times New Roman" w:eastAsia="方正仿宋_GBK"/>
          <w:sz w:val="24"/>
          <w:szCs w:val="24"/>
        </w:rPr>
        <w:t>6</w:t>
      </w:r>
      <w:r>
        <w:rPr>
          <w:rFonts w:hint="eastAsia" w:ascii="方正仿宋_GBK" w:hAnsi="宋体" w:eastAsia="方正仿宋_GBK"/>
          <w:sz w:val="24"/>
          <w:szCs w:val="24"/>
        </w:rPr>
        <w:t>.我方若成为成交供应商，将按照最终磋商结果签订合同，并且严格履行合同义务。本承诺函将成为合同不可分割的一部分，与合同具有同等的法律效力。</w:t>
      </w:r>
    </w:p>
    <w:p w14:paraId="1EDE4072">
      <w:pPr>
        <w:tabs>
          <w:tab w:val="left" w:pos="6300"/>
        </w:tabs>
        <w:snapToGrid w:val="0"/>
        <w:spacing w:line="312" w:lineRule="auto"/>
        <w:ind w:firstLine="480" w:firstLineChars="200"/>
        <w:rPr>
          <w:rFonts w:ascii="方正仿宋_GBK" w:hAnsi="宋体" w:eastAsia="方正仿宋_GBK"/>
          <w:sz w:val="24"/>
          <w:szCs w:val="24"/>
        </w:rPr>
      </w:pPr>
      <w:r>
        <w:rPr>
          <w:rFonts w:hint="eastAsia" w:ascii="Times New Roman" w:hAnsi="Times New Roman" w:eastAsia="方正仿宋_GBK"/>
          <w:sz w:val="24"/>
          <w:szCs w:val="24"/>
        </w:rPr>
        <w:t>7</w:t>
      </w:r>
      <w:r>
        <w:rPr>
          <w:rFonts w:hint="eastAsia" w:ascii="方正仿宋_GBK" w:hAnsi="宋体" w:eastAsia="方正仿宋_GBK"/>
          <w:sz w:val="24"/>
          <w:szCs w:val="24"/>
        </w:rPr>
        <w:t>.</w:t>
      </w:r>
      <w:r>
        <w:rPr>
          <w:rFonts w:hint="eastAsia" w:ascii="方正仿宋_GBK" w:hAnsi="宋体" w:eastAsia="方正仿宋_GBK"/>
          <w:sz w:val="24"/>
          <w:szCs w:val="28"/>
        </w:rPr>
        <w:t>我方未</w:t>
      </w:r>
      <w:r>
        <w:rPr>
          <w:rFonts w:ascii="方正仿宋_GBK" w:hAnsi="宋体" w:eastAsia="方正仿宋_GBK"/>
          <w:sz w:val="24"/>
          <w:szCs w:val="24"/>
        </w:rPr>
        <w:t>为采购项目提供整体设计、规范编制或者项目管理、监理、检测等服务。</w:t>
      </w:r>
    </w:p>
    <w:p w14:paraId="4F0A98BB">
      <w:pPr>
        <w:tabs>
          <w:tab w:val="left" w:pos="6300"/>
        </w:tabs>
        <w:snapToGrid w:val="0"/>
        <w:spacing w:line="312" w:lineRule="auto"/>
        <w:ind w:firstLine="570"/>
        <w:rPr>
          <w:rFonts w:ascii="方正仿宋_GBK" w:hAnsi="宋体" w:eastAsia="方正仿宋_GBK"/>
          <w:sz w:val="24"/>
          <w:szCs w:val="24"/>
        </w:rPr>
      </w:pPr>
      <w:r>
        <w:rPr>
          <w:rFonts w:hint="eastAsia" w:ascii="方正仿宋_GBK" w:hAnsi="宋体" w:eastAsia="方正仿宋_GBK"/>
          <w:sz w:val="24"/>
          <w:szCs w:val="24"/>
        </w:rPr>
        <w:t>供应商（公章）或自然人签署：</w:t>
      </w:r>
    </w:p>
    <w:p w14:paraId="1D48FA90">
      <w:pPr>
        <w:tabs>
          <w:tab w:val="left" w:pos="6300"/>
        </w:tabs>
        <w:snapToGrid w:val="0"/>
        <w:spacing w:line="312" w:lineRule="auto"/>
        <w:ind w:firstLine="570"/>
        <w:rPr>
          <w:rFonts w:ascii="方正仿宋_GBK" w:hAnsi="宋体" w:eastAsia="方正仿宋_GBK"/>
          <w:sz w:val="24"/>
          <w:szCs w:val="24"/>
        </w:rPr>
      </w:pPr>
      <w:r>
        <w:rPr>
          <w:rFonts w:hint="eastAsia" w:ascii="方正仿宋_GBK" w:hAnsi="宋体" w:eastAsia="方正仿宋_GBK"/>
          <w:sz w:val="24"/>
          <w:szCs w:val="24"/>
        </w:rPr>
        <w:t xml:space="preserve">地址：  </w:t>
      </w:r>
    </w:p>
    <w:p w14:paraId="59E09B02">
      <w:pPr>
        <w:tabs>
          <w:tab w:val="left" w:pos="6300"/>
        </w:tabs>
        <w:snapToGrid w:val="0"/>
        <w:spacing w:line="312" w:lineRule="auto"/>
        <w:ind w:firstLine="570"/>
        <w:rPr>
          <w:rFonts w:ascii="方正仿宋_GBK" w:hAnsi="宋体" w:eastAsia="方正仿宋_GBK"/>
          <w:sz w:val="24"/>
          <w:szCs w:val="24"/>
        </w:rPr>
      </w:pPr>
      <w:r>
        <w:rPr>
          <w:rFonts w:hint="eastAsia" w:ascii="方正仿宋_GBK" w:hAnsi="宋体" w:eastAsia="方正仿宋_GBK"/>
          <w:sz w:val="24"/>
          <w:szCs w:val="24"/>
        </w:rPr>
        <w:t>电话：                                             传真：</w:t>
      </w:r>
    </w:p>
    <w:p w14:paraId="6A723000">
      <w:pPr>
        <w:tabs>
          <w:tab w:val="left" w:pos="6300"/>
        </w:tabs>
        <w:snapToGrid w:val="0"/>
        <w:spacing w:line="312" w:lineRule="auto"/>
        <w:ind w:firstLine="570"/>
        <w:rPr>
          <w:rFonts w:ascii="方正仿宋_GBK" w:hAnsi="宋体" w:eastAsia="方正仿宋_GBK"/>
          <w:sz w:val="24"/>
          <w:szCs w:val="24"/>
        </w:rPr>
      </w:pPr>
      <w:r>
        <w:rPr>
          <w:rFonts w:hint="eastAsia" w:ascii="方正仿宋_GBK" w:hAnsi="宋体" w:eastAsia="方正仿宋_GBK"/>
          <w:sz w:val="24"/>
          <w:szCs w:val="24"/>
        </w:rPr>
        <w:t>网址：                                             邮编：</w:t>
      </w:r>
    </w:p>
    <w:p w14:paraId="712F3406">
      <w:pPr>
        <w:tabs>
          <w:tab w:val="left" w:pos="6300"/>
        </w:tabs>
        <w:snapToGrid w:val="0"/>
        <w:spacing w:line="312" w:lineRule="auto"/>
        <w:ind w:firstLine="570"/>
        <w:rPr>
          <w:rFonts w:ascii="方正仿宋_GBK" w:hAnsi="宋体" w:eastAsia="方正仿宋_GBK"/>
          <w:sz w:val="24"/>
          <w:szCs w:val="24"/>
        </w:rPr>
      </w:pPr>
      <w:r>
        <w:rPr>
          <w:rFonts w:hint="eastAsia" w:ascii="方正仿宋_GBK" w:hAnsi="宋体" w:eastAsia="方正仿宋_GBK"/>
          <w:sz w:val="24"/>
          <w:szCs w:val="24"/>
        </w:rPr>
        <w:t>联系人：</w:t>
      </w:r>
    </w:p>
    <w:p w14:paraId="3E634DD5">
      <w:pPr>
        <w:snapToGrid w:val="0"/>
        <w:spacing w:line="312" w:lineRule="auto"/>
        <w:ind w:firstLine="480" w:firstLineChars="200"/>
        <w:rPr>
          <w:rFonts w:ascii="方正仿宋_GBK" w:hAnsi="宋体" w:eastAsia="方正仿宋_GBK"/>
          <w:sz w:val="24"/>
          <w:szCs w:val="24"/>
        </w:rPr>
      </w:pPr>
      <w:r>
        <w:rPr>
          <w:rFonts w:hint="eastAsia" w:ascii="方正仿宋_GBK" w:hAnsi="宋体" w:eastAsia="方正仿宋_GBK"/>
          <w:sz w:val="24"/>
          <w:szCs w:val="24"/>
        </w:rPr>
        <w:t xml:space="preserve">                                                  年   月   日</w:t>
      </w:r>
    </w:p>
    <w:p w14:paraId="3DCB3846">
      <w:pPr>
        <w:rPr>
          <w:rFonts w:ascii="方正仿宋_GBK" w:hAnsi="宋体" w:eastAsia="方正仿宋_GBK"/>
          <w:sz w:val="24"/>
          <w:szCs w:val="24"/>
        </w:rPr>
      </w:pPr>
      <w:r>
        <w:rPr>
          <w:rFonts w:hint="eastAsia" w:ascii="方正仿宋_GBK" w:hAnsi="宋体" w:eastAsia="方正仿宋_GBK"/>
          <w:sz w:val="24"/>
          <w:szCs w:val="24"/>
        </w:rPr>
        <w:br w:type="page"/>
      </w:r>
    </w:p>
    <w:p w14:paraId="49A645AE">
      <w:pPr>
        <w:tabs>
          <w:tab w:val="left" w:pos="6300"/>
        </w:tabs>
        <w:snapToGrid w:val="0"/>
        <w:spacing w:line="312" w:lineRule="auto"/>
        <w:ind w:firstLine="480" w:firstLineChars="200"/>
        <w:outlineLvl w:val="2"/>
        <w:rPr>
          <w:rFonts w:ascii="方正仿宋_GBK" w:hAnsi="宋体" w:eastAsia="方正仿宋_GBK"/>
          <w:sz w:val="24"/>
          <w:szCs w:val="24"/>
        </w:rPr>
      </w:pPr>
      <w:r>
        <w:rPr>
          <w:rFonts w:hint="eastAsia" w:ascii="方正仿宋_GBK" w:hAnsi="宋体" w:eastAsia="方正仿宋_GBK"/>
          <w:sz w:val="24"/>
          <w:szCs w:val="24"/>
        </w:rPr>
        <w:t>（二）报价明细表</w:t>
      </w:r>
    </w:p>
    <w:p w14:paraId="21D4998A">
      <w:pPr>
        <w:spacing w:line="500" w:lineRule="exact"/>
        <w:rPr>
          <w:rFonts w:ascii="宋体" w:hAnsi="宋体" w:cs="宋体"/>
          <w:sz w:val="24"/>
          <w:szCs w:val="24"/>
        </w:rPr>
      </w:pPr>
      <w:r>
        <w:rPr>
          <w:rFonts w:hint="eastAsia" w:ascii="宋体" w:hAnsi="宋体" w:cs="宋体"/>
          <w:sz w:val="24"/>
          <w:szCs w:val="24"/>
        </w:rPr>
        <w:t>项目名称：</w:t>
      </w:r>
    </w:p>
    <w:tbl>
      <w:tblPr>
        <w:tblStyle w:val="58"/>
        <w:tblW w:w="6072" w:type="pct"/>
        <w:tblInd w:w="-1054" w:type="dxa"/>
        <w:tblLayout w:type="fixed"/>
        <w:tblCellMar>
          <w:top w:w="0" w:type="dxa"/>
          <w:left w:w="108" w:type="dxa"/>
          <w:bottom w:w="0" w:type="dxa"/>
          <w:right w:w="108" w:type="dxa"/>
        </w:tblCellMar>
      </w:tblPr>
      <w:tblGrid>
        <w:gridCol w:w="764"/>
        <w:gridCol w:w="766"/>
        <w:gridCol w:w="2091"/>
        <w:gridCol w:w="3807"/>
        <w:gridCol w:w="919"/>
        <w:gridCol w:w="627"/>
        <w:gridCol w:w="765"/>
        <w:gridCol w:w="919"/>
        <w:gridCol w:w="1034"/>
      </w:tblGrid>
      <w:tr w14:paraId="45FDCDB3">
        <w:trPr>
          <w:trHeight w:val="588" w:hRule="atLeast"/>
        </w:trPr>
        <w:tc>
          <w:tcPr>
            <w:tcW w:w="5000" w:type="pct"/>
            <w:gridSpan w:val="9"/>
            <w:tcBorders>
              <w:top w:val="nil"/>
              <w:left w:val="nil"/>
              <w:bottom w:val="nil"/>
              <w:right w:val="nil"/>
            </w:tcBorders>
            <w:shd w:val="clear" w:color="auto" w:fill="auto"/>
            <w:vAlign w:val="center"/>
          </w:tcPr>
          <w:p w14:paraId="15134E9B">
            <w:pPr>
              <w:widowControl/>
              <w:jc w:val="center"/>
              <w:textAlignment w:val="center"/>
              <w:rPr>
                <w:rFonts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kern w:val="0"/>
                <w:sz w:val="18"/>
                <w:szCs w:val="18"/>
              </w:rPr>
              <w:t>重庆瑞得思达光电科技有限公司—办公家具采购</w:t>
            </w:r>
          </w:p>
        </w:tc>
      </w:tr>
      <w:tr w14:paraId="10FC531D">
        <w:tblPrEx>
          <w:tblCellMar>
            <w:top w:w="0" w:type="dxa"/>
            <w:left w:w="108" w:type="dxa"/>
            <w:bottom w:w="0" w:type="dxa"/>
            <w:right w:w="108" w:type="dxa"/>
          </w:tblCellMar>
        </w:tblPrEx>
        <w:trPr>
          <w:trHeight w:val="164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9BBF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序号</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FD5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产品名称</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8507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图片</w:t>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D183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材质、参数</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4FD0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规格尺寸</w:t>
            </w:r>
          </w:p>
        </w:tc>
        <w:tc>
          <w:tcPr>
            <w:tcW w:w="2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FCCA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单位</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5598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数量</w:t>
            </w:r>
          </w:p>
        </w:tc>
        <w:tc>
          <w:tcPr>
            <w:tcW w:w="3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5E79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单价报价（元）</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813A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总价（元）</w:t>
            </w:r>
          </w:p>
        </w:tc>
      </w:tr>
      <w:tr w14:paraId="564E3847">
        <w:tblPrEx>
          <w:tblCellMar>
            <w:top w:w="0" w:type="dxa"/>
            <w:left w:w="108" w:type="dxa"/>
            <w:bottom w:w="0" w:type="dxa"/>
            <w:right w:w="108" w:type="dxa"/>
          </w:tblCellMar>
        </w:tblPrEx>
        <w:trPr>
          <w:trHeight w:val="26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1D02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A806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小沙发</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7715E">
            <w:pPr>
              <w:widowControl/>
              <w:jc w:val="left"/>
              <w:textAlignment w:val="center"/>
              <w:rPr>
                <w:rFonts w:ascii="方正仿宋_GB2312" w:hAnsi="方正仿宋_GB2312" w:eastAsia="方正仿宋_GB2312" w:cs="方正仿宋_GB2312"/>
                <w:color w:val="FF0000"/>
                <w:sz w:val="18"/>
                <w:szCs w:val="18"/>
              </w:rPr>
            </w:pPr>
            <w:r>
              <w:rPr>
                <w:rFonts w:hint="eastAsia" w:ascii="方正仿宋_GB2312" w:hAnsi="方正仿宋_GB2312" w:eastAsia="方正仿宋_GB2312" w:cs="方正仿宋_GB2312"/>
                <w:color w:val="FF0000"/>
                <w:kern w:val="0"/>
                <w:sz w:val="18"/>
                <w:szCs w:val="18"/>
                <w:bdr w:val="single" w:color="000000" w:sz="4" w:space="0"/>
              </w:rPr>
              <w:drawing>
                <wp:anchor distT="0" distB="0" distL="114300" distR="114300" simplePos="0" relativeHeight="251682816" behindDoc="0" locked="0" layoutInCell="1" allowOverlap="1">
                  <wp:simplePos x="0" y="0"/>
                  <wp:positionH relativeFrom="column">
                    <wp:posOffset>37465</wp:posOffset>
                  </wp:positionH>
                  <wp:positionV relativeFrom="paragraph">
                    <wp:posOffset>-598170</wp:posOffset>
                  </wp:positionV>
                  <wp:extent cx="901065" cy="1014730"/>
                  <wp:effectExtent l="0" t="0" r="13335" b="6350"/>
                  <wp:wrapNone/>
                  <wp:docPr id="24" name="图片_18"/>
                  <wp:cNvGraphicFramePr/>
                  <a:graphic xmlns:a="http://schemas.openxmlformats.org/drawingml/2006/main">
                    <a:graphicData uri="http://schemas.openxmlformats.org/drawingml/2006/picture">
                      <pic:pic xmlns:pic="http://schemas.openxmlformats.org/drawingml/2006/picture">
                        <pic:nvPicPr>
                          <pic:cNvPr id="24" name="图片_18"/>
                          <pic:cNvPicPr/>
                        </pic:nvPicPr>
                        <pic:blipFill>
                          <a:blip r:embed="rId13" cstate="print"/>
                          <a:stretch>
                            <a:fillRect/>
                          </a:stretch>
                        </pic:blipFill>
                        <pic:spPr>
                          <a:xfrm>
                            <a:off x="0" y="0"/>
                            <a:ext cx="901065" cy="101473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E6BCA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▲1、面料：采用西皮，需满足QB/T 4714-2014 家居用聚氨酯合成革、QB/T 4199-2011 皮革 防霉性能测试方法等标准要求，要求达到：（1）拉伸负荷、断裂伸长率、撕裂负荷、剥离负荷合格；（2） 表面颜色牢度、表面颜色迁移性、耐磨性、耐溶剂性合格；（3）抗霉菌性能：黑曲霉、土曲霉、宛氏拟青霉、绳状青霉、出芽短梗霉、球毛壳霉均达到0级。</w:t>
            </w:r>
          </w:p>
          <w:p w14:paraId="3BDF4F9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▲2、海绵：需满足GB/T 10802-2023 通用软质聚氨酯泡沫塑料标准要求，检测项包括但不限于：回弹率≥35%，75％压缩永久变形≤8%，65％/25％压陷比合格，拉伸强度≥90kPa，撕裂强度≥1.8N/cm，干热老化后拉伸强度≥55kPa，干热老化拉伸强度变化率≤±30%，湿热老化后拉伸强度≥55kPa，湿热老化拉伸强度变化率≤±30%。</w:t>
            </w:r>
          </w:p>
          <w:p w14:paraId="6941D0E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▲3、框架：采用硬质实木，需满足GB/T 3324-2017《木家具通用技术条件》、GB/T 1927.5-2021《无疵小试样木材物理力学性质试验方法第5部分:密度测定》、GB/T 14531-2017《办公家具 阅览、椅、凳》《企业产品技术要求》，检测项包括但不限于：气干密度≥0.5；外观（板件或部件在接触人体或贮物部位不应有毛刺、刃口或棱角；板件或部件的外表应光滑，倒棱、圆角、圆线应均匀一致；应无贯通裂缝；木家具中不应有虫蛀现象；外表应无腐朽材，内表轻微腐朽面积不应超过零件面积的20%；外表和存放物品部位用材应无树脂囊）合格。</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7D03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900*830*800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ED6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1757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030F6">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B42C3">
            <w:pPr>
              <w:widowControl/>
              <w:jc w:val="center"/>
              <w:textAlignment w:val="center"/>
              <w:rPr>
                <w:rFonts w:ascii="方正仿宋_GB2312" w:hAnsi="方正仿宋_GB2312" w:eastAsia="方正仿宋_GB2312" w:cs="方正仿宋_GB2312"/>
                <w:color w:val="000000"/>
                <w:sz w:val="18"/>
                <w:szCs w:val="18"/>
              </w:rPr>
            </w:pPr>
          </w:p>
        </w:tc>
      </w:tr>
      <w:tr w14:paraId="5E6AE79B">
        <w:tblPrEx>
          <w:tblCellMar>
            <w:top w:w="0" w:type="dxa"/>
            <w:left w:w="108" w:type="dxa"/>
            <w:bottom w:w="0" w:type="dxa"/>
            <w:right w:w="108" w:type="dxa"/>
          </w:tblCellMar>
        </w:tblPrEx>
        <w:trPr>
          <w:trHeight w:val="439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B4A3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387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茶几</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6688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83840" behindDoc="0" locked="0" layoutInCell="1" allowOverlap="1">
                  <wp:simplePos x="0" y="0"/>
                  <wp:positionH relativeFrom="column">
                    <wp:posOffset>73025</wp:posOffset>
                  </wp:positionH>
                  <wp:positionV relativeFrom="paragraph">
                    <wp:posOffset>-113030</wp:posOffset>
                  </wp:positionV>
                  <wp:extent cx="957580" cy="1291590"/>
                  <wp:effectExtent l="0" t="0" r="2540" b="3810"/>
                  <wp:wrapNone/>
                  <wp:docPr id="25" name="图片_3"/>
                  <wp:cNvGraphicFramePr/>
                  <a:graphic xmlns:a="http://schemas.openxmlformats.org/drawingml/2006/main">
                    <a:graphicData uri="http://schemas.openxmlformats.org/drawingml/2006/picture">
                      <pic:pic xmlns:pic="http://schemas.openxmlformats.org/drawingml/2006/picture">
                        <pic:nvPicPr>
                          <pic:cNvPr id="25" name="图片_3"/>
                          <pic:cNvPicPr/>
                        </pic:nvPicPr>
                        <pic:blipFill>
                          <a:blip r:embed="rId14" cstate="print"/>
                          <a:stretch>
                            <a:fillRect/>
                          </a:stretch>
                        </pic:blipFill>
                        <pic:spPr>
                          <a:xfrm>
                            <a:off x="0" y="0"/>
                            <a:ext cx="957580" cy="129159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A35C7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▲1、基材：采用中密度纤维板，需满足GB/T 11718-2021《中密度纤维板》、GB/T 35601-2024《绿色产品评价 人造板和木质地板》、GB/T 39600-2021《人造板及其制品甲醛释放量分级》、GB/T 29899-2024《人造板及其制品中挥发性有机化合物释放量试验方法 小型释放舱法》标准要求，检测项包括但不限于：不含苯、甲苯、二甲苯、TVOC，甲醛释放量≤0.05mg/m³，含水率≤7%，密度≥0.80g/cm³，板内密度偏差≤1.2%，防潮性能（70℃水浸渍处理后静曲强度）≥12MPa，静曲强度≥38Mpa，弹性模量≥3700MPa，内胶合强度≥0.5Mpa，表面胶合强度≥1.1Mpa，吸水厚度膨胀率≤9.0%。</w:t>
            </w:r>
          </w:p>
          <w:p w14:paraId="26C3A3F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2586131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60776D5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p w14:paraId="07929EB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▲5、产品需满足QB/T 4467-2013《茶几》标准要求。</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89BD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600*600*500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B43C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个</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8C68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5</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6D500">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8402">
            <w:pPr>
              <w:widowControl/>
              <w:jc w:val="center"/>
              <w:textAlignment w:val="center"/>
              <w:rPr>
                <w:rFonts w:ascii="方正仿宋_GB2312" w:hAnsi="方正仿宋_GB2312" w:eastAsia="方正仿宋_GB2312" w:cs="方正仿宋_GB2312"/>
                <w:color w:val="000000"/>
                <w:sz w:val="18"/>
                <w:szCs w:val="18"/>
              </w:rPr>
            </w:pPr>
          </w:p>
        </w:tc>
      </w:tr>
      <w:tr w14:paraId="0EE99161">
        <w:tblPrEx>
          <w:tblCellMar>
            <w:top w:w="0" w:type="dxa"/>
            <w:left w:w="108" w:type="dxa"/>
            <w:bottom w:w="0" w:type="dxa"/>
            <w:right w:w="108" w:type="dxa"/>
          </w:tblCellMar>
        </w:tblPrEx>
        <w:trPr>
          <w:trHeight w:val="3610" w:hRule="atLeast"/>
        </w:trPr>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5215C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3</w:t>
            </w:r>
          </w:p>
        </w:tc>
        <w:tc>
          <w:tcPr>
            <w:tcW w:w="3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76787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经理办公桌</w:t>
            </w:r>
          </w:p>
        </w:tc>
        <w:tc>
          <w:tcPr>
            <w:tcW w:w="8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CCB6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shd w:val="clear" w:color="auto" w:fill="FFFFFF"/>
              </w:rPr>
              <w:drawing>
                <wp:anchor distT="0" distB="0" distL="114300" distR="114300" simplePos="0" relativeHeight="251684864" behindDoc="0" locked="0" layoutInCell="1" allowOverlap="1">
                  <wp:simplePos x="0" y="0"/>
                  <wp:positionH relativeFrom="column">
                    <wp:posOffset>29845</wp:posOffset>
                  </wp:positionH>
                  <wp:positionV relativeFrom="paragraph">
                    <wp:posOffset>257175</wp:posOffset>
                  </wp:positionV>
                  <wp:extent cx="1170940" cy="1323340"/>
                  <wp:effectExtent l="0" t="0" r="2540" b="2540"/>
                  <wp:wrapNone/>
                  <wp:docPr id="26" name="图片_22"/>
                  <wp:cNvGraphicFramePr/>
                  <a:graphic xmlns:a="http://schemas.openxmlformats.org/drawingml/2006/main">
                    <a:graphicData uri="http://schemas.openxmlformats.org/drawingml/2006/picture">
                      <pic:pic xmlns:pic="http://schemas.openxmlformats.org/drawingml/2006/picture">
                        <pic:nvPicPr>
                          <pic:cNvPr id="26" name="图片_22"/>
                          <pic:cNvPicPr/>
                        </pic:nvPicPr>
                        <pic:blipFill>
                          <a:blip r:embed="rId15" cstate="print"/>
                          <a:stretch>
                            <a:fillRect/>
                          </a:stretch>
                        </pic:blipFill>
                        <pic:spPr>
                          <a:xfrm>
                            <a:off x="0" y="0"/>
                            <a:ext cx="1170940" cy="132334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63201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▲1、基材：采用中密度纤维板，需满足GB/T 11718-2021《中密度纤维板》、GB/T 35601-2024《绿色产品评价 人造板和木质地板》、GB/T 39600-2021《人造板及其制品甲醛释放量分级》、GB/T 29899-2024《人造板及其制品中挥发性有机化合物释放量试验方法 小型释放舱法》标准要求，检测项包括但不限于：不含苯、甲苯、二甲苯、TVOC，甲醛释放量≤0.05mg/m³，含水率≤7%，密度≥0.80g/cm³，板内密度偏差≤1.2%，防潮性能（70℃水浸渍处理后静曲强度）≥12MPa，静曲强度≥38Mpa，弹性模量≥3700MPa，内胶合强度≥0.5Mpa，表面胶合强度≥1.1Mpa，吸水厚度膨胀率≤9.0%。</w:t>
            </w:r>
          </w:p>
          <w:p w14:paraId="33B4416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1C9BF6D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5C27B5D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p w14:paraId="34EDABB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5、铰链：需满足QB/T 2189-2013《家具五金 杯状暗铰链》、QB/T 3826-1999《轻工产品金属镀层和化学处理层的耐腐蚀试验方法 中性盐雾试验(NSS)法》、QB/T 3827-1999《轻工产品金属镀层和化学处理层的耐腐蚀试验方法 乙酸盐雾试验(ASS)法》、QB/T 3832-1999《轻工产品金属镀层腐蚀试验结果的评价》标准要求，检测项包括但不限于：耐久性循环≥100000次、所有组件无断裂、无松动，功能应无损坏，金属喷漆（塑）涂层冲击强度检测合格，耐腐蚀等级中性盐雾试验连续喷雾100h≥10级，乙酸盐雾试验连续喷雾240h≥10级。                                                                                                                           </w:t>
            </w:r>
          </w:p>
        </w:tc>
        <w:tc>
          <w:tcPr>
            <w:tcW w:w="3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4539D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2000*1200*750</w:t>
            </w:r>
          </w:p>
        </w:tc>
        <w:tc>
          <w:tcPr>
            <w:tcW w:w="2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EDF64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731B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5</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E33600">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51937B">
            <w:pPr>
              <w:widowControl/>
              <w:jc w:val="center"/>
              <w:textAlignment w:val="center"/>
              <w:rPr>
                <w:rFonts w:ascii="方正仿宋_GB2312" w:hAnsi="方正仿宋_GB2312" w:eastAsia="方正仿宋_GB2312" w:cs="方正仿宋_GB2312"/>
                <w:color w:val="000000"/>
                <w:sz w:val="18"/>
                <w:szCs w:val="18"/>
              </w:rPr>
            </w:pPr>
          </w:p>
        </w:tc>
      </w:tr>
      <w:tr w14:paraId="590565BC">
        <w:trPr>
          <w:trHeight w:val="30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4B3E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4</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2CEA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经理办公椅</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9C75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85888" behindDoc="0" locked="0" layoutInCell="1" allowOverlap="1">
                  <wp:simplePos x="0" y="0"/>
                  <wp:positionH relativeFrom="column">
                    <wp:posOffset>9525</wp:posOffset>
                  </wp:positionH>
                  <wp:positionV relativeFrom="paragraph">
                    <wp:posOffset>13335</wp:posOffset>
                  </wp:positionV>
                  <wp:extent cx="1082675" cy="1588135"/>
                  <wp:effectExtent l="0" t="0" r="14605" b="12065"/>
                  <wp:wrapNone/>
                  <wp:docPr id="27" name="图片_23"/>
                  <wp:cNvGraphicFramePr/>
                  <a:graphic xmlns:a="http://schemas.openxmlformats.org/drawingml/2006/main">
                    <a:graphicData uri="http://schemas.openxmlformats.org/drawingml/2006/picture">
                      <pic:pic xmlns:pic="http://schemas.openxmlformats.org/drawingml/2006/picture">
                        <pic:nvPicPr>
                          <pic:cNvPr id="27" name="图片_23"/>
                          <pic:cNvPicPr/>
                        </pic:nvPicPr>
                        <pic:blipFill>
                          <a:blip r:embed="rId16" cstate="print"/>
                          <a:stretch>
                            <a:fillRect/>
                          </a:stretch>
                        </pic:blipFill>
                        <pic:spPr>
                          <a:xfrm>
                            <a:off x="0" y="0"/>
                            <a:ext cx="1082675" cy="158813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D2197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1、面料：采用西皮，需满足QB/T 4714-2014 家居用聚氨酯合成革、QB/T 4199-2011 皮革 防霉性能测试方法等标准要求，要求达到：（1）拉伸负荷、断裂伸长率、撕裂负荷、剥离负荷合格；（2） 表面颜色牢度、表面颜色迁移性、耐磨性、耐溶剂性合格；（3）抗霉菌性能：黑曲霉、土曲霉、宛氏拟青霉、绳状青霉、出芽短梗霉、球毛壳霉均达到0级。</w:t>
            </w:r>
          </w:p>
          <w:p w14:paraId="60F7531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2、海绵：需满足GB/T 10802-2023 通用软质聚氨酯泡沫塑料标准要求，检测项包括但不限于：回弹率≥35%，75％压缩永久变形≤8%，65％/25％压陷比合格，拉伸强度≥90kPa，撕裂强度≥1.8N/cm，干热老化后拉伸强度≥55kPa，干热老化拉伸强度变化率≤±30%，湿热老化后拉伸强度≥55kPa，湿热老化拉伸强度变化率≤±30%。</w:t>
            </w:r>
          </w:p>
          <w:p w14:paraId="7B51285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3、采用优质气压棒（受力250kg）；伸缩30万次不漏气。</w:t>
            </w:r>
          </w:p>
          <w:p w14:paraId="4A84C31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4、采用优质五星脚。</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BC17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常规</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236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69FB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5</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FF8EC">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89B49">
            <w:pPr>
              <w:widowControl/>
              <w:jc w:val="center"/>
              <w:textAlignment w:val="center"/>
              <w:rPr>
                <w:rFonts w:ascii="方正仿宋_GB2312" w:hAnsi="方正仿宋_GB2312" w:eastAsia="方正仿宋_GB2312" w:cs="方正仿宋_GB2312"/>
                <w:color w:val="000000"/>
                <w:sz w:val="18"/>
                <w:szCs w:val="18"/>
              </w:rPr>
            </w:pPr>
          </w:p>
        </w:tc>
      </w:tr>
      <w:tr w14:paraId="2618ACFA">
        <w:tblPrEx>
          <w:tblCellMar>
            <w:top w:w="0" w:type="dxa"/>
            <w:left w:w="108" w:type="dxa"/>
            <w:bottom w:w="0" w:type="dxa"/>
            <w:right w:w="108" w:type="dxa"/>
          </w:tblCellMar>
        </w:tblPrEx>
        <w:trPr>
          <w:trHeight w:val="50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AE2E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5</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25E3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经理室文件组合柜</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C5EA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86912" behindDoc="0" locked="0" layoutInCell="1" allowOverlap="1">
                  <wp:simplePos x="0" y="0"/>
                  <wp:positionH relativeFrom="column">
                    <wp:posOffset>165100</wp:posOffset>
                  </wp:positionH>
                  <wp:positionV relativeFrom="paragraph">
                    <wp:posOffset>154305</wp:posOffset>
                  </wp:positionV>
                  <wp:extent cx="914400" cy="1498600"/>
                  <wp:effectExtent l="0" t="0" r="0" b="10160"/>
                  <wp:wrapNone/>
                  <wp:docPr id="28" name="图片_14"/>
                  <wp:cNvGraphicFramePr/>
                  <a:graphic xmlns:a="http://schemas.openxmlformats.org/drawingml/2006/main">
                    <a:graphicData uri="http://schemas.openxmlformats.org/drawingml/2006/picture">
                      <pic:pic xmlns:pic="http://schemas.openxmlformats.org/drawingml/2006/picture">
                        <pic:nvPicPr>
                          <pic:cNvPr id="28" name="图片_14"/>
                          <pic:cNvPicPr/>
                        </pic:nvPicPr>
                        <pic:blipFill>
                          <a:blip r:embed="rId17" cstate="print"/>
                          <a:stretch>
                            <a:fillRect/>
                          </a:stretch>
                        </pic:blipFill>
                        <pic:spPr>
                          <a:xfrm>
                            <a:off x="0" y="0"/>
                            <a:ext cx="914400" cy="149860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CFD89">
            <w:pPr>
              <w:widowControl/>
              <w:jc w:val="left"/>
              <w:textAlignment w:val="center"/>
              <w:rPr>
                <w:rFonts w:ascii="方正仿宋_GB2312" w:hAnsi="方正仿宋_GB2312" w:eastAsia="方正仿宋_GB2312" w:cs="方正仿宋_GB2312"/>
                <w:color w:val="000000"/>
                <w:kern w:val="0"/>
                <w:sz w:val="18"/>
                <w:szCs w:val="18"/>
              </w:rPr>
            </w:pPr>
            <w:r>
              <w:rPr>
                <w:rFonts w:hint="eastAsia" w:ascii="方正仿宋_GB2312" w:hAnsi="方正仿宋_GB2312" w:eastAsia="方正仿宋_GB2312" w:cs="方正仿宋_GB2312"/>
                <w:color w:val="000000"/>
                <w:kern w:val="0"/>
                <w:sz w:val="18"/>
                <w:szCs w:val="18"/>
              </w:rPr>
              <w:t xml:space="preserve"> 1、基材：采用中密度纤维板，需满足GB/T 11718-2021《中密度纤维板》、GB/T 35601-2024《绿色产品评价 人造板和木质地板》、GB/T 39600-2021《人造板及其制品甲醛释放量分级》、GB/T 29899-2024《人造板及其制品中挥发性有机化合物释放量试验方法 小型释放舱法》标准要求，检测项包括但不限于：不含苯、甲苯、二甲苯、TVOC，甲醛释放量≤0.05mg/m³，含水率≤7%，密度≥0.80g/cm³，板内密度偏差≤1.2%，防潮性能（70℃水浸渍处理后静曲强度）≥12MPa，静曲强度≥38Mpa，弹性模量≥3700MPa，内胶合强度≥0.5Mpa，表面胶合强度≥1.1Mpa，吸水厚度膨胀率≤9.0%。</w:t>
            </w:r>
          </w:p>
          <w:p w14:paraId="5FB97EA5">
            <w:pPr>
              <w:widowControl/>
              <w:jc w:val="left"/>
              <w:textAlignment w:val="center"/>
              <w:rPr>
                <w:rFonts w:ascii="方正仿宋_GB2312" w:hAnsi="方正仿宋_GB2312" w:eastAsia="方正仿宋_GB2312" w:cs="方正仿宋_GB2312"/>
                <w:color w:val="000000"/>
                <w:kern w:val="0"/>
                <w:sz w:val="18"/>
                <w:szCs w:val="18"/>
              </w:rPr>
            </w:pPr>
            <w:r>
              <w:rPr>
                <w:rFonts w:hint="eastAsia" w:ascii="方正仿宋_GB2312" w:hAnsi="方正仿宋_GB2312" w:eastAsia="方正仿宋_GB2312" w:cs="方正仿宋_GB2312"/>
                <w:color w:val="000000"/>
                <w:kern w:val="0"/>
                <w:sz w:val="18"/>
                <w:szCs w:val="18"/>
              </w:rPr>
              <w:t>2、家具用胶粘剂：需满足HG/T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71663096">
            <w:pPr>
              <w:widowControl/>
              <w:jc w:val="left"/>
              <w:textAlignment w:val="center"/>
              <w:rPr>
                <w:rFonts w:ascii="方正仿宋_GB2312" w:hAnsi="方正仿宋_GB2312" w:eastAsia="方正仿宋_GB2312" w:cs="方正仿宋_GB2312"/>
                <w:color w:val="000000"/>
                <w:kern w:val="0"/>
                <w:sz w:val="18"/>
                <w:szCs w:val="18"/>
              </w:rPr>
            </w:pPr>
            <w:r>
              <w:rPr>
                <w:rFonts w:hint="eastAsia" w:ascii="方正仿宋_GB2312" w:hAnsi="方正仿宋_GB2312" w:eastAsia="方正仿宋_GB2312" w:cs="方正仿宋_GB2312"/>
                <w:color w:val="000000"/>
                <w:kern w:val="0"/>
                <w:sz w:val="18"/>
                <w:szCs w:val="18"/>
              </w:rPr>
              <w:t>3、油漆：采用水性油漆，需满足GB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56F2CE4B">
            <w:pPr>
              <w:widowControl/>
              <w:jc w:val="left"/>
              <w:textAlignment w:val="center"/>
              <w:rPr>
                <w:rFonts w:ascii="方正仿宋_GB2312" w:hAnsi="方正仿宋_GB2312" w:eastAsia="方正仿宋_GB2312" w:cs="方正仿宋_GB2312"/>
                <w:color w:val="000000"/>
                <w:kern w:val="0"/>
                <w:sz w:val="18"/>
                <w:szCs w:val="18"/>
              </w:rPr>
            </w:pPr>
            <w:r>
              <w:rPr>
                <w:rFonts w:hint="eastAsia" w:ascii="方正仿宋_GB2312" w:hAnsi="方正仿宋_GB2312" w:eastAsia="方正仿宋_GB2312" w:cs="方正仿宋_GB2312"/>
                <w:color w:val="000000"/>
                <w:kern w:val="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p w14:paraId="5E60EEA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 xml:space="preserve">5、铰链：需满足QB/T 2189-2013《家具五金 杯状暗铰链》、QB/T 3826-1999《轻工产品金属镀层和化学处理层的耐腐蚀试验方法 中性盐雾试验(NSS)法》、QB/T 3827-1999《轻工产品金属镀层和化学处理层的耐腐蚀试验方法 乙酸盐雾试验(ASS)法》、QB/T 3832-1999《轻工产品金属镀层腐蚀试验结果的评价》标准要求，检测项包括但不限于：耐久性循环≥100000次、所有组件无断裂、无松动，功能应无损坏，金属喷漆（塑）涂层冲击强度检测合格，耐腐蚀等级中性盐雾试验连续喷雾100h≥10级，乙酸盐雾试验连续喷雾240h≥10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4190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1600*400*2000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301D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个</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2944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3</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D1FEF">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598E4">
            <w:pPr>
              <w:widowControl/>
              <w:jc w:val="center"/>
              <w:textAlignment w:val="center"/>
              <w:rPr>
                <w:rFonts w:ascii="方正仿宋_GB2312" w:hAnsi="方正仿宋_GB2312" w:eastAsia="方正仿宋_GB2312" w:cs="方正仿宋_GB2312"/>
                <w:color w:val="000000"/>
                <w:sz w:val="18"/>
                <w:szCs w:val="18"/>
              </w:rPr>
            </w:pPr>
          </w:p>
        </w:tc>
      </w:tr>
      <w:tr w14:paraId="0CB9BD63">
        <w:tblPrEx>
          <w:tblCellMar>
            <w:top w:w="0" w:type="dxa"/>
            <w:left w:w="108" w:type="dxa"/>
            <w:bottom w:w="0" w:type="dxa"/>
            <w:right w:w="108" w:type="dxa"/>
          </w:tblCellMar>
        </w:tblPrEx>
        <w:trPr>
          <w:trHeight w:val="36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E906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6</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507C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职员办公桌</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A683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87936" behindDoc="0" locked="0" layoutInCell="1" allowOverlap="1">
                  <wp:simplePos x="0" y="0"/>
                  <wp:positionH relativeFrom="column">
                    <wp:posOffset>127000</wp:posOffset>
                  </wp:positionH>
                  <wp:positionV relativeFrom="paragraph">
                    <wp:posOffset>-43815</wp:posOffset>
                  </wp:positionV>
                  <wp:extent cx="951865" cy="1292225"/>
                  <wp:effectExtent l="0" t="0" r="8255" b="3175"/>
                  <wp:wrapNone/>
                  <wp:docPr id="29" name="图片_2"/>
                  <wp:cNvGraphicFramePr/>
                  <a:graphic xmlns:a="http://schemas.openxmlformats.org/drawingml/2006/main">
                    <a:graphicData uri="http://schemas.openxmlformats.org/drawingml/2006/picture">
                      <pic:pic xmlns:pic="http://schemas.openxmlformats.org/drawingml/2006/picture">
                        <pic:nvPicPr>
                          <pic:cNvPr id="29" name="图片_2"/>
                          <pic:cNvPicPr/>
                        </pic:nvPicPr>
                        <pic:blipFill>
                          <a:blip r:embed="rId18" cstate="print"/>
                          <a:stretch>
                            <a:fillRect/>
                          </a:stretch>
                        </pic:blipFill>
                        <pic:spPr>
                          <a:xfrm>
                            <a:off x="0" y="0"/>
                            <a:ext cx="951865" cy="129222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29E36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1、基材：采用中密度纤维板，需满足GB/T 11718-2021《中密度纤维板》、GB/T 35601-2024《绿色产品评价 人造板和木质地板》、GB/T 39600-2021《人造板及其制品甲醛释放量分级》、GB/T 29899-2024《人造板及其制品中挥发性有机化合物释放量试验方法 小型释放舱法》标准要求，检测项包括但不限于：不含苯、甲苯、二甲苯、TVOC，甲醛释放量≤0.05mg/m³，含水率≤7%，密度≥0.80g/cm³，板内密度偏差≤1.2%，防潮性能（70℃水浸渍处理后静曲强度）≥12MPa，静曲强度≥38Mpa，弹性模量≥3700MPa，内胶合强度≥0.5Mpa，表面胶合强度≥1.1Mpa，吸水厚度膨胀率≤9.0%。</w:t>
            </w:r>
          </w:p>
          <w:p w14:paraId="4D7123A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699D4C3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35F55AC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p w14:paraId="1635296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5、铰链：需满足QB/T 2189-2013《家具五金 杯状暗铰链》、QB/T 3826-1999《轻工产品金属镀层和化学处理层的耐腐蚀试验方法 中性盐雾试验(NSS)法》、QB/T 3827-1999《轻工产品金属镀层和化学处理层的耐腐蚀试验方法 乙酸盐雾试验(ASS)法》、QB/T 3832-1999《轻工产品金属镀层腐蚀试验结果的评价》标准要求，检测项包括但不限于：耐久性循环≥100000次、所有组件无断裂、无松动，功能应无损坏，金属喷漆（塑）涂层冲击强度检测合格，耐腐蚀等级中性盐雾试验连续喷雾100h≥10级，乙酸盐雾试验连续喷雾240h≥10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6092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1400*700*750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3876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A43C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50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640B">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78A9">
            <w:pPr>
              <w:widowControl/>
              <w:jc w:val="center"/>
              <w:textAlignment w:val="center"/>
              <w:rPr>
                <w:rFonts w:ascii="方正仿宋_GB2312" w:hAnsi="方正仿宋_GB2312" w:eastAsia="方正仿宋_GB2312" w:cs="方正仿宋_GB2312"/>
                <w:color w:val="000000"/>
                <w:sz w:val="18"/>
                <w:szCs w:val="18"/>
              </w:rPr>
            </w:pPr>
          </w:p>
        </w:tc>
      </w:tr>
      <w:tr w14:paraId="028EE4C1">
        <w:tblPrEx>
          <w:tblCellMar>
            <w:top w:w="0" w:type="dxa"/>
            <w:left w:w="108" w:type="dxa"/>
            <w:bottom w:w="0" w:type="dxa"/>
            <w:right w:w="108" w:type="dxa"/>
          </w:tblCellMar>
        </w:tblPrEx>
        <w:trPr>
          <w:trHeight w:val="310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18E4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7</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F429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职员办公椅</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BE47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88960" behindDoc="0" locked="0" layoutInCell="1" allowOverlap="1">
                  <wp:simplePos x="0" y="0"/>
                  <wp:positionH relativeFrom="column">
                    <wp:posOffset>46990</wp:posOffset>
                  </wp:positionH>
                  <wp:positionV relativeFrom="paragraph">
                    <wp:posOffset>-273685</wp:posOffset>
                  </wp:positionV>
                  <wp:extent cx="1137285" cy="1777365"/>
                  <wp:effectExtent l="0" t="0" r="5715" b="5715"/>
                  <wp:wrapNone/>
                  <wp:docPr id="30" name="图片_4"/>
                  <wp:cNvGraphicFramePr/>
                  <a:graphic xmlns:a="http://schemas.openxmlformats.org/drawingml/2006/main">
                    <a:graphicData uri="http://schemas.openxmlformats.org/drawingml/2006/picture">
                      <pic:pic xmlns:pic="http://schemas.openxmlformats.org/drawingml/2006/picture">
                        <pic:nvPicPr>
                          <pic:cNvPr id="30" name="图片_4"/>
                          <pic:cNvPicPr/>
                        </pic:nvPicPr>
                        <pic:blipFill>
                          <a:blip r:embed="rId19" cstate="print"/>
                          <a:stretch>
                            <a:fillRect/>
                          </a:stretch>
                        </pic:blipFill>
                        <pic:spPr>
                          <a:xfrm>
                            <a:off x="0" y="0"/>
                            <a:ext cx="1137285" cy="177736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19ED3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1、面料：采用西皮：需满足QB/T 4714-2014 家居用聚氨酯合成革、QB/T 4199-2011 皮革 防霉性能测试方法等标准要求，要求达到：（1）拉伸负荷、断裂伸长率、撕裂负荷、剥离负荷合格；（2） 表面颜色牢度、表面颜色迁移性、耐磨性、耐溶剂性合格；（3）抗霉菌性能：黑曲霉、土曲霉、宛氏拟青霉、绳状青霉、出芽短梗霉、球毛壳霉均达到0级。</w:t>
            </w:r>
          </w:p>
          <w:p w14:paraId="3C9F276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2、海绵：需满足GB/T 10802-2023 通用软质聚氨酯泡沫塑料标准要求，检测项包括但不限于：回弹率≥35%，75％压缩永久变形≤8%，65％/25％压陷比合格，拉伸强度≥90kPa，撕裂强度≥1.8N/cm，干热老化后拉伸强度≥55kPa，干热老化拉伸强度变化率≤±30%，湿热老化后拉伸强度≥55kPa，湿热老化拉伸强度变化率≤±30%。</w:t>
            </w:r>
          </w:p>
          <w:p w14:paraId="71BF713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▲3、框架：采用橡木实木，检测项包括但不限于：木材含水率8～17％，木制件甲醛释放量≤0.2mg/L。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3CF8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常规</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205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DE1A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50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50C72">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A98B2">
            <w:pPr>
              <w:widowControl/>
              <w:jc w:val="center"/>
              <w:textAlignment w:val="center"/>
              <w:rPr>
                <w:rFonts w:ascii="方正仿宋_GB2312" w:hAnsi="方正仿宋_GB2312" w:eastAsia="方正仿宋_GB2312" w:cs="方正仿宋_GB2312"/>
                <w:color w:val="000000"/>
                <w:sz w:val="18"/>
                <w:szCs w:val="18"/>
              </w:rPr>
            </w:pPr>
          </w:p>
        </w:tc>
      </w:tr>
      <w:tr w14:paraId="183EE2A1">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5DC2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8</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6995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部门会议桌</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846B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89984" behindDoc="0" locked="0" layoutInCell="1" allowOverlap="1">
                  <wp:simplePos x="0" y="0"/>
                  <wp:positionH relativeFrom="column">
                    <wp:posOffset>115570</wp:posOffset>
                  </wp:positionH>
                  <wp:positionV relativeFrom="paragraph">
                    <wp:posOffset>25400</wp:posOffset>
                  </wp:positionV>
                  <wp:extent cx="956945" cy="1254125"/>
                  <wp:effectExtent l="0" t="0" r="3175" b="10795"/>
                  <wp:wrapNone/>
                  <wp:docPr id="31" name="图片_5"/>
                  <wp:cNvGraphicFramePr/>
                  <a:graphic xmlns:a="http://schemas.openxmlformats.org/drawingml/2006/main">
                    <a:graphicData uri="http://schemas.openxmlformats.org/drawingml/2006/picture">
                      <pic:pic xmlns:pic="http://schemas.openxmlformats.org/drawingml/2006/picture">
                        <pic:nvPicPr>
                          <pic:cNvPr id="31" name="图片_5"/>
                          <pic:cNvPicPr/>
                        </pic:nvPicPr>
                        <pic:blipFill>
                          <a:blip r:embed="rId20" cstate="print"/>
                          <a:stretch>
                            <a:fillRect/>
                          </a:stretch>
                        </pic:blipFill>
                        <pic:spPr>
                          <a:xfrm>
                            <a:off x="0" y="0"/>
                            <a:ext cx="956945" cy="125412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7D01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▲1、基材：采用实木颗粒板，需满足GB/T 35601-2024、GB/T 20285-2006、JC/T 2039-2010 抗菌防霉木质装饰板标准，要求达到（1）甲醛释放限量≤0.05mg/m³；符合国家环保E0级标准。（2）绿色木霉、黄曲霉、黑曲霉、桔青霉的防霉菌等级达到0级；（3）产烟特性等级达到S1级，烟气生成速率指数SMOGRA≤30m²/s²，（4）烟气毒性等级达到准安全一级ZA1。</w:t>
            </w:r>
          </w:p>
          <w:p w14:paraId="43633EB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▲2、饰面：采用三聚氰胺饰面纸，需满足GB/T 28995-2022《人造板饰面专用纸》、GB/T 456-2002《纸和纸板平滑度的测定（别克法）》标准要求，检测项包括但不限于：外观质量要求无尘埃点、无色差、无破损、无污斑、无异物、无死褶、无毛边、无皱褶、无硬质块、无掉毛、无掉粉、无缺边、无裂口、无孔洞、无卷芯变形，无甲醛释放量，平滑度≥160；</w:t>
            </w:r>
          </w:p>
          <w:p w14:paraId="33FB760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封边：采用优质封边条，需满足QB/T4463-2013《家具用封边条技术要求》，检测项包括但不限于：甲醛释放量≤0.13mg/L；封边条外观、耐干热、耐冷热循环、耐光色牢度、耐磨性、耐老化性、甲醛释放量、邻苯二甲酸酯、氯乙烯单体、可迁移元素（不低于八项）、有害物质多溴联苯、多溴联苯醚均符合QB/T 4463-2013标准要求。</w:t>
            </w:r>
          </w:p>
          <w:p w14:paraId="6C21D50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p w14:paraId="4D4C732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▲5、脚架：采用壁厚≥1.2mm的金属钢材，需满足GB/T 3325-2024《金属家具通用技术条件》、QB/T 3826-1999《轻工产品金属镀层和化学处理层的耐腐蚀试验方法中性盐雾试验(NSS)法》、QB/T 3827-1999《轻工产品金属镀层和化学处理层的耐腐蚀试验方法乙酸盐雾试验(ASS)法》、QB/T3832-1999《轻工产品金属镀层腐蚀试验结果的评价》、《企业产品技术要求》，检测项包括但不限于：应无裂缝，涂层无漏喷、锈蚀和脱色、涂层应光滑均匀；外观性能要求及可溶性重金属（可溶性铅、镉、铬、汞）应符合GB/T 3325-2024标准要求；金属表面耐腐蚀要求，耐腐蚀等级中性盐雾试验连续喷雾100h≥9级，乙酸盐雾试验连续喷雾240h≥9级。</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C88C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1600*800*750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3D54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758D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6</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3D01D">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C89A4">
            <w:pPr>
              <w:widowControl/>
              <w:jc w:val="center"/>
              <w:textAlignment w:val="center"/>
              <w:rPr>
                <w:rFonts w:ascii="方正仿宋_GB2312" w:hAnsi="方正仿宋_GB2312" w:eastAsia="方正仿宋_GB2312" w:cs="方正仿宋_GB2312"/>
                <w:color w:val="000000"/>
                <w:sz w:val="18"/>
                <w:szCs w:val="18"/>
              </w:rPr>
            </w:pPr>
          </w:p>
        </w:tc>
      </w:tr>
      <w:tr w14:paraId="19A6EE5F">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CFDD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9</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F92D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部门会议椅</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12AFC">
            <w:pPr>
              <w:widowControl/>
              <w:jc w:val="left"/>
              <w:textAlignment w:val="center"/>
              <w:rPr>
                <w:rFonts w:ascii="方正仿宋_GB2312" w:hAnsi="方正仿宋_GB2312" w:eastAsia="方正仿宋_GB2312" w:cs="方正仿宋_GB2312"/>
                <w:color w:val="FF0000"/>
                <w:sz w:val="18"/>
                <w:szCs w:val="18"/>
              </w:rPr>
            </w:pPr>
            <w:r>
              <w:rPr>
                <w:rFonts w:hint="eastAsia" w:ascii="方正仿宋_GB2312" w:hAnsi="方正仿宋_GB2312" w:eastAsia="方正仿宋_GB2312" w:cs="方正仿宋_GB2312"/>
                <w:color w:val="FF0000"/>
                <w:kern w:val="0"/>
                <w:sz w:val="18"/>
                <w:szCs w:val="18"/>
                <w:bdr w:val="single" w:color="000000" w:sz="4" w:space="0"/>
              </w:rPr>
              <w:drawing>
                <wp:anchor distT="0" distB="0" distL="114300" distR="114300" simplePos="0" relativeHeight="251691008" behindDoc="0" locked="0" layoutInCell="1" allowOverlap="1">
                  <wp:simplePos x="0" y="0"/>
                  <wp:positionH relativeFrom="column">
                    <wp:posOffset>68580</wp:posOffset>
                  </wp:positionH>
                  <wp:positionV relativeFrom="paragraph">
                    <wp:posOffset>46990</wp:posOffset>
                  </wp:positionV>
                  <wp:extent cx="1123315" cy="1310005"/>
                  <wp:effectExtent l="0" t="0" r="4445" b="635"/>
                  <wp:wrapNone/>
                  <wp:docPr id="32" name="图片_15"/>
                  <wp:cNvGraphicFramePr/>
                  <a:graphic xmlns:a="http://schemas.openxmlformats.org/drawingml/2006/main">
                    <a:graphicData uri="http://schemas.openxmlformats.org/drawingml/2006/picture">
                      <pic:pic xmlns:pic="http://schemas.openxmlformats.org/drawingml/2006/picture">
                        <pic:nvPicPr>
                          <pic:cNvPr id="32" name="图片_15"/>
                          <pic:cNvPicPr/>
                        </pic:nvPicPr>
                        <pic:blipFill>
                          <a:blip r:embed="rId21" cstate="print"/>
                          <a:stretch>
                            <a:fillRect/>
                          </a:stretch>
                        </pic:blipFill>
                        <pic:spPr>
                          <a:xfrm>
                            <a:off x="0" y="0"/>
                            <a:ext cx="1123315" cy="131000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ACFCA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▲1、面料：采用优质网布：需满足GB 18401-2010《国家纺织产品基本安全技术规范》、HJ2546-2016《环境标志产品技术要求 纺织产品》标准要求，检测项包括但不限于：甲醛含量（C类）未检出，应无异味、无可分解致癌芳香胺染料，染色牢度-耐酸汗渍色牢度（C类）为4-5级，染色牢度-耐碱汗渍色牢度（C类）为4-5级，染色牢度-耐干摩擦色牢度（C类）为4-5级，不含可萃取的重金属：铅、镉、铬、锑、汞、镍、钴、铜、砷。</w:t>
            </w:r>
          </w:p>
          <w:p w14:paraId="310F6E7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2、海绵：需满足GB/T 10802-2023 通用软质聚氨酯泡沫塑料标准要求，检测项包括但不限于：回弹率≥35%，75％压缩永久变形≤8%，65％/25％压陷比合格，拉伸强度≥90kPa，撕裂强度≥1.8N/cm，干热老化后拉伸强度≥55kPa，干热老化拉伸强度变化率≤±30%，湿热老化后拉伸强度≥55kPa，湿热老化拉伸强度变化率≤±30%。</w:t>
            </w:r>
          </w:p>
          <w:p w14:paraId="735E6A8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3、脚架、脚轮:采用尼龙纤维制成,间隙误差在1%毫米左右,移动杂音小,耐磨性强；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B271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常规</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1773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C1D5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24</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B171F">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15E20">
            <w:pPr>
              <w:widowControl/>
              <w:jc w:val="center"/>
              <w:textAlignment w:val="center"/>
              <w:rPr>
                <w:rFonts w:ascii="方正仿宋_GB2312" w:hAnsi="方正仿宋_GB2312" w:eastAsia="方正仿宋_GB2312" w:cs="方正仿宋_GB2312"/>
                <w:color w:val="000000"/>
                <w:sz w:val="18"/>
                <w:szCs w:val="18"/>
              </w:rPr>
            </w:pPr>
          </w:p>
        </w:tc>
      </w:tr>
      <w:tr w14:paraId="649485AF">
        <w:tblPrEx>
          <w:tblCellMar>
            <w:top w:w="0" w:type="dxa"/>
            <w:left w:w="108" w:type="dxa"/>
            <w:bottom w:w="0" w:type="dxa"/>
            <w:right w:w="108" w:type="dxa"/>
          </w:tblCellMar>
        </w:tblPrEx>
        <w:trPr>
          <w:trHeight w:val="414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4B04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10</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3AF2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茶水柜</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2604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92032" behindDoc="0" locked="0" layoutInCell="1" allowOverlap="1">
                  <wp:simplePos x="0" y="0"/>
                  <wp:positionH relativeFrom="column">
                    <wp:posOffset>107315</wp:posOffset>
                  </wp:positionH>
                  <wp:positionV relativeFrom="paragraph">
                    <wp:posOffset>58420</wp:posOffset>
                  </wp:positionV>
                  <wp:extent cx="1016000" cy="1261110"/>
                  <wp:effectExtent l="0" t="0" r="5080" b="3810"/>
                  <wp:wrapNone/>
                  <wp:docPr id="33" name="图片_1"/>
                  <wp:cNvGraphicFramePr/>
                  <a:graphic xmlns:a="http://schemas.openxmlformats.org/drawingml/2006/main">
                    <a:graphicData uri="http://schemas.openxmlformats.org/drawingml/2006/picture">
                      <pic:pic xmlns:pic="http://schemas.openxmlformats.org/drawingml/2006/picture">
                        <pic:nvPicPr>
                          <pic:cNvPr id="33" name="图片_1"/>
                          <pic:cNvPicPr/>
                        </pic:nvPicPr>
                        <pic:blipFill>
                          <a:blip r:embed="rId22" cstate="print"/>
                          <a:stretch>
                            <a:fillRect/>
                          </a:stretch>
                        </pic:blipFill>
                        <pic:spPr>
                          <a:xfrm>
                            <a:off x="0" y="0"/>
                            <a:ext cx="1016000" cy="126111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5456D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1、基材：采用中密度纤维板，需满足GB/T 11718-2021《中密度纤维板》、GB/T 35601-2024《绿色产品评价 人造板和木质地板》、GB/T 39600-2021《人造板及其制品甲醛释放量分级》、GB/T 29899-2024《人造板及其制品中挥发性有机化合物释放量试验方法 小型释放舱法》标准要求，检测项包括但不限于：不含苯、甲苯、二甲苯、TVOC，甲醛释放量≤0.05mg/m³，含水率≤7%，密度≥0.80g/cm³，板内密度偏差≤1.2%，防潮性能（70℃水浸渍处理后静曲强度）≥12MPa，静曲强度≥38Mpa，弹性模量≥3700MPa，内胶合强度≥0.5Mpa，表面胶合强度≥1.1Mpa，吸水厚度膨胀率≤9.0%。</w:t>
            </w:r>
          </w:p>
          <w:p w14:paraId="0EEBFEB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19B72E8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1058A26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p w14:paraId="7E294B8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5、铰链：需满足QB/T 2189-2013《家具五金 杯状暗铰链》、QB/T 3826-1999《轻工产品金属镀层和化学处理层的耐腐蚀试验方法 中性盐雾试验(NSS)法》、QB/T 3827-1999《轻工产品金属镀层和化学处理层的耐腐蚀试验方法 乙酸盐雾试验(ASS)法》、QB/T 3832-1999《轻工产品金属镀层腐蚀试验结果的评价》标准要求，检测项包括但不限于：耐久性循环≥100000次、所有组件无断裂、无松动，功能应无损坏，金属喷漆（塑）涂层冲击强度检测合格，耐腐蚀等级中性盐雾试验连续喷雾100h≥10级，乙酸盐雾试验连续喷雾240h≥10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6081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800*400*800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4A59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个</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1CD2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20</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A0342">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E39EC">
            <w:pPr>
              <w:widowControl/>
              <w:jc w:val="center"/>
              <w:textAlignment w:val="center"/>
              <w:rPr>
                <w:rFonts w:ascii="方正仿宋_GB2312" w:hAnsi="方正仿宋_GB2312" w:eastAsia="方正仿宋_GB2312" w:cs="方正仿宋_GB2312"/>
                <w:color w:val="000000"/>
                <w:sz w:val="18"/>
                <w:szCs w:val="18"/>
              </w:rPr>
            </w:pPr>
          </w:p>
        </w:tc>
      </w:tr>
      <w:tr w14:paraId="3E5FB99C">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60DA2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11</w:t>
            </w:r>
          </w:p>
        </w:tc>
        <w:tc>
          <w:tcPr>
            <w:tcW w:w="3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6EC39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沙发3+1+1</w:t>
            </w:r>
          </w:p>
        </w:tc>
        <w:tc>
          <w:tcPr>
            <w:tcW w:w="8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448D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shd w:val="clear" w:color="auto" w:fill="FFFFFF"/>
              </w:rPr>
              <w:drawing>
                <wp:anchor distT="0" distB="0" distL="114300" distR="114300" simplePos="0" relativeHeight="251693056" behindDoc="0" locked="0" layoutInCell="1" allowOverlap="1">
                  <wp:simplePos x="0" y="0"/>
                  <wp:positionH relativeFrom="column">
                    <wp:posOffset>-17145</wp:posOffset>
                  </wp:positionH>
                  <wp:positionV relativeFrom="paragraph">
                    <wp:posOffset>92710</wp:posOffset>
                  </wp:positionV>
                  <wp:extent cx="1244600" cy="1160780"/>
                  <wp:effectExtent l="0" t="0" r="5080" b="12700"/>
                  <wp:wrapNone/>
                  <wp:docPr id="34" name="图片_19"/>
                  <wp:cNvGraphicFramePr/>
                  <a:graphic xmlns:a="http://schemas.openxmlformats.org/drawingml/2006/main">
                    <a:graphicData uri="http://schemas.openxmlformats.org/drawingml/2006/picture">
                      <pic:pic xmlns:pic="http://schemas.openxmlformats.org/drawingml/2006/picture">
                        <pic:nvPicPr>
                          <pic:cNvPr id="34" name="图片_19"/>
                          <pic:cNvPicPr/>
                        </pic:nvPicPr>
                        <pic:blipFill>
                          <a:blip r:embed="rId23" cstate="print"/>
                          <a:stretch>
                            <a:fillRect/>
                          </a:stretch>
                        </pic:blipFill>
                        <pic:spPr>
                          <a:xfrm>
                            <a:off x="0" y="0"/>
                            <a:ext cx="1244600" cy="116078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AC0EC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▲1、面料：采用牛皮，需满足GB/T 16799-2018《家具用皮革》标准要求，检测项包括但不限于：摩擦色牢度（干擦、湿擦、碱性汗液）≥4级，耐光性≥5，耐折牢度（50000次）无裂纹，撕裂力≥105N，气味≤3级，pH≥6，不含禁用偶氮染料，不含挥发性有机物（VOC），不含可萃取的重金属（铅，镉），不含游离甲醛。</w:t>
            </w:r>
          </w:p>
          <w:p w14:paraId="0192331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2、海绵：需满足GB/T 10802-2023 通用软质聚氨酯泡沫塑料标准要求，检测项包括但不限于：回弹率≥35%，75％压缩永久变形≤8%，65％/25％压陷比合格，拉伸强度≥90kPa，撕裂强度≥1.8N/cm，干热老化后拉伸强度≥55kPa，干热老化拉伸强度变化率≤±30%，湿热老化后拉伸强度≥55kPa，湿热老化拉伸强度变化率≤±30%。</w:t>
            </w:r>
          </w:p>
          <w:p w14:paraId="3541CF3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3、框架：采用硬质实木，需满足GB/T 3324-2017《木家具通用技术条件》、GB/T 1927.5-2021《无疵小试样木材物理力学性质试验方法第5部分:密度测定》、GB/T 14531-2017《办公家具 阅览、椅、凳》《企业产品技术要求》，检测项包括但不限于：气干密度≥0.5；外观（板件或部件在接触人体或贮物部位不应有毛刺、刃口或棱角；板件或部件的外表应光滑，倒棱、圆角、圆线应均匀一致；应无贯通裂缝；木家具中不应有虫蛀现象；外表应无腐朽材，内表轻微腐朽面积不应超过零件面积的20%；外表和存放物品部位用材应无树脂囊）合格。</w:t>
            </w:r>
          </w:p>
          <w:p w14:paraId="2B1D100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▲4、产品需满足QB/T 1952.1-2023《软体家具沙发》标准要求。                                                                                                                                      </w:t>
            </w:r>
          </w:p>
        </w:tc>
        <w:tc>
          <w:tcPr>
            <w:tcW w:w="3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EF0D0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3人位 2200*880 单人位1200</w:t>
            </w:r>
          </w:p>
        </w:tc>
        <w:tc>
          <w:tcPr>
            <w:tcW w:w="2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52B9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套</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71526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6617A">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48FBA">
            <w:pPr>
              <w:widowControl/>
              <w:jc w:val="center"/>
              <w:textAlignment w:val="center"/>
              <w:rPr>
                <w:rFonts w:ascii="方正仿宋_GB2312" w:hAnsi="方正仿宋_GB2312" w:eastAsia="方正仿宋_GB2312" w:cs="方正仿宋_GB2312"/>
                <w:color w:val="000000"/>
                <w:sz w:val="18"/>
                <w:szCs w:val="18"/>
              </w:rPr>
            </w:pPr>
          </w:p>
        </w:tc>
      </w:tr>
      <w:tr w14:paraId="313C9148">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94FE1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12</w:t>
            </w:r>
          </w:p>
        </w:tc>
        <w:tc>
          <w:tcPr>
            <w:tcW w:w="3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682C1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长茶几</w:t>
            </w:r>
          </w:p>
        </w:tc>
        <w:tc>
          <w:tcPr>
            <w:tcW w:w="8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FDEC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shd w:val="clear" w:color="auto" w:fill="FFFFFF"/>
              </w:rPr>
              <w:drawing>
                <wp:anchor distT="0" distB="0" distL="114300" distR="114300" simplePos="0" relativeHeight="251694080" behindDoc="0" locked="0" layoutInCell="1" allowOverlap="1">
                  <wp:simplePos x="0" y="0"/>
                  <wp:positionH relativeFrom="column">
                    <wp:posOffset>13335</wp:posOffset>
                  </wp:positionH>
                  <wp:positionV relativeFrom="paragraph">
                    <wp:posOffset>171450</wp:posOffset>
                  </wp:positionV>
                  <wp:extent cx="1108075" cy="916305"/>
                  <wp:effectExtent l="0" t="0" r="4445" b="13335"/>
                  <wp:wrapNone/>
                  <wp:docPr id="35" name="图片_20"/>
                  <wp:cNvGraphicFramePr/>
                  <a:graphic xmlns:a="http://schemas.openxmlformats.org/drawingml/2006/main">
                    <a:graphicData uri="http://schemas.openxmlformats.org/drawingml/2006/picture">
                      <pic:pic xmlns:pic="http://schemas.openxmlformats.org/drawingml/2006/picture">
                        <pic:nvPicPr>
                          <pic:cNvPr id="35" name="图片_20"/>
                          <pic:cNvPicPr/>
                        </pic:nvPicPr>
                        <pic:blipFill>
                          <a:blip r:embed="rId24" cstate="print"/>
                          <a:stretch>
                            <a:fillRect/>
                          </a:stretch>
                        </pic:blipFill>
                        <pic:spPr>
                          <a:xfrm>
                            <a:off x="0" y="0"/>
                            <a:ext cx="1108075" cy="91630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82A93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1、台面为优质岩板，辅以造型别致的不锈钢等底架，典雅华贵、简洁实用；</w:t>
            </w:r>
          </w:p>
          <w:p w14:paraId="110DC78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2、对水、油、污渍、细菌有很强的抵抗力，容易清洁；                      </w:t>
            </w:r>
          </w:p>
          <w:p w14:paraId="6F1BF96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3、绝对环保、无毒、无辐射，台面可与食物直接接触；</w:t>
            </w:r>
          </w:p>
          <w:p w14:paraId="33CAE52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4、钢化玻璃材质和金属搭配玻璃材质的搭配具有明澈、清新的透明质感，经过光影的空透，富于立体效果，时尚简约；</w:t>
            </w:r>
          </w:p>
        </w:tc>
        <w:tc>
          <w:tcPr>
            <w:tcW w:w="3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42D38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1200*600*450</w:t>
            </w:r>
          </w:p>
        </w:tc>
        <w:tc>
          <w:tcPr>
            <w:tcW w:w="2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C64CA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个</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0F9A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A0399A">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CF264D">
            <w:pPr>
              <w:widowControl/>
              <w:jc w:val="center"/>
              <w:textAlignment w:val="center"/>
              <w:rPr>
                <w:rFonts w:ascii="方正仿宋_GB2312" w:hAnsi="方正仿宋_GB2312" w:eastAsia="方正仿宋_GB2312" w:cs="方正仿宋_GB2312"/>
                <w:color w:val="000000"/>
                <w:sz w:val="18"/>
                <w:szCs w:val="18"/>
              </w:rPr>
            </w:pPr>
          </w:p>
        </w:tc>
      </w:tr>
      <w:tr w14:paraId="2618AE0E">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33AD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13</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6491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34人位会议桌</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B782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95104" behindDoc="0" locked="0" layoutInCell="1" allowOverlap="1">
                  <wp:simplePos x="0" y="0"/>
                  <wp:positionH relativeFrom="column">
                    <wp:posOffset>73025</wp:posOffset>
                  </wp:positionH>
                  <wp:positionV relativeFrom="paragraph">
                    <wp:posOffset>45085</wp:posOffset>
                  </wp:positionV>
                  <wp:extent cx="1080770" cy="1003300"/>
                  <wp:effectExtent l="0" t="0" r="1270" b="2540"/>
                  <wp:wrapNone/>
                  <wp:docPr id="36" name="图片_6"/>
                  <wp:cNvGraphicFramePr/>
                  <a:graphic xmlns:a="http://schemas.openxmlformats.org/drawingml/2006/main">
                    <a:graphicData uri="http://schemas.openxmlformats.org/drawingml/2006/picture">
                      <pic:pic xmlns:pic="http://schemas.openxmlformats.org/drawingml/2006/picture">
                        <pic:nvPicPr>
                          <pic:cNvPr id="36" name="图片_6"/>
                          <pic:cNvPicPr/>
                        </pic:nvPicPr>
                        <pic:blipFill>
                          <a:blip r:embed="rId25" cstate="print"/>
                          <a:stretch>
                            <a:fillRect/>
                          </a:stretch>
                        </pic:blipFill>
                        <pic:spPr>
                          <a:xfrm>
                            <a:off x="0" y="0"/>
                            <a:ext cx="1080770" cy="100330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027F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1、基材：采用中密度纤维板，需满足GB/T 11718-2021《中密度纤维板》、GB/T 35601-2024《绿色产品评价 人造板和木质地板》、GB/T 39600-2021《人造板及其制品甲醛释放量分级》、GB/T 29899-2024《人造板及其制品中挥发性有机化合物释放量试验方法 小型释放舱法》标准要求，检测项包括但不限于：不含苯、甲苯、二甲苯、TVOC，甲醛释放量≤0.05mg/m³，含水率≤7%，密度≥0.80g/cm³，板内密度偏差≤1.2%，防潮性能（70℃水浸渍处理后静曲强度）≥12MPa，静曲强度≥38Mpa，弹性模量≥3700MPa，内胶合强度≥0.5Mpa，表面胶合强度≥1.1Mpa，吸水厚度膨胀率≤9.0%。</w:t>
            </w:r>
          </w:p>
          <w:p w14:paraId="330E05B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479EE8A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4016EBB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FE3F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10000*2000*760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FB9B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4C85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2F75A">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884DC">
            <w:pPr>
              <w:widowControl/>
              <w:jc w:val="center"/>
              <w:textAlignment w:val="center"/>
              <w:rPr>
                <w:rFonts w:ascii="方正仿宋_GB2312" w:hAnsi="方正仿宋_GB2312" w:eastAsia="方正仿宋_GB2312" w:cs="方正仿宋_GB2312"/>
                <w:color w:val="000000"/>
                <w:sz w:val="18"/>
                <w:szCs w:val="18"/>
              </w:rPr>
            </w:pPr>
          </w:p>
        </w:tc>
      </w:tr>
      <w:tr w14:paraId="10425F37">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F0F7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14</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958C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34人位会议椅</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165E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96128" behindDoc="0" locked="0" layoutInCell="1" allowOverlap="1">
                  <wp:simplePos x="0" y="0"/>
                  <wp:positionH relativeFrom="column">
                    <wp:posOffset>51435</wp:posOffset>
                  </wp:positionH>
                  <wp:positionV relativeFrom="paragraph">
                    <wp:posOffset>67945</wp:posOffset>
                  </wp:positionV>
                  <wp:extent cx="997585" cy="1235075"/>
                  <wp:effectExtent l="0" t="0" r="8255" b="14605"/>
                  <wp:wrapNone/>
                  <wp:docPr id="37" name="图片_16"/>
                  <wp:cNvGraphicFramePr/>
                  <a:graphic xmlns:a="http://schemas.openxmlformats.org/drawingml/2006/main">
                    <a:graphicData uri="http://schemas.openxmlformats.org/drawingml/2006/picture">
                      <pic:pic xmlns:pic="http://schemas.openxmlformats.org/drawingml/2006/picture">
                        <pic:nvPicPr>
                          <pic:cNvPr id="37" name="图片_16"/>
                          <pic:cNvPicPr/>
                        </pic:nvPicPr>
                        <pic:blipFill>
                          <a:blip r:embed="rId26" cstate="print"/>
                          <a:stretch>
                            <a:fillRect/>
                          </a:stretch>
                        </pic:blipFill>
                        <pic:spPr>
                          <a:xfrm>
                            <a:off x="0" y="0"/>
                            <a:ext cx="997585" cy="123507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434FC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1、面料：采用西皮，需满足QB/T 4714-2014 家居用聚氨酯合成革、QB/T 4199-2011 皮革 防霉性能测试方法等标准要求，要求达到：（1）拉伸负荷、断裂伸长率、撕裂负荷、剥离负荷合格；（2） 表面颜色牢度、表面颜色迁移性、耐磨性、耐溶剂性合格；（3）抗霉菌性能：黑曲霉、土曲霉、宛氏拟青霉、绳状青霉、出芽短梗霉、球毛壳霉均达到0级。</w:t>
            </w:r>
          </w:p>
          <w:p w14:paraId="343E4F5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2、海绵：需满足GB/T 10802-2023 通用软质聚氨酯泡沫塑料标准要求，检测项包括但不限于：回弹率≥35%，75％压缩永久变形≤8%，65％/25％压陷比合格，拉伸强度≥90kPa，撕裂强度≥1.8N/cm，干热老化后拉伸强度≥55kPa，干热老化拉伸强度变化率≤±30%，湿热老化后拉伸强度≥55kPa，湿热老化拉伸强度变化率≤±30%。</w:t>
            </w:r>
          </w:p>
          <w:p w14:paraId="7629A7A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3、采用优质五金弓形脚架。</w:t>
            </w:r>
          </w:p>
          <w:p w14:paraId="7A1995BC">
            <w:pPr>
              <w:widowControl/>
              <w:jc w:val="left"/>
              <w:textAlignment w:val="center"/>
              <w:rPr>
                <w:rFonts w:ascii="方正仿宋_GB2312" w:hAnsi="方正仿宋_GB2312" w:eastAsia="方正仿宋_GB2312" w:cs="方正仿宋_GB2312"/>
                <w:color w:val="000000"/>
                <w:sz w:val="18"/>
                <w:szCs w:val="18"/>
              </w:rPr>
            </w:pP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C67D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常规</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5794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2DAF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34</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AE471">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1E204">
            <w:pPr>
              <w:widowControl/>
              <w:jc w:val="center"/>
              <w:textAlignment w:val="center"/>
              <w:rPr>
                <w:rFonts w:ascii="方正仿宋_GB2312" w:hAnsi="方正仿宋_GB2312" w:eastAsia="方正仿宋_GB2312" w:cs="方正仿宋_GB2312"/>
                <w:color w:val="000000"/>
                <w:sz w:val="18"/>
                <w:szCs w:val="18"/>
              </w:rPr>
            </w:pPr>
          </w:p>
        </w:tc>
      </w:tr>
      <w:tr w14:paraId="454E889E">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BA43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15</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8020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小包间餐桌</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26FB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97152" behindDoc="0" locked="0" layoutInCell="1" allowOverlap="1">
                  <wp:simplePos x="0" y="0"/>
                  <wp:positionH relativeFrom="column">
                    <wp:posOffset>-62230</wp:posOffset>
                  </wp:positionH>
                  <wp:positionV relativeFrom="paragraph">
                    <wp:posOffset>119380</wp:posOffset>
                  </wp:positionV>
                  <wp:extent cx="1218565" cy="1084580"/>
                  <wp:effectExtent l="0" t="0" r="635" b="12700"/>
                  <wp:wrapNone/>
                  <wp:docPr id="38" name="图片_17"/>
                  <wp:cNvGraphicFramePr/>
                  <a:graphic xmlns:a="http://schemas.openxmlformats.org/drawingml/2006/main">
                    <a:graphicData uri="http://schemas.openxmlformats.org/drawingml/2006/picture">
                      <pic:pic xmlns:pic="http://schemas.openxmlformats.org/drawingml/2006/picture">
                        <pic:nvPicPr>
                          <pic:cNvPr id="38" name="图片_17"/>
                          <pic:cNvPicPr/>
                        </pic:nvPicPr>
                        <pic:blipFill>
                          <a:blip r:embed="rId27" cstate="print"/>
                          <a:stretch>
                            <a:fillRect/>
                          </a:stretch>
                        </pic:blipFill>
                        <pic:spPr>
                          <a:xfrm>
                            <a:off x="0" y="0"/>
                            <a:ext cx="1218565" cy="108458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A3CA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▲1、基材：采用多层实木板，需满足HJ571-2010《环境标志产品技术要求人造板及其制品》、GB/T 9846-2015《普通胶合板》、GB/T 17657-2022《人造板及饰面人造板理化性能试验方法》、GB/T 35601-2024《绿色产品评价人造板和木质地板》、QB/T 4371-2012《家具抗菌性能的评价》、GB/T 42998-2023《家具产品及其材料中禁限用物质测定方法酮类化合物》、《企业产品技术要求》标准要求，检测项包括但不限于：含水率：5-16%，板面握钉力≥1300N，板边握钉力≥ 1100N，甲醛释放限量(气候箱法)≤0.02mg/m³, 表面胶合强度≥ 0.90Mpa，静曲强度：顺纹 ≥40Mpa、橫纹≥35Mpa，弹性模量：顺纹≥5000Mpa、橫纹≥4000Mpa；总挥发性有机化合物(TVOC)的释放率(72h)未检出；苯、甲苯、二甲苯、TVOC未检出；抗菌性能：【金黄色 葡萄球菌】抗菌率达到99%或以上；醛酮类化合物合格。</w:t>
            </w:r>
          </w:p>
          <w:p w14:paraId="22F7B3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▲2、饰面：面压防火板：需满足GB/T 20285-2006、JC/T 2039-2010等标准，要求达到（1）绿色木霉、黄曲霉、黑曲霉、桔青霉的防霉菌等级达到0级；（2）产烟特性等级达到S1级，烟气生成速率指数SMOGRA≤30m²/s²，（3）烟气毒性等级达到准安全一级ZA1。</w:t>
            </w:r>
          </w:p>
          <w:p w14:paraId="4776260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7D81485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179334B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5、螺丝：需满足QB/T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3B0C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直径1.8米</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9F80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F892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3077">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C31B8">
            <w:pPr>
              <w:widowControl/>
              <w:jc w:val="center"/>
              <w:textAlignment w:val="center"/>
              <w:rPr>
                <w:rFonts w:ascii="方正仿宋_GB2312" w:hAnsi="方正仿宋_GB2312" w:eastAsia="方正仿宋_GB2312" w:cs="方正仿宋_GB2312"/>
                <w:color w:val="000000"/>
                <w:sz w:val="18"/>
                <w:szCs w:val="18"/>
              </w:rPr>
            </w:pPr>
          </w:p>
        </w:tc>
      </w:tr>
      <w:tr w14:paraId="1E945D83">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8F7EC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16</w:t>
            </w:r>
          </w:p>
        </w:tc>
        <w:tc>
          <w:tcPr>
            <w:tcW w:w="32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1DAF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小包间餐椅</w:t>
            </w:r>
          </w:p>
        </w:tc>
        <w:tc>
          <w:tcPr>
            <w:tcW w:w="89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E2AF9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shd w:val="clear" w:color="auto" w:fill="FFFFFF"/>
              </w:rPr>
              <w:drawing>
                <wp:anchor distT="0" distB="0" distL="114300" distR="114300" simplePos="0" relativeHeight="251698176" behindDoc="0" locked="0" layoutInCell="1" allowOverlap="1">
                  <wp:simplePos x="0" y="0"/>
                  <wp:positionH relativeFrom="column">
                    <wp:posOffset>17145</wp:posOffset>
                  </wp:positionH>
                  <wp:positionV relativeFrom="paragraph">
                    <wp:posOffset>83820</wp:posOffset>
                  </wp:positionV>
                  <wp:extent cx="1122045" cy="1089660"/>
                  <wp:effectExtent l="0" t="0" r="5715" b="7620"/>
                  <wp:wrapNone/>
                  <wp:docPr id="39" name="图片_7"/>
                  <wp:cNvGraphicFramePr/>
                  <a:graphic xmlns:a="http://schemas.openxmlformats.org/drawingml/2006/main">
                    <a:graphicData uri="http://schemas.openxmlformats.org/drawingml/2006/picture">
                      <pic:pic xmlns:pic="http://schemas.openxmlformats.org/drawingml/2006/picture">
                        <pic:nvPicPr>
                          <pic:cNvPr id="39" name="图片_7"/>
                          <pic:cNvPicPr/>
                        </pic:nvPicPr>
                        <pic:blipFill>
                          <a:blip r:embed="rId28" cstate="print"/>
                          <a:stretch>
                            <a:fillRect/>
                          </a:stretch>
                        </pic:blipFill>
                        <pic:spPr>
                          <a:xfrm>
                            <a:off x="0" y="0"/>
                            <a:ext cx="1122045" cy="108966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38AE5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1、基材：采用多层实木板，需满足HJ571-2010《环境标志产品技术要求人造板及其制品》、GB/T 9846-2015《普通胶合板》、GB/T 17657-2022《人造板及饰面人造板理化性能试验方法》、GB/T 35601-2024《绿色产品评价人造板和木质地板》、QB/T 4371-2012《家具抗菌性能的评价》、GB/T 42998-2023《家具产品及其材料中禁限用物质测定方法酮类化合物》、《企业产品技术要求》标准要求，检测项包括但不限于：含水率：5-16%，板面握钉力≥1300N，板边握钉力≥ 1100N，甲醛释放限量(气候箱法)≤0.02mg/m³, 表面胶合强度≥ 0.90Mpa，静曲强度：顺纹 ≥40Mpa、橫纹≥35Mpa，弹性模量：顺纹≥5000Mpa、橫纹≥4000Mpa；总挥发性有机化合物(TVOC)的释放率(72h)未检出；苯、甲苯、二甲苯、TVOC未检出；抗菌性能：【金黄色 葡萄球菌】抗菌率达到99%或以上；醛酮类化合物合格。</w:t>
            </w:r>
          </w:p>
          <w:p w14:paraId="1E68D77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2、饰面：面压防火板：需满足GB/T 20285-2006、JC/T 2039-2010等标准，要求达到（1）绿色木霉、黄曲霉、黑曲霉、桔青霉的防霉菌等级达到0级；（2）产烟特性等级达到S1级，烟气生成速率指数SMOGRA≤30m²/s²，（3）烟气毒性等级达到准安全一级ZA1。</w:t>
            </w:r>
          </w:p>
          <w:p w14:paraId="03AAE54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3、家具用胶粘剂：需满足HG/T 2727-2010、GB 18583-2008等标准，要求达到（1）总挥发性有机物≤110g/L，（2）甲苯+二甲苯≤10g/kg，（3）苯≤0.20g/kg，（4）黏度≥0.5Pa·s，（5）不挥发物≥35％，（6）游离甲醛≤1.0g/kg，（7）最低成膜温度≤2℃，（8）压缩剪切强度的干强度≥10MPa、湿强度≥3MPa，（9）木材污染性合格。</w:t>
            </w:r>
          </w:p>
          <w:p w14:paraId="35EF442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4、油漆：采用水性油漆，需满足GB 18581-2020、GB/T 23999-2009等标准，要求达到（1）VOC含量≤250g/L。（2）总铅（Pb）含量（限色漆、腻子和醇酸清漆）≤90mg/kg，（3）可溶性重金属含量（镉Cd、铬Cr、汞Hg）合格。（4）苯系物总和含量[限苯、甲苯、二甲苯（含乙苯）]≤250mg/kg，（5）不挥发物≥30％，（6）贮存稳定性[（50±2）℃，7d]无异常，（7）附着力（划格间距2mm）≤1级，（8）耐水性无异常，耐碱性无异常，耐醇性无异常，耐干热性[（70±2）℃，15min]≤2级。</w:t>
            </w:r>
          </w:p>
          <w:p w14:paraId="0FD55CE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5、螺丝：需满足QB/T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tc>
        <w:tc>
          <w:tcPr>
            <w:tcW w:w="39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345102">
            <w:pPr>
              <w:widowControl/>
              <w:jc w:val="center"/>
              <w:textAlignment w:val="center"/>
              <w:rPr>
                <w:rFonts w:ascii="方正仿宋_GB2312" w:hAnsi="方正仿宋_GB2312" w:eastAsia="方正仿宋_GB2312" w:cs="方正仿宋_GB2312"/>
                <w:color w:val="FF0000"/>
                <w:sz w:val="18"/>
                <w:szCs w:val="18"/>
              </w:rPr>
            </w:pPr>
            <w:r>
              <w:rPr>
                <w:rFonts w:hint="eastAsia" w:ascii="方正仿宋_GB2312" w:hAnsi="方正仿宋_GB2312" w:eastAsia="方正仿宋_GB2312" w:cs="方正仿宋_GB2312"/>
                <w:kern w:val="0"/>
                <w:sz w:val="18"/>
                <w:szCs w:val="18"/>
              </w:rPr>
              <w:t>常规图片同款</w:t>
            </w:r>
          </w:p>
        </w:tc>
        <w:tc>
          <w:tcPr>
            <w:tcW w:w="26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BEEC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1E372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10</w:t>
            </w:r>
          </w:p>
        </w:tc>
        <w:tc>
          <w:tcPr>
            <w:tcW w:w="38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101D2">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3EC01">
            <w:pPr>
              <w:widowControl/>
              <w:jc w:val="center"/>
              <w:textAlignment w:val="center"/>
              <w:rPr>
                <w:rFonts w:ascii="方正仿宋_GB2312" w:hAnsi="方正仿宋_GB2312" w:eastAsia="方正仿宋_GB2312" w:cs="方正仿宋_GB2312"/>
                <w:color w:val="000000"/>
                <w:sz w:val="18"/>
                <w:szCs w:val="18"/>
              </w:rPr>
            </w:pPr>
          </w:p>
        </w:tc>
      </w:tr>
      <w:tr w14:paraId="642328FF">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57A2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17</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2A2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小包间餐边柜</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55DF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699200" behindDoc="0" locked="0" layoutInCell="1" allowOverlap="1">
                  <wp:simplePos x="0" y="0"/>
                  <wp:positionH relativeFrom="column">
                    <wp:posOffset>71755</wp:posOffset>
                  </wp:positionH>
                  <wp:positionV relativeFrom="paragraph">
                    <wp:posOffset>23495</wp:posOffset>
                  </wp:positionV>
                  <wp:extent cx="1092835" cy="1220470"/>
                  <wp:effectExtent l="0" t="0" r="4445" b="13970"/>
                  <wp:wrapNone/>
                  <wp:docPr id="40" name="图片_8"/>
                  <wp:cNvGraphicFramePr/>
                  <a:graphic xmlns:a="http://schemas.openxmlformats.org/drawingml/2006/main">
                    <a:graphicData uri="http://schemas.openxmlformats.org/drawingml/2006/picture">
                      <pic:pic xmlns:pic="http://schemas.openxmlformats.org/drawingml/2006/picture">
                        <pic:nvPicPr>
                          <pic:cNvPr id="40" name="图片_8"/>
                          <pic:cNvPicPr/>
                        </pic:nvPicPr>
                        <pic:blipFill>
                          <a:blip r:embed="rId29" cstate="print"/>
                          <a:stretch>
                            <a:fillRect/>
                          </a:stretch>
                        </pic:blipFill>
                        <pic:spPr>
                          <a:xfrm>
                            <a:off x="0" y="0"/>
                            <a:ext cx="1092835" cy="122047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EEEB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▲1、基材：采用实木颗粒板，需满足GB/T 35601-2024、GB/T 20285-2006、JC/T 2039-2010 抗菌防霉木质装饰板标准，要求达到（1）甲醛释放限量≤0.05mg/m³；符合国家环保E0级标准。（2）绿色木霉、黄曲霉、黑曲霉、桔青霉的防霉菌等级达到0级；（3）产烟特性等级达到S1级，烟气生成速率指数SMOGRA≤30m²/s²，（4）烟气毒性等级达到准安全一级ZA1。</w:t>
            </w:r>
          </w:p>
          <w:p w14:paraId="5F458F1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▲2、饰面：采用三聚氰胺饰面纸，需满足GB/T 28995-2022《人造板饰面专用纸》、GB/T 456-2002《纸和纸板平滑度的测定（别克法）》标准要求，检测项包括但不限于：外观质量要求无尘埃点、无色差、无破损、无污斑、无异物、无死褶、无毛边、无皱褶、无硬质块、无掉毛、无掉粉、无缺边、无裂口、无孔洞、无卷芯变形，无甲醛释放量，平滑度≥160；</w:t>
            </w:r>
          </w:p>
          <w:p w14:paraId="203557F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封边：采用优质封边条，需满足QB/T4463-2013《家具用封边条技术要求》，检测项包括但不限于：甲醛释放量≤0.13mg/L；封边条外观、耐干热、耐冷热循环、耐光色牢度、耐磨性、耐老化性、甲醛释放量、邻苯二甲酸酯、氯乙烯单体、可迁移元素（不低于八项）、有害物质多溴联苯、多溴联苯醚均符合QB/T 4463-2013标准要求。</w:t>
            </w:r>
          </w:p>
          <w:p w14:paraId="753FBCD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p w14:paraId="793BB44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5、铰链：需满足QB/T 2189-2013《家具五金 杯状暗铰链》、QB/T 3826-1999《轻工产品金属镀层和化学处理层的耐腐蚀试验方法 中性盐雾试验(NSS)法》、QB/T 3827-1999《轻工产品金属镀层和化学处理层的耐腐蚀试验方法 乙酸盐雾试验(ASS)法》、QB/T 3832-1999《轻工产品金属镀层腐蚀试验结果的评价》标准要求，检测项包括但不限于：耐久性循环≥100000次、所有组件无断裂、无松动，功能应无损坏，金属喷漆（塑）涂层冲击强度检测合格，耐腐蚀等级中性盐雾试验连续喷雾100h≥10级，乙酸盐雾试验连续喷雾240h≥10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7B9B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1600*400*800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6160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个</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2BAE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6176A">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D1C70">
            <w:pPr>
              <w:widowControl/>
              <w:jc w:val="center"/>
              <w:textAlignment w:val="center"/>
              <w:rPr>
                <w:rFonts w:ascii="方正仿宋_GB2312" w:hAnsi="方正仿宋_GB2312" w:eastAsia="方正仿宋_GB2312" w:cs="方正仿宋_GB2312"/>
                <w:color w:val="000000"/>
                <w:sz w:val="18"/>
                <w:szCs w:val="18"/>
              </w:rPr>
            </w:pPr>
          </w:p>
        </w:tc>
      </w:tr>
      <w:tr w14:paraId="5444384C">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2F27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18</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9AE7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大会议室会议条桌</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5B75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700224" behindDoc="0" locked="0" layoutInCell="1" allowOverlap="1">
                  <wp:simplePos x="0" y="0"/>
                  <wp:positionH relativeFrom="column">
                    <wp:posOffset>2540</wp:posOffset>
                  </wp:positionH>
                  <wp:positionV relativeFrom="paragraph">
                    <wp:posOffset>194945</wp:posOffset>
                  </wp:positionV>
                  <wp:extent cx="1183640" cy="949960"/>
                  <wp:effectExtent l="0" t="0" r="5080" b="10160"/>
                  <wp:wrapNone/>
                  <wp:docPr id="41" name="图片_9"/>
                  <wp:cNvGraphicFramePr/>
                  <a:graphic xmlns:a="http://schemas.openxmlformats.org/drawingml/2006/main">
                    <a:graphicData uri="http://schemas.openxmlformats.org/drawingml/2006/picture">
                      <pic:pic xmlns:pic="http://schemas.openxmlformats.org/drawingml/2006/picture">
                        <pic:nvPicPr>
                          <pic:cNvPr id="41" name="图片_9"/>
                          <pic:cNvPicPr/>
                        </pic:nvPicPr>
                        <pic:blipFill>
                          <a:blip r:embed="rId30" cstate="print"/>
                          <a:stretch>
                            <a:fillRect/>
                          </a:stretch>
                        </pic:blipFill>
                        <pic:spPr>
                          <a:xfrm>
                            <a:off x="0" y="0"/>
                            <a:ext cx="1183640" cy="94996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96D7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1、基材：采用实木颗粒板，需满足GB/T 35601-2024、GB/T 20285-2006、JC/T 2039-2010 抗菌防霉木质装饰板标准，要求达到（1）甲醛释放限量≤0.05mg/m³；符合国家环保E0级标准。（2）绿色木霉、黄曲霉、黑曲霉、桔青霉的防霉菌等级达到0级；（3）产烟特性等级达到S1级，烟气生成速率指数SMOGRA≤30m²/s²，（4）烟气毒性等级达到准安全一级ZA1。</w:t>
            </w:r>
          </w:p>
          <w:p w14:paraId="796E1DF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2、饰面：采用三聚氰胺饰面纸，需满足GB/T 28995-2022《人造板饰面专用纸》、GB/T 456-2002《纸和纸板平滑度的测定（别克法）》标准要求，检测项包括但不限于：外观质量要求无尘埃点、无色差、无破损、无污斑、无异物、无死褶、无毛边、无皱褶、无硬质块、无掉毛、无掉粉、无缺边、无裂口、无孔洞、无卷芯变形，无甲醛释放量，平滑度≥160；</w:t>
            </w:r>
          </w:p>
          <w:p w14:paraId="2BB65C3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封边：采用优质封边条，需满足QB/T4463-2013《家具用封边条技术要求》，检测项包括但不限于：甲醛释放量≤0.13mg/L；封边条外观、耐干热、耐冷热循环、耐光色牢度、耐磨性、耐老化性、甲醛释放量、邻苯二甲酸酯、氯乙烯单体、可迁移元素（不低于八项）、有害物质多溴联苯、多溴联苯醚均符合QB/T 4463-2013标准要求。</w:t>
            </w:r>
          </w:p>
          <w:p w14:paraId="259A923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D508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1200*400*750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A11E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97DE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64</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663C9">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7081E">
            <w:pPr>
              <w:widowControl/>
              <w:jc w:val="center"/>
              <w:textAlignment w:val="center"/>
              <w:rPr>
                <w:rFonts w:ascii="方正仿宋_GB2312" w:hAnsi="方正仿宋_GB2312" w:eastAsia="方正仿宋_GB2312" w:cs="方正仿宋_GB2312"/>
                <w:color w:val="000000"/>
                <w:sz w:val="18"/>
                <w:szCs w:val="18"/>
              </w:rPr>
            </w:pPr>
          </w:p>
        </w:tc>
      </w:tr>
      <w:tr w14:paraId="095A6772">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CE74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19</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BF09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大会议室会议椅</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DC05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701248" behindDoc="0" locked="0" layoutInCell="1" allowOverlap="1">
                  <wp:simplePos x="0" y="0"/>
                  <wp:positionH relativeFrom="column">
                    <wp:posOffset>39370</wp:posOffset>
                  </wp:positionH>
                  <wp:positionV relativeFrom="paragraph">
                    <wp:posOffset>106045</wp:posOffset>
                  </wp:positionV>
                  <wp:extent cx="1075690" cy="1056005"/>
                  <wp:effectExtent l="0" t="0" r="6350" b="10795"/>
                  <wp:wrapNone/>
                  <wp:docPr id="42" name="图片_10"/>
                  <wp:cNvGraphicFramePr/>
                  <a:graphic xmlns:a="http://schemas.openxmlformats.org/drawingml/2006/main">
                    <a:graphicData uri="http://schemas.openxmlformats.org/drawingml/2006/picture">
                      <pic:pic xmlns:pic="http://schemas.openxmlformats.org/drawingml/2006/picture">
                        <pic:nvPicPr>
                          <pic:cNvPr id="42" name="图片_10"/>
                          <pic:cNvPicPr/>
                        </pic:nvPicPr>
                        <pic:blipFill>
                          <a:blip r:embed="rId31" cstate="print"/>
                          <a:stretch>
                            <a:fillRect/>
                          </a:stretch>
                        </pic:blipFill>
                        <pic:spPr>
                          <a:xfrm>
                            <a:off x="0" y="0"/>
                            <a:ext cx="1075690" cy="105600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7F7F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1、基材：采用实木颗粒板，需满足GB/T 35601-2024、GB/T 20285-2006、JC/T 2039-2010 抗菌防霉木质装饰板标准，要求达到（1）甲醛释放限量≤0.05mg/m³；符合国家环保E0级标准。（2）绿色木霉、黄曲霉、黑曲霉、桔青霉的防霉菌等级达到0级；（3）产烟特性等级达到S1级，烟气生成速率指数SMOGRA≤30m²/s²，（4）烟气毒性等级达到准安全一级ZA1。</w:t>
            </w:r>
          </w:p>
          <w:p w14:paraId="07424EC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2、饰面：采用三聚氰胺饰面纸，需满足GB/T 28995-2022《人造板饰面专用纸》、GB/T 456-2002《纸和纸板平滑度的测定（别克法）》标准要求，检测项包括但不限于：外观质量要求无尘埃点、无色差、无破损、无污斑、无异物、无死褶、无毛边、无皱褶、无硬质块、无掉毛、无掉粉、无缺边、无裂口、无孔洞、无卷芯变形，无甲醛释放量，平滑度≥160；</w:t>
            </w:r>
          </w:p>
          <w:p w14:paraId="30683A7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封边：采用优质封边条，需满足QB/T4463-2013《家具用封边条技术要求》，检测项包括但不限于：甲醛释放量≤0.13mg/L；封边条外观、耐干热、耐冷热循环、耐光色牢度、耐磨性、耐老化性、甲醛释放量、邻苯二甲酸酯、氯乙烯单体、可迁移元素（不低于八项）、有害物质多溴联苯、多溴联苯醚均符合QB/T 4463-2013标准要求。</w:t>
            </w:r>
          </w:p>
          <w:p w14:paraId="66C25DA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C33C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常规</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0287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8E6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152</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76305">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14317">
            <w:pPr>
              <w:widowControl/>
              <w:jc w:val="center"/>
              <w:textAlignment w:val="center"/>
              <w:rPr>
                <w:rFonts w:ascii="方正仿宋_GB2312" w:hAnsi="方正仿宋_GB2312" w:eastAsia="方正仿宋_GB2312" w:cs="方正仿宋_GB2312"/>
                <w:color w:val="000000"/>
                <w:sz w:val="18"/>
                <w:szCs w:val="18"/>
              </w:rPr>
            </w:pPr>
          </w:p>
        </w:tc>
      </w:tr>
      <w:tr w14:paraId="7EF1E7E8">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3D4D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20</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0B13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发言台</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D3EB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702272" behindDoc="0" locked="0" layoutInCell="1" allowOverlap="1">
                  <wp:simplePos x="0" y="0"/>
                  <wp:positionH relativeFrom="column">
                    <wp:posOffset>74295</wp:posOffset>
                  </wp:positionH>
                  <wp:positionV relativeFrom="paragraph">
                    <wp:posOffset>-18415</wp:posOffset>
                  </wp:positionV>
                  <wp:extent cx="969645" cy="1421130"/>
                  <wp:effectExtent l="0" t="0" r="5715" b="11430"/>
                  <wp:wrapNone/>
                  <wp:docPr id="43" name="图片_11"/>
                  <wp:cNvGraphicFramePr/>
                  <a:graphic xmlns:a="http://schemas.openxmlformats.org/drawingml/2006/main">
                    <a:graphicData uri="http://schemas.openxmlformats.org/drawingml/2006/picture">
                      <pic:pic xmlns:pic="http://schemas.openxmlformats.org/drawingml/2006/picture">
                        <pic:nvPicPr>
                          <pic:cNvPr id="43" name="图片_11"/>
                          <pic:cNvPicPr/>
                        </pic:nvPicPr>
                        <pic:blipFill>
                          <a:blip r:embed="rId32" cstate="print"/>
                          <a:stretch>
                            <a:fillRect/>
                          </a:stretch>
                        </pic:blipFill>
                        <pic:spPr>
                          <a:xfrm>
                            <a:off x="0" y="0"/>
                            <a:ext cx="969645" cy="142113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E86A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1、基材：采用实木颗粒板，需满足GB/T 35601-2024、GB/T 20285-2006、JC/T 2039-2010 抗菌防霉木质装饰板标准，要求达到（1）甲醛释放限量≤0.05mg/m³；符合国家环保E0级标准。（2）绿色木霉、黄曲霉、黑曲霉、桔青霉的防霉菌等级达到0级；（3）产烟特性等级达到S1级，烟气生成速率指数SMOGRA≤30m²/s²，（4）烟气毒性等级达到准安全一级ZA1。</w:t>
            </w:r>
          </w:p>
          <w:p w14:paraId="2C0CC48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2、饰面：采用三聚氰胺饰面纸，需满足GB/T 28995-2022《人造板饰面专用纸》、GB/T 456-2002《纸和纸板平滑度的测定（别克法）》标准要求，检测项包括但不限于：外观质量要求无尘埃点、无色差、无破损、无污斑、无异物、无死褶、无毛边、无皱褶、无硬质块、无掉毛、无掉粉、无缺边、无裂口、无孔洞、无卷芯变形，无甲醛释放量，平滑度≥160；</w:t>
            </w:r>
          </w:p>
          <w:p w14:paraId="49A2805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封边：采用优质封边条，需满足QB/T4463-2013《家具用封边条技术要求》，检测项包括但不限于：甲醛释放量≤0.13mg/L；封边条外观、耐干热、耐冷热循环、耐光色牢度、耐磨性、耐老化性、甲醛释放量、邻苯二甲酸酯、氯乙烯单体、可迁移元素（不低于八项）、有害物质多溴联苯、多溴联苯醚均符合QB/T 4463-2013标准要求。</w:t>
            </w:r>
          </w:p>
          <w:p w14:paraId="4DF36D6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2F4D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680*520*1160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92D9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个</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F3EC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CF27D">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DF49A">
            <w:pPr>
              <w:widowControl/>
              <w:jc w:val="center"/>
              <w:textAlignment w:val="center"/>
              <w:rPr>
                <w:rFonts w:ascii="方正仿宋_GB2312" w:hAnsi="方正仿宋_GB2312" w:eastAsia="方正仿宋_GB2312" w:cs="方正仿宋_GB2312"/>
                <w:color w:val="000000"/>
                <w:sz w:val="18"/>
                <w:szCs w:val="18"/>
              </w:rPr>
            </w:pPr>
          </w:p>
        </w:tc>
      </w:tr>
      <w:tr w14:paraId="5EA31C57">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0267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21</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5695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大会议室主席桌</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FC11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703296" behindDoc="0" locked="0" layoutInCell="1" allowOverlap="1">
                  <wp:simplePos x="0" y="0"/>
                  <wp:positionH relativeFrom="column">
                    <wp:posOffset>-13335</wp:posOffset>
                  </wp:positionH>
                  <wp:positionV relativeFrom="paragraph">
                    <wp:posOffset>107950</wp:posOffset>
                  </wp:positionV>
                  <wp:extent cx="1183005" cy="1211580"/>
                  <wp:effectExtent l="0" t="0" r="5715" b="7620"/>
                  <wp:wrapNone/>
                  <wp:docPr id="44" name="图片_12"/>
                  <wp:cNvGraphicFramePr/>
                  <a:graphic xmlns:a="http://schemas.openxmlformats.org/drawingml/2006/main">
                    <a:graphicData uri="http://schemas.openxmlformats.org/drawingml/2006/picture">
                      <pic:pic xmlns:pic="http://schemas.openxmlformats.org/drawingml/2006/picture">
                        <pic:nvPicPr>
                          <pic:cNvPr id="44" name="图片_12"/>
                          <pic:cNvPicPr/>
                        </pic:nvPicPr>
                        <pic:blipFill>
                          <a:blip r:embed="rId33" cstate="print"/>
                          <a:stretch>
                            <a:fillRect/>
                          </a:stretch>
                        </pic:blipFill>
                        <pic:spPr>
                          <a:xfrm>
                            <a:off x="0" y="0"/>
                            <a:ext cx="1183005" cy="121158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7188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1、基材：采用实木颗粒板，需满足GB/T 35601-2024、GB/T 20285-2006、JC/T 2039-2010 抗菌防霉木质装饰板标准，要求达到（1）甲醛释放限量≤0.05mg/m³；符合国家环保E0级标准。（2）绿色木霉、黄曲霉、黑曲霉、桔青霉的防霉菌等级达到0级；（3）产烟特性等级达到S1级，烟气生成速率指数SMOGRA≤30m²/s²，（4）烟气毒性等级达到准安全一级ZA1。</w:t>
            </w:r>
          </w:p>
          <w:p w14:paraId="27034689">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2、饰面：采用三聚氰胺饰面纸，需满足GB/T 28995-2022《人造板饰面专用纸》、GB/T 456-2002《纸和纸板平滑度的测定（别克法）》标准要求，检测项包括但不限于：外观质量要求无尘埃点、无色差、无破损、无污斑、无异物、无死褶、无毛边、无皱褶、无硬质块、无掉毛、无掉粉、无缺边、无裂口、无孔洞、无卷芯变形，无甲醛释放量，平滑度≥160；</w:t>
            </w:r>
          </w:p>
          <w:p w14:paraId="3D0569A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封边：采用优质封边条，需满足QB/T4463-2013《家具用封边条技术要求》，检测项包括但不限于：甲醛释放量≤0.13mg/L；封边条外观、耐干热、耐冷热循环、耐光色牢度、耐磨性、耐老化性、甲醛释放量、邻苯二甲酸酯、氯乙烯单体、可迁移元素（不低于八项）、有害物质多溴联苯、多溴联苯醚均符合QB/T 4463-2013标准要求。</w:t>
            </w:r>
          </w:p>
          <w:p w14:paraId="7B4E305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753C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1600*800*750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D990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36E3">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4</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B07BD">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52078">
            <w:pPr>
              <w:widowControl/>
              <w:jc w:val="center"/>
              <w:textAlignment w:val="center"/>
              <w:rPr>
                <w:rFonts w:ascii="方正仿宋_GB2312" w:hAnsi="方正仿宋_GB2312" w:eastAsia="方正仿宋_GB2312" w:cs="方正仿宋_GB2312"/>
                <w:color w:val="000000"/>
                <w:sz w:val="18"/>
                <w:szCs w:val="18"/>
              </w:rPr>
            </w:pPr>
          </w:p>
        </w:tc>
      </w:tr>
      <w:tr w14:paraId="0850C997">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5766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22</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EDAE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大会议室主席椅</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90D5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704320" behindDoc="0" locked="0" layoutInCell="1" allowOverlap="1">
                  <wp:simplePos x="0" y="0"/>
                  <wp:positionH relativeFrom="column">
                    <wp:posOffset>0</wp:posOffset>
                  </wp:positionH>
                  <wp:positionV relativeFrom="paragraph">
                    <wp:posOffset>120650</wp:posOffset>
                  </wp:positionV>
                  <wp:extent cx="1075690" cy="1042670"/>
                  <wp:effectExtent l="0" t="0" r="6350" b="8890"/>
                  <wp:wrapNone/>
                  <wp:docPr id="45" name="图片_21"/>
                  <wp:cNvGraphicFramePr/>
                  <a:graphic xmlns:a="http://schemas.openxmlformats.org/drawingml/2006/main">
                    <a:graphicData uri="http://schemas.openxmlformats.org/drawingml/2006/picture">
                      <pic:pic xmlns:pic="http://schemas.openxmlformats.org/drawingml/2006/picture">
                        <pic:nvPicPr>
                          <pic:cNvPr id="45" name="图片_21"/>
                          <pic:cNvPicPr/>
                        </pic:nvPicPr>
                        <pic:blipFill>
                          <a:blip r:embed="rId34" cstate="print"/>
                          <a:stretch>
                            <a:fillRect/>
                          </a:stretch>
                        </pic:blipFill>
                        <pic:spPr>
                          <a:xfrm>
                            <a:off x="0" y="0"/>
                            <a:ext cx="1075690" cy="1042670"/>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6FA7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1、面料：采用西皮，需满足QB/T 4714-2014 家居用聚氨酯合成革、QB/T 4199-2011 皮革 防霉性能测试方法等标准要求，要求达到：（1）拉伸负荷、断裂伸长率、撕裂负荷、剥离负荷合格；（2） 表面颜色牢度、表面颜色迁移性、耐磨性、耐溶剂性合格；（3）抗霉菌性能：黑曲霉、土曲霉、宛氏拟青霉、绳状青霉、出芽短梗霉、球毛壳霉均达到0级。</w:t>
            </w:r>
          </w:p>
          <w:p w14:paraId="4EF9CBB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2、海绵：需满足GB/T 10802-2023 通用软质聚氨酯泡沫塑料标准要求，检测项包括但不限于：回弹率≥35%，75％压缩永久变形≤8%，65％/25％压陷比合格，拉伸强度≥90kPa，撕裂强度≥1.8N/cm，干热老化后拉伸强度≥55kPa，干热老化拉伸强度变化率≤±30%，湿热老化后拉伸强度≥55kPa，湿热老化拉伸强度变化率≤±30%。</w:t>
            </w:r>
          </w:p>
          <w:p w14:paraId="3FCBC3A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3、框架：采用橡木实木，检测项包括但不限于：木材含水率8～17％，木制件甲醛释放量≤0.2mg/L。</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6963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常规</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3DA5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AA3D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8</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45661">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0327E">
            <w:pPr>
              <w:widowControl/>
              <w:jc w:val="center"/>
              <w:textAlignment w:val="center"/>
              <w:rPr>
                <w:rFonts w:ascii="方正仿宋_GB2312" w:hAnsi="方正仿宋_GB2312" w:eastAsia="方正仿宋_GB2312" w:cs="方正仿宋_GB2312"/>
                <w:color w:val="000000"/>
                <w:sz w:val="18"/>
                <w:szCs w:val="18"/>
              </w:rPr>
            </w:pPr>
          </w:p>
        </w:tc>
      </w:tr>
      <w:tr w14:paraId="29CE9168">
        <w:tblPrEx>
          <w:tblCellMar>
            <w:top w:w="0" w:type="dxa"/>
            <w:left w:w="108" w:type="dxa"/>
            <w:bottom w:w="0" w:type="dxa"/>
            <w:right w:w="108" w:type="dxa"/>
          </w:tblCellMar>
        </w:tblPrEx>
        <w:trPr>
          <w:trHeight w:val="2460" w:hRule="atLeast"/>
        </w:trPr>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B35C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23</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8DA0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会议条桌三人位</w:t>
            </w:r>
          </w:p>
        </w:tc>
        <w:tc>
          <w:tcPr>
            <w:tcW w:w="8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C39E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bdr w:val="single" w:color="000000" w:sz="4" w:space="0"/>
              </w:rPr>
              <w:drawing>
                <wp:anchor distT="0" distB="0" distL="114300" distR="114300" simplePos="0" relativeHeight="251705344" behindDoc="0" locked="0" layoutInCell="1" allowOverlap="1">
                  <wp:simplePos x="0" y="0"/>
                  <wp:positionH relativeFrom="column">
                    <wp:posOffset>15875</wp:posOffset>
                  </wp:positionH>
                  <wp:positionV relativeFrom="paragraph">
                    <wp:posOffset>133350</wp:posOffset>
                  </wp:positionV>
                  <wp:extent cx="1141730" cy="809625"/>
                  <wp:effectExtent l="0" t="0" r="1270" b="13335"/>
                  <wp:wrapNone/>
                  <wp:docPr id="46" name="图片_13"/>
                  <wp:cNvGraphicFramePr/>
                  <a:graphic xmlns:a="http://schemas.openxmlformats.org/drawingml/2006/main">
                    <a:graphicData uri="http://schemas.openxmlformats.org/drawingml/2006/picture">
                      <pic:pic xmlns:pic="http://schemas.openxmlformats.org/drawingml/2006/picture">
                        <pic:nvPicPr>
                          <pic:cNvPr id="46" name="图片_13"/>
                          <pic:cNvPicPr/>
                        </pic:nvPicPr>
                        <pic:blipFill>
                          <a:blip r:embed="rId35" cstate="print"/>
                          <a:stretch>
                            <a:fillRect/>
                          </a:stretch>
                        </pic:blipFill>
                        <pic:spPr>
                          <a:xfrm>
                            <a:off x="0" y="0"/>
                            <a:ext cx="1141730" cy="809625"/>
                          </a:xfrm>
                          <a:prstGeom prst="rect">
                            <a:avLst/>
                          </a:prstGeom>
                          <a:noFill/>
                          <a:ln>
                            <a:noFill/>
                          </a:ln>
                        </pic:spPr>
                      </pic:pic>
                    </a:graphicData>
                  </a:graphic>
                </wp:anchor>
              </w:drawing>
            </w:r>
          </w:p>
        </w:tc>
        <w:tc>
          <w:tcPr>
            <w:tcW w:w="16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D183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1、基材：采用实木颗粒板，需满足GB/T 35601-2024、GB/T 20285-2006、JC/T 2039-2010 抗菌防霉木质装饰板标准，要求达到（1）甲醛释放限量≤0.05mg/m³；符合国家环保E0级标准。（2）绿色木霉、黄曲霉、黑曲霉、桔青霉的防霉菌等级达到0级；（3）产烟特性等级达到S1级，烟气生成速率指数SMOGRA≤30m²/s²，（4）烟气毒性等级达到准安全一级ZA1。</w:t>
            </w:r>
          </w:p>
          <w:p w14:paraId="4F4160A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2、饰面：采用三聚氰胺饰面纸，需满足GB/T 28995-2022《人造板饰面专用纸》、GB/T 456-2002《纸和纸板平滑度的测定（别克法）》标准要求，检测项包括但不限于：外观质量要求无尘埃点、无色差、无破损、无污斑、无异物、无死褶、无毛边、无皱褶、无硬质块、无掉毛、无掉粉、无缺边、无裂口、无孔洞、无卷芯变形，无甲醛释放量，平滑度≥160；</w:t>
            </w:r>
          </w:p>
          <w:p w14:paraId="231500E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3、封边：采用优质封边条，需满足QB/T4463-2013《家具用封边条技术要求》，检测项包括但不限于：甲醛释放量≤0.13mg/L；封边条外观、耐干热、耐冷热循环、耐光色牢度、耐磨性、耐老化性、甲醛释放量、邻苯二甲酸酯、氯乙烯单体、可迁移元素（不低于八项）、有害物质多溴联苯、多溴联苯醚均符合QB/T 4463-2013标准要求。</w:t>
            </w:r>
          </w:p>
          <w:p w14:paraId="7CD5BBE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4、螺丝：需满足QB/T 3826-1999《轻工产品金属镀层和化学处理层的耐腐蚀试验方法.中性盐雾试验(NSS)法》、QB/T 3827-1999《轻工产品金属镀层和化学处理层的耐腐蚀试验方法.乙酸盐雾试验(ASS)法》、QB/T 3832-1999《轻工产品金属镀层腐蚀试验结果的评价》标准要求，检测项包括但不限于：金属件外观要求检验合格，涂层应无漏喷，锈蚀和脱色、掉色现象；涂层应光滑均匀，色泽一致，应无流挂、疙瘩、皱皮、飞漆等缺陷；耐腐蚀等级中性盐雾试验连续喷雾100h≥9级，乙酸盐雾试验连续喷雾200h≥9级。                                                                                                                                            </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C09B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1800*400*760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E10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张</w:t>
            </w:r>
          </w:p>
        </w:tc>
        <w:tc>
          <w:tcPr>
            <w:tcW w:w="3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00C2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kern w:val="0"/>
                <w:sz w:val="18"/>
                <w:szCs w:val="18"/>
              </w:rPr>
              <w:t>8</w:t>
            </w:r>
          </w:p>
        </w:tc>
        <w:tc>
          <w:tcPr>
            <w:tcW w:w="3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5F3E8">
            <w:pPr>
              <w:widowControl/>
              <w:jc w:val="center"/>
              <w:textAlignment w:val="center"/>
              <w:rPr>
                <w:rFonts w:ascii="方正仿宋_GB2312" w:hAnsi="方正仿宋_GB2312" w:eastAsia="方正仿宋_GB2312" w:cs="方正仿宋_GB2312"/>
                <w:color w:val="000000"/>
                <w:sz w:val="18"/>
                <w:szCs w:val="18"/>
              </w:rPr>
            </w:pP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9EE77">
            <w:pPr>
              <w:widowControl/>
              <w:jc w:val="center"/>
              <w:textAlignment w:val="center"/>
              <w:rPr>
                <w:rFonts w:ascii="方正仿宋_GB2312" w:hAnsi="方正仿宋_GB2312" w:eastAsia="方正仿宋_GB2312" w:cs="方正仿宋_GB2312"/>
                <w:color w:val="000000"/>
                <w:sz w:val="18"/>
                <w:szCs w:val="18"/>
              </w:rPr>
            </w:pPr>
          </w:p>
        </w:tc>
      </w:tr>
      <w:tr w14:paraId="26595895">
        <w:tblPrEx>
          <w:tblCellMar>
            <w:top w:w="0" w:type="dxa"/>
            <w:left w:w="108" w:type="dxa"/>
            <w:bottom w:w="0" w:type="dxa"/>
            <w:right w:w="108" w:type="dxa"/>
          </w:tblCellMar>
        </w:tblPrEx>
        <w:trPr>
          <w:trHeight w:val="700" w:hRule="atLeast"/>
        </w:trPr>
        <w:tc>
          <w:tcPr>
            <w:tcW w:w="4558"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D468F">
            <w:pPr>
              <w:widowControl/>
              <w:jc w:val="center"/>
              <w:textAlignment w:val="center"/>
              <w:rPr>
                <w:rFonts w:ascii="方正仿宋_GB2312" w:hAnsi="方正仿宋_GB2312" w:eastAsia="方正仿宋_GB2312" w:cs="方正仿宋_GB2312"/>
                <w:b/>
                <w:bCs/>
                <w:color w:val="000000"/>
                <w:sz w:val="18"/>
                <w:szCs w:val="18"/>
              </w:rPr>
            </w:pPr>
            <w:r>
              <w:rPr>
                <w:rFonts w:hint="eastAsia" w:ascii="方正仿宋_GB2312" w:hAnsi="方正仿宋_GB2312" w:eastAsia="方正仿宋_GB2312" w:cs="方正仿宋_GB2312"/>
                <w:b/>
                <w:bCs/>
                <w:color w:val="000000"/>
                <w:kern w:val="0"/>
                <w:sz w:val="18"/>
                <w:szCs w:val="18"/>
              </w:rPr>
              <w:t>合计（元）</w:t>
            </w:r>
          </w:p>
        </w:tc>
        <w:tc>
          <w:tcPr>
            <w:tcW w:w="4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FFA24">
            <w:pPr>
              <w:widowControl/>
              <w:jc w:val="center"/>
              <w:textAlignment w:val="center"/>
              <w:rPr>
                <w:rFonts w:ascii="方正仿宋_GB2312" w:hAnsi="方正仿宋_GB2312" w:eastAsia="方正仿宋_GB2312" w:cs="方正仿宋_GB2312"/>
                <w:b/>
                <w:bCs/>
                <w:color w:val="000000"/>
                <w:sz w:val="18"/>
                <w:szCs w:val="18"/>
              </w:rPr>
            </w:pPr>
          </w:p>
        </w:tc>
      </w:tr>
      <w:tr w14:paraId="002D6E80">
        <w:tblPrEx>
          <w:tblCellMar>
            <w:top w:w="0" w:type="dxa"/>
            <w:left w:w="108" w:type="dxa"/>
            <w:bottom w:w="0" w:type="dxa"/>
            <w:right w:w="108" w:type="dxa"/>
          </w:tblCellMar>
        </w:tblPrEx>
        <w:trPr>
          <w:trHeight w:val="740" w:hRule="atLeast"/>
        </w:trPr>
        <w:tc>
          <w:tcPr>
            <w:tcW w:w="5000" w:type="pct"/>
            <w:gridSpan w:val="9"/>
            <w:tcBorders>
              <w:top w:val="nil"/>
              <w:left w:val="nil"/>
              <w:bottom w:val="nil"/>
              <w:right w:val="nil"/>
            </w:tcBorders>
            <w:shd w:val="clear" w:color="auto" w:fill="auto"/>
            <w:noWrap/>
            <w:vAlign w:val="center"/>
          </w:tcPr>
          <w:p w14:paraId="6A98B167">
            <w:pPr>
              <w:widowControl/>
              <w:jc w:val="left"/>
              <w:textAlignment w:val="center"/>
              <w:rPr>
                <w:rFonts w:ascii="方正仿宋_GB2312" w:hAnsi="方正仿宋_GB2312" w:eastAsia="方正仿宋_GB2312" w:cs="方正仿宋_GB2312"/>
                <w:color w:val="FF0000"/>
                <w:sz w:val="18"/>
                <w:szCs w:val="18"/>
              </w:rPr>
            </w:pPr>
            <w:r>
              <w:rPr>
                <w:rFonts w:hint="eastAsia" w:ascii="方正仿宋_GB2312" w:hAnsi="方正仿宋_GB2312" w:eastAsia="方正仿宋_GB2312" w:cs="方正仿宋_GB2312"/>
                <w:kern w:val="0"/>
                <w:sz w:val="18"/>
                <w:szCs w:val="18"/>
              </w:rPr>
              <w:t>注：包含产品与材料的供货、包装运输（含装卸费）、搬运、安装（放）、验收并交付正常使用、售后服务、质保、规费、税金、利润及风险等全部费用。</w:t>
            </w:r>
          </w:p>
        </w:tc>
      </w:tr>
    </w:tbl>
    <w:p w14:paraId="11C05BEE">
      <w:pPr>
        <w:spacing w:line="500" w:lineRule="exact"/>
        <w:ind w:firstLine="480" w:firstLineChars="200"/>
        <w:rPr>
          <w:rFonts w:ascii="宋体" w:hAnsi="宋体" w:cs="宋体"/>
          <w:sz w:val="24"/>
          <w:szCs w:val="24"/>
        </w:rPr>
      </w:pPr>
    </w:p>
    <w:p w14:paraId="2CB3431F">
      <w:pPr>
        <w:spacing w:line="500" w:lineRule="exact"/>
        <w:ind w:firstLine="480" w:firstLineChars="200"/>
        <w:rPr>
          <w:rFonts w:ascii="宋体" w:hAnsi="宋体" w:cs="宋体"/>
          <w:sz w:val="24"/>
          <w:szCs w:val="24"/>
        </w:rPr>
      </w:pPr>
    </w:p>
    <w:p w14:paraId="523AB9B0">
      <w:pPr>
        <w:spacing w:line="500" w:lineRule="exact"/>
        <w:ind w:firstLine="480" w:firstLineChars="200"/>
        <w:rPr>
          <w:rFonts w:ascii="宋体" w:hAnsi="宋体" w:cs="宋体"/>
          <w:sz w:val="24"/>
          <w:szCs w:val="24"/>
        </w:rPr>
      </w:pPr>
      <w:r>
        <w:rPr>
          <w:rFonts w:hint="eastAsia" w:ascii="宋体" w:hAnsi="宋体" w:cs="宋体"/>
          <w:sz w:val="24"/>
          <w:szCs w:val="24"/>
        </w:rPr>
        <w:t>注：1.本表可根据项目实际情况调整格式。</w:t>
      </w:r>
    </w:p>
    <w:p w14:paraId="61D7268E">
      <w:pPr>
        <w:spacing w:line="500" w:lineRule="exact"/>
        <w:ind w:firstLine="960" w:firstLineChars="400"/>
        <w:rPr>
          <w:rFonts w:ascii="宋体" w:hAnsi="宋体" w:cs="宋体"/>
          <w:sz w:val="24"/>
          <w:szCs w:val="24"/>
        </w:rPr>
      </w:pPr>
      <w:r>
        <w:rPr>
          <w:rFonts w:hint="eastAsia" w:ascii="宋体" w:hAnsi="宋体" w:cs="宋体"/>
          <w:sz w:val="24"/>
          <w:szCs w:val="24"/>
        </w:rPr>
        <w:t>2.本表可扩展，并逐页签字或盖章。</w:t>
      </w:r>
    </w:p>
    <w:p w14:paraId="4D17890F">
      <w:pPr>
        <w:spacing w:line="500" w:lineRule="exact"/>
        <w:ind w:firstLine="480" w:firstLineChars="200"/>
        <w:rPr>
          <w:rFonts w:ascii="宋体" w:hAnsi="宋体" w:cs="宋体"/>
          <w:sz w:val="24"/>
          <w:szCs w:val="24"/>
        </w:rPr>
      </w:pPr>
    </w:p>
    <w:p w14:paraId="7267EF9C">
      <w:pPr>
        <w:spacing w:line="500" w:lineRule="exact"/>
        <w:ind w:firstLine="480" w:firstLineChars="200"/>
        <w:rPr>
          <w:rFonts w:ascii="宋体" w:hAnsi="宋体" w:cs="宋体"/>
          <w:sz w:val="24"/>
          <w:szCs w:val="24"/>
        </w:rPr>
      </w:pPr>
      <w:r>
        <w:rPr>
          <w:rFonts w:hint="eastAsia" w:ascii="宋体" w:hAnsi="宋体" w:cs="宋体"/>
          <w:sz w:val="24"/>
          <w:szCs w:val="24"/>
        </w:rPr>
        <w:t>供应商             法定代表人（或法定代表人/授权代表）或自然人：</w:t>
      </w:r>
    </w:p>
    <w:p w14:paraId="54B06D2C">
      <w:pPr>
        <w:spacing w:line="500" w:lineRule="exact"/>
        <w:rPr>
          <w:rFonts w:ascii="宋体" w:hAnsi="宋体" w:cs="宋体"/>
          <w:sz w:val="24"/>
          <w:szCs w:val="24"/>
        </w:rPr>
      </w:pPr>
      <w:r>
        <w:rPr>
          <w:rFonts w:hint="eastAsia" w:ascii="宋体" w:hAnsi="宋体" w:cs="宋体"/>
          <w:sz w:val="24"/>
          <w:szCs w:val="24"/>
        </w:rPr>
        <w:t xml:space="preserve">  </w:t>
      </w:r>
    </w:p>
    <w:p w14:paraId="214B7F16">
      <w:pPr>
        <w:spacing w:line="500" w:lineRule="exact"/>
        <w:rPr>
          <w:rFonts w:ascii="宋体" w:hAnsi="宋体" w:cs="宋体"/>
          <w:sz w:val="24"/>
          <w:szCs w:val="24"/>
        </w:rPr>
      </w:pPr>
      <w:r>
        <w:rPr>
          <w:rFonts w:hint="eastAsia" w:ascii="宋体" w:hAnsi="宋体" w:cs="宋体"/>
          <w:sz w:val="24"/>
          <w:szCs w:val="24"/>
        </w:rPr>
        <w:t>（供应商公章）                               （签字或盖章）</w:t>
      </w:r>
    </w:p>
    <w:p w14:paraId="4EB29EFA">
      <w:pPr>
        <w:spacing w:line="500" w:lineRule="exact"/>
        <w:rPr>
          <w:rFonts w:ascii="宋体" w:hAnsi="宋体" w:cs="宋体"/>
          <w:sz w:val="24"/>
          <w:szCs w:val="24"/>
        </w:rPr>
      </w:pPr>
    </w:p>
    <w:p w14:paraId="4D535557">
      <w:pPr>
        <w:spacing w:line="500" w:lineRule="exact"/>
        <w:rPr>
          <w:rFonts w:ascii="宋体" w:hAnsi="宋体" w:cs="宋体"/>
          <w:sz w:val="24"/>
          <w:szCs w:val="24"/>
        </w:rPr>
      </w:pPr>
    </w:p>
    <w:p w14:paraId="601B2E6B">
      <w:pPr>
        <w:spacing w:line="400" w:lineRule="exact"/>
        <w:rPr>
          <w:rFonts w:ascii="宋体" w:hAnsi="宋体" w:cs="宋体"/>
          <w:sz w:val="24"/>
          <w:szCs w:val="24"/>
        </w:rPr>
      </w:pPr>
      <w:r>
        <w:rPr>
          <w:rFonts w:hint="eastAsia" w:ascii="宋体" w:hAnsi="宋体" w:cs="宋体"/>
          <w:sz w:val="24"/>
          <w:szCs w:val="24"/>
        </w:rPr>
        <w:t xml:space="preserve">                                            年     月     日</w:t>
      </w:r>
    </w:p>
    <w:p w14:paraId="1787D073">
      <w:pPr>
        <w:tabs>
          <w:tab w:val="left" w:pos="6300"/>
        </w:tabs>
        <w:snapToGrid w:val="0"/>
        <w:spacing w:line="400" w:lineRule="exact"/>
        <w:ind w:firstLine="480" w:firstLineChars="200"/>
        <w:rPr>
          <w:rFonts w:ascii="方正仿宋_GBK" w:hAnsi="仿宋" w:eastAsia="方正仿宋_GBK"/>
          <w:sz w:val="24"/>
        </w:rPr>
      </w:pPr>
      <w:r>
        <w:rPr>
          <w:rFonts w:ascii="方正仿宋_GBK" w:hAnsi="宋体" w:eastAsia="方正仿宋_GBK"/>
          <w:sz w:val="24"/>
          <w:szCs w:val="24"/>
        </w:rPr>
        <w:br w:type="page"/>
      </w:r>
    </w:p>
    <w:p w14:paraId="65BDE675">
      <w:pPr>
        <w:snapToGrid w:val="0"/>
        <w:spacing w:line="440" w:lineRule="exact"/>
        <w:rPr>
          <w:rFonts w:ascii="方正仿宋_GBK" w:hAnsi="宋体" w:eastAsia="方正仿宋_GBK"/>
          <w:sz w:val="24"/>
        </w:rPr>
      </w:pPr>
      <w:bookmarkStart w:id="142" w:name="_Toc76462351"/>
      <w:bookmarkStart w:id="143" w:name="_Toc313888361"/>
      <w:bookmarkStart w:id="144" w:name="_Toc27854"/>
      <w:bookmarkStart w:id="145" w:name="_Toc342913420"/>
      <w:bookmarkStart w:id="146" w:name="_Toc106030907"/>
      <w:bookmarkStart w:id="147" w:name="_Toc313008357"/>
      <w:r>
        <w:rPr>
          <w:rFonts w:hint="eastAsia" w:ascii="方正仿宋_GBK" w:hAnsi="宋体" w:eastAsia="方正仿宋_GBK"/>
          <w:sz w:val="24"/>
        </w:rPr>
        <w:t>二、技术部分</w:t>
      </w:r>
      <w:bookmarkEnd w:id="142"/>
      <w:bookmarkEnd w:id="143"/>
      <w:bookmarkEnd w:id="144"/>
      <w:bookmarkEnd w:id="145"/>
      <w:bookmarkEnd w:id="146"/>
      <w:bookmarkEnd w:id="147"/>
    </w:p>
    <w:p w14:paraId="3D507A7E">
      <w:pPr>
        <w:tabs>
          <w:tab w:val="left" w:pos="6300"/>
        </w:tabs>
        <w:snapToGrid w:val="0"/>
        <w:spacing w:line="400" w:lineRule="exact"/>
        <w:ind w:firstLine="480" w:firstLineChars="200"/>
        <w:outlineLvl w:val="2"/>
        <w:rPr>
          <w:rFonts w:ascii="方正仿宋_GBK" w:hAnsi="宋体" w:eastAsia="方正仿宋_GBK"/>
          <w:sz w:val="24"/>
          <w:szCs w:val="24"/>
        </w:rPr>
      </w:pPr>
      <w:r>
        <w:rPr>
          <w:rFonts w:hint="eastAsia" w:ascii="方正仿宋_GBK" w:hAnsi="宋体" w:eastAsia="方正仿宋_GBK"/>
          <w:sz w:val="24"/>
          <w:szCs w:val="24"/>
        </w:rPr>
        <w:t>（一）技术响应偏离表</w:t>
      </w:r>
    </w:p>
    <w:p w14:paraId="724AE221">
      <w:pPr>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磋商项目名称：</w:t>
      </w:r>
    </w:p>
    <w:tbl>
      <w:tblPr>
        <w:tblStyle w:val="58"/>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967"/>
        <w:gridCol w:w="3081"/>
        <w:gridCol w:w="2309"/>
      </w:tblGrid>
      <w:tr w14:paraId="4FB4B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71" w:type="dxa"/>
            <w:vAlign w:val="center"/>
          </w:tcPr>
          <w:p w14:paraId="15214633">
            <w:pPr>
              <w:tabs>
                <w:tab w:val="left" w:pos="6300"/>
              </w:tabs>
              <w:snapToGrid w:val="0"/>
              <w:spacing w:line="500" w:lineRule="exact"/>
              <w:jc w:val="center"/>
              <w:outlineLvl w:val="0"/>
              <w:rPr>
                <w:rFonts w:ascii="方正仿宋_GBK" w:hAnsi="宋体" w:eastAsia="方正仿宋_GBK"/>
                <w:sz w:val="21"/>
                <w:szCs w:val="21"/>
              </w:rPr>
            </w:pPr>
            <w:r>
              <w:rPr>
                <w:rFonts w:hint="eastAsia" w:ascii="方正仿宋_GBK" w:hAnsi="宋体" w:eastAsia="方正仿宋_GBK"/>
                <w:sz w:val="21"/>
                <w:szCs w:val="21"/>
              </w:rPr>
              <w:t>序号</w:t>
            </w:r>
          </w:p>
        </w:tc>
        <w:tc>
          <w:tcPr>
            <w:tcW w:w="2967" w:type="dxa"/>
            <w:vAlign w:val="center"/>
          </w:tcPr>
          <w:p w14:paraId="7BEFE9C2">
            <w:pPr>
              <w:tabs>
                <w:tab w:val="left" w:pos="6300"/>
              </w:tabs>
              <w:snapToGrid w:val="0"/>
              <w:spacing w:line="500" w:lineRule="exact"/>
              <w:jc w:val="center"/>
              <w:outlineLvl w:val="0"/>
              <w:rPr>
                <w:rFonts w:ascii="方正仿宋_GBK" w:hAnsi="宋体" w:eastAsia="方正仿宋_GBK"/>
                <w:sz w:val="21"/>
                <w:szCs w:val="21"/>
              </w:rPr>
            </w:pPr>
            <w:r>
              <w:rPr>
                <w:rFonts w:hint="eastAsia" w:ascii="方正仿宋_GBK" w:hAnsi="宋体" w:eastAsia="方正仿宋_GBK"/>
                <w:sz w:val="21"/>
                <w:szCs w:val="21"/>
              </w:rPr>
              <w:t>采购需求</w:t>
            </w:r>
          </w:p>
        </w:tc>
        <w:tc>
          <w:tcPr>
            <w:tcW w:w="3081" w:type="dxa"/>
            <w:vAlign w:val="center"/>
          </w:tcPr>
          <w:p w14:paraId="7924E12B">
            <w:pPr>
              <w:tabs>
                <w:tab w:val="left" w:pos="6300"/>
              </w:tabs>
              <w:snapToGrid w:val="0"/>
              <w:spacing w:line="500" w:lineRule="exact"/>
              <w:jc w:val="center"/>
              <w:outlineLvl w:val="0"/>
              <w:rPr>
                <w:rFonts w:ascii="方正仿宋_GBK" w:hAnsi="宋体" w:eastAsia="方正仿宋_GBK"/>
                <w:sz w:val="21"/>
                <w:szCs w:val="21"/>
              </w:rPr>
            </w:pPr>
            <w:r>
              <w:rPr>
                <w:rFonts w:hint="eastAsia" w:ascii="方正仿宋_GBK" w:hAnsi="宋体" w:eastAsia="方正仿宋_GBK"/>
                <w:sz w:val="21"/>
                <w:szCs w:val="21"/>
              </w:rPr>
              <w:t>响应情况</w:t>
            </w:r>
          </w:p>
        </w:tc>
        <w:tc>
          <w:tcPr>
            <w:tcW w:w="2309" w:type="dxa"/>
            <w:vAlign w:val="center"/>
          </w:tcPr>
          <w:p w14:paraId="239026C8">
            <w:pPr>
              <w:tabs>
                <w:tab w:val="left" w:pos="6300"/>
              </w:tabs>
              <w:snapToGrid w:val="0"/>
              <w:spacing w:line="500" w:lineRule="exact"/>
              <w:jc w:val="center"/>
              <w:outlineLvl w:val="0"/>
              <w:rPr>
                <w:rFonts w:ascii="方正仿宋_GBK" w:hAnsi="宋体" w:eastAsia="方正仿宋_GBK"/>
                <w:sz w:val="21"/>
                <w:szCs w:val="21"/>
              </w:rPr>
            </w:pPr>
            <w:r>
              <w:rPr>
                <w:rFonts w:hint="eastAsia" w:ascii="方正仿宋_GBK" w:hAnsi="宋体" w:eastAsia="方正仿宋_GBK"/>
                <w:sz w:val="21"/>
                <w:szCs w:val="21"/>
              </w:rPr>
              <w:t>差异说明</w:t>
            </w:r>
          </w:p>
        </w:tc>
      </w:tr>
      <w:tr w14:paraId="5CC1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6E30ED3C">
            <w:pPr>
              <w:tabs>
                <w:tab w:val="left" w:pos="6300"/>
              </w:tabs>
              <w:snapToGrid w:val="0"/>
              <w:spacing w:line="500" w:lineRule="exact"/>
              <w:jc w:val="center"/>
              <w:outlineLvl w:val="0"/>
              <w:rPr>
                <w:rFonts w:ascii="方正仿宋_GBK" w:hAnsi="宋体" w:eastAsia="方正仿宋_GBK"/>
                <w:sz w:val="21"/>
                <w:szCs w:val="21"/>
              </w:rPr>
            </w:pPr>
          </w:p>
        </w:tc>
        <w:tc>
          <w:tcPr>
            <w:tcW w:w="2967" w:type="dxa"/>
            <w:vAlign w:val="center"/>
          </w:tcPr>
          <w:p w14:paraId="1D5D7DE1">
            <w:pPr>
              <w:tabs>
                <w:tab w:val="left" w:pos="6300"/>
              </w:tabs>
              <w:snapToGrid w:val="0"/>
              <w:spacing w:line="500" w:lineRule="exact"/>
              <w:jc w:val="center"/>
              <w:outlineLvl w:val="0"/>
              <w:rPr>
                <w:rFonts w:ascii="方正仿宋_GBK" w:hAnsi="宋体" w:eastAsia="方正仿宋_GBK"/>
                <w:sz w:val="21"/>
                <w:szCs w:val="21"/>
              </w:rPr>
            </w:pPr>
          </w:p>
        </w:tc>
        <w:tc>
          <w:tcPr>
            <w:tcW w:w="3081" w:type="dxa"/>
            <w:vAlign w:val="center"/>
          </w:tcPr>
          <w:p w14:paraId="0CC11935">
            <w:pPr>
              <w:tabs>
                <w:tab w:val="left" w:pos="6300"/>
              </w:tabs>
              <w:snapToGrid w:val="0"/>
              <w:spacing w:line="500" w:lineRule="exact"/>
              <w:outlineLvl w:val="0"/>
              <w:rPr>
                <w:rFonts w:ascii="方正仿宋_GBK" w:hAnsi="宋体" w:eastAsia="方正仿宋_GBK"/>
                <w:sz w:val="21"/>
                <w:szCs w:val="21"/>
              </w:rPr>
            </w:pPr>
            <w:r>
              <w:rPr>
                <w:rFonts w:ascii="方正仿宋_GBK" w:hAnsi="仿宋" w:eastAsia="方正仿宋_GBK"/>
                <w:sz w:val="21"/>
                <w:szCs w:val="21"/>
              </w:rPr>
              <w:t>提醒</w:t>
            </w:r>
            <w:r>
              <w:rPr>
                <w:rFonts w:hint="eastAsia" w:ascii="方正仿宋_GBK" w:hAnsi="仿宋" w:eastAsia="方正仿宋_GBK"/>
                <w:sz w:val="21"/>
                <w:szCs w:val="21"/>
              </w:rPr>
              <w:t>：</w:t>
            </w:r>
            <w:r>
              <w:rPr>
                <w:rFonts w:ascii="方正仿宋_GBK" w:hAnsi="仿宋" w:eastAsia="方正仿宋_GBK"/>
                <w:sz w:val="21"/>
                <w:szCs w:val="21"/>
              </w:rPr>
              <w:t>请注明</w:t>
            </w:r>
            <w:r>
              <w:rPr>
                <w:rFonts w:hint="eastAsia" w:ascii="方正仿宋_GBK" w:hAnsi="仿宋" w:eastAsia="方正仿宋_GBK"/>
                <w:sz w:val="21"/>
                <w:szCs w:val="21"/>
              </w:rPr>
              <w:t>技术参数</w:t>
            </w:r>
            <w:r>
              <w:rPr>
                <w:rFonts w:ascii="方正仿宋_GBK" w:hAnsi="仿宋" w:eastAsia="方正仿宋_GBK"/>
                <w:sz w:val="21"/>
                <w:szCs w:val="21"/>
              </w:rPr>
              <w:t>或具体内容以及</w:t>
            </w:r>
            <w:r>
              <w:rPr>
                <w:rFonts w:hint="eastAsia" w:ascii="方正仿宋_GBK" w:hAnsi="仿宋" w:eastAsia="方正仿宋_GBK"/>
                <w:sz w:val="21"/>
                <w:szCs w:val="21"/>
              </w:rPr>
              <w:t>响应文件</w:t>
            </w:r>
            <w:r>
              <w:rPr>
                <w:rFonts w:ascii="方正仿宋_GBK" w:hAnsi="仿宋" w:eastAsia="方正仿宋_GBK"/>
                <w:sz w:val="21"/>
                <w:szCs w:val="21"/>
              </w:rPr>
              <w:t>中</w:t>
            </w:r>
            <w:r>
              <w:rPr>
                <w:rFonts w:hint="eastAsia" w:ascii="方正仿宋_GBK" w:hAnsi="仿宋" w:eastAsia="方正仿宋_GBK"/>
                <w:sz w:val="21"/>
                <w:szCs w:val="21"/>
              </w:rPr>
              <w:t>技术参数</w:t>
            </w:r>
            <w:r>
              <w:rPr>
                <w:rFonts w:ascii="方正仿宋_GBK" w:hAnsi="仿宋" w:eastAsia="方正仿宋_GBK"/>
                <w:sz w:val="21"/>
                <w:szCs w:val="21"/>
              </w:rPr>
              <w:t>或</w:t>
            </w:r>
            <w:r>
              <w:rPr>
                <w:rFonts w:hint="eastAsia" w:ascii="方正仿宋_GBK" w:hAnsi="仿宋" w:eastAsia="方正仿宋_GBK"/>
                <w:sz w:val="21"/>
                <w:szCs w:val="21"/>
              </w:rPr>
              <w:t>具体</w:t>
            </w:r>
            <w:r>
              <w:rPr>
                <w:rFonts w:ascii="方正仿宋_GBK" w:hAnsi="仿宋" w:eastAsia="方正仿宋_GBK"/>
                <w:sz w:val="21"/>
                <w:szCs w:val="21"/>
              </w:rPr>
              <w:t>内容</w:t>
            </w:r>
            <w:r>
              <w:rPr>
                <w:rFonts w:hint="eastAsia" w:ascii="方正仿宋_GBK" w:hAnsi="仿宋" w:eastAsia="方正仿宋_GBK"/>
                <w:sz w:val="21"/>
                <w:szCs w:val="21"/>
              </w:rPr>
              <w:t>的</w:t>
            </w:r>
            <w:r>
              <w:rPr>
                <w:rFonts w:ascii="方正仿宋_GBK" w:hAnsi="仿宋" w:eastAsia="方正仿宋_GBK"/>
                <w:sz w:val="21"/>
                <w:szCs w:val="21"/>
              </w:rPr>
              <w:t>位置（</w:t>
            </w:r>
            <w:r>
              <w:rPr>
                <w:rFonts w:hint="eastAsia" w:ascii="方正仿宋_GBK" w:hAnsi="仿宋" w:eastAsia="方正仿宋_GBK"/>
                <w:sz w:val="21"/>
                <w:szCs w:val="21"/>
              </w:rPr>
              <w:t>页码</w:t>
            </w:r>
            <w:r>
              <w:rPr>
                <w:rFonts w:ascii="方正仿宋_GBK" w:hAnsi="仿宋" w:eastAsia="方正仿宋_GBK"/>
                <w:sz w:val="21"/>
                <w:szCs w:val="21"/>
              </w:rPr>
              <w:t>）</w:t>
            </w:r>
          </w:p>
        </w:tc>
        <w:tc>
          <w:tcPr>
            <w:tcW w:w="2309" w:type="dxa"/>
            <w:vAlign w:val="center"/>
          </w:tcPr>
          <w:p w14:paraId="21F58B63">
            <w:pPr>
              <w:tabs>
                <w:tab w:val="left" w:pos="6300"/>
              </w:tabs>
              <w:snapToGrid w:val="0"/>
              <w:spacing w:line="500" w:lineRule="exact"/>
              <w:jc w:val="center"/>
              <w:outlineLvl w:val="0"/>
              <w:rPr>
                <w:rFonts w:ascii="方正仿宋_GBK" w:hAnsi="宋体" w:eastAsia="方正仿宋_GBK"/>
                <w:sz w:val="21"/>
                <w:szCs w:val="21"/>
              </w:rPr>
            </w:pPr>
          </w:p>
        </w:tc>
      </w:tr>
      <w:tr w14:paraId="4685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5C4D3EE8">
            <w:pPr>
              <w:tabs>
                <w:tab w:val="left" w:pos="6300"/>
              </w:tabs>
              <w:snapToGrid w:val="0"/>
              <w:spacing w:line="500" w:lineRule="exact"/>
              <w:jc w:val="center"/>
              <w:outlineLvl w:val="0"/>
              <w:rPr>
                <w:rFonts w:ascii="方正仿宋_GBK" w:hAnsi="宋体" w:eastAsia="方正仿宋_GBK"/>
                <w:sz w:val="21"/>
                <w:szCs w:val="21"/>
              </w:rPr>
            </w:pPr>
          </w:p>
        </w:tc>
        <w:tc>
          <w:tcPr>
            <w:tcW w:w="2967" w:type="dxa"/>
            <w:vAlign w:val="center"/>
          </w:tcPr>
          <w:p w14:paraId="228E1976">
            <w:pPr>
              <w:tabs>
                <w:tab w:val="left" w:pos="6300"/>
              </w:tabs>
              <w:snapToGrid w:val="0"/>
              <w:spacing w:line="500" w:lineRule="exact"/>
              <w:jc w:val="center"/>
              <w:outlineLvl w:val="0"/>
              <w:rPr>
                <w:rFonts w:ascii="方正仿宋_GBK" w:hAnsi="宋体" w:eastAsia="方正仿宋_GBK"/>
                <w:sz w:val="21"/>
                <w:szCs w:val="21"/>
              </w:rPr>
            </w:pPr>
          </w:p>
        </w:tc>
        <w:tc>
          <w:tcPr>
            <w:tcW w:w="3081" w:type="dxa"/>
            <w:vAlign w:val="center"/>
          </w:tcPr>
          <w:p w14:paraId="00E774DE">
            <w:pPr>
              <w:tabs>
                <w:tab w:val="left" w:pos="6300"/>
              </w:tabs>
              <w:snapToGrid w:val="0"/>
              <w:spacing w:line="500" w:lineRule="exact"/>
              <w:jc w:val="center"/>
              <w:outlineLvl w:val="0"/>
              <w:rPr>
                <w:rFonts w:ascii="方正仿宋_GBK" w:hAnsi="宋体" w:eastAsia="方正仿宋_GBK"/>
                <w:sz w:val="21"/>
                <w:szCs w:val="21"/>
              </w:rPr>
            </w:pPr>
          </w:p>
        </w:tc>
        <w:tc>
          <w:tcPr>
            <w:tcW w:w="2309" w:type="dxa"/>
            <w:vAlign w:val="center"/>
          </w:tcPr>
          <w:p w14:paraId="26347A50">
            <w:pPr>
              <w:tabs>
                <w:tab w:val="left" w:pos="6300"/>
              </w:tabs>
              <w:snapToGrid w:val="0"/>
              <w:spacing w:line="500" w:lineRule="exact"/>
              <w:jc w:val="center"/>
              <w:outlineLvl w:val="0"/>
              <w:rPr>
                <w:rFonts w:ascii="方正仿宋_GBK" w:hAnsi="宋体" w:eastAsia="方正仿宋_GBK"/>
                <w:sz w:val="21"/>
                <w:szCs w:val="21"/>
              </w:rPr>
            </w:pPr>
          </w:p>
        </w:tc>
      </w:tr>
      <w:tr w14:paraId="1CD4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68BE5CBA">
            <w:pPr>
              <w:tabs>
                <w:tab w:val="left" w:pos="6300"/>
              </w:tabs>
              <w:snapToGrid w:val="0"/>
              <w:spacing w:line="500" w:lineRule="exact"/>
              <w:jc w:val="center"/>
              <w:outlineLvl w:val="0"/>
              <w:rPr>
                <w:rFonts w:ascii="方正仿宋_GBK" w:hAnsi="宋体" w:eastAsia="方正仿宋_GBK"/>
                <w:sz w:val="21"/>
                <w:szCs w:val="21"/>
              </w:rPr>
            </w:pPr>
          </w:p>
        </w:tc>
        <w:tc>
          <w:tcPr>
            <w:tcW w:w="2967" w:type="dxa"/>
            <w:vAlign w:val="center"/>
          </w:tcPr>
          <w:p w14:paraId="02AF22F0">
            <w:pPr>
              <w:tabs>
                <w:tab w:val="left" w:pos="6300"/>
              </w:tabs>
              <w:snapToGrid w:val="0"/>
              <w:spacing w:line="500" w:lineRule="exact"/>
              <w:jc w:val="center"/>
              <w:outlineLvl w:val="0"/>
              <w:rPr>
                <w:rFonts w:ascii="方正仿宋_GBK" w:hAnsi="宋体" w:eastAsia="方正仿宋_GBK"/>
                <w:sz w:val="21"/>
                <w:szCs w:val="21"/>
              </w:rPr>
            </w:pPr>
          </w:p>
        </w:tc>
        <w:tc>
          <w:tcPr>
            <w:tcW w:w="3081" w:type="dxa"/>
            <w:vAlign w:val="center"/>
          </w:tcPr>
          <w:p w14:paraId="40134D6C">
            <w:pPr>
              <w:tabs>
                <w:tab w:val="left" w:pos="6300"/>
              </w:tabs>
              <w:snapToGrid w:val="0"/>
              <w:spacing w:line="500" w:lineRule="exact"/>
              <w:jc w:val="center"/>
              <w:outlineLvl w:val="0"/>
              <w:rPr>
                <w:rFonts w:ascii="方正仿宋_GBK" w:hAnsi="宋体" w:eastAsia="方正仿宋_GBK"/>
                <w:sz w:val="21"/>
                <w:szCs w:val="21"/>
              </w:rPr>
            </w:pPr>
          </w:p>
        </w:tc>
        <w:tc>
          <w:tcPr>
            <w:tcW w:w="2309" w:type="dxa"/>
            <w:vAlign w:val="center"/>
          </w:tcPr>
          <w:p w14:paraId="28F9AB1A">
            <w:pPr>
              <w:tabs>
                <w:tab w:val="left" w:pos="6300"/>
              </w:tabs>
              <w:snapToGrid w:val="0"/>
              <w:spacing w:line="500" w:lineRule="exact"/>
              <w:jc w:val="center"/>
              <w:outlineLvl w:val="0"/>
              <w:rPr>
                <w:rFonts w:ascii="方正仿宋_GBK" w:hAnsi="宋体" w:eastAsia="方正仿宋_GBK"/>
                <w:sz w:val="21"/>
                <w:szCs w:val="21"/>
              </w:rPr>
            </w:pPr>
          </w:p>
        </w:tc>
      </w:tr>
      <w:tr w14:paraId="63DC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72408A1D">
            <w:pPr>
              <w:tabs>
                <w:tab w:val="left" w:pos="6300"/>
              </w:tabs>
              <w:snapToGrid w:val="0"/>
              <w:spacing w:line="500" w:lineRule="exact"/>
              <w:jc w:val="center"/>
              <w:outlineLvl w:val="0"/>
              <w:rPr>
                <w:rFonts w:ascii="方正仿宋_GBK" w:hAnsi="宋体" w:eastAsia="方正仿宋_GBK"/>
                <w:sz w:val="21"/>
                <w:szCs w:val="21"/>
              </w:rPr>
            </w:pPr>
          </w:p>
        </w:tc>
        <w:tc>
          <w:tcPr>
            <w:tcW w:w="2967" w:type="dxa"/>
            <w:vAlign w:val="center"/>
          </w:tcPr>
          <w:p w14:paraId="4027B273">
            <w:pPr>
              <w:tabs>
                <w:tab w:val="left" w:pos="6300"/>
              </w:tabs>
              <w:snapToGrid w:val="0"/>
              <w:spacing w:line="500" w:lineRule="exact"/>
              <w:jc w:val="center"/>
              <w:outlineLvl w:val="0"/>
              <w:rPr>
                <w:rFonts w:ascii="方正仿宋_GBK" w:hAnsi="宋体" w:eastAsia="方正仿宋_GBK"/>
                <w:sz w:val="21"/>
                <w:szCs w:val="21"/>
              </w:rPr>
            </w:pPr>
          </w:p>
        </w:tc>
        <w:tc>
          <w:tcPr>
            <w:tcW w:w="3081" w:type="dxa"/>
            <w:vAlign w:val="center"/>
          </w:tcPr>
          <w:p w14:paraId="005DDA1E">
            <w:pPr>
              <w:tabs>
                <w:tab w:val="left" w:pos="6300"/>
              </w:tabs>
              <w:snapToGrid w:val="0"/>
              <w:spacing w:line="500" w:lineRule="exact"/>
              <w:jc w:val="center"/>
              <w:outlineLvl w:val="0"/>
              <w:rPr>
                <w:rFonts w:ascii="方正仿宋_GBK" w:hAnsi="宋体" w:eastAsia="方正仿宋_GBK"/>
                <w:sz w:val="21"/>
                <w:szCs w:val="21"/>
              </w:rPr>
            </w:pPr>
          </w:p>
        </w:tc>
        <w:tc>
          <w:tcPr>
            <w:tcW w:w="2309" w:type="dxa"/>
            <w:vAlign w:val="center"/>
          </w:tcPr>
          <w:p w14:paraId="62B50178">
            <w:pPr>
              <w:tabs>
                <w:tab w:val="left" w:pos="6300"/>
              </w:tabs>
              <w:snapToGrid w:val="0"/>
              <w:spacing w:line="500" w:lineRule="exact"/>
              <w:jc w:val="center"/>
              <w:outlineLvl w:val="0"/>
              <w:rPr>
                <w:rFonts w:ascii="方正仿宋_GBK" w:hAnsi="宋体" w:eastAsia="方正仿宋_GBK"/>
                <w:sz w:val="21"/>
                <w:szCs w:val="21"/>
              </w:rPr>
            </w:pPr>
          </w:p>
        </w:tc>
      </w:tr>
      <w:tr w14:paraId="5EB3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10223D39">
            <w:pPr>
              <w:tabs>
                <w:tab w:val="left" w:pos="6300"/>
              </w:tabs>
              <w:snapToGrid w:val="0"/>
              <w:spacing w:line="500" w:lineRule="exact"/>
              <w:jc w:val="center"/>
              <w:outlineLvl w:val="0"/>
              <w:rPr>
                <w:rFonts w:ascii="方正仿宋_GBK" w:hAnsi="宋体" w:eastAsia="方正仿宋_GBK"/>
                <w:sz w:val="21"/>
                <w:szCs w:val="21"/>
              </w:rPr>
            </w:pPr>
          </w:p>
        </w:tc>
        <w:tc>
          <w:tcPr>
            <w:tcW w:w="2967" w:type="dxa"/>
            <w:vAlign w:val="center"/>
          </w:tcPr>
          <w:p w14:paraId="70CF07E2">
            <w:pPr>
              <w:tabs>
                <w:tab w:val="left" w:pos="6300"/>
              </w:tabs>
              <w:snapToGrid w:val="0"/>
              <w:spacing w:line="500" w:lineRule="exact"/>
              <w:jc w:val="center"/>
              <w:outlineLvl w:val="0"/>
              <w:rPr>
                <w:rFonts w:ascii="方正仿宋_GBK" w:hAnsi="宋体" w:eastAsia="方正仿宋_GBK"/>
                <w:sz w:val="21"/>
                <w:szCs w:val="21"/>
              </w:rPr>
            </w:pPr>
          </w:p>
        </w:tc>
        <w:tc>
          <w:tcPr>
            <w:tcW w:w="3081" w:type="dxa"/>
            <w:vAlign w:val="center"/>
          </w:tcPr>
          <w:p w14:paraId="328CBE19">
            <w:pPr>
              <w:tabs>
                <w:tab w:val="left" w:pos="6300"/>
              </w:tabs>
              <w:snapToGrid w:val="0"/>
              <w:spacing w:line="500" w:lineRule="exact"/>
              <w:jc w:val="center"/>
              <w:outlineLvl w:val="0"/>
              <w:rPr>
                <w:rFonts w:ascii="方正仿宋_GBK" w:hAnsi="宋体" w:eastAsia="方正仿宋_GBK"/>
                <w:sz w:val="21"/>
                <w:szCs w:val="21"/>
              </w:rPr>
            </w:pPr>
          </w:p>
        </w:tc>
        <w:tc>
          <w:tcPr>
            <w:tcW w:w="2309" w:type="dxa"/>
            <w:vAlign w:val="center"/>
          </w:tcPr>
          <w:p w14:paraId="17FBA881">
            <w:pPr>
              <w:tabs>
                <w:tab w:val="left" w:pos="6300"/>
              </w:tabs>
              <w:snapToGrid w:val="0"/>
              <w:spacing w:line="500" w:lineRule="exact"/>
              <w:jc w:val="center"/>
              <w:outlineLvl w:val="0"/>
              <w:rPr>
                <w:rFonts w:ascii="方正仿宋_GBK" w:hAnsi="宋体" w:eastAsia="方正仿宋_GBK"/>
                <w:sz w:val="21"/>
                <w:szCs w:val="21"/>
              </w:rPr>
            </w:pPr>
          </w:p>
        </w:tc>
      </w:tr>
      <w:tr w14:paraId="2B14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60B4A4E9">
            <w:pPr>
              <w:tabs>
                <w:tab w:val="left" w:pos="6300"/>
              </w:tabs>
              <w:snapToGrid w:val="0"/>
              <w:spacing w:line="500" w:lineRule="exact"/>
              <w:jc w:val="center"/>
              <w:outlineLvl w:val="0"/>
              <w:rPr>
                <w:rFonts w:ascii="方正仿宋_GBK" w:hAnsi="宋体" w:eastAsia="方正仿宋_GBK"/>
                <w:sz w:val="21"/>
                <w:szCs w:val="21"/>
              </w:rPr>
            </w:pPr>
          </w:p>
        </w:tc>
        <w:tc>
          <w:tcPr>
            <w:tcW w:w="2967" w:type="dxa"/>
            <w:vAlign w:val="center"/>
          </w:tcPr>
          <w:p w14:paraId="5FBBFDBF">
            <w:pPr>
              <w:tabs>
                <w:tab w:val="left" w:pos="6300"/>
              </w:tabs>
              <w:snapToGrid w:val="0"/>
              <w:spacing w:line="500" w:lineRule="exact"/>
              <w:jc w:val="center"/>
              <w:outlineLvl w:val="0"/>
              <w:rPr>
                <w:rFonts w:ascii="方正仿宋_GBK" w:hAnsi="宋体" w:eastAsia="方正仿宋_GBK"/>
                <w:sz w:val="21"/>
                <w:szCs w:val="21"/>
              </w:rPr>
            </w:pPr>
          </w:p>
        </w:tc>
        <w:tc>
          <w:tcPr>
            <w:tcW w:w="3081" w:type="dxa"/>
            <w:vAlign w:val="center"/>
          </w:tcPr>
          <w:p w14:paraId="746929B5">
            <w:pPr>
              <w:tabs>
                <w:tab w:val="left" w:pos="6300"/>
              </w:tabs>
              <w:snapToGrid w:val="0"/>
              <w:spacing w:line="500" w:lineRule="exact"/>
              <w:jc w:val="center"/>
              <w:outlineLvl w:val="0"/>
              <w:rPr>
                <w:rFonts w:ascii="方正仿宋_GBK" w:hAnsi="宋体" w:eastAsia="方正仿宋_GBK"/>
                <w:sz w:val="21"/>
                <w:szCs w:val="21"/>
              </w:rPr>
            </w:pPr>
          </w:p>
        </w:tc>
        <w:tc>
          <w:tcPr>
            <w:tcW w:w="2309" w:type="dxa"/>
            <w:vAlign w:val="center"/>
          </w:tcPr>
          <w:p w14:paraId="2D0337FE">
            <w:pPr>
              <w:tabs>
                <w:tab w:val="left" w:pos="6300"/>
              </w:tabs>
              <w:snapToGrid w:val="0"/>
              <w:spacing w:line="500" w:lineRule="exact"/>
              <w:jc w:val="center"/>
              <w:outlineLvl w:val="0"/>
              <w:rPr>
                <w:rFonts w:ascii="方正仿宋_GBK" w:hAnsi="宋体" w:eastAsia="方正仿宋_GBK"/>
                <w:sz w:val="21"/>
                <w:szCs w:val="21"/>
              </w:rPr>
            </w:pPr>
          </w:p>
        </w:tc>
      </w:tr>
      <w:tr w14:paraId="0E63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13C10462">
            <w:pPr>
              <w:tabs>
                <w:tab w:val="left" w:pos="6300"/>
              </w:tabs>
              <w:snapToGrid w:val="0"/>
              <w:spacing w:line="500" w:lineRule="exact"/>
              <w:jc w:val="center"/>
              <w:outlineLvl w:val="0"/>
              <w:rPr>
                <w:rFonts w:ascii="方正仿宋_GBK" w:hAnsi="宋体" w:eastAsia="方正仿宋_GBK"/>
                <w:sz w:val="21"/>
                <w:szCs w:val="21"/>
              </w:rPr>
            </w:pPr>
          </w:p>
        </w:tc>
        <w:tc>
          <w:tcPr>
            <w:tcW w:w="2967" w:type="dxa"/>
            <w:vAlign w:val="center"/>
          </w:tcPr>
          <w:p w14:paraId="0A56FDF5">
            <w:pPr>
              <w:tabs>
                <w:tab w:val="left" w:pos="6300"/>
              </w:tabs>
              <w:snapToGrid w:val="0"/>
              <w:spacing w:line="500" w:lineRule="exact"/>
              <w:jc w:val="center"/>
              <w:outlineLvl w:val="0"/>
              <w:rPr>
                <w:rFonts w:ascii="方正仿宋_GBK" w:hAnsi="宋体" w:eastAsia="方正仿宋_GBK"/>
                <w:sz w:val="21"/>
                <w:szCs w:val="21"/>
              </w:rPr>
            </w:pPr>
          </w:p>
        </w:tc>
        <w:tc>
          <w:tcPr>
            <w:tcW w:w="3081" w:type="dxa"/>
            <w:vAlign w:val="center"/>
          </w:tcPr>
          <w:p w14:paraId="1FAC249D">
            <w:pPr>
              <w:tabs>
                <w:tab w:val="left" w:pos="6300"/>
              </w:tabs>
              <w:snapToGrid w:val="0"/>
              <w:spacing w:line="500" w:lineRule="exact"/>
              <w:jc w:val="center"/>
              <w:outlineLvl w:val="0"/>
              <w:rPr>
                <w:rFonts w:ascii="方正仿宋_GBK" w:hAnsi="宋体" w:eastAsia="方正仿宋_GBK"/>
                <w:sz w:val="21"/>
                <w:szCs w:val="21"/>
              </w:rPr>
            </w:pPr>
          </w:p>
        </w:tc>
        <w:tc>
          <w:tcPr>
            <w:tcW w:w="2309" w:type="dxa"/>
            <w:vAlign w:val="center"/>
          </w:tcPr>
          <w:p w14:paraId="7AF86CC0">
            <w:pPr>
              <w:tabs>
                <w:tab w:val="left" w:pos="6300"/>
              </w:tabs>
              <w:snapToGrid w:val="0"/>
              <w:spacing w:line="500" w:lineRule="exact"/>
              <w:jc w:val="center"/>
              <w:outlineLvl w:val="0"/>
              <w:rPr>
                <w:rFonts w:ascii="方正仿宋_GBK" w:hAnsi="宋体" w:eastAsia="方正仿宋_GBK"/>
                <w:sz w:val="21"/>
                <w:szCs w:val="21"/>
              </w:rPr>
            </w:pPr>
          </w:p>
        </w:tc>
      </w:tr>
      <w:tr w14:paraId="415F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630E2641">
            <w:pPr>
              <w:tabs>
                <w:tab w:val="left" w:pos="6300"/>
              </w:tabs>
              <w:snapToGrid w:val="0"/>
              <w:spacing w:line="500" w:lineRule="exact"/>
              <w:jc w:val="center"/>
              <w:outlineLvl w:val="0"/>
              <w:rPr>
                <w:rFonts w:ascii="方正仿宋_GBK" w:hAnsi="宋体" w:eastAsia="方正仿宋_GBK"/>
                <w:sz w:val="21"/>
                <w:szCs w:val="21"/>
              </w:rPr>
            </w:pPr>
          </w:p>
        </w:tc>
        <w:tc>
          <w:tcPr>
            <w:tcW w:w="2967" w:type="dxa"/>
            <w:vAlign w:val="center"/>
          </w:tcPr>
          <w:p w14:paraId="3ECF6778">
            <w:pPr>
              <w:tabs>
                <w:tab w:val="left" w:pos="6300"/>
              </w:tabs>
              <w:snapToGrid w:val="0"/>
              <w:spacing w:line="500" w:lineRule="exact"/>
              <w:jc w:val="center"/>
              <w:outlineLvl w:val="0"/>
              <w:rPr>
                <w:rFonts w:ascii="方正仿宋_GBK" w:hAnsi="宋体" w:eastAsia="方正仿宋_GBK"/>
                <w:sz w:val="21"/>
                <w:szCs w:val="21"/>
              </w:rPr>
            </w:pPr>
          </w:p>
        </w:tc>
        <w:tc>
          <w:tcPr>
            <w:tcW w:w="3081" w:type="dxa"/>
            <w:vAlign w:val="center"/>
          </w:tcPr>
          <w:p w14:paraId="38133594">
            <w:pPr>
              <w:tabs>
                <w:tab w:val="left" w:pos="6300"/>
              </w:tabs>
              <w:snapToGrid w:val="0"/>
              <w:spacing w:line="500" w:lineRule="exact"/>
              <w:jc w:val="center"/>
              <w:outlineLvl w:val="0"/>
              <w:rPr>
                <w:rFonts w:ascii="方正仿宋_GBK" w:hAnsi="宋体" w:eastAsia="方正仿宋_GBK"/>
                <w:sz w:val="21"/>
                <w:szCs w:val="21"/>
              </w:rPr>
            </w:pPr>
          </w:p>
        </w:tc>
        <w:tc>
          <w:tcPr>
            <w:tcW w:w="2309" w:type="dxa"/>
            <w:vAlign w:val="center"/>
          </w:tcPr>
          <w:p w14:paraId="03BCD151">
            <w:pPr>
              <w:tabs>
                <w:tab w:val="left" w:pos="6300"/>
              </w:tabs>
              <w:snapToGrid w:val="0"/>
              <w:spacing w:line="500" w:lineRule="exact"/>
              <w:jc w:val="center"/>
              <w:outlineLvl w:val="0"/>
              <w:rPr>
                <w:rFonts w:ascii="方正仿宋_GBK" w:hAnsi="宋体" w:eastAsia="方正仿宋_GBK"/>
                <w:sz w:val="21"/>
                <w:szCs w:val="21"/>
              </w:rPr>
            </w:pPr>
          </w:p>
        </w:tc>
      </w:tr>
      <w:tr w14:paraId="22DF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2A9BD188">
            <w:pPr>
              <w:tabs>
                <w:tab w:val="left" w:pos="6300"/>
              </w:tabs>
              <w:snapToGrid w:val="0"/>
              <w:spacing w:line="500" w:lineRule="exact"/>
              <w:jc w:val="center"/>
              <w:outlineLvl w:val="0"/>
              <w:rPr>
                <w:rFonts w:ascii="方正仿宋_GBK" w:hAnsi="宋体" w:eastAsia="方正仿宋_GBK"/>
                <w:sz w:val="21"/>
                <w:szCs w:val="21"/>
              </w:rPr>
            </w:pPr>
          </w:p>
        </w:tc>
        <w:tc>
          <w:tcPr>
            <w:tcW w:w="2967" w:type="dxa"/>
            <w:vAlign w:val="center"/>
          </w:tcPr>
          <w:p w14:paraId="58CA8677">
            <w:pPr>
              <w:tabs>
                <w:tab w:val="left" w:pos="6300"/>
              </w:tabs>
              <w:snapToGrid w:val="0"/>
              <w:spacing w:line="500" w:lineRule="exact"/>
              <w:jc w:val="center"/>
              <w:outlineLvl w:val="0"/>
              <w:rPr>
                <w:rFonts w:ascii="方正仿宋_GBK" w:hAnsi="宋体" w:eastAsia="方正仿宋_GBK"/>
                <w:sz w:val="21"/>
                <w:szCs w:val="21"/>
              </w:rPr>
            </w:pPr>
          </w:p>
        </w:tc>
        <w:tc>
          <w:tcPr>
            <w:tcW w:w="3081" w:type="dxa"/>
            <w:vAlign w:val="center"/>
          </w:tcPr>
          <w:p w14:paraId="165E05CA">
            <w:pPr>
              <w:tabs>
                <w:tab w:val="left" w:pos="6300"/>
              </w:tabs>
              <w:snapToGrid w:val="0"/>
              <w:spacing w:line="500" w:lineRule="exact"/>
              <w:jc w:val="center"/>
              <w:outlineLvl w:val="0"/>
              <w:rPr>
                <w:rFonts w:ascii="方正仿宋_GBK" w:hAnsi="宋体" w:eastAsia="方正仿宋_GBK"/>
                <w:sz w:val="21"/>
                <w:szCs w:val="21"/>
              </w:rPr>
            </w:pPr>
          </w:p>
        </w:tc>
        <w:tc>
          <w:tcPr>
            <w:tcW w:w="2309" w:type="dxa"/>
            <w:vAlign w:val="center"/>
          </w:tcPr>
          <w:p w14:paraId="676E7734">
            <w:pPr>
              <w:tabs>
                <w:tab w:val="left" w:pos="6300"/>
              </w:tabs>
              <w:snapToGrid w:val="0"/>
              <w:spacing w:line="500" w:lineRule="exact"/>
              <w:jc w:val="center"/>
              <w:outlineLvl w:val="0"/>
              <w:rPr>
                <w:rFonts w:ascii="方正仿宋_GBK" w:hAnsi="宋体" w:eastAsia="方正仿宋_GBK"/>
                <w:sz w:val="21"/>
                <w:szCs w:val="21"/>
              </w:rPr>
            </w:pPr>
          </w:p>
        </w:tc>
      </w:tr>
      <w:tr w14:paraId="5390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71" w:type="dxa"/>
            <w:vAlign w:val="center"/>
          </w:tcPr>
          <w:p w14:paraId="36C001CA">
            <w:pPr>
              <w:tabs>
                <w:tab w:val="left" w:pos="6300"/>
              </w:tabs>
              <w:snapToGrid w:val="0"/>
              <w:spacing w:line="500" w:lineRule="exact"/>
              <w:jc w:val="center"/>
              <w:outlineLvl w:val="0"/>
              <w:rPr>
                <w:rFonts w:ascii="方正仿宋_GBK" w:hAnsi="宋体" w:eastAsia="方正仿宋_GBK"/>
                <w:sz w:val="21"/>
                <w:szCs w:val="21"/>
              </w:rPr>
            </w:pPr>
          </w:p>
        </w:tc>
        <w:tc>
          <w:tcPr>
            <w:tcW w:w="2967" w:type="dxa"/>
            <w:vAlign w:val="center"/>
          </w:tcPr>
          <w:p w14:paraId="5AF88236">
            <w:pPr>
              <w:tabs>
                <w:tab w:val="left" w:pos="6300"/>
              </w:tabs>
              <w:snapToGrid w:val="0"/>
              <w:spacing w:line="500" w:lineRule="exact"/>
              <w:jc w:val="center"/>
              <w:outlineLvl w:val="0"/>
              <w:rPr>
                <w:rFonts w:ascii="方正仿宋_GBK" w:hAnsi="宋体" w:eastAsia="方正仿宋_GBK"/>
                <w:sz w:val="21"/>
                <w:szCs w:val="21"/>
              </w:rPr>
            </w:pPr>
          </w:p>
        </w:tc>
        <w:tc>
          <w:tcPr>
            <w:tcW w:w="3081" w:type="dxa"/>
            <w:vAlign w:val="center"/>
          </w:tcPr>
          <w:p w14:paraId="68802703">
            <w:pPr>
              <w:tabs>
                <w:tab w:val="left" w:pos="6300"/>
              </w:tabs>
              <w:snapToGrid w:val="0"/>
              <w:spacing w:line="500" w:lineRule="exact"/>
              <w:jc w:val="center"/>
              <w:outlineLvl w:val="0"/>
              <w:rPr>
                <w:rFonts w:ascii="方正仿宋_GBK" w:hAnsi="宋体" w:eastAsia="方正仿宋_GBK"/>
                <w:sz w:val="21"/>
                <w:szCs w:val="21"/>
              </w:rPr>
            </w:pPr>
          </w:p>
        </w:tc>
        <w:tc>
          <w:tcPr>
            <w:tcW w:w="2309" w:type="dxa"/>
            <w:vAlign w:val="center"/>
          </w:tcPr>
          <w:p w14:paraId="5911FC9F">
            <w:pPr>
              <w:tabs>
                <w:tab w:val="left" w:pos="6300"/>
              </w:tabs>
              <w:snapToGrid w:val="0"/>
              <w:spacing w:line="500" w:lineRule="exact"/>
              <w:jc w:val="center"/>
              <w:outlineLvl w:val="0"/>
              <w:rPr>
                <w:rFonts w:ascii="方正仿宋_GBK" w:hAnsi="宋体" w:eastAsia="方正仿宋_GBK"/>
                <w:sz w:val="21"/>
                <w:szCs w:val="21"/>
              </w:rPr>
            </w:pPr>
          </w:p>
        </w:tc>
      </w:tr>
    </w:tbl>
    <w:p w14:paraId="6CC045C0">
      <w:pPr>
        <w:spacing w:line="500" w:lineRule="exact"/>
        <w:ind w:firstLine="600" w:firstLineChars="250"/>
        <w:rPr>
          <w:rFonts w:ascii="方正仿宋_GBK" w:hAnsi="宋体" w:eastAsia="方正仿宋_GBK"/>
          <w:sz w:val="24"/>
          <w:szCs w:val="28"/>
        </w:rPr>
      </w:pPr>
      <w:r>
        <w:rPr>
          <w:rFonts w:hint="eastAsia" w:ascii="方正仿宋_GBK" w:hAnsi="宋体" w:eastAsia="方正仿宋_GBK"/>
          <w:sz w:val="24"/>
          <w:szCs w:val="28"/>
        </w:rPr>
        <w:t xml:space="preserve">供应商：                </w:t>
      </w:r>
      <w:r>
        <w:rPr>
          <w:rFonts w:hint="eastAsia" w:ascii="方正仿宋_GBK" w:hAnsi="宋体" w:eastAsia="方正仿宋_GBK"/>
          <w:sz w:val="24"/>
          <w:szCs w:val="24"/>
        </w:rPr>
        <w:t>法定代表人（单位负责人）（或其授权代表）或自然人：</w:t>
      </w:r>
    </w:p>
    <w:p w14:paraId="78BEDADB">
      <w:pPr>
        <w:spacing w:line="500" w:lineRule="exact"/>
        <w:rPr>
          <w:rFonts w:ascii="方正仿宋_GBK" w:hAnsi="宋体" w:eastAsia="方正仿宋_GBK"/>
          <w:sz w:val="24"/>
          <w:szCs w:val="28"/>
        </w:rPr>
      </w:pPr>
      <w:r>
        <w:rPr>
          <w:rFonts w:hint="eastAsia" w:ascii="方正仿宋_GBK" w:hAnsi="宋体" w:eastAsia="方正仿宋_GBK"/>
          <w:sz w:val="24"/>
          <w:szCs w:val="28"/>
        </w:rPr>
        <w:t xml:space="preserve">    </w:t>
      </w:r>
    </w:p>
    <w:p w14:paraId="61E29D9F">
      <w:pPr>
        <w:spacing w:line="500" w:lineRule="exact"/>
        <w:ind w:firstLine="720" w:firstLineChars="300"/>
        <w:rPr>
          <w:rFonts w:ascii="方正仿宋_GBK" w:hAnsi="宋体" w:eastAsia="方正仿宋_GBK"/>
          <w:sz w:val="24"/>
          <w:szCs w:val="28"/>
        </w:rPr>
      </w:pPr>
      <w:r>
        <w:rPr>
          <w:rFonts w:hint="eastAsia" w:ascii="方正仿宋_GBK" w:hAnsi="宋体" w:eastAsia="方正仿宋_GBK"/>
          <w:sz w:val="24"/>
          <w:szCs w:val="28"/>
        </w:rPr>
        <w:t>（供应商公章）                               （签署或盖章）</w:t>
      </w:r>
    </w:p>
    <w:p w14:paraId="06C77DCE">
      <w:pPr>
        <w:tabs>
          <w:tab w:val="left" w:pos="6300"/>
        </w:tabs>
        <w:snapToGrid w:val="0"/>
        <w:spacing w:line="500" w:lineRule="exact"/>
        <w:ind w:firstLine="570"/>
        <w:rPr>
          <w:rFonts w:ascii="方正仿宋_GBK" w:hAnsi="宋体" w:eastAsia="方正仿宋_GBK"/>
          <w:sz w:val="24"/>
        </w:rPr>
      </w:pPr>
      <w:r>
        <w:rPr>
          <w:rFonts w:hint="eastAsia" w:ascii="方正仿宋_GBK" w:hAnsi="宋体" w:eastAsia="方正仿宋_GBK"/>
          <w:sz w:val="24"/>
          <w:szCs w:val="28"/>
        </w:rPr>
        <w:t xml:space="preserve">                                              年     月     日</w:t>
      </w:r>
    </w:p>
    <w:p w14:paraId="3087A6BA">
      <w:pPr>
        <w:tabs>
          <w:tab w:val="left" w:pos="6300"/>
        </w:tabs>
        <w:snapToGrid w:val="0"/>
        <w:spacing w:line="500" w:lineRule="exact"/>
        <w:ind w:firstLine="480" w:firstLineChars="200"/>
        <w:rPr>
          <w:rFonts w:ascii="方正仿宋_GBK" w:hAnsi="宋体" w:eastAsia="方正仿宋_GBK"/>
          <w:sz w:val="24"/>
        </w:rPr>
      </w:pPr>
      <w:r>
        <w:rPr>
          <w:rFonts w:hint="eastAsia" w:ascii="方正仿宋_GBK" w:hAnsi="宋体" w:eastAsia="方正仿宋_GBK"/>
          <w:sz w:val="24"/>
        </w:rPr>
        <w:t>注：</w:t>
      </w:r>
    </w:p>
    <w:p w14:paraId="74F01DF9">
      <w:pPr>
        <w:tabs>
          <w:tab w:val="left" w:pos="6300"/>
        </w:tabs>
        <w:snapToGrid w:val="0"/>
        <w:spacing w:line="500" w:lineRule="exact"/>
        <w:ind w:firstLine="480" w:firstLineChars="200"/>
        <w:rPr>
          <w:rFonts w:ascii="方正仿宋_GBK" w:hAnsi="仿宋" w:eastAsia="方正仿宋_GBK"/>
          <w:sz w:val="24"/>
          <w:szCs w:val="24"/>
        </w:rPr>
      </w:pPr>
      <w:r>
        <w:rPr>
          <w:rFonts w:hint="eastAsia" w:ascii="Times New Roman" w:hAnsi="Times New Roman" w:eastAsia="方正仿宋_GBK"/>
          <w:sz w:val="24"/>
          <w:szCs w:val="24"/>
        </w:rPr>
        <w:t>1</w:t>
      </w:r>
      <w:r>
        <w:rPr>
          <w:rFonts w:hint="eastAsia" w:ascii="方正仿宋_GBK" w:hAnsi="宋体" w:eastAsia="方正仿宋_GBK"/>
          <w:sz w:val="24"/>
        </w:rPr>
        <w:t>.</w:t>
      </w:r>
      <w:r>
        <w:rPr>
          <w:rFonts w:hint="eastAsia" w:ascii="方正仿宋_GBK" w:hAnsi="仿宋" w:eastAsia="方正仿宋_GBK"/>
          <w:sz w:val="24"/>
          <w:szCs w:val="24"/>
        </w:rPr>
        <w:t>本表即为对本项目“第二篇  项目服务需求”中所列条款进行逐条比较和响应；</w:t>
      </w:r>
    </w:p>
    <w:p w14:paraId="04716C10">
      <w:pPr>
        <w:snapToGrid w:val="0"/>
        <w:spacing w:line="400" w:lineRule="exact"/>
        <w:ind w:firstLine="480" w:firstLineChars="200"/>
        <w:jc w:val="left"/>
        <w:rPr>
          <w:rFonts w:ascii="方正仿宋_GBK" w:hAnsi="宋体" w:eastAsia="方正仿宋_GBK"/>
          <w:sz w:val="24"/>
          <w:szCs w:val="22"/>
        </w:rPr>
      </w:pPr>
      <w:r>
        <w:rPr>
          <w:rFonts w:hint="eastAsia" w:ascii="Times New Roman" w:hAnsi="Times New Roman" w:eastAsia="方正仿宋_GBK"/>
          <w:sz w:val="24"/>
          <w:szCs w:val="22"/>
        </w:rPr>
        <w:t>2</w:t>
      </w:r>
      <w:r>
        <w:rPr>
          <w:rFonts w:hint="eastAsia" w:ascii="方正仿宋_GBK" w:hAnsi="宋体" w:eastAsia="方正仿宋_GBK"/>
          <w:sz w:val="24"/>
          <w:szCs w:val="22"/>
        </w:rPr>
        <w:t>.该表必须按照磋商文件要求</w:t>
      </w:r>
      <w:r>
        <w:rPr>
          <w:rFonts w:hint="eastAsia" w:ascii="方正仿宋_GBK" w:hAnsi="宋体" w:eastAsia="方正仿宋_GBK"/>
          <w:b/>
          <w:bCs/>
          <w:sz w:val="24"/>
          <w:szCs w:val="22"/>
        </w:rPr>
        <w:t>逐条</w:t>
      </w:r>
      <w:r>
        <w:rPr>
          <w:rFonts w:hint="eastAsia" w:ascii="方正仿宋_GBK" w:hAnsi="宋体" w:eastAsia="方正仿宋_GBK"/>
          <w:sz w:val="24"/>
          <w:szCs w:val="22"/>
        </w:rPr>
        <w:t>如实填写，根据投标情况在“差异说明”项填写正偏离或负偏离及原因，完全符合的填写“无差异”，错项、漏项均为无效；</w:t>
      </w:r>
    </w:p>
    <w:p w14:paraId="3D9245AB">
      <w:pPr>
        <w:snapToGrid w:val="0"/>
        <w:spacing w:line="400" w:lineRule="exact"/>
        <w:ind w:firstLine="480" w:firstLineChars="200"/>
        <w:jc w:val="left"/>
        <w:rPr>
          <w:rFonts w:ascii="方正仿宋_GBK" w:hAnsi="宋体" w:eastAsia="方正仿宋_GBK"/>
          <w:sz w:val="24"/>
        </w:rPr>
      </w:pPr>
      <w:r>
        <w:rPr>
          <w:rFonts w:hint="eastAsia" w:ascii="Times New Roman" w:hAnsi="Times New Roman" w:eastAsia="方正仿宋_GBK"/>
          <w:sz w:val="24"/>
        </w:rPr>
        <w:t>3</w:t>
      </w:r>
      <w:r>
        <w:rPr>
          <w:rFonts w:hint="eastAsia" w:ascii="方正仿宋_GBK" w:hAnsi="宋体" w:eastAsia="方正仿宋_GBK"/>
          <w:sz w:val="24"/>
        </w:rPr>
        <w:t>.本表可扩展。</w:t>
      </w:r>
    </w:p>
    <w:p w14:paraId="7DA008E0">
      <w:pPr>
        <w:snapToGrid w:val="0"/>
        <w:spacing w:line="400" w:lineRule="exact"/>
        <w:ind w:firstLine="480" w:firstLineChars="200"/>
        <w:jc w:val="left"/>
        <w:rPr>
          <w:rFonts w:ascii="方正仿宋_GBK" w:hAnsi="宋体" w:eastAsia="方正仿宋_GBK"/>
          <w:sz w:val="24"/>
        </w:rPr>
      </w:pPr>
      <w:r>
        <w:rPr>
          <w:rFonts w:hint="eastAsia" w:ascii="Times New Roman" w:hAnsi="Times New Roman" w:eastAsia="方正仿宋_GBK"/>
          <w:sz w:val="24"/>
        </w:rPr>
        <w:t>4</w:t>
      </w:r>
      <w:r>
        <w:rPr>
          <w:rFonts w:hint="eastAsia" w:ascii="方正仿宋_GBK" w:hAnsi="宋体" w:eastAsia="方正仿宋_GBK"/>
          <w:sz w:val="24"/>
        </w:rPr>
        <w:t>.可附相关技术支撑材料。（格式自定）</w:t>
      </w:r>
    </w:p>
    <w:p w14:paraId="2A656086">
      <w:pPr>
        <w:rPr>
          <w:rFonts w:ascii="方正仿宋_GBK" w:hAnsi="宋体" w:eastAsia="方正仿宋_GBK"/>
          <w:sz w:val="24"/>
        </w:rPr>
      </w:pPr>
      <w:r>
        <w:rPr>
          <w:rFonts w:hint="eastAsia" w:ascii="方正仿宋_GBK" w:hAnsi="宋体" w:eastAsia="方正仿宋_GBK"/>
          <w:sz w:val="24"/>
        </w:rPr>
        <w:br w:type="page"/>
      </w:r>
    </w:p>
    <w:p w14:paraId="669B6624">
      <w:pPr>
        <w:pStyle w:val="2"/>
      </w:pPr>
    </w:p>
    <w:p w14:paraId="76EAC034">
      <w:pPr>
        <w:spacing w:line="400" w:lineRule="exact"/>
        <w:ind w:firstLine="480" w:firstLineChars="200"/>
        <w:outlineLvl w:val="2"/>
        <w:rPr>
          <w:rFonts w:ascii="方正仿宋_GBK" w:hAnsi="宋体" w:eastAsia="方正仿宋_GBK"/>
          <w:sz w:val="24"/>
          <w:szCs w:val="24"/>
        </w:rPr>
      </w:pPr>
      <w:r>
        <w:rPr>
          <w:rFonts w:hint="eastAsia" w:ascii="方正仿宋_GBK" w:hAnsi="宋体" w:eastAsia="方正仿宋_GBK"/>
          <w:sz w:val="24"/>
          <w:szCs w:val="24"/>
        </w:rPr>
        <w:t>（二）第二篇 项目技术（质量）需求要求提供的书面承诺（如有，格式自拟）</w:t>
      </w:r>
    </w:p>
    <w:p w14:paraId="1D8E8717"/>
    <w:p w14:paraId="47934E24">
      <w:pPr>
        <w:spacing w:line="400" w:lineRule="exact"/>
        <w:ind w:firstLine="480" w:firstLineChars="200"/>
        <w:outlineLvl w:val="2"/>
        <w:rPr>
          <w:rFonts w:ascii="方正仿宋_GBK" w:hAnsi="宋体" w:eastAsia="方正仿宋_GBK"/>
          <w:sz w:val="24"/>
          <w:szCs w:val="24"/>
        </w:rPr>
      </w:pPr>
    </w:p>
    <w:p w14:paraId="4EE89940">
      <w:pPr>
        <w:spacing w:line="400" w:lineRule="exact"/>
        <w:ind w:firstLine="480" w:firstLineChars="200"/>
        <w:outlineLvl w:val="2"/>
        <w:rPr>
          <w:rFonts w:ascii="方正仿宋_GBK" w:hAnsi="宋体" w:eastAsia="方正仿宋_GBK"/>
          <w:sz w:val="24"/>
          <w:szCs w:val="24"/>
        </w:rPr>
      </w:pPr>
    </w:p>
    <w:p w14:paraId="131E71FE">
      <w:pPr>
        <w:spacing w:line="400" w:lineRule="exact"/>
        <w:ind w:firstLine="480" w:firstLineChars="200"/>
        <w:outlineLvl w:val="2"/>
        <w:rPr>
          <w:rFonts w:ascii="方正仿宋_GBK" w:hAnsi="宋体" w:eastAsia="方正仿宋_GBK"/>
          <w:sz w:val="24"/>
          <w:szCs w:val="24"/>
        </w:rPr>
      </w:pPr>
    </w:p>
    <w:p w14:paraId="022C80D7">
      <w:pPr>
        <w:spacing w:line="400" w:lineRule="exact"/>
        <w:ind w:firstLine="480" w:firstLineChars="200"/>
        <w:outlineLvl w:val="2"/>
      </w:pPr>
      <w:r>
        <w:rPr>
          <w:rFonts w:hint="eastAsia" w:ascii="方正仿宋_GBK" w:hAnsi="宋体" w:eastAsia="方正仿宋_GBK"/>
          <w:sz w:val="24"/>
          <w:szCs w:val="24"/>
        </w:rPr>
        <w:t>（三）第四篇 评审标准要求提供的相关证明资料(如有，格式自拟）</w:t>
      </w:r>
    </w:p>
    <w:p w14:paraId="64FA8362">
      <w:pPr>
        <w:pStyle w:val="16"/>
      </w:pPr>
    </w:p>
    <w:p w14:paraId="50FC4A8C">
      <w:r>
        <w:br w:type="page"/>
      </w:r>
    </w:p>
    <w:p w14:paraId="0B008B2C"/>
    <w:p w14:paraId="1371F595">
      <w:pPr>
        <w:pStyle w:val="4"/>
        <w:adjustRightInd w:val="0"/>
        <w:spacing w:before="0" w:after="0"/>
        <w:ind w:firstLine="482" w:firstLineChars="200"/>
        <w:rPr>
          <w:rFonts w:ascii="方正仿宋_GBK" w:hAnsi="宋体" w:eastAsia="方正仿宋_GBK"/>
          <w:sz w:val="24"/>
          <w:szCs w:val="22"/>
        </w:rPr>
      </w:pPr>
      <w:bookmarkStart w:id="148" w:name="_Toc1911"/>
      <w:r>
        <w:rPr>
          <w:rFonts w:hint="eastAsia" w:ascii="方正仿宋_GBK" w:hAnsi="宋体" w:eastAsia="方正仿宋_GBK"/>
          <w:sz w:val="24"/>
          <w:szCs w:val="22"/>
        </w:rPr>
        <w:t>三、商务部分</w:t>
      </w:r>
      <w:bookmarkEnd w:id="148"/>
    </w:p>
    <w:p w14:paraId="4C4BFAF6">
      <w:pPr>
        <w:spacing w:line="400" w:lineRule="exact"/>
        <w:ind w:firstLine="480" w:firstLineChars="200"/>
        <w:outlineLvl w:val="2"/>
        <w:rPr>
          <w:rFonts w:ascii="方正仿宋_GBK" w:hAnsi="方正仿宋_GBK" w:eastAsia="方正仿宋_GBK" w:cs="方正仿宋_GBK"/>
          <w:sz w:val="24"/>
          <w:szCs w:val="24"/>
        </w:rPr>
      </w:pPr>
      <w:bookmarkStart w:id="149" w:name="_Toc19600"/>
      <w:r>
        <w:rPr>
          <w:rFonts w:hint="eastAsia" w:ascii="方正仿宋_GBK" w:hAnsi="方正仿宋_GBK" w:eastAsia="方正仿宋_GBK" w:cs="方正仿宋_GBK"/>
          <w:sz w:val="24"/>
          <w:szCs w:val="24"/>
        </w:rPr>
        <w:t>（一）商务承诺</w:t>
      </w:r>
      <w:bookmarkEnd w:id="149"/>
    </w:p>
    <w:p w14:paraId="77A78BC3">
      <w:pPr>
        <w:jc w:val="center"/>
        <w:rPr>
          <w:rFonts w:ascii="方正仿宋_GBK" w:hAnsi="方正仿宋_GBK" w:eastAsia="方正仿宋_GBK" w:cs="方正仿宋_GBK"/>
          <w:b/>
          <w:bCs/>
          <w:sz w:val="24"/>
          <w:szCs w:val="24"/>
        </w:rPr>
      </w:pPr>
      <w:bookmarkStart w:id="150" w:name="_Toc283382459"/>
      <w:r>
        <w:rPr>
          <w:rFonts w:hint="eastAsia" w:ascii="方正仿宋_GBK" w:hAnsi="方正仿宋_GBK" w:eastAsia="方正仿宋_GBK" w:cs="方正仿宋_GBK"/>
          <w:b/>
          <w:bCs/>
          <w:sz w:val="24"/>
          <w:szCs w:val="24"/>
        </w:rPr>
        <w:t>商务承诺</w:t>
      </w:r>
    </w:p>
    <w:p w14:paraId="7DE6E584">
      <w:pPr>
        <w:tabs>
          <w:tab w:val="left" w:pos="6300"/>
        </w:tabs>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w:t>
      </w:r>
      <w:r>
        <w:rPr>
          <w:rFonts w:hint="eastAsia" w:ascii="方正仿宋_GBK" w:hAnsi="方正仿宋_GBK" w:eastAsia="方正仿宋_GBK" w:cs="方正仿宋_GBK"/>
          <w:sz w:val="24"/>
          <w:szCs w:val="24"/>
          <w:u w:val="single"/>
        </w:rPr>
        <w:t xml:space="preserve">重庆瑞得思达光电科技有限公司 </w:t>
      </w:r>
    </w:p>
    <w:p w14:paraId="7B1FD7CE">
      <w:pPr>
        <w:tabs>
          <w:tab w:val="left" w:pos="6300"/>
        </w:tabs>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根据你方制发的</w:t>
      </w:r>
      <w:r>
        <w:rPr>
          <w:rFonts w:hint="eastAsia" w:ascii="方正仿宋_GBK" w:hAnsi="方正仿宋_GBK" w:eastAsia="方正仿宋_GBK" w:cs="方正仿宋_GBK"/>
          <w:sz w:val="24"/>
          <w:szCs w:val="24"/>
          <w:u w:val="single"/>
        </w:rPr>
        <w:t xml:space="preserve">                                         </w:t>
      </w:r>
      <w:r>
        <w:rPr>
          <w:rFonts w:hint="eastAsia" w:ascii="方正仿宋_GBK" w:hAnsi="方正仿宋_GBK" w:eastAsia="方正仿宋_GBK" w:cs="方正仿宋_GBK"/>
          <w:sz w:val="24"/>
          <w:szCs w:val="24"/>
        </w:rPr>
        <w:t>竞争性磋商文件，我方针对竞争性磋商文件第三篇“项目商务需求”的内容作出应答承诺如下：</w:t>
      </w:r>
    </w:p>
    <w:p w14:paraId="0182D8B3">
      <w:pPr>
        <w:spacing w:line="500" w:lineRule="exact"/>
        <w:rPr>
          <w:rFonts w:ascii="方正仿宋_GBK" w:hAnsi="方正仿宋_GBK" w:eastAsia="方正仿宋_GBK" w:cs="方正仿宋_GBK"/>
          <w:b/>
          <w:bCs/>
          <w:sz w:val="24"/>
          <w:szCs w:val="24"/>
        </w:rPr>
      </w:pPr>
      <w:r>
        <w:rPr>
          <w:rFonts w:hint="eastAsia" w:ascii="方正仿宋_GBK" w:hAnsi="方正仿宋_GBK" w:eastAsia="方正仿宋_GBK" w:cs="方正仿宋_GBK"/>
          <w:sz w:val="24"/>
          <w:szCs w:val="24"/>
        </w:rPr>
        <w:t xml:space="preserve">     </w:t>
      </w:r>
      <w:r>
        <w:rPr>
          <w:rFonts w:hint="eastAsia" w:ascii="Times New Roman" w:hAnsi="Times New Roman" w:eastAsia="方正仿宋_GBK" w:cs="方正仿宋_GBK"/>
          <w:sz w:val="24"/>
          <w:szCs w:val="24"/>
        </w:rPr>
        <w:t>1</w:t>
      </w:r>
      <w:r>
        <w:rPr>
          <w:rFonts w:hint="eastAsia" w:ascii="方正仿宋_GBK" w:hAnsi="方正仿宋_GBK" w:eastAsia="方正仿宋_GBK" w:cs="方正仿宋_GBK"/>
          <w:sz w:val="24"/>
          <w:szCs w:val="24"/>
        </w:rPr>
        <w:t>.我方完全同意此竞争性磋商文件提出的各项商务条款，</w:t>
      </w:r>
      <w:r>
        <w:rPr>
          <w:rFonts w:hint="eastAsia" w:ascii="方正仿宋_GBK" w:hAnsi="方正仿宋_GBK" w:eastAsia="方正仿宋_GBK" w:cs="方正仿宋_GBK"/>
          <w:b/>
          <w:bCs/>
          <w:sz w:val="24"/>
          <w:szCs w:val="24"/>
        </w:rPr>
        <w:t>若有不符，愿意被视为虚假响应，并作为无效报价处理，同时承担不予退还保证金、记入不良行为记录名单等相应处罚。</w:t>
      </w:r>
    </w:p>
    <w:p w14:paraId="30DE13E5">
      <w:pPr>
        <w:spacing w:line="400" w:lineRule="exact"/>
        <w:ind w:firstLine="480" w:firstLineChars="200"/>
        <w:rPr>
          <w:rFonts w:ascii="方正仿宋_GBK" w:hAnsi="方正仿宋_GBK" w:eastAsia="方正仿宋_GBK" w:cs="方正仿宋_GBK"/>
          <w:sz w:val="24"/>
          <w:szCs w:val="24"/>
        </w:rPr>
      </w:pPr>
      <w:r>
        <w:rPr>
          <w:rFonts w:hint="eastAsia" w:ascii="Times New Roman" w:hAnsi="Times New Roman" w:eastAsia="方正仿宋_GBK" w:cs="方正仿宋_GBK"/>
          <w:sz w:val="24"/>
          <w:szCs w:val="24"/>
        </w:rPr>
        <w:t>2</w:t>
      </w:r>
      <w:r>
        <w:rPr>
          <w:rFonts w:hint="eastAsia" w:ascii="方正仿宋_GBK" w:hAnsi="方正仿宋_GBK" w:eastAsia="方正仿宋_GBK" w:cs="方正仿宋_GBK"/>
          <w:sz w:val="24"/>
          <w:szCs w:val="24"/>
        </w:rPr>
        <w:t>.我方承诺，若我方成交，在项目实施过程中，我方未遵守和执行竞争性磋商文件第三篇“项目商务需求”和我方响应文件中承诺优于竞争性磋商文件要求的商务条款时，我方自愿随时被采购人终止并解除服务合同，由本公司自行承担一切相应的损失。</w:t>
      </w:r>
    </w:p>
    <w:p w14:paraId="44F1C7ED">
      <w:pPr>
        <w:tabs>
          <w:tab w:val="left" w:pos="6300"/>
        </w:tabs>
        <w:snapToGrid w:val="0"/>
        <w:spacing w:line="400" w:lineRule="exact"/>
        <w:ind w:firstLine="480" w:firstLineChars="200"/>
        <w:rPr>
          <w:rFonts w:ascii="方正仿宋_GBK" w:hAnsi="方正仿宋_GBK" w:eastAsia="方正仿宋_GBK" w:cs="方正仿宋_GBK"/>
          <w:sz w:val="24"/>
          <w:szCs w:val="24"/>
        </w:rPr>
      </w:pPr>
      <w:r>
        <w:rPr>
          <w:rFonts w:hint="eastAsia" w:ascii="Times New Roman" w:hAnsi="Times New Roman" w:eastAsia="方正仿宋_GBK" w:cs="方正仿宋_GBK"/>
          <w:sz w:val="24"/>
          <w:szCs w:val="24"/>
        </w:rPr>
        <w:t>3</w:t>
      </w:r>
      <w:r>
        <w:rPr>
          <w:rFonts w:hint="eastAsia" w:ascii="方正仿宋_GBK" w:hAnsi="方正仿宋_GBK" w:eastAsia="方正仿宋_GBK" w:cs="方正仿宋_GBK"/>
          <w:sz w:val="24"/>
          <w:szCs w:val="24"/>
        </w:rPr>
        <w:t>.结合我方生产、经营活动以及此次采购项目实际情况，我方特做出以下更优惠高质的商务承诺（如果有）：</w:t>
      </w:r>
    </w:p>
    <w:p w14:paraId="1354D9A0">
      <w:pPr>
        <w:tabs>
          <w:tab w:val="left" w:pos="6300"/>
        </w:tabs>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r>
        <w:rPr>
          <w:rFonts w:hint="eastAsia" w:ascii="Times New Roman" w:hAnsi="Times New Roman" w:eastAsia="方正仿宋_GBK" w:cs="方正仿宋_GBK"/>
          <w:sz w:val="24"/>
          <w:szCs w:val="24"/>
        </w:rPr>
        <w:t>1</w:t>
      </w:r>
      <w:r>
        <w:rPr>
          <w:rFonts w:hint="eastAsia" w:ascii="方正仿宋_GBK" w:hAnsi="方正仿宋_GBK" w:eastAsia="方正仿宋_GBK" w:cs="方正仿宋_GBK"/>
          <w:sz w:val="24"/>
          <w:szCs w:val="24"/>
        </w:rPr>
        <w:t>）……</w:t>
      </w:r>
    </w:p>
    <w:p w14:paraId="5840EB14">
      <w:pPr>
        <w:tabs>
          <w:tab w:val="left" w:pos="6300"/>
        </w:tabs>
        <w:snapToGrid w:val="0"/>
        <w:spacing w:line="400" w:lineRule="exact"/>
        <w:ind w:firstLine="480" w:firstLineChars="2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w:t>
      </w:r>
      <w:r>
        <w:rPr>
          <w:rFonts w:hint="eastAsia" w:ascii="Times New Roman" w:hAnsi="Times New Roman" w:eastAsia="方正仿宋_GBK" w:cs="方正仿宋_GBK"/>
          <w:sz w:val="24"/>
          <w:szCs w:val="24"/>
        </w:rPr>
        <w:t>2</w:t>
      </w:r>
      <w:r>
        <w:rPr>
          <w:rFonts w:hint="eastAsia" w:ascii="方正仿宋_GBK" w:hAnsi="方正仿宋_GBK" w:eastAsia="方正仿宋_GBK" w:cs="方正仿宋_GBK"/>
          <w:sz w:val="24"/>
          <w:szCs w:val="24"/>
        </w:rPr>
        <w:t>）……</w:t>
      </w:r>
    </w:p>
    <w:p w14:paraId="762EA45F">
      <w:pPr>
        <w:tabs>
          <w:tab w:val="left" w:pos="6300"/>
        </w:tabs>
        <w:snapToGrid w:val="0"/>
        <w:spacing w:line="400" w:lineRule="exact"/>
        <w:ind w:firstLine="480" w:firstLineChars="200"/>
        <w:rPr>
          <w:rFonts w:ascii="方正仿宋_GBK" w:hAnsi="方正仿宋_GBK" w:eastAsia="方正仿宋_GBK" w:cs="方正仿宋_GBK"/>
          <w:sz w:val="24"/>
          <w:szCs w:val="24"/>
        </w:rPr>
      </w:pPr>
    </w:p>
    <w:p w14:paraId="1391F036">
      <w:pPr>
        <w:tabs>
          <w:tab w:val="left" w:pos="6300"/>
        </w:tabs>
        <w:snapToGrid w:val="0"/>
        <w:spacing w:line="400" w:lineRule="exact"/>
        <w:ind w:firstLine="480" w:firstLineChars="200"/>
        <w:rPr>
          <w:rFonts w:ascii="方正仿宋_GBK" w:hAnsi="方正仿宋_GBK" w:eastAsia="方正仿宋_GBK" w:cs="方正仿宋_GBK"/>
          <w:sz w:val="24"/>
          <w:szCs w:val="24"/>
        </w:rPr>
      </w:pPr>
    </w:p>
    <w:p w14:paraId="229D31C8">
      <w:pPr>
        <w:tabs>
          <w:tab w:val="left" w:pos="6300"/>
        </w:tabs>
        <w:snapToGrid w:val="0"/>
        <w:spacing w:line="400" w:lineRule="exact"/>
        <w:ind w:firstLine="720" w:firstLineChars="3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法定代表人（单位负责人）（或代理人）签名或盖章：</w:t>
      </w:r>
    </w:p>
    <w:p w14:paraId="63B8E2B9">
      <w:pPr>
        <w:tabs>
          <w:tab w:val="left" w:pos="6300"/>
        </w:tabs>
        <w:snapToGrid w:val="0"/>
        <w:spacing w:line="400" w:lineRule="exact"/>
        <w:ind w:firstLine="720" w:firstLineChars="3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 xml:space="preserve">法定代表人（单位负责人）（或代理人）联系电话：              </w:t>
      </w:r>
    </w:p>
    <w:p w14:paraId="454A2942">
      <w:pPr>
        <w:tabs>
          <w:tab w:val="left" w:pos="6300"/>
        </w:tabs>
        <w:snapToGrid w:val="0"/>
        <w:spacing w:line="400" w:lineRule="exact"/>
        <w:ind w:firstLine="480" w:firstLineChars="200"/>
        <w:rPr>
          <w:rFonts w:ascii="方正仿宋_GBK" w:hAnsi="方正仿宋_GBK" w:eastAsia="方正仿宋_GBK" w:cs="方正仿宋_GBK"/>
          <w:sz w:val="24"/>
          <w:szCs w:val="24"/>
        </w:rPr>
      </w:pPr>
    </w:p>
    <w:p w14:paraId="5AB32FA1">
      <w:pPr>
        <w:tabs>
          <w:tab w:val="left" w:pos="6300"/>
        </w:tabs>
        <w:snapToGrid w:val="0"/>
        <w:spacing w:line="400" w:lineRule="exact"/>
        <w:ind w:firstLine="480" w:firstLineChars="200"/>
        <w:rPr>
          <w:rFonts w:ascii="方正仿宋_GBK" w:hAnsi="方正仿宋_GBK" w:eastAsia="方正仿宋_GBK" w:cs="方正仿宋_GBK"/>
          <w:sz w:val="24"/>
          <w:szCs w:val="24"/>
        </w:rPr>
      </w:pPr>
    </w:p>
    <w:p w14:paraId="0EBE7D07">
      <w:pPr>
        <w:tabs>
          <w:tab w:val="left" w:pos="6300"/>
        </w:tabs>
        <w:snapToGrid w:val="0"/>
        <w:spacing w:line="400" w:lineRule="exact"/>
        <w:ind w:firstLine="5520" w:firstLineChars="23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供应商（公章）：</w:t>
      </w:r>
    </w:p>
    <w:p w14:paraId="3F323232">
      <w:pPr>
        <w:tabs>
          <w:tab w:val="left" w:pos="6300"/>
        </w:tabs>
        <w:snapToGrid w:val="0"/>
        <w:spacing w:line="400" w:lineRule="exact"/>
        <w:ind w:firstLine="5520" w:firstLineChars="2300"/>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年   月   日</w:t>
      </w:r>
    </w:p>
    <w:p w14:paraId="4EE27916">
      <w:pPr>
        <w:rPr>
          <w:rFonts w:ascii="方正仿宋_GBK" w:hAnsi="宋体" w:eastAsia="方正仿宋_GBK"/>
          <w:sz w:val="24"/>
        </w:rPr>
      </w:pPr>
      <w:r>
        <w:rPr>
          <w:rFonts w:ascii="方正仿宋_GBK" w:hAnsi="宋体" w:eastAsia="方正仿宋_GBK"/>
          <w:sz w:val="24"/>
          <w:szCs w:val="24"/>
        </w:rPr>
        <w:br w:type="page"/>
      </w:r>
      <w:bookmarkEnd w:id="150"/>
      <w:bookmarkStart w:id="151" w:name="_Toc342913422"/>
      <w:bookmarkStart w:id="152" w:name="_Toc106030909"/>
      <w:bookmarkStart w:id="153" w:name="_Toc313008359"/>
      <w:bookmarkStart w:id="154" w:name="_Toc313888363"/>
      <w:bookmarkStart w:id="155" w:name="_Toc16543"/>
      <w:bookmarkStart w:id="156" w:name="_Toc76462353"/>
      <w:r>
        <w:rPr>
          <w:rFonts w:hint="eastAsia" w:ascii="方正仿宋_GBK" w:hAnsi="宋体" w:eastAsia="方正仿宋_GBK"/>
          <w:sz w:val="24"/>
        </w:rPr>
        <w:t>四、资格条件</w:t>
      </w:r>
      <w:bookmarkEnd w:id="151"/>
      <w:bookmarkEnd w:id="152"/>
      <w:bookmarkEnd w:id="153"/>
      <w:bookmarkEnd w:id="154"/>
      <w:bookmarkEnd w:id="155"/>
      <w:bookmarkEnd w:id="156"/>
    </w:p>
    <w:p w14:paraId="21419694">
      <w:pPr>
        <w:tabs>
          <w:tab w:val="left" w:pos="6300"/>
        </w:tabs>
        <w:snapToGrid w:val="0"/>
        <w:spacing w:line="400" w:lineRule="exact"/>
        <w:ind w:firstLine="570"/>
        <w:outlineLvl w:val="2"/>
        <w:rPr>
          <w:rFonts w:ascii="方正仿宋_GBK" w:hAnsi="宋体" w:eastAsia="方正仿宋_GBK"/>
          <w:sz w:val="24"/>
          <w:szCs w:val="24"/>
        </w:rPr>
      </w:pPr>
      <w:r>
        <w:rPr>
          <w:rFonts w:hint="eastAsia" w:ascii="方正仿宋_GBK" w:hAnsi="宋体" w:eastAsia="方正仿宋_GBK"/>
          <w:sz w:val="24"/>
          <w:szCs w:val="24"/>
        </w:rPr>
        <w:t>（一）法人（单位负责人）营业执照（副本）复印件</w:t>
      </w:r>
    </w:p>
    <w:p w14:paraId="73A5BD4A">
      <w:pPr>
        <w:snapToGrid w:val="0"/>
        <w:spacing w:line="400" w:lineRule="exact"/>
        <w:ind w:firstLine="560" w:firstLineChars="200"/>
        <w:outlineLvl w:val="2"/>
        <w:rPr>
          <w:rFonts w:ascii="方正仿宋_GBK" w:hAnsi="宋体" w:eastAsia="方正仿宋_GBK"/>
          <w:sz w:val="24"/>
          <w:szCs w:val="24"/>
        </w:rPr>
      </w:pPr>
      <w:r>
        <w:rPr>
          <w:rFonts w:ascii="方正仿宋_GBK" w:hAnsi="宋体" w:eastAsia="方正仿宋_GBK"/>
        </w:rPr>
        <w:br w:type="page"/>
      </w:r>
      <w:r>
        <w:rPr>
          <w:rFonts w:hint="eastAsia" w:ascii="方正仿宋_GBK" w:hAnsi="宋体" w:eastAsia="方正仿宋_GBK"/>
          <w:sz w:val="24"/>
          <w:szCs w:val="24"/>
        </w:rPr>
        <w:t>（二）法定代表人（单位负责人）身份证明书（格式）</w:t>
      </w:r>
    </w:p>
    <w:p w14:paraId="3EB36A45">
      <w:pPr>
        <w:tabs>
          <w:tab w:val="left" w:pos="6300"/>
        </w:tabs>
        <w:snapToGrid w:val="0"/>
        <w:spacing w:line="500" w:lineRule="exact"/>
        <w:ind w:firstLine="570"/>
        <w:rPr>
          <w:rFonts w:ascii="方正仿宋_GBK" w:hAnsi="宋体" w:eastAsia="方正仿宋_GBK"/>
          <w:sz w:val="24"/>
        </w:rPr>
      </w:pPr>
    </w:p>
    <w:p w14:paraId="386C1EBD">
      <w:pPr>
        <w:tabs>
          <w:tab w:val="left" w:pos="6300"/>
        </w:tabs>
        <w:snapToGrid w:val="0"/>
        <w:spacing w:line="500" w:lineRule="exact"/>
        <w:ind w:firstLine="570"/>
        <w:rPr>
          <w:rFonts w:ascii="方正仿宋_GBK" w:hAnsi="宋体" w:eastAsia="方正仿宋_GBK"/>
          <w:sz w:val="24"/>
        </w:rPr>
      </w:pPr>
      <w:r>
        <w:rPr>
          <w:rFonts w:hint="eastAsia" w:ascii="方正仿宋_GBK" w:hAnsi="宋体" w:eastAsia="方正仿宋_GBK"/>
          <w:sz w:val="24"/>
        </w:rPr>
        <w:t>磋商项目名称：</w:t>
      </w:r>
      <w:r>
        <w:rPr>
          <w:rFonts w:hint="eastAsia" w:ascii="方正仿宋_GBK" w:hAnsi="宋体" w:eastAsia="方正仿宋_GBK"/>
          <w:sz w:val="24"/>
          <w:u w:val="single"/>
        </w:rPr>
        <w:t xml:space="preserve">                                                </w:t>
      </w:r>
    </w:p>
    <w:p w14:paraId="5B5B6B32">
      <w:pPr>
        <w:tabs>
          <w:tab w:val="left" w:pos="6300"/>
        </w:tabs>
        <w:snapToGrid w:val="0"/>
        <w:spacing w:line="500" w:lineRule="exact"/>
        <w:ind w:firstLine="570"/>
        <w:rPr>
          <w:rFonts w:ascii="方正仿宋_GBK" w:hAnsi="宋体" w:eastAsia="方正仿宋_GBK"/>
          <w:sz w:val="24"/>
        </w:rPr>
      </w:pPr>
    </w:p>
    <w:p w14:paraId="6B653508">
      <w:pPr>
        <w:tabs>
          <w:tab w:val="left" w:pos="6300"/>
        </w:tabs>
        <w:snapToGrid w:val="0"/>
        <w:spacing w:line="500" w:lineRule="exact"/>
        <w:rPr>
          <w:rFonts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rPr>
        <w:t xml:space="preserve">                     </w:t>
      </w:r>
      <w:r>
        <w:rPr>
          <w:rFonts w:hint="eastAsia" w:ascii="方正仿宋_GBK" w:hAnsi="宋体" w:eastAsia="方正仿宋_GBK"/>
          <w:sz w:val="24"/>
        </w:rPr>
        <w:t>（采购人名称）：</w:t>
      </w:r>
    </w:p>
    <w:p w14:paraId="594BD655">
      <w:pPr>
        <w:tabs>
          <w:tab w:val="left" w:pos="6300"/>
        </w:tabs>
        <w:snapToGrid w:val="0"/>
        <w:spacing w:line="500" w:lineRule="exact"/>
        <w:ind w:firstLine="570"/>
        <w:rPr>
          <w:rFonts w:ascii="方正仿宋_GBK" w:hAnsi="宋体" w:eastAsia="方正仿宋_GBK"/>
          <w:sz w:val="24"/>
        </w:rPr>
      </w:pPr>
      <w:r>
        <w:rPr>
          <w:rFonts w:hint="eastAsia" w:ascii="方正仿宋_GBK" w:hAnsi="宋体" w:eastAsia="方正仿宋_GBK"/>
          <w:sz w:val="24"/>
          <w:u w:val="single"/>
        </w:rPr>
        <w:t xml:space="preserve">        </w:t>
      </w:r>
      <w:r>
        <w:rPr>
          <w:rFonts w:hint="eastAsia" w:ascii="方正仿宋_GBK" w:hAnsi="宋体" w:eastAsia="方正仿宋_GBK"/>
          <w:sz w:val="24"/>
        </w:rPr>
        <w:t>（法定代表人</w:t>
      </w:r>
      <w:r>
        <w:rPr>
          <w:rFonts w:hint="eastAsia" w:ascii="方正仿宋_GBK" w:hAnsi="宋体" w:eastAsia="方正仿宋_GBK"/>
          <w:sz w:val="24"/>
          <w:szCs w:val="24"/>
        </w:rPr>
        <w:t>（单位负责人）</w:t>
      </w:r>
      <w:r>
        <w:rPr>
          <w:rFonts w:hint="eastAsia" w:ascii="方正仿宋_GBK" w:hAnsi="宋体" w:eastAsia="方正仿宋_GBK"/>
          <w:sz w:val="24"/>
        </w:rPr>
        <w:t>姓名）在</w:t>
      </w:r>
      <w:r>
        <w:rPr>
          <w:rFonts w:hint="eastAsia" w:ascii="方正仿宋_GBK" w:hAnsi="宋体" w:eastAsia="方正仿宋_GBK"/>
          <w:sz w:val="24"/>
          <w:u w:val="single"/>
        </w:rPr>
        <w:t xml:space="preserve">                       </w:t>
      </w:r>
      <w:r>
        <w:rPr>
          <w:rFonts w:hint="eastAsia" w:ascii="方正仿宋_GBK" w:hAnsi="宋体" w:eastAsia="方正仿宋_GBK"/>
          <w:sz w:val="24"/>
        </w:rPr>
        <w:t>（供应商名称）任</w:t>
      </w:r>
      <w:r>
        <w:rPr>
          <w:rFonts w:hint="eastAsia" w:ascii="方正仿宋_GBK" w:hAnsi="宋体" w:eastAsia="方正仿宋_GBK"/>
          <w:sz w:val="24"/>
          <w:u w:val="single"/>
        </w:rPr>
        <w:t xml:space="preserve">    </w:t>
      </w:r>
      <w:r>
        <w:rPr>
          <w:rFonts w:hint="eastAsia" w:ascii="方正仿宋_GBK" w:hAnsi="宋体" w:eastAsia="方正仿宋_GBK"/>
          <w:sz w:val="24"/>
        </w:rPr>
        <w:t>（职务名称）职务，是（供应商名称）</w:t>
      </w:r>
      <w:r>
        <w:rPr>
          <w:rFonts w:hint="eastAsia" w:ascii="方正仿宋_GBK" w:hAnsi="宋体" w:eastAsia="方正仿宋_GBK"/>
          <w:sz w:val="24"/>
          <w:u w:val="single"/>
        </w:rPr>
        <w:t xml:space="preserve">              </w:t>
      </w:r>
      <w:r>
        <w:rPr>
          <w:rFonts w:hint="eastAsia" w:ascii="方正仿宋_GBK" w:hAnsi="宋体" w:eastAsia="方正仿宋_GBK"/>
          <w:sz w:val="24"/>
        </w:rPr>
        <w:t>的法定代表人</w:t>
      </w:r>
      <w:r>
        <w:rPr>
          <w:rFonts w:hint="eastAsia" w:ascii="方正仿宋_GBK" w:hAnsi="宋体" w:eastAsia="方正仿宋_GBK"/>
          <w:sz w:val="24"/>
          <w:szCs w:val="24"/>
        </w:rPr>
        <w:t>（单位负责人）</w:t>
      </w:r>
      <w:r>
        <w:rPr>
          <w:rFonts w:hint="eastAsia" w:ascii="方正仿宋_GBK" w:hAnsi="宋体" w:eastAsia="方正仿宋_GBK"/>
          <w:sz w:val="24"/>
        </w:rPr>
        <w:t>。</w:t>
      </w:r>
    </w:p>
    <w:p w14:paraId="1B71B337">
      <w:pPr>
        <w:tabs>
          <w:tab w:val="left" w:pos="6300"/>
        </w:tabs>
        <w:snapToGrid w:val="0"/>
        <w:spacing w:line="500" w:lineRule="exact"/>
        <w:ind w:firstLine="570"/>
        <w:rPr>
          <w:rFonts w:ascii="方正仿宋_GBK" w:hAnsi="宋体" w:eastAsia="方正仿宋_GBK"/>
          <w:sz w:val="24"/>
        </w:rPr>
      </w:pPr>
    </w:p>
    <w:p w14:paraId="68CC474B">
      <w:pPr>
        <w:tabs>
          <w:tab w:val="left" w:pos="6300"/>
        </w:tabs>
        <w:snapToGrid w:val="0"/>
        <w:spacing w:line="500" w:lineRule="exact"/>
        <w:ind w:firstLine="570"/>
        <w:rPr>
          <w:rFonts w:ascii="方正仿宋_GBK" w:hAnsi="宋体" w:eastAsia="方正仿宋_GBK"/>
          <w:sz w:val="24"/>
        </w:rPr>
      </w:pPr>
      <w:r>
        <w:rPr>
          <w:rFonts w:hint="eastAsia" w:ascii="方正仿宋_GBK" w:hAnsi="宋体" w:eastAsia="方正仿宋_GBK"/>
          <w:sz w:val="24"/>
        </w:rPr>
        <w:t>特此证明。</w:t>
      </w:r>
    </w:p>
    <w:p w14:paraId="45B30227">
      <w:pPr>
        <w:tabs>
          <w:tab w:val="left" w:pos="6300"/>
        </w:tabs>
        <w:snapToGrid w:val="0"/>
        <w:spacing w:line="500" w:lineRule="exact"/>
        <w:ind w:firstLine="570"/>
        <w:rPr>
          <w:rFonts w:ascii="方正仿宋_GBK" w:hAnsi="宋体" w:eastAsia="方正仿宋_GBK"/>
          <w:sz w:val="24"/>
        </w:rPr>
      </w:pPr>
    </w:p>
    <w:p w14:paraId="21EAF0D9">
      <w:pPr>
        <w:tabs>
          <w:tab w:val="left" w:pos="6300"/>
        </w:tabs>
        <w:snapToGrid w:val="0"/>
        <w:spacing w:line="500" w:lineRule="exact"/>
        <w:ind w:firstLine="570"/>
        <w:rPr>
          <w:rFonts w:ascii="方正仿宋_GBK" w:hAnsi="宋体" w:eastAsia="方正仿宋_GBK"/>
          <w:sz w:val="24"/>
        </w:rPr>
      </w:pPr>
    </w:p>
    <w:p w14:paraId="279FBC64">
      <w:pPr>
        <w:tabs>
          <w:tab w:val="left" w:pos="6300"/>
        </w:tabs>
        <w:snapToGrid w:val="0"/>
        <w:spacing w:line="500" w:lineRule="exact"/>
        <w:ind w:firstLine="570"/>
        <w:rPr>
          <w:rFonts w:ascii="方正仿宋_GBK" w:hAnsi="宋体" w:eastAsia="方正仿宋_GBK"/>
          <w:sz w:val="24"/>
        </w:rPr>
      </w:pPr>
    </w:p>
    <w:p w14:paraId="6A81DC10">
      <w:pPr>
        <w:tabs>
          <w:tab w:val="left" w:pos="6300"/>
        </w:tabs>
        <w:snapToGrid w:val="0"/>
        <w:spacing w:line="500" w:lineRule="exact"/>
        <w:ind w:firstLine="570"/>
        <w:rPr>
          <w:rFonts w:ascii="方正仿宋_GBK" w:hAnsi="宋体" w:eastAsia="方正仿宋_GBK"/>
          <w:sz w:val="24"/>
        </w:rPr>
      </w:pPr>
      <w:r>
        <w:rPr>
          <w:rFonts w:hint="eastAsia" w:ascii="方正仿宋_GBK" w:hAnsi="宋体" w:eastAsia="方正仿宋_GBK"/>
          <w:sz w:val="24"/>
        </w:rPr>
        <w:t xml:space="preserve">                                             （供应商公章）</w:t>
      </w:r>
    </w:p>
    <w:p w14:paraId="08FEDA96">
      <w:pPr>
        <w:tabs>
          <w:tab w:val="left" w:pos="6300"/>
        </w:tabs>
        <w:snapToGrid w:val="0"/>
        <w:spacing w:line="500" w:lineRule="exact"/>
        <w:ind w:firstLine="570"/>
        <w:rPr>
          <w:rFonts w:ascii="方正仿宋_GBK" w:hAnsi="宋体" w:eastAsia="方正仿宋_GBK"/>
          <w:sz w:val="24"/>
        </w:rPr>
      </w:pPr>
    </w:p>
    <w:p w14:paraId="42AA2DC2">
      <w:pPr>
        <w:tabs>
          <w:tab w:val="left" w:pos="6300"/>
        </w:tabs>
        <w:snapToGrid w:val="0"/>
        <w:spacing w:line="500" w:lineRule="exact"/>
        <w:ind w:firstLine="570"/>
        <w:rPr>
          <w:rFonts w:ascii="方正仿宋_GBK" w:hAnsi="宋体" w:eastAsia="方正仿宋_GBK"/>
          <w:sz w:val="24"/>
        </w:rPr>
      </w:pPr>
      <w:r>
        <w:rPr>
          <w:rFonts w:hint="eastAsia" w:ascii="方正仿宋_GBK" w:hAnsi="宋体" w:eastAsia="方正仿宋_GBK"/>
          <w:sz w:val="24"/>
        </w:rPr>
        <w:t xml:space="preserve">                                             年   月   日</w:t>
      </w:r>
    </w:p>
    <w:p w14:paraId="13CABC9B">
      <w:pPr>
        <w:tabs>
          <w:tab w:val="left" w:pos="6300"/>
        </w:tabs>
        <w:snapToGrid w:val="0"/>
        <w:spacing w:line="500" w:lineRule="exact"/>
        <w:ind w:firstLine="570"/>
        <w:rPr>
          <w:rFonts w:ascii="方正仿宋_GBK" w:hAnsi="仿宋" w:eastAsia="方正仿宋_GBK"/>
          <w:sz w:val="24"/>
        </w:rPr>
      </w:pPr>
      <w:r>
        <w:rPr>
          <w:rFonts w:hint="eastAsia" w:ascii="方正仿宋_GBK" w:hAnsi="仿宋" w:eastAsia="方正仿宋_GBK"/>
          <w:sz w:val="24"/>
        </w:rPr>
        <w:t>法定代表人</w:t>
      </w:r>
      <w:r>
        <w:rPr>
          <w:rFonts w:hint="eastAsia" w:ascii="方正仿宋_GBK" w:hAnsi="宋体" w:eastAsia="方正仿宋_GBK"/>
          <w:sz w:val="24"/>
          <w:szCs w:val="24"/>
        </w:rPr>
        <w:t>（单位负责人）</w:t>
      </w:r>
      <w:r>
        <w:rPr>
          <w:rFonts w:hint="eastAsia" w:ascii="方正仿宋_GBK" w:hAnsi="仿宋" w:eastAsia="方正仿宋_GBK"/>
          <w:sz w:val="24"/>
        </w:rPr>
        <w:t>电话：</w:t>
      </w:r>
      <w:r>
        <w:rPr>
          <w:rFonts w:hint="eastAsia" w:ascii="Times New Roman" w:hAnsi="Times New Roman" w:eastAsia="方正仿宋_GBK"/>
          <w:sz w:val="24"/>
        </w:rPr>
        <w:t>XXXXXXX</w:t>
      </w:r>
      <w:r>
        <w:rPr>
          <w:rFonts w:hint="eastAsia" w:ascii="方正仿宋_GBK" w:hAnsi="仿宋" w:eastAsia="方正仿宋_GBK"/>
          <w:sz w:val="24"/>
        </w:rPr>
        <w:t xml:space="preserve">      电子邮箱：</w:t>
      </w:r>
      <w:r>
        <w:rPr>
          <w:rFonts w:hint="eastAsia" w:ascii="Times New Roman" w:hAnsi="Times New Roman" w:eastAsia="方正仿宋_GBK"/>
          <w:sz w:val="24"/>
        </w:rPr>
        <w:t>XXXXXX</w:t>
      </w:r>
      <w:r>
        <w:rPr>
          <w:rFonts w:hint="eastAsia" w:ascii="方正仿宋_GBK" w:hAnsi="仿宋" w:eastAsia="方正仿宋_GBK"/>
          <w:sz w:val="24"/>
        </w:rPr>
        <w:t>@</w:t>
      </w:r>
      <w:r>
        <w:rPr>
          <w:rFonts w:hint="eastAsia" w:ascii="Times New Roman" w:hAnsi="Times New Roman" w:eastAsia="方正仿宋_GBK"/>
          <w:sz w:val="24"/>
        </w:rPr>
        <w:t>XXXXX</w:t>
      </w:r>
      <w:r>
        <w:rPr>
          <w:rFonts w:hint="eastAsia" w:ascii="方正仿宋_GBK" w:hAnsi="仿宋" w:eastAsia="方正仿宋_GBK"/>
          <w:sz w:val="24"/>
        </w:rPr>
        <w:t>（若授权他人办理并签署响应文件的可不填写）</w:t>
      </w:r>
    </w:p>
    <w:p w14:paraId="29617CB6">
      <w:pPr>
        <w:tabs>
          <w:tab w:val="left" w:pos="6300"/>
        </w:tabs>
        <w:snapToGrid w:val="0"/>
        <w:spacing w:line="500" w:lineRule="exact"/>
        <w:ind w:firstLine="570"/>
        <w:rPr>
          <w:rFonts w:ascii="方正仿宋_GBK" w:hAnsi="宋体" w:eastAsia="方正仿宋_GBK"/>
          <w:sz w:val="24"/>
        </w:rPr>
      </w:pPr>
      <w:r>
        <w:rPr>
          <w:rFonts w:hint="eastAsia" w:ascii="方正仿宋_GBK" w:hAnsi="仿宋" w:eastAsia="方正仿宋_GBK"/>
          <w:sz w:val="24"/>
        </w:rPr>
        <w:t>（附：法定代表人</w:t>
      </w:r>
      <w:r>
        <w:rPr>
          <w:rFonts w:hint="eastAsia" w:ascii="方正仿宋_GBK" w:hAnsi="宋体" w:eastAsia="方正仿宋_GBK"/>
          <w:sz w:val="24"/>
          <w:szCs w:val="24"/>
        </w:rPr>
        <w:t>（单位负责人）</w:t>
      </w:r>
      <w:r>
        <w:rPr>
          <w:rFonts w:hint="eastAsia" w:ascii="方正仿宋_GBK" w:hAnsi="仿宋" w:eastAsia="方正仿宋_GBK"/>
          <w:sz w:val="24"/>
        </w:rPr>
        <w:t>身份证正反面复印件）</w:t>
      </w:r>
    </w:p>
    <w:p w14:paraId="3D64FBA5">
      <w:pPr>
        <w:tabs>
          <w:tab w:val="left" w:pos="6300"/>
        </w:tabs>
        <w:snapToGrid w:val="0"/>
        <w:spacing w:line="500" w:lineRule="exact"/>
        <w:ind w:firstLine="570"/>
        <w:rPr>
          <w:rFonts w:ascii="方正仿宋_GBK" w:hAnsi="宋体" w:eastAsia="方正仿宋_GBK"/>
          <w:sz w:val="24"/>
        </w:rPr>
      </w:pPr>
    </w:p>
    <w:p w14:paraId="3CA66542">
      <w:pPr>
        <w:tabs>
          <w:tab w:val="left" w:pos="6300"/>
        </w:tabs>
        <w:snapToGrid w:val="0"/>
        <w:spacing w:line="500" w:lineRule="exact"/>
        <w:ind w:firstLine="570"/>
        <w:rPr>
          <w:rFonts w:ascii="方正仿宋_GBK" w:hAnsi="宋体" w:eastAsia="方正仿宋_GBK"/>
          <w:sz w:val="24"/>
        </w:rPr>
      </w:pPr>
    </w:p>
    <w:p w14:paraId="137C8422">
      <w:pPr>
        <w:tabs>
          <w:tab w:val="left" w:pos="6300"/>
        </w:tabs>
        <w:snapToGrid w:val="0"/>
        <w:spacing w:line="500" w:lineRule="exact"/>
        <w:ind w:firstLine="570"/>
        <w:rPr>
          <w:rFonts w:ascii="方正仿宋_GBK" w:hAnsi="宋体" w:eastAsia="方正仿宋_GBK"/>
          <w:sz w:val="24"/>
        </w:rPr>
      </w:pPr>
    </w:p>
    <w:p w14:paraId="78833C7A">
      <w:pPr>
        <w:tabs>
          <w:tab w:val="left" w:pos="6300"/>
        </w:tabs>
        <w:snapToGrid w:val="0"/>
        <w:spacing w:line="500" w:lineRule="exact"/>
        <w:ind w:firstLine="570"/>
        <w:rPr>
          <w:rFonts w:ascii="方正仿宋_GBK" w:hAnsi="宋体" w:eastAsia="方正仿宋_GBK"/>
          <w:sz w:val="24"/>
        </w:rPr>
      </w:pPr>
    </w:p>
    <w:p w14:paraId="5A150D7E">
      <w:pPr>
        <w:tabs>
          <w:tab w:val="left" w:pos="6300"/>
        </w:tabs>
        <w:snapToGrid w:val="0"/>
        <w:spacing w:line="500" w:lineRule="exact"/>
        <w:ind w:firstLine="570"/>
        <w:rPr>
          <w:rFonts w:ascii="方正仿宋_GBK" w:hAnsi="宋体" w:eastAsia="方正仿宋_GBK"/>
          <w:sz w:val="24"/>
        </w:rPr>
      </w:pPr>
    </w:p>
    <w:p w14:paraId="736C168D">
      <w:pPr>
        <w:tabs>
          <w:tab w:val="left" w:pos="6300"/>
        </w:tabs>
        <w:snapToGrid w:val="0"/>
        <w:spacing w:line="500" w:lineRule="exact"/>
        <w:ind w:firstLine="570"/>
        <w:rPr>
          <w:rFonts w:ascii="方正仿宋_GBK" w:hAnsi="宋体" w:eastAsia="方正仿宋_GBK"/>
          <w:sz w:val="24"/>
        </w:rPr>
      </w:pPr>
    </w:p>
    <w:p w14:paraId="5862DFB1">
      <w:pPr>
        <w:snapToGrid w:val="0"/>
        <w:spacing w:line="400" w:lineRule="exact"/>
        <w:ind w:firstLine="560" w:firstLineChars="200"/>
        <w:outlineLvl w:val="2"/>
        <w:rPr>
          <w:rFonts w:ascii="方正仿宋_GBK" w:hAnsi="宋体" w:eastAsia="方正仿宋_GBK"/>
          <w:sz w:val="24"/>
          <w:szCs w:val="24"/>
        </w:rPr>
      </w:pPr>
      <w:r>
        <w:br w:type="column"/>
      </w:r>
      <w:r>
        <w:rPr>
          <w:rFonts w:hint="eastAsia" w:ascii="方正仿宋_GBK" w:hAnsi="宋体" w:eastAsia="方正仿宋_GBK"/>
          <w:sz w:val="24"/>
          <w:szCs w:val="24"/>
        </w:rPr>
        <w:t>（三）法定代表人（单位负责人）授权委托书（格式）</w:t>
      </w:r>
    </w:p>
    <w:p w14:paraId="06E03BC8">
      <w:pPr>
        <w:tabs>
          <w:tab w:val="left" w:pos="6300"/>
        </w:tabs>
        <w:snapToGrid w:val="0"/>
        <w:spacing w:line="500" w:lineRule="exact"/>
        <w:ind w:firstLine="570"/>
        <w:rPr>
          <w:rFonts w:ascii="方正仿宋_GBK" w:hAnsi="宋体" w:eastAsia="方正仿宋_GBK"/>
          <w:sz w:val="24"/>
        </w:rPr>
      </w:pPr>
      <w:r>
        <w:rPr>
          <w:rFonts w:hint="eastAsia" w:ascii="方正仿宋_GBK" w:hAnsi="宋体" w:eastAsia="方正仿宋_GBK"/>
          <w:sz w:val="24"/>
        </w:rPr>
        <w:t xml:space="preserve">    </w:t>
      </w:r>
    </w:p>
    <w:p w14:paraId="00799011">
      <w:pPr>
        <w:tabs>
          <w:tab w:val="left" w:pos="6300"/>
        </w:tabs>
        <w:snapToGrid w:val="0"/>
        <w:spacing w:line="500" w:lineRule="exact"/>
        <w:ind w:firstLine="480" w:firstLineChars="200"/>
        <w:rPr>
          <w:rFonts w:ascii="方正仿宋_GBK" w:hAnsi="宋体" w:eastAsia="方正仿宋_GBK"/>
          <w:sz w:val="24"/>
        </w:rPr>
      </w:pPr>
      <w:r>
        <w:rPr>
          <w:rFonts w:hint="eastAsia" w:ascii="方正仿宋_GBK" w:hAnsi="宋体" w:eastAsia="方正仿宋_GBK"/>
          <w:sz w:val="24"/>
          <w:szCs w:val="28"/>
        </w:rPr>
        <w:t>磋商项目名称</w:t>
      </w:r>
      <w:r>
        <w:rPr>
          <w:rFonts w:hint="eastAsia" w:ascii="方正仿宋_GBK" w:hAnsi="宋体" w:eastAsia="方正仿宋_GBK"/>
          <w:sz w:val="24"/>
        </w:rPr>
        <w:t>：</w:t>
      </w:r>
      <w:r>
        <w:rPr>
          <w:rFonts w:hint="eastAsia" w:ascii="方正仿宋_GBK" w:hAnsi="宋体" w:eastAsia="方正仿宋_GBK"/>
          <w:sz w:val="24"/>
          <w:u w:val="single"/>
        </w:rPr>
        <w:t xml:space="preserve">                                                </w:t>
      </w:r>
    </w:p>
    <w:p w14:paraId="2AC1D158">
      <w:pPr>
        <w:tabs>
          <w:tab w:val="left" w:pos="6300"/>
        </w:tabs>
        <w:snapToGrid w:val="0"/>
        <w:spacing w:line="500" w:lineRule="exact"/>
        <w:ind w:firstLine="570"/>
        <w:rPr>
          <w:rFonts w:ascii="方正仿宋_GBK" w:hAnsi="宋体" w:eastAsia="方正仿宋_GBK"/>
          <w:sz w:val="24"/>
        </w:rPr>
      </w:pPr>
    </w:p>
    <w:p w14:paraId="385E64EC">
      <w:pPr>
        <w:tabs>
          <w:tab w:val="left" w:pos="6300"/>
        </w:tabs>
        <w:snapToGrid w:val="0"/>
        <w:spacing w:line="500" w:lineRule="exact"/>
        <w:rPr>
          <w:rFonts w:ascii="方正仿宋_GBK" w:hAnsi="宋体" w:eastAsia="方正仿宋_GBK"/>
          <w:sz w:val="24"/>
        </w:rPr>
      </w:pPr>
      <w:r>
        <w:rPr>
          <w:rFonts w:hint="eastAsia" w:ascii="方正仿宋_GBK" w:hAnsi="宋体" w:eastAsia="方正仿宋_GBK"/>
          <w:sz w:val="24"/>
        </w:rPr>
        <w:t>致：</w:t>
      </w:r>
      <w:r>
        <w:rPr>
          <w:rFonts w:hint="eastAsia" w:ascii="方正仿宋_GBK" w:hAnsi="宋体" w:eastAsia="方正仿宋_GBK"/>
          <w:sz w:val="24"/>
          <w:u w:val="single"/>
        </w:rPr>
        <w:t xml:space="preserve">                     </w:t>
      </w:r>
      <w:r>
        <w:rPr>
          <w:rFonts w:hint="eastAsia" w:ascii="方正仿宋_GBK" w:hAnsi="宋体" w:eastAsia="方正仿宋_GBK"/>
          <w:sz w:val="24"/>
        </w:rPr>
        <w:t>（采购人名称）：</w:t>
      </w:r>
    </w:p>
    <w:p w14:paraId="7B56B6CC">
      <w:pPr>
        <w:tabs>
          <w:tab w:val="left" w:pos="6300"/>
        </w:tabs>
        <w:snapToGrid w:val="0"/>
        <w:spacing w:line="500" w:lineRule="exact"/>
        <w:ind w:firstLine="480" w:firstLineChars="200"/>
        <w:rPr>
          <w:rFonts w:ascii="方正仿宋_GBK" w:hAnsi="宋体" w:eastAsia="方正仿宋_GBK"/>
          <w:sz w:val="24"/>
        </w:rPr>
      </w:pPr>
      <w:r>
        <w:rPr>
          <w:rFonts w:hint="eastAsia" w:ascii="方正仿宋_GBK" w:hAnsi="宋体" w:eastAsia="方正仿宋_GBK"/>
          <w:sz w:val="24"/>
          <w:u w:val="single"/>
        </w:rPr>
        <w:t xml:space="preserve">            </w:t>
      </w:r>
      <w:r>
        <w:rPr>
          <w:rFonts w:hint="eastAsia" w:ascii="方正仿宋_GBK" w:hAnsi="宋体" w:eastAsia="方正仿宋_GBK"/>
          <w:sz w:val="24"/>
        </w:rPr>
        <w:t>（供应商法定代表人</w:t>
      </w:r>
      <w:r>
        <w:rPr>
          <w:rFonts w:hint="eastAsia" w:ascii="方正仿宋_GBK" w:hAnsi="宋体" w:eastAsia="方正仿宋_GBK"/>
          <w:sz w:val="24"/>
          <w:szCs w:val="24"/>
        </w:rPr>
        <w:t>（单位负责人）</w:t>
      </w:r>
      <w:r>
        <w:rPr>
          <w:rFonts w:hint="eastAsia" w:ascii="方正仿宋_GBK" w:hAnsi="宋体" w:eastAsia="方正仿宋_GBK"/>
          <w:sz w:val="24"/>
        </w:rPr>
        <w:t>名称）是</w:t>
      </w:r>
      <w:r>
        <w:rPr>
          <w:rFonts w:hint="eastAsia" w:ascii="方正仿宋_GBK" w:hAnsi="宋体" w:eastAsia="方正仿宋_GBK"/>
          <w:sz w:val="24"/>
          <w:u w:val="single"/>
        </w:rPr>
        <w:t xml:space="preserve">                    </w:t>
      </w:r>
      <w:r>
        <w:rPr>
          <w:rFonts w:hint="eastAsia" w:ascii="方正仿宋_GBK" w:hAnsi="宋体" w:eastAsia="方正仿宋_GBK"/>
          <w:sz w:val="24"/>
        </w:rPr>
        <w:t>（供应商名称）的法定代表人</w:t>
      </w:r>
      <w:r>
        <w:rPr>
          <w:rFonts w:hint="eastAsia" w:ascii="方正仿宋_GBK" w:hAnsi="宋体" w:eastAsia="方正仿宋_GBK"/>
          <w:sz w:val="24"/>
          <w:szCs w:val="24"/>
        </w:rPr>
        <w:t>（单位负责人）</w:t>
      </w:r>
      <w:r>
        <w:rPr>
          <w:rFonts w:hint="eastAsia" w:ascii="方正仿宋_GBK" w:hAnsi="宋体" w:eastAsia="方正仿宋_GBK"/>
          <w:sz w:val="24"/>
        </w:rPr>
        <w:t>，特授权</w:t>
      </w:r>
      <w:r>
        <w:rPr>
          <w:rFonts w:hint="eastAsia" w:ascii="方正仿宋_GBK" w:hAnsi="宋体" w:eastAsia="方正仿宋_GBK"/>
          <w:sz w:val="24"/>
          <w:u w:val="single"/>
        </w:rPr>
        <w:t xml:space="preserve">          </w:t>
      </w:r>
      <w:r>
        <w:rPr>
          <w:rFonts w:hint="eastAsia" w:ascii="方正仿宋_GBK" w:hAnsi="宋体" w:eastAsia="方正仿宋_GBK"/>
          <w:sz w:val="24"/>
        </w:rPr>
        <w:t>（被授权人姓名及身份证代码）代表我单位全权办理上述项目的磋商、签约等具体工作，并签署全部有关文件、协议及合同。</w:t>
      </w:r>
    </w:p>
    <w:p w14:paraId="2C97D8E2">
      <w:pPr>
        <w:tabs>
          <w:tab w:val="left" w:pos="6300"/>
        </w:tabs>
        <w:snapToGrid w:val="0"/>
        <w:spacing w:line="500" w:lineRule="exact"/>
        <w:ind w:firstLine="480" w:firstLineChars="200"/>
        <w:rPr>
          <w:rFonts w:ascii="方正仿宋_GBK" w:hAnsi="宋体" w:eastAsia="方正仿宋_GBK"/>
          <w:sz w:val="24"/>
        </w:rPr>
      </w:pPr>
      <w:r>
        <w:rPr>
          <w:rFonts w:hint="eastAsia" w:ascii="方正仿宋_GBK" w:hAnsi="宋体" w:eastAsia="方正仿宋_GBK"/>
          <w:sz w:val="24"/>
        </w:rPr>
        <w:t>我单位对被授权人的</w:t>
      </w:r>
      <w:r>
        <w:rPr>
          <w:rFonts w:hint="eastAsia" w:ascii="方正仿宋_GBK" w:hAnsi="宋体" w:eastAsia="方正仿宋_GBK"/>
          <w:sz w:val="24"/>
          <w:szCs w:val="28"/>
        </w:rPr>
        <w:t>签署</w:t>
      </w:r>
      <w:r>
        <w:rPr>
          <w:rFonts w:hint="eastAsia" w:ascii="方正仿宋_GBK" w:hAnsi="宋体" w:eastAsia="方正仿宋_GBK"/>
          <w:sz w:val="24"/>
        </w:rPr>
        <w:t>负全部责任。</w:t>
      </w:r>
    </w:p>
    <w:p w14:paraId="3E22E050">
      <w:pPr>
        <w:tabs>
          <w:tab w:val="left" w:pos="6300"/>
        </w:tabs>
        <w:snapToGrid w:val="0"/>
        <w:spacing w:line="500" w:lineRule="exact"/>
        <w:ind w:firstLine="480" w:firstLineChars="200"/>
        <w:rPr>
          <w:rFonts w:ascii="方正仿宋_GBK" w:hAnsi="宋体" w:eastAsia="方正仿宋_GBK"/>
          <w:sz w:val="24"/>
        </w:rPr>
      </w:pPr>
      <w:r>
        <w:rPr>
          <w:rFonts w:hint="eastAsia" w:ascii="方正仿宋_GBK" w:hAnsi="宋体" w:eastAsia="方正仿宋_GBK"/>
          <w:sz w:val="24"/>
        </w:rPr>
        <w:t>在撤销授权的书面通知以前，本授权书一直有效。被授权人在授权书有效期内签署的所有文件不因授权的撤销而失效。</w:t>
      </w:r>
    </w:p>
    <w:p w14:paraId="640193F4">
      <w:pPr>
        <w:tabs>
          <w:tab w:val="left" w:pos="6300"/>
        </w:tabs>
        <w:snapToGrid w:val="0"/>
        <w:spacing w:line="500" w:lineRule="exact"/>
        <w:ind w:firstLine="570"/>
        <w:rPr>
          <w:rFonts w:ascii="方正仿宋_GBK" w:hAnsi="宋体" w:eastAsia="方正仿宋_GBK"/>
          <w:sz w:val="24"/>
        </w:rPr>
      </w:pPr>
    </w:p>
    <w:p w14:paraId="5769083B">
      <w:pPr>
        <w:tabs>
          <w:tab w:val="left" w:pos="6300"/>
        </w:tabs>
        <w:snapToGrid w:val="0"/>
        <w:spacing w:line="500" w:lineRule="exact"/>
        <w:ind w:firstLine="570"/>
        <w:rPr>
          <w:rFonts w:ascii="方正仿宋_GBK" w:hAnsi="宋体" w:eastAsia="方正仿宋_GBK"/>
          <w:sz w:val="24"/>
        </w:rPr>
      </w:pPr>
    </w:p>
    <w:p w14:paraId="5F16AB0E">
      <w:pPr>
        <w:tabs>
          <w:tab w:val="left" w:pos="6300"/>
        </w:tabs>
        <w:snapToGrid w:val="0"/>
        <w:spacing w:line="500" w:lineRule="exact"/>
        <w:ind w:firstLine="570"/>
        <w:rPr>
          <w:rFonts w:ascii="方正仿宋_GBK" w:hAnsi="宋体" w:eastAsia="方正仿宋_GBK"/>
          <w:sz w:val="24"/>
        </w:rPr>
      </w:pPr>
      <w:r>
        <w:rPr>
          <w:rFonts w:hint="eastAsia" w:ascii="方正仿宋_GBK" w:hAnsi="宋体" w:eastAsia="方正仿宋_GBK"/>
          <w:sz w:val="24"/>
        </w:rPr>
        <w:t>被授权人：                           供应商法定代表人</w:t>
      </w:r>
      <w:r>
        <w:rPr>
          <w:rFonts w:hint="eastAsia" w:ascii="方正仿宋_GBK" w:hAnsi="宋体" w:eastAsia="方正仿宋_GBK"/>
          <w:sz w:val="24"/>
          <w:szCs w:val="24"/>
        </w:rPr>
        <w:t>（单位负责人）</w:t>
      </w:r>
      <w:r>
        <w:rPr>
          <w:rFonts w:hint="eastAsia" w:ascii="方正仿宋_GBK" w:hAnsi="宋体" w:eastAsia="方正仿宋_GBK"/>
          <w:sz w:val="24"/>
        </w:rPr>
        <w:t>：</w:t>
      </w:r>
    </w:p>
    <w:p w14:paraId="55AA3B93">
      <w:pPr>
        <w:tabs>
          <w:tab w:val="left" w:pos="6300"/>
        </w:tabs>
        <w:snapToGrid w:val="0"/>
        <w:spacing w:line="500" w:lineRule="exact"/>
        <w:ind w:firstLine="570"/>
        <w:rPr>
          <w:rFonts w:ascii="方正仿宋_GBK" w:hAnsi="宋体" w:eastAsia="方正仿宋_GBK"/>
          <w:sz w:val="24"/>
          <w:szCs w:val="28"/>
        </w:rPr>
      </w:pPr>
      <w:r>
        <w:rPr>
          <w:rFonts w:hint="eastAsia" w:ascii="方正仿宋_GBK" w:hAnsi="宋体" w:eastAsia="方正仿宋_GBK"/>
          <w:sz w:val="24"/>
          <w:szCs w:val="28"/>
        </w:rPr>
        <w:t>（签署或盖章）                                （签署或盖章）</w:t>
      </w:r>
    </w:p>
    <w:p w14:paraId="7F05D3BD">
      <w:pPr>
        <w:tabs>
          <w:tab w:val="left" w:pos="6300"/>
        </w:tabs>
        <w:snapToGrid w:val="0"/>
        <w:spacing w:line="500" w:lineRule="exact"/>
        <w:ind w:firstLine="570"/>
        <w:rPr>
          <w:rFonts w:ascii="方正仿宋_GBK" w:hAnsi="宋体" w:eastAsia="方正仿宋_GBK"/>
          <w:sz w:val="24"/>
          <w:szCs w:val="28"/>
        </w:rPr>
      </w:pPr>
    </w:p>
    <w:p w14:paraId="30FF95CE">
      <w:pPr>
        <w:tabs>
          <w:tab w:val="left" w:pos="6300"/>
        </w:tabs>
        <w:snapToGrid w:val="0"/>
        <w:spacing w:line="500" w:lineRule="exact"/>
        <w:ind w:firstLine="570"/>
        <w:rPr>
          <w:rFonts w:ascii="方正仿宋_GBK" w:hAnsi="宋体" w:eastAsia="方正仿宋_GBK"/>
          <w:sz w:val="24"/>
        </w:rPr>
      </w:pPr>
    </w:p>
    <w:p w14:paraId="17FB5007">
      <w:pPr>
        <w:tabs>
          <w:tab w:val="left" w:pos="6300"/>
        </w:tabs>
        <w:snapToGrid w:val="0"/>
        <w:spacing w:line="500" w:lineRule="exact"/>
        <w:ind w:firstLine="570"/>
        <w:rPr>
          <w:rFonts w:ascii="方正仿宋_GBK" w:hAnsi="宋体" w:eastAsia="方正仿宋_GBK"/>
          <w:sz w:val="24"/>
        </w:rPr>
      </w:pPr>
      <w:r>
        <w:rPr>
          <w:rFonts w:hint="eastAsia" w:ascii="方正仿宋_GBK" w:hAnsi="宋体" w:eastAsia="方正仿宋_GBK"/>
          <w:sz w:val="24"/>
        </w:rPr>
        <w:t>（附：被授权人身份证正反面复印件）</w:t>
      </w:r>
    </w:p>
    <w:p w14:paraId="68690132">
      <w:pPr>
        <w:tabs>
          <w:tab w:val="left" w:pos="6300"/>
        </w:tabs>
        <w:snapToGrid w:val="0"/>
        <w:spacing w:line="500" w:lineRule="exact"/>
        <w:ind w:firstLine="570"/>
        <w:rPr>
          <w:rFonts w:ascii="方正仿宋_GBK" w:hAnsi="宋体" w:eastAsia="方正仿宋_GBK"/>
          <w:sz w:val="24"/>
        </w:rPr>
      </w:pPr>
      <w:r>
        <w:rPr>
          <w:rFonts w:hint="eastAsia" w:ascii="方正仿宋_GBK" w:hAnsi="宋体" w:eastAsia="方正仿宋_GBK"/>
          <w:sz w:val="24"/>
        </w:rPr>
        <w:t xml:space="preserve">                                          </w:t>
      </w:r>
    </w:p>
    <w:p w14:paraId="06F418BB">
      <w:pPr>
        <w:tabs>
          <w:tab w:val="left" w:pos="6300"/>
        </w:tabs>
        <w:snapToGrid w:val="0"/>
        <w:spacing w:line="500" w:lineRule="exact"/>
        <w:ind w:firstLine="570"/>
        <w:rPr>
          <w:rFonts w:ascii="方正仿宋_GBK" w:hAnsi="宋体" w:eastAsia="方正仿宋_GBK"/>
          <w:sz w:val="24"/>
        </w:rPr>
      </w:pPr>
    </w:p>
    <w:p w14:paraId="1276144B">
      <w:pPr>
        <w:tabs>
          <w:tab w:val="left" w:pos="6300"/>
        </w:tabs>
        <w:snapToGrid w:val="0"/>
        <w:spacing w:line="500" w:lineRule="exact"/>
        <w:ind w:firstLine="570"/>
        <w:rPr>
          <w:rFonts w:ascii="方正仿宋_GBK" w:hAnsi="宋体" w:eastAsia="方正仿宋_GBK"/>
          <w:sz w:val="24"/>
        </w:rPr>
      </w:pPr>
    </w:p>
    <w:p w14:paraId="1F788AFA">
      <w:pPr>
        <w:tabs>
          <w:tab w:val="left" w:pos="6300"/>
        </w:tabs>
        <w:snapToGrid w:val="0"/>
        <w:spacing w:line="500" w:lineRule="exact"/>
        <w:ind w:right="480" w:firstLine="570"/>
        <w:jc w:val="right"/>
        <w:rPr>
          <w:rFonts w:ascii="方正仿宋_GBK" w:hAnsi="宋体" w:eastAsia="方正仿宋_GBK"/>
          <w:sz w:val="24"/>
        </w:rPr>
      </w:pPr>
      <w:r>
        <w:rPr>
          <w:rFonts w:hint="eastAsia" w:ascii="方正仿宋_GBK" w:hAnsi="宋体" w:eastAsia="方正仿宋_GBK"/>
          <w:sz w:val="24"/>
        </w:rPr>
        <w:t>（供应商公章）</w:t>
      </w:r>
    </w:p>
    <w:p w14:paraId="2F8FB897">
      <w:pPr>
        <w:tabs>
          <w:tab w:val="left" w:pos="6300"/>
        </w:tabs>
        <w:snapToGrid w:val="0"/>
        <w:spacing w:line="500" w:lineRule="exact"/>
        <w:ind w:right="480" w:firstLine="570"/>
        <w:jc w:val="right"/>
        <w:rPr>
          <w:rFonts w:ascii="方正仿宋_GBK" w:hAnsi="宋体" w:eastAsia="方正仿宋_GBK"/>
          <w:sz w:val="24"/>
        </w:rPr>
      </w:pPr>
      <w:r>
        <w:rPr>
          <w:rFonts w:hint="eastAsia" w:ascii="方正仿宋_GBK" w:hAnsi="宋体" w:eastAsia="方正仿宋_GBK"/>
          <w:sz w:val="24"/>
        </w:rPr>
        <w:t>年   月   日</w:t>
      </w:r>
    </w:p>
    <w:p w14:paraId="3BBC99D9">
      <w:pPr>
        <w:tabs>
          <w:tab w:val="left" w:pos="6300"/>
        </w:tabs>
        <w:snapToGrid w:val="0"/>
        <w:spacing w:line="500" w:lineRule="exact"/>
        <w:ind w:right="480" w:firstLine="570"/>
        <w:jc w:val="left"/>
        <w:rPr>
          <w:rFonts w:ascii="方正仿宋_GBK" w:hAnsi="仿宋" w:eastAsia="方正仿宋_GBK"/>
          <w:sz w:val="24"/>
        </w:rPr>
      </w:pPr>
      <w:r>
        <w:rPr>
          <w:rFonts w:hint="eastAsia" w:ascii="方正仿宋_GBK" w:hAnsi="仿宋" w:eastAsia="方正仿宋_GBK"/>
          <w:sz w:val="24"/>
        </w:rPr>
        <w:t>被授权人电话：</w:t>
      </w:r>
      <w:r>
        <w:rPr>
          <w:rFonts w:hint="eastAsia" w:ascii="Times New Roman" w:hAnsi="Times New Roman" w:eastAsia="方正仿宋_GBK"/>
          <w:sz w:val="24"/>
        </w:rPr>
        <w:t>XXXXXXX</w:t>
      </w:r>
      <w:r>
        <w:rPr>
          <w:rFonts w:hint="eastAsia" w:ascii="方正仿宋_GBK" w:hAnsi="仿宋" w:eastAsia="方正仿宋_GBK"/>
          <w:sz w:val="24"/>
        </w:rPr>
        <w:t xml:space="preserve">     电子邮箱：</w:t>
      </w:r>
      <w:r>
        <w:rPr>
          <w:rFonts w:hint="eastAsia" w:ascii="Times New Roman" w:hAnsi="Times New Roman" w:eastAsia="方正仿宋_GBK"/>
          <w:sz w:val="24"/>
        </w:rPr>
        <w:t>XXXXXX</w:t>
      </w:r>
      <w:r>
        <w:rPr>
          <w:rFonts w:hint="eastAsia" w:ascii="方正仿宋_GBK" w:hAnsi="仿宋" w:eastAsia="方正仿宋_GBK"/>
          <w:sz w:val="24"/>
        </w:rPr>
        <w:t>@</w:t>
      </w:r>
      <w:r>
        <w:rPr>
          <w:rFonts w:hint="eastAsia" w:ascii="Times New Roman" w:hAnsi="Times New Roman" w:eastAsia="方正仿宋_GBK"/>
          <w:sz w:val="24"/>
        </w:rPr>
        <w:t>XXXXX</w:t>
      </w:r>
      <w:r>
        <w:rPr>
          <w:rFonts w:hint="eastAsia" w:ascii="方正仿宋_GBK" w:hAnsi="仿宋" w:eastAsia="方正仿宋_GBK"/>
          <w:sz w:val="24"/>
        </w:rPr>
        <w:t>（若法定代表人</w:t>
      </w:r>
      <w:r>
        <w:rPr>
          <w:rFonts w:hint="eastAsia" w:ascii="方正仿宋_GBK" w:hAnsi="宋体" w:eastAsia="方正仿宋_GBK"/>
          <w:sz w:val="24"/>
          <w:szCs w:val="24"/>
        </w:rPr>
        <w:t>（单位负责人）</w:t>
      </w:r>
      <w:r>
        <w:rPr>
          <w:rFonts w:hint="eastAsia" w:ascii="方正仿宋_GBK" w:hAnsi="仿宋" w:eastAsia="方正仿宋_GBK"/>
          <w:sz w:val="24"/>
        </w:rPr>
        <w:t>办理并签署响应文件的可不填写）</w:t>
      </w:r>
    </w:p>
    <w:p w14:paraId="276EB8C1">
      <w:pPr>
        <w:tabs>
          <w:tab w:val="left" w:pos="6300"/>
        </w:tabs>
        <w:snapToGrid w:val="0"/>
        <w:spacing w:line="500" w:lineRule="exact"/>
        <w:ind w:right="480" w:firstLine="570"/>
        <w:jc w:val="left"/>
        <w:rPr>
          <w:rFonts w:ascii="方正仿宋_GBK" w:hAnsi="仿宋" w:eastAsia="方正仿宋_GBK"/>
          <w:sz w:val="24"/>
        </w:rPr>
      </w:pPr>
      <w:r>
        <w:rPr>
          <w:rFonts w:hint="eastAsia" w:ascii="方正仿宋_GBK" w:hAnsi="仿宋" w:eastAsia="方正仿宋_GBK"/>
          <w:sz w:val="24"/>
        </w:rPr>
        <w:t>注：</w:t>
      </w:r>
    </w:p>
    <w:p w14:paraId="3215F3C7">
      <w:pPr>
        <w:tabs>
          <w:tab w:val="left" w:pos="6300"/>
        </w:tabs>
        <w:snapToGrid w:val="0"/>
        <w:spacing w:line="500" w:lineRule="exact"/>
        <w:ind w:right="480" w:firstLine="570"/>
        <w:jc w:val="left"/>
        <w:rPr>
          <w:rFonts w:ascii="方正仿宋_GBK" w:hAnsi="仿宋" w:eastAsia="方正仿宋_GBK"/>
          <w:sz w:val="24"/>
        </w:rPr>
      </w:pPr>
      <w:r>
        <w:rPr>
          <w:rFonts w:hint="eastAsia" w:ascii="Times New Roman" w:hAnsi="Times New Roman" w:eastAsia="方正仿宋_GBK"/>
          <w:sz w:val="24"/>
        </w:rPr>
        <w:t>1</w:t>
      </w:r>
      <w:r>
        <w:rPr>
          <w:rFonts w:hint="eastAsia" w:ascii="方正仿宋_GBK" w:hAnsi="仿宋" w:eastAsia="方正仿宋_GBK"/>
          <w:sz w:val="24"/>
        </w:rPr>
        <w:t>.若为法定代表人</w:t>
      </w:r>
      <w:r>
        <w:rPr>
          <w:rFonts w:hint="eastAsia" w:ascii="方正仿宋_GBK" w:hAnsi="宋体" w:eastAsia="方正仿宋_GBK"/>
          <w:sz w:val="24"/>
          <w:szCs w:val="24"/>
        </w:rPr>
        <w:t>（单位负责人）</w:t>
      </w:r>
      <w:r>
        <w:rPr>
          <w:rFonts w:hint="eastAsia" w:ascii="方正仿宋_GBK" w:hAnsi="仿宋" w:eastAsia="方正仿宋_GBK"/>
          <w:sz w:val="24"/>
        </w:rPr>
        <w:t>办理并签署响应文件的，不提供此文件。</w:t>
      </w:r>
    </w:p>
    <w:p w14:paraId="2A6231A8">
      <w:pPr>
        <w:tabs>
          <w:tab w:val="left" w:pos="6300"/>
        </w:tabs>
        <w:snapToGrid w:val="0"/>
        <w:spacing w:line="500" w:lineRule="exact"/>
        <w:ind w:firstLine="570"/>
        <w:outlineLvl w:val="2"/>
        <w:rPr>
          <w:rFonts w:ascii="方正仿宋_GBK" w:hAnsi="宋体" w:eastAsia="方正仿宋_GBK"/>
          <w:sz w:val="24"/>
          <w:szCs w:val="24"/>
        </w:rPr>
      </w:pPr>
      <w:r>
        <w:rPr>
          <w:rFonts w:ascii="宋体" w:hAnsi="宋体"/>
        </w:rPr>
        <w:br w:type="column"/>
      </w:r>
      <w:r>
        <w:rPr>
          <w:rFonts w:hint="eastAsia" w:ascii="方正仿宋_GBK" w:hAnsi="宋体" w:eastAsia="方正仿宋_GBK"/>
          <w:sz w:val="24"/>
          <w:szCs w:val="24"/>
        </w:rPr>
        <w:t>（四）</w:t>
      </w:r>
      <w:r>
        <w:rPr>
          <w:rFonts w:hint="eastAsia" w:ascii="方正仿宋_GBK" w:hAnsi="宋体" w:eastAsia="方正仿宋_GBK"/>
          <w:sz w:val="24"/>
          <w:szCs w:val="28"/>
        </w:rPr>
        <w:t>基本资格条件承诺函</w:t>
      </w:r>
    </w:p>
    <w:p w14:paraId="4F087955">
      <w:pPr>
        <w:tabs>
          <w:tab w:val="left" w:pos="6300"/>
        </w:tabs>
        <w:snapToGrid w:val="0"/>
        <w:spacing w:line="500" w:lineRule="exact"/>
        <w:ind w:firstLine="643" w:firstLineChars="200"/>
        <w:jc w:val="center"/>
        <w:rPr>
          <w:rFonts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基本资格条件承诺函</w:t>
      </w:r>
    </w:p>
    <w:p w14:paraId="656E29C3">
      <w:pPr>
        <w:tabs>
          <w:tab w:val="left" w:pos="6300"/>
        </w:tabs>
        <w:snapToGrid w:val="0"/>
        <w:spacing w:line="530" w:lineRule="exact"/>
        <w:rPr>
          <w:sz w:val="24"/>
        </w:rPr>
      </w:pPr>
    </w:p>
    <w:p w14:paraId="24B779C9">
      <w:pPr>
        <w:tabs>
          <w:tab w:val="left" w:pos="6300"/>
        </w:tabs>
        <w:snapToGrid w:val="0"/>
        <w:spacing w:line="500" w:lineRule="exact"/>
        <w:ind w:firstLine="480" w:firstLineChars="200"/>
        <w:rPr>
          <w:rFonts w:ascii="方正仿宋_GBK" w:hAnsi="仿宋" w:eastAsia="方正仿宋_GBK"/>
          <w:sz w:val="24"/>
        </w:rPr>
      </w:pPr>
      <w:r>
        <w:rPr>
          <w:rFonts w:hint="eastAsia" w:ascii="方正仿宋_GBK" w:hAnsi="仿宋" w:eastAsia="方正仿宋_GBK"/>
          <w:sz w:val="24"/>
        </w:rPr>
        <w:t>致</w:t>
      </w:r>
      <w:r>
        <w:rPr>
          <w:rFonts w:hint="eastAsia" w:ascii="方正仿宋_GBK" w:hAnsi="仿宋" w:eastAsia="方正仿宋_GBK"/>
          <w:sz w:val="24"/>
          <w:u w:val="single"/>
        </w:rPr>
        <w:t xml:space="preserve">                   </w:t>
      </w:r>
      <w:r>
        <w:rPr>
          <w:rFonts w:hint="eastAsia" w:ascii="方正仿宋_GBK" w:hAnsi="仿宋" w:eastAsia="方正仿宋_GBK"/>
          <w:sz w:val="24"/>
        </w:rPr>
        <w:t>（采购人名称）：</w:t>
      </w:r>
    </w:p>
    <w:p w14:paraId="584158FC">
      <w:pPr>
        <w:tabs>
          <w:tab w:val="left" w:pos="6300"/>
        </w:tabs>
        <w:snapToGrid w:val="0"/>
        <w:spacing w:line="500" w:lineRule="exact"/>
        <w:ind w:firstLine="480" w:firstLineChars="200"/>
        <w:rPr>
          <w:rFonts w:ascii="方正仿宋_GBK" w:hAnsi="仿宋" w:eastAsia="方正仿宋_GBK"/>
          <w:sz w:val="24"/>
        </w:rPr>
      </w:pPr>
      <w:r>
        <w:rPr>
          <w:rFonts w:hint="eastAsia" w:ascii="方正仿宋_GBK" w:hAnsi="仿宋" w:eastAsia="方正仿宋_GBK"/>
          <w:sz w:val="24"/>
        </w:rPr>
        <w:t xml:space="preserve">    </w:t>
      </w:r>
      <w:r>
        <w:rPr>
          <w:rFonts w:hint="eastAsia" w:ascii="方正仿宋_GBK" w:hAnsi="仿宋" w:eastAsia="方正仿宋_GBK"/>
          <w:sz w:val="24"/>
          <w:u w:val="single"/>
        </w:rPr>
        <w:t xml:space="preserve">              </w:t>
      </w:r>
      <w:r>
        <w:rPr>
          <w:rFonts w:hint="eastAsia" w:ascii="方正仿宋_GBK" w:hAnsi="仿宋" w:eastAsia="方正仿宋_GBK"/>
          <w:sz w:val="24"/>
        </w:rPr>
        <w:t>（供应商名称）郑重承诺：</w:t>
      </w:r>
    </w:p>
    <w:p w14:paraId="39078EF3">
      <w:pPr>
        <w:tabs>
          <w:tab w:val="left" w:pos="6300"/>
        </w:tabs>
        <w:snapToGrid w:val="0"/>
        <w:spacing w:line="500" w:lineRule="exact"/>
        <w:ind w:firstLine="480" w:firstLineChars="200"/>
        <w:rPr>
          <w:rFonts w:ascii="方正仿宋_GBK" w:hAnsi="仿宋" w:eastAsia="方正仿宋_GBK"/>
          <w:sz w:val="24"/>
        </w:rPr>
      </w:pPr>
      <w:r>
        <w:rPr>
          <w:rFonts w:hint="eastAsia" w:ascii="Times New Roman" w:hAnsi="Times New Roman" w:eastAsia="方正仿宋_GBK"/>
          <w:sz w:val="24"/>
        </w:rPr>
        <w:t>1</w:t>
      </w:r>
      <w:r>
        <w:rPr>
          <w:rFonts w:hint="eastAsia" w:ascii="方正仿宋_GBK" w:hAnsi="仿宋" w:eastAsia="方正仿宋_GBK"/>
          <w:sz w:val="24"/>
        </w:rPr>
        <w:t>.我方具有良好的商业信誉和健全的财务会计制度，具有履行合同所必需的设备和专业技术能力，具</w:t>
      </w:r>
      <w:r>
        <w:rPr>
          <w:rFonts w:hint="eastAsia" w:ascii="方正仿宋_GBK" w:hAnsi="仿宋" w:eastAsia="方正仿宋_GBK"/>
          <w:sz w:val="24"/>
          <w:lang w:val="zh-CN"/>
        </w:rPr>
        <w:t>有依法缴纳税收和社会保障金的良好记录</w:t>
      </w:r>
      <w:r>
        <w:rPr>
          <w:rFonts w:hint="eastAsia" w:ascii="方正仿宋_GBK" w:hAnsi="仿宋" w:eastAsia="方正仿宋_GBK"/>
          <w:sz w:val="24"/>
        </w:rPr>
        <w:t>，参加本项目采购活动前三年内无重大违法活动记录。</w:t>
      </w:r>
    </w:p>
    <w:p w14:paraId="091A41A4">
      <w:pPr>
        <w:tabs>
          <w:tab w:val="left" w:pos="6300"/>
        </w:tabs>
        <w:snapToGrid w:val="0"/>
        <w:spacing w:line="500" w:lineRule="exact"/>
        <w:ind w:firstLine="480" w:firstLineChars="200"/>
        <w:rPr>
          <w:rFonts w:ascii="方正仿宋_GBK" w:hAnsi="仿宋" w:eastAsia="方正仿宋_GBK"/>
          <w:sz w:val="24"/>
        </w:rPr>
      </w:pPr>
      <w:r>
        <w:rPr>
          <w:rFonts w:hint="eastAsia" w:ascii="Times New Roman" w:hAnsi="Times New Roman" w:eastAsia="方正仿宋_GBK"/>
          <w:sz w:val="24"/>
        </w:rPr>
        <w:t>2</w:t>
      </w:r>
      <w:r>
        <w:rPr>
          <w:rFonts w:hint="eastAsia" w:ascii="方正仿宋_GBK" w:hAnsi="仿宋" w:eastAsia="方正仿宋_GBK"/>
          <w:sz w:val="24"/>
        </w:rPr>
        <w:t>.我方未列入在信用中国网站（</w:t>
      </w:r>
      <w:r>
        <w:rPr>
          <w:rFonts w:hint="eastAsia" w:ascii="Times New Roman" w:hAnsi="Times New Roman" w:eastAsia="方正仿宋_GBK"/>
          <w:sz w:val="24"/>
        </w:rPr>
        <w:t>www</w:t>
      </w:r>
      <w:r>
        <w:rPr>
          <w:rFonts w:hint="eastAsia" w:ascii="方正仿宋_GBK" w:hAnsi="仿宋" w:eastAsia="方正仿宋_GBK"/>
          <w:sz w:val="24"/>
        </w:rPr>
        <w:t>.</w:t>
      </w:r>
      <w:r>
        <w:rPr>
          <w:rFonts w:hint="eastAsia" w:ascii="Times New Roman" w:hAnsi="Times New Roman" w:eastAsia="方正仿宋_GBK"/>
          <w:sz w:val="24"/>
        </w:rPr>
        <w:t>creditchina</w:t>
      </w:r>
      <w:r>
        <w:rPr>
          <w:rFonts w:hint="eastAsia" w:ascii="方正仿宋_GBK" w:hAnsi="仿宋" w:eastAsia="方正仿宋_GBK"/>
          <w:sz w:val="24"/>
        </w:rPr>
        <w:t>.</w:t>
      </w:r>
      <w:r>
        <w:rPr>
          <w:rFonts w:hint="eastAsia" w:ascii="Times New Roman" w:hAnsi="Times New Roman" w:eastAsia="方正仿宋_GBK"/>
          <w:sz w:val="24"/>
        </w:rPr>
        <w:t>gov</w:t>
      </w:r>
      <w:r>
        <w:rPr>
          <w:rFonts w:hint="eastAsia" w:ascii="方正仿宋_GBK" w:hAnsi="仿宋" w:eastAsia="方正仿宋_GBK"/>
          <w:sz w:val="24"/>
        </w:rPr>
        <w:t>.</w:t>
      </w:r>
      <w:r>
        <w:rPr>
          <w:rFonts w:hint="eastAsia" w:ascii="Times New Roman" w:hAnsi="Times New Roman" w:eastAsia="方正仿宋_GBK"/>
          <w:sz w:val="24"/>
        </w:rPr>
        <w:t>cn</w:t>
      </w:r>
      <w:r>
        <w:rPr>
          <w:rFonts w:hint="eastAsia" w:ascii="方正仿宋_GBK" w:hAnsi="仿宋" w:eastAsia="方正仿宋_GBK"/>
          <w:sz w:val="24"/>
        </w:rPr>
        <w:t>）“失信被执行人”、“重大税收违法案件当事人名单”中，也未列入中国政府采购网（</w:t>
      </w:r>
      <w:r>
        <w:rPr>
          <w:rFonts w:hint="eastAsia" w:ascii="Times New Roman" w:hAnsi="Times New Roman" w:eastAsia="方正仿宋_GBK"/>
          <w:sz w:val="24"/>
        </w:rPr>
        <w:t>www</w:t>
      </w:r>
      <w:r>
        <w:rPr>
          <w:rFonts w:hint="eastAsia" w:ascii="方正仿宋_GBK" w:hAnsi="仿宋" w:eastAsia="方正仿宋_GBK"/>
          <w:sz w:val="24"/>
        </w:rPr>
        <w:t>.</w:t>
      </w:r>
      <w:r>
        <w:rPr>
          <w:rFonts w:hint="eastAsia" w:ascii="Times New Roman" w:hAnsi="Times New Roman" w:eastAsia="方正仿宋_GBK"/>
          <w:sz w:val="24"/>
        </w:rPr>
        <w:t>ccgp</w:t>
      </w:r>
      <w:r>
        <w:rPr>
          <w:rFonts w:hint="eastAsia" w:ascii="方正仿宋_GBK" w:hAnsi="仿宋" w:eastAsia="方正仿宋_GBK"/>
          <w:sz w:val="24"/>
        </w:rPr>
        <w:t>.</w:t>
      </w:r>
      <w:r>
        <w:rPr>
          <w:rFonts w:hint="eastAsia" w:ascii="Times New Roman" w:hAnsi="Times New Roman" w:eastAsia="方正仿宋_GBK"/>
          <w:sz w:val="24"/>
        </w:rPr>
        <w:t>gov</w:t>
      </w:r>
      <w:r>
        <w:rPr>
          <w:rFonts w:hint="eastAsia" w:ascii="方正仿宋_GBK" w:hAnsi="仿宋" w:eastAsia="方正仿宋_GBK"/>
          <w:sz w:val="24"/>
        </w:rPr>
        <w:t>.</w:t>
      </w:r>
      <w:r>
        <w:rPr>
          <w:rFonts w:hint="eastAsia" w:ascii="Times New Roman" w:hAnsi="Times New Roman" w:eastAsia="方正仿宋_GBK"/>
          <w:sz w:val="24"/>
        </w:rPr>
        <w:t>cn</w:t>
      </w:r>
      <w:r>
        <w:rPr>
          <w:rFonts w:hint="eastAsia" w:ascii="方正仿宋_GBK" w:hAnsi="仿宋" w:eastAsia="方正仿宋_GBK"/>
          <w:sz w:val="24"/>
        </w:rPr>
        <w:t>）“政府采购严重违法失信行为记录名单”中。</w:t>
      </w:r>
    </w:p>
    <w:p w14:paraId="73FA1677">
      <w:pPr>
        <w:tabs>
          <w:tab w:val="left" w:pos="6300"/>
        </w:tabs>
        <w:snapToGrid w:val="0"/>
        <w:spacing w:line="500" w:lineRule="exact"/>
        <w:ind w:firstLine="480" w:firstLineChars="200"/>
        <w:rPr>
          <w:rFonts w:ascii="方正仿宋_GBK" w:hAnsi="仿宋" w:eastAsia="方正仿宋_GBK"/>
          <w:sz w:val="24"/>
        </w:rPr>
      </w:pPr>
      <w:r>
        <w:rPr>
          <w:rFonts w:hint="eastAsia" w:ascii="Times New Roman" w:hAnsi="Times New Roman" w:eastAsia="方正仿宋_GBK"/>
          <w:sz w:val="24"/>
        </w:rPr>
        <w:t>3</w:t>
      </w:r>
      <w:r>
        <w:rPr>
          <w:rFonts w:hint="eastAsia" w:ascii="方正仿宋_GBK" w:hAnsi="仿宋" w:eastAsia="方正仿宋_GBK"/>
          <w:sz w:val="24"/>
        </w:rPr>
        <w:t>.我方在采购项目评审（评标）环节结束后，随时接受采购人、采购代理机构的检查验证，配合提供相关证明材料，证明符合《中华人民共和国政府采购法》规定的供应商基本资格条件。</w:t>
      </w:r>
    </w:p>
    <w:p w14:paraId="7F132797">
      <w:pPr>
        <w:tabs>
          <w:tab w:val="left" w:pos="6300"/>
        </w:tabs>
        <w:snapToGrid w:val="0"/>
        <w:spacing w:line="500" w:lineRule="exact"/>
        <w:ind w:firstLine="480" w:firstLineChars="200"/>
        <w:rPr>
          <w:rFonts w:ascii="方正仿宋_GBK" w:hAnsi="仿宋" w:eastAsia="方正仿宋_GBK"/>
          <w:sz w:val="24"/>
        </w:rPr>
      </w:pPr>
      <w:r>
        <w:rPr>
          <w:rFonts w:hint="eastAsia" w:ascii="方正仿宋_GBK" w:hAnsi="仿宋" w:eastAsia="方正仿宋_GBK"/>
          <w:sz w:val="24"/>
        </w:rPr>
        <w:t>我方对以上承诺负全部法律责任。</w:t>
      </w:r>
    </w:p>
    <w:p w14:paraId="3F4F33DE">
      <w:pPr>
        <w:tabs>
          <w:tab w:val="left" w:pos="6300"/>
        </w:tabs>
        <w:snapToGrid w:val="0"/>
        <w:spacing w:line="500" w:lineRule="exact"/>
        <w:ind w:firstLine="480" w:firstLineChars="200"/>
        <w:rPr>
          <w:rFonts w:ascii="方正仿宋_GBK" w:hAnsi="仿宋" w:eastAsia="方正仿宋_GBK"/>
          <w:sz w:val="24"/>
        </w:rPr>
      </w:pPr>
      <w:r>
        <w:rPr>
          <w:rFonts w:hint="eastAsia" w:ascii="方正仿宋_GBK" w:hAnsi="仿宋" w:eastAsia="方正仿宋_GBK"/>
          <w:sz w:val="24"/>
        </w:rPr>
        <w:t>特此承诺。</w:t>
      </w:r>
    </w:p>
    <w:p w14:paraId="5727C636">
      <w:pPr>
        <w:tabs>
          <w:tab w:val="left" w:pos="6300"/>
        </w:tabs>
        <w:snapToGrid w:val="0"/>
        <w:spacing w:line="500" w:lineRule="exact"/>
        <w:ind w:firstLine="480" w:firstLineChars="200"/>
        <w:rPr>
          <w:rFonts w:ascii="方正仿宋_GBK" w:hAnsi="仿宋" w:eastAsia="方正仿宋_GBK"/>
          <w:sz w:val="24"/>
        </w:rPr>
      </w:pPr>
    </w:p>
    <w:p w14:paraId="2F47C28D">
      <w:pPr>
        <w:tabs>
          <w:tab w:val="left" w:pos="6300"/>
        </w:tabs>
        <w:snapToGrid w:val="0"/>
        <w:spacing w:line="500" w:lineRule="exact"/>
        <w:ind w:firstLine="480" w:firstLineChars="200"/>
        <w:jc w:val="right"/>
        <w:rPr>
          <w:rFonts w:ascii="方正仿宋_GBK" w:hAnsi="仿宋" w:eastAsia="方正仿宋_GBK"/>
          <w:sz w:val="24"/>
        </w:rPr>
      </w:pPr>
      <w:r>
        <w:rPr>
          <w:rFonts w:hint="eastAsia" w:ascii="方正仿宋_GBK" w:hAnsi="仿宋" w:eastAsia="方正仿宋_GBK"/>
          <w:sz w:val="24"/>
        </w:rPr>
        <w:t>（供应商公章）</w:t>
      </w:r>
    </w:p>
    <w:p w14:paraId="016D3E54">
      <w:pPr>
        <w:tabs>
          <w:tab w:val="left" w:pos="6300"/>
        </w:tabs>
        <w:snapToGrid w:val="0"/>
        <w:spacing w:line="500" w:lineRule="exact"/>
        <w:ind w:firstLine="7920" w:firstLineChars="3300"/>
        <w:rPr>
          <w:rFonts w:ascii="方正仿宋_GBK" w:hAnsi="宋体" w:eastAsia="方正仿宋_GBK"/>
          <w:sz w:val="24"/>
          <w:szCs w:val="24"/>
        </w:rPr>
      </w:pPr>
      <w:r>
        <w:rPr>
          <w:rFonts w:hint="eastAsia" w:ascii="方正仿宋_GBK" w:hAnsi="仿宋" w:eastAsia="方正仿宋_GBK"/>
          <w:sz w:val="24"/>
        </w:rPr>
        <w:t>年   月   日</w:t>
      </w:r>
    </w:p>
    <w:p w14:paraId="1F3660C8">
      <w:pPr>
        <w:snapToGrid w:val="0"/>
        <w:spacing w:line="400" w:lineRule="exact"/>
        <w:ind w:firstLine="560" w:firstLineChars="200"/>
        <w:rPr>
          <w:rFonts w:ascii="方正仿宋_GBK" w:hAnsi="宋体" w:eastAsia="方正仿宋_GBK"/>
          <w:sz w:val="24"/>
          <w:szCs w:val="24"/>
        </w:rPr>
      </w:pPr>
      <w:r>
        <w:rPr>
          <w:rFonts w:ascii="方正仿宋_GBK" w:hAnsi="宋体" w:eastAsia="方正仿宋_GBK"/>
        </w:rPr>
        <w:br w:type="page"/>
      </w:r>
    </w:p>
    <w:p w14:paraId="0D576254">
      <w:pPr>
        <w:pStyle w:val="4"/>
        <w:adjustRightInd w:val="0"/>
        <w:snapToGrid w:val="0"/>
        <w:spacing w:before="0" w:after="0" w:line="400" w:lineRule="exact"/>
        <w:rPr>
          <w:rFonts w:ascii="方正仿宋_GBK" w:hAnsi="宋体" w:eastAsia="方正仿宋_GBK"/>
          <w:sz w:val="24"/>
          <w:szCs w:val="24"/>
        </w:rPr>
      </w:pPr>
      <w:bookmarkStart w:id="157" w:name="_Toc14422"/>
      <w:bookmarkStart w:id="158" w:name="_Toc106030910"/>
      <w:bookmarkStart w:id="159" w:name="_Toc23912"/>
      <w:bookmarkStart w:id="160" w:name="_Toc76462354"/>
      <w:r>
        <w:rPr>
          <w:rFonts w:hint="eastAsia" w:ascii="方正仿宋_GBK" w:hAnsi="宋体" w:eastAsia="方正仿宋_GBK"/>
          <w:sz w:val="24"/>
        </w:rPr>
        <w:t>五、其他资料</w:t>
      </w:r>
      <w:bookmarkEnd w:id="157"/>
      <w:bookmarkEnd w:id="158"/>
      <w:bookmarkEnd w:id="159"/>
      <w:bookmarkEnd w:id="160"/>
    </w:p>
    <w:p w14:paraId="0DF34931">
      <w:pPr>
        <w:snapToGrid w:val="0"/>
        <w:spacing w:line="400" w:lineRule="exact"/>
        <w:rPr>
          <w:rFonts w:ascii="方正仿宋_GBK" w:hAnsi="宋体" w:eastAsia="方正仿宋_GBK"/>
          <w:sz w:val="24"/>
          <w:szCs w:val="24"/>
        </w:rPr>
      </w:pPr>
      <w:r>
        <w:rPr>
          <w:rFonts w:hint="eastAsia" w:ascii="方正仿宋_GBK" w:hAnsi="宋体" w:eastAsia="方正仿宋_GBK"/>
          <w:sz w:val="24"/>
          <w:szCs w:val="24"/>
        </w:rPr>
        <w:t>（一）其他与项目有关的资料</w:t>
      </w:r>
    </w:p>
    <w:p w14:paraId="0C20E2BD">
      <w:pPr>
        <w:rPr>
          <w:rFonts w:ascii="方正仿宋_GBK" w:hAnsi="宋体" w:eastAsia="方正仿宋_GBK"/>
          <w:sz w:val="24"/>
          <w:szCs w:val="24"/>
        </w:rPr>
      </w:pPr>
    </w:p>
    <w:p w14:paraId="44CAD8AF">
      <w:pPr>
        <w:rPr>
          <w:rFonts w:ascii="方正仿宋_GBK" w:hAnsi="宋体" w:eastAsia="方正仿宋_GBK"/>
          <w:sz w:val="24"/>
          <w:szCs w:val="24"/>
        </w:rPr>
      </w:pPr>
    </w:p>
    <w:p w14:paraId="5689474D">
      <w:pPr>
        <w:rPr>
          <w:rFonts w:ascii="方正仿宋_GBK" w:hAnsi="宋体" w:eastAsia="方正仿宋_GBK"/>
          <w:sz w:val="24"/>
          <w:szCs w:val="24"/>
        </w:rPr>
      </w:pPr>
    </w:p>
    <w:p w14:paraId="51001F70">
      <w:pPr>
        <w:rPr>
          <w:rFonts w:ascii="方正仿宋_GBK" w:hAnsi="宋体" w:eastAsia="方正仿宋_GBK"/>
          <w:sz w:val="24"/>
          <w:szCs w:val="24"/>
        </w:rPr>
      </w:pPr>
    </w:p>
    <w:p w14:paraId="6350C8FD">
      <w:pPr>
        <w:rPr>
          <w:rFonts w:ascii="方正仿宋_GBK" w:hAnsi="宋体" w:eastAsia="方正仿宋_GBK"/>
          <w:sz w:val="24"/>
          <w:szCs w:val="24"/>
        </w:rPr>
      </w:pPr>
    </w:p>
    <w:p w14:paraId="631E78E4">
      <w:pPr>
        <w:rPr>
          <w:rFonts w:ascii="方正仿宋_GBK" w:hAnsi="宋体" w:eastAsia="方正仿宋_GBK"/>
          <w:sz w:val="24"/>
          <w:szCs w:val="24"/>
        </w:rPr>
      </w:pPr>
    </w:p>
    <w:p w14:paraId="2F697DCA">
      <w:pPr>
        <w:rPr>
          <w:rFonts w:ascii="方正仿宋_GBK" w:hAnsi="宋体" w:eastAsia="方正仿宋_GBK"/>
          <w:sz w:val="24"/>
          <w:szCs w:val="24"/>
        </w:rPr>
      </w:pPr>
    </w:p>
    <w:p w14:paraId="02D414A9">
      <w:pPr>
        <w:rPr>
          <w:rFonts w:ascii="方正仿宋_GBK" w:hAnsi="宋体" w:eastAsia="方正仿宋_GBK"/>
          <w:sz w:val="24"/>
          <w:szCs w:val="24"/>
        </w:rPr>
      </w:pPr>
    </w:p>
    <w:p w14:paraId="6E940F93">
      <w:pPr>
        <w:rPr>
          <w:rFonts w:ascii="方正仿宋_GBK" w:hAnsi="宋体" w:eastAsia="方正仿宋_GBK"/>
          <w:sz w:val="24"/>
          <w:szCs w:val="24"/>
        </w:rPr>
      </w:pPr>
    </w:p>
    <w:p w14:paraId="2096D36D">
      <w:pPr>
        <w:rPr>
          <w:rFonts w:ascii="方正仿宋_GBK" w:hAnsi="宋体" w:eastAsia="方正仿宋_GBK"/>
          <w:sz w:val="24"/>
          <w:szCs w:val="24"/>
        </w:rPr>
      </w:pPr>
    </w:p>
    <w:p w14:paraId="30BD3567">
      <w:pPr>
        <w:rPr>
          <w:rFonts w:ascii="方正仿宋_GBK" w:hAnsi="宋体" w:eastAsia="方正仿宋_GBK"/>
          <w:sz w:val="24"/>
          <w:szCs w:val="24"/>
        </w:rPr>
      </w:pPr>
    </w:p>
    <w:p w14:paraId="77A8FF73">
      <w:pPr>
        <w:rPr>
          <w:rFonts w:ascii="方正仿宋_GBK" w:hAnsi="宋体" w:eastAsia="方正仿宋_GBK"/>
          <w:sz w:val="24"/>
          <w:szCs w:val="24"/>
        </w:rPr>
      </w:pPr>
    </w:p>
    <w:p w14:paraId="30248358">
      <w:pPr>
        <w:rPr>
          <w:rFonts w:ascii="方正仿宋_GBK" w:hAnsi="宋体" w:eastAsia="方正仿宋_GBK"/>
          <w:sz w:val="24"/>
          <w:szCs w:val="24"/>
        </w:rPr>
      </w:pPr>
    </w:p>
    <w:p w14:paraId="0D1BC39B">
      <w:pPr>
        <w:rPr>
          <w:rFonts w:ascii="方正仿宋_GBK" w:hAnsi="宋体" w:eastAsia="方正仿宋_GBK"/>
          <w:sz w:val="24"/>
          <w:szCs w:val="24"/>
        </w:rPr>
      </w:pPr>
    </w:p>
    <w:p w14:paraId="4A60DACF">
      <w:pPr>
        <w:rPr>
          <w:rFonts w:ascii="方正仿宋_GBK" w:hAnsi="宋体" w:eastAsia="方正仿宋_GBK"/>
          <w:sz w:val="24"/>
          <w:szCs w:val="24"/>
        </w:rPr>
      </w:pPr>
    </w:p>
    <w:p w14:paraId="4FC9C49C">
      <w:pPr>
        <w:rPr>
          <w:rFonts w:ascii="方正仿宋_GBK" w:hAnsi="宋体" w:eastAsia="方正仿宋_GBK"/>
          <w:sz w:val="24"/>
          <w:szCs w:val="24"/>
        </w:rPr>
      </w:pPr>
    </w:p>
    <w:p w14:paraId="7A9C4293">
      <w:pPr>
        <w:rPr>
          <w:rFonts w:ascii="方正仿宋_GBK" w:hAnsi="宋体" w:eastAsia="方正仿宋_GBK"/>
          <w:sz w:val="24"/>
          <w:szCs w:val="24"/>
        </w:rPr>
      </w:pPr>
    </w:p>
    <w:p w14:paraId="5D71F8FA">
      <w:pPr>
        <w:rPr>
          <w:rFonts w:ascii="方正仿宋_GBK" w:hAnsi="宋体" w:eastAsia="方正仿宋_GBK"/>
          <w:sz w:val="24"/>
          <w:szCs w:val="24"/>
        </w:rPr>
      </w:pPr>
    </w:p>
    <w:p w14:paraId="508D069A">
      <w:pPr>
        <w:rPr>
          <w:rFonts w:ascii="方正仿宋_GBK" w:hAnsi="宋体" w:eastAsia="方正仿宋_GBK"/>
          <w:sz w:val="24"/>
          <w:szCs w:val="24"/>
        </w:rPr>
      </w:pPr>
    </w:p>
    <w:p w14:paraId="55D61A5F">
      <w:pPr>
        <w:rPr>
          <w:rFonts w:ascii="方正仿宋_GBK" w:hAnsi="宋体" w:eastAsia="方正仿宋_GBK"/>
          <w:sz w:val="24"/>
          <w:szCs w:val="24"/>
        </w:rPr>
      </w:pPr>
    </w:p>
    <w:p w14:paraId="7CFC22A5">
      <w:pPr>
        <w:rPr>
          <w:rFonts w:ascii="方正仿宋_GBK" w:hAnsi="宋体" w:eastAsia="方正仿宋_GBK"/>
          <w:sz w:val="24"/>
          <w:szCs w:val="24"/>
        </w:rPr>
      </w:pPr>
    </w:p>
    <w:p w14:paraId="20F2C2CB">
      <w:pPr>
        <w:rPr>
          <w:rFonts w:ascii="方正仿宋_GBK" w:hAnsi="宋体" w:eastAsia="方正仿宋_GBK"/>
          <w:sz w:val="24"/>
          <w:szCs w:val="24"/>
        </w:rPr>
      </w:pPr>
    </w:p>
    <w:p w14:paraId="35F21897">
      <w:pPr>
        <w:rPr>
          <w:rFonts w:ascii="方正仿宋_GBK" w:hAnsi="宋体" w:eastAsia="方正仿宋_GBK"/>
          <w:sz w:val="24"/>
          <w:szCs w:val="24"/>
        </w:rPr>
      </w:pPr>
    </w:p>
    <w:p w14:paraId="3EE5B4DE">
      <w:pPr>
        <w:rPr>
          <w:rFonts w:ascii="方正仿宋_GBK" w:hAnsi="宋体" w:eastAsia="方正仿宋_GBK"/>
          <w:sz w:val="24"/>
          <w:szCs w:val="24"/>
        </w:rPr>
      </w:pPr>
    </w:p>
    <w:p w14:paraId="5EC45F8F">
      <w:pPr>
        <w:rPr>
          <w:rFonts w:ascii="方正仿宋_GBK" w:hAnsi="宋体" w:eastAsia="方正仿宋_GBK"/>
          <w:sz w:val="24"/>
          <w:szCs w:val="24"/>
        </w:rPr>
      </w:pPr>
    </w:p>
    <w:p w14:paraId="211E468D">
      <w:pPr>
        <w:jc w:val="center"/>
        <w:rPr>
          <w:rFonts w:ascii="方正仿宋_GBK" w:hAnsi="宋体" w:eastAsia="方正仿宋_GBK"/>
          <w:sz w:val="24"/>
          <w:szCs w:val="24"/>
        </w:rPr>
      </w:pPr>
      <w:r>
        <w:rPr>
          <w:rFonts w:hint="eastAsia" w:ascii="方正仿宋_GBK" w:hAnsi="宋体" w:eastAsia="方正仿宋_GBK"/>
          <w:sz w:val="24"/>
          <w:szCs w:val="24"/>
        </w:rPr>
        <w:t>（结束）</w:t>
      </w:r>
    </w:p>
    <w:p w14:paraId="7C8A160A">
      <w:pPr>
        <w:pStyle w:val="2"/>
      </w:pPr>
    </w:p>
    <w:p w14:paraId="04303992">
      <w:pPr>
        <w:snapToGrid w:val="0"/>
        <w:spacing w:line="400" w:lineRule="exact"/>
        <w:ind w:firstLine="480" w:firstLineChars="200"/>
        <w:rPr>
          <w:rFonts w:ascii="方正仿宋_GBK" w:hAnsi="宋体" w:eastAsia="方正仿宋_GBK"/>
          <w:sz w:val="24"/>
          <w:szCs w:val="24"/>
        </w:rPr>
        <w:sectPr>
          <w:footerReference r:id="rId11" w:type="default"/>
          <w:pgSz w:w="11907" w:h="16840"/>
          <w:pgMar w:top="1134" w:right="1191" w:bottom="1134" w:left="1304" w:header="851" w:footer="992" w:gutter="0"/>
          <w:pgNumType w:fmt="numberInDash"/>
          <w:cols w:space="720" w:num="1"/>
          <w:docGrid w:linePitch="380" w:charSpace="-5735"/>
        </w:sectPr>
      </w:pPr>
    </w:p>
    <w:p w14:paraId="2FE7B490">
      <w:pPr>
        <w:snapToGrid w:val="0"/>
        <w:spacing w:line="400" w:lineRule="exact"/>
        <w:ind w:firstLine="480" w:firstLineChars="200"/>
        <w:rPr>
          <w:rFonts w:ascii="方正仿宋_GBK" w:hAnsi="宋体" w:eastAsia="方正仿宋_GBK"/>
          <w:sz w:val="24"/>
          <w:szCs w:val="24"/>
        </w:rPr>
      </w:pPr>
      <w:r>
        <w:rPr>
          <w:rFonts w:hint="eastAsia" w:ascii="方正仿宋_GBK" w:hAnsi="宋体" w:eastAsia="方正仿宋_GBK"/>
          <w:sz w:val="24"/>
          <w:szCs w:val="24"/>
        </w:rPr>
        <w:t>附件：最后报价表</w:t>
      </w:r>
    </w:p>
    <w:p w14:paraId="3D5900A5">
      <w:pPr>
        <w:jc w:val="center"/>
        <w:rPr>
          <w:rFonts w:ascii="方正小标宋_GBK" w:hAnsi="方正小标宋_GBK" w:eastAsia="方正小标宋_GBK" w:cs="方正小标宋_GBK"/>
          <w:sz w:val="44"/>
          <w:szCs w:val="44"/>
        </w:rPr>
      </w:pPr>
    </w:p>
    <w:p w14:paraId="2F0AC88A">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最后报价表</w:t>
      </w:r>
    </w:p>
    <w:p w14:paraId="5A675B67">
      <w:pPr>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采购人：重庆瑞得思达光电科技有限公司</w:t>
      </w:r>
    </w:p>
    <w:p w14:paraId="73DBA964">
      <w:pPr>
        <w:ind w:firstLine="600" w:firstLineChars="200"/>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我公司根据贵单位关于“重庆瑞得思达光电科技有限公司-办公家具采购”磋商文件，特指派本人为投标代表（以投标文件授权书为依据），按照磋商文件的要求和相关规定参加该项目的磋商会议。根据项目磋商会议明确的相关要求，经慎重考虑，在公司授权范围内，本人代表公司郑重做出以下承诺：</w:t>
      </w:r>
    </w:p>
    <w:p w14:paraId="054BA4C5">
      <w:pPr>
        <w:ind w:firstLine="600" w:firstLineChars="200"/>
        <w:rPr>
          <w:rFonts w:ascii="方正仿宋_GBK" w:hAnsi="方正仿宋_GBK" w:eastAsia="方正仿宋_GBK" w:cs="方正仿宋_GBK"/>
          <w:sz w:val="30"/>
          <w:szCs w:val="30"/>
        </w:rPr>
      </w:pPr>
      <w:r>
        <w:rPr>
          <w:rFonts w:hint="eastAsia" w:ascii="Times New Roman" w:hAnsi="Times New Roman" w:eastAsia="方正仿宋_GBK" w:cs="方正仿宋_GBK"/>
          <w:sz w:val="30"/>
          <w:szCs w:val="30"/>
        </w:rPr>
        <w:t>1</w:t>
      </w:r>
      <w:r>
        <w:rPr>
          <w:rFonts w:hint="eastAsia" w:ascii="方正仿宋_GBK" w:hAnsi="方正仿宋_GBK" w:eastAsia="方正仿宋_GBK" w:cs="方正仿宋_GBK"/>
          <w:sz w:val="30"/>
          <w:szCs w:val="30"/>
        </w:rPr>
        <w:t>.本公司对磋商文件、响应文件、同项目磋商小组在竞争性磋商过程中就有关问题达成的一致意见等所有内容，本公司均予以确认并承诺满足。</w:t>
      </w:r>
    </w:p>
    <w:p w14:paraId="501CDB5C">
      <w:pPr>
        <w:ind w:firstLine="600" w:firstLineChars="200"/>
        <w:rPr>
          <w:rFonts w:ascii="方正仿宋_GBK" w:hAnsi="方正仿宋_GBK" w:eastAsia="方正仿宋_GBK" w:cs="方正仿宋_GBK"/>
          <w:sz w:val="30"/>
          <w:szCs w:val="30"/>
        </w:rPr>
      </w:pPr>
      <w:r>
        <w:rPr>
          <w:rFonts w:hint="eastAsia" w:ascii="Times New Roman" w:hAnsi="Times New Roman" w:eastAsia="方正仿宋_GBK" w:cs="方正仿宋_GBK"/>
          <w:sz w:val="30"/>
          <w:szCs w:val="30"/>
        </w:rPr>
        <w:t>2</w:t>
      </w:r>
      <w:r>
        <w:rPr>
          <w:rFonts w:hint="eastAsia" w:ascii="方正仿宋_GBK" w:hAnsi="方正仿宋_GBK" w:eastAsia="方正仿宋_GBK" w:cs="方正仿宋_GBK"/>
          <w:sz w:val="30"/>
          <w:szCs w:val="30"/>
        </w:rPr>
        <w:t>.按磋商小组在磋商会议上明确的各项要求，本人经请示公司领导同意并代表本公司做出项目最终报价（人民币）如下：</w:t>
      </w:r>
    </w:p>
    <w:p w14:paraId="27B43D42">
      <w:pPr>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最终投标报价金额为：</w:t>
      </w:r>
      <w:r>
        <w:rPr>
          <w:rFonts w:hint="eastAsia" w:ascii="仿宋" w:hAnsi="仿宋" w:eastAsia="仿宋" w:cs="仿宋"/>
          <w:szCs w:val="28"/>
        </w:rPr>
        <w:t>人民币大写：      元整；人民币小写：    元</w:t>
      </w:r>
      <w:r>
        <w:rPr>
          <w:rFonts w:hint="eastAsia" w:ascii="方正仿宋_GBK" w:hAnsi="方正仿宋_GBK" w:eastAsia="方正仿宋_GBK" w:cs="方正仿宋_GBK"/>
          <w:sz w:val="30"/>
          <w:szCs w:val="30"/>
        </w:rPr>
        <w:t>。明细报价同比  。</w:t>
      </w:r>
    </w:p>
    <w:p w14:paraId="04A92F65">
      <w:pPr>
        <w:rPr>
          <w:rFonts w:ascii="方正仿宋_GBK" w:hAnsi="方正仿宋_GBK" w:eastAsia="方正仿宋_GBK" w:cs="方正仿宋_GBK"/>
          <w:sz w:val="30"/>
          <w:szCs w:val="30"/>
        </w:rPr>
      </w:pPr>
    </w:p>
    <w:p w14:paraId="618A540B">
      <w:pPr>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法定代表人（单位负责人）（或代理人）签名或投标人公章：</w:t>
      </w:r>
    </w:p>
    <w:p w14:paraId="700BFCE1">
      <w:pPr>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法定代表人（单位负责人）（或代理人）联系电话：</w:t>
      </w:r>
    </w:p>
    <w:p w14:paraId="062E59CC">
      <w:pPr>
        <w:rPr>
          <w:rFonts w:ascii="方正仿宋_GBK" w:hAnsi="方正仿宋_GBK" w:eastAsia="方正仿宋_GBK" w:cs="方正仿宋_GBK"/>
          <w:sz w:val="30"/>
          <w:szCs w:val="30"/>
        </w:rPr>
      </w:pPr>
    </w:p>
    <w:p w14:paraId="30DE1910">
      <w:pPr>
        <w:ind w:firstLine="6000" w:firstLineChars="2000"/>
        <w:rPr>
          <w:rFonts w:ascii="方正仿宋_GBK" w:hAnsi="方正仿宋_GBK" w:eastAsia="方正仿宋_GBK" w:cs="方正仿宋_GBK"/>
          <w:sz w:val="30"/>
          <w:szCs w:val="30"/>
        </w:rPr>
      </w:pPr>
      <w:r>
        <w:rPr>
          <w:rFonts w:hint="eastAsia" w:ascii="方正仿宋_GBK" w:hAnsi="方正仿宋_GBK" w:eastAsia="方正仿宋_GBK" w:cs="方正仿宋_GBK"/>
          <w:sz w:val="30"/>
          <w:szCs w:val="30"/>
        </w:rPr>
        <w:t>年   月   日</w:t>
      </w:r>
    </w:p>
    <w:p w14:paraId="7DA77D8A">
      <w:pPr>
        <w:snapToGrid w:val="0"/>
        <w:spacing w:line="520" w:lineRule="exact"/>
        <w:jc w:val="center"/>
        <w:rPr>
          <w:rFonts w:ascii="方正小标宋_GBK" w:hAnsi="方正小标宋_GBK" w:eastAsia="方正小标宋_GBK" w:cs="方正小标宋_GBK"/>
          <w:kern w:val="0"/>
          <w:sz w:val="24"/>
          <w:szCs w:val="24"/>
        </w:rPr>
      </w:pPr>
    </w:p>
    <w:p w14:paraId="26849E2B">
      <w:pPr>
        <w:pStyle w:val="2"/>
        <w:rPr>
          <w:rFonts w:ascii="方正小标宋_GBK" w:hAnsi="方正小标宋_GBK" w:eastAsia="方正小标宋_GBK" w:cs="方正小标宋_GBK"/>
          <w:kern w:val="0"/>
          <w:sz w:val="24"/>
          <w:szCs w:val="24"/>
        </w:rPr>
      </w:pPr>
    </w:p>
    <w:p w14:paraId="0E13CB0C">
      <w:pPr>
        <w:rPr>
          <w:rFonts w:ascii="方正小标宋_GBK" w:hAnsi="方正小标宋_GBK" w:eastAsia="方正小标宋_GBK" w:cs="方正小标宋_GBK"/>
          <w:kern w:val="0"/>
          <w:sz w:val="24"/>
          <w:szCs w:val="24"/>
        </w:rPr>
      </w:pPr>
    </w:p>
    <w:p w14:paraId="25001A0E">
      <w:pPr>
        <w:pStyle w:val="2"/>
        <w:rPr>
          <w:rFonts w:ascii="方正小标宋_GBK" w:hAnsi="方正小标宋_GBK" w:eastAsia="方正小标宋_GBK" w:cs="方正小标宋_GBK"/>
          <w:kern w:val="0"/>
          <w:sz w:val="24"/>
          <w:szCs w:val="24"/>
        </w:rPr>
      </w:pPr>
    </w:p>
    <w:p w14:paraId="1AACAA5D">
      <w:pPr>
        <w:rPr>
          <w:rFonts w:ascii="方正小标宋_GBK" w:hAnsi="方正小标宋_GBK" w:eastAsia="方正小标宋_GBK" w:cs="方正小标宋_GBK"/>
          <w:kern w:val="0"/>
          <w:sz w:val="24"/>
          <w:szCs w:val="24"/>
        </w:rPr>
      </w:pPr>
    </w:p>
    <w:p w14:paraId="53B3591B">
      <w:pPr>
        <w:pStyle w:val="16"/>
      </w:pPr>
    </w:p>
    <w:p w14:paraId="2694706F">
      <w:pPr>
        <w:rPr>
          <w:rFonts w:ascii="方正小标宋_GBK" w:hAnsi="方正小标宋_GBK" w:eastAsia="方正小标宋_GBK" w:cs="方正小标宋_GBK"/>
          <w:kern w:val="0"/>
          <w:sz w:val="24"/>
          <w:szCs w:val="24"/>
        </w:rPr>
      </w:pPr>
    </w:p>
    <w:p w14:paraId="30665C31">
      <w:pPr>
        <w:pStyle w:val="2"/>
        <w:rPr>
          <w:rFonts w:ascii="方正小标宋_GBK" w:hAnsi="方正小标宋_GBK" w:eastAsia="方正小标宋_GBK" w:cs="方正小标宋_GBK"/>
          <w:kern w:val="0"/>
          <w:sz w:val="24"/>
          <w:szCs w:val="24"/>
        </w:rPr>
      </w:pPr>
    </w:p>
    <w:p w14:paraId="342B6964">
      <w:r>
        <w:rPr>
          <w:rFonts w:hint="eastAsia" w:ascii="方正小标宋_GBK" w:hAnsi="方正小标宋_GBK" w:eastAsia="方正小标宋_GBK" w:cs="方正小标宋_GBK"/>
          <w:kern w:val="0"/>
          <w:sz w:val="24"/>
          <w:szCs w:val="24"/>
        </w:rPr>
        <w:t>备注：本表由供应商提前准备并盖章后携带至磋商现场填报，无需装订。</w:t>
      </w: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0AE5AB-D653-4DC8-AF55-BC8C4034FCD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embedRegular r:id="rId2" w:fontKey="{A5BCB12D-0D8A-4754-8472-A602EFFCD857}"/>
  </w:font>
  <w:font w:name="仿宋">
    <w:panose1 w:val="02010609060101010101"/>
    <w:charset w:val="86"/>
    <w:family w:val="modern"/>
    <w:pitch w:val="default"/>
    <w:sig w:usb0="800002BF" w:usb1="38CF7CFA" w:usb2="00000016" w:usb3="00000000" w:csb0="00040001" w:csb1="00000000"/>
    <w:embedRegular r:id="rId3" w:fontKey="{EDDB6EFA-2CC7-4037-A0C7-8498913340CD}"/>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Narrow">
    <w:altName w:val="Arial"/>
    <w:panose1 w:val="00000000000000000000"/>
    <w:charset w:val="00"/>
    <w:family w:val="swiss"/>
    <w:pitch w:val="default"/>
    <w:sig w:usb0="00000000" w:usb1="00000000" w:usb2="00000000" w:usb3="00000000" w:csb0="2000009F" w:csb1="DFD70000"/>
  </w:font>
  <w:font w:name="文鼎粗黑">
    <w:altName w:val="黑体"/>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方正仿宋_GBK">
    <w:panose1 w:val="02000000000000000000"/>
    <w:charset w:val="86"/>
    <w:family w:val="auto"/>
    <w:pitch w:val="default"/>
    <w:sig w:usb0="A00002BF" w:usb1="38CF7CFA" w:usb2="00082016" w:usb3="00000000" w:csb0="00040001" w:csb1="00000000"/>
    <w:embedRegular r:id="rId4" w:fontKey="{162B1C9B-2668-4F7C-8A43-4ECB5CF091A2}"/>
  </w:font>
  <w:font w:name="方正黑体_GBK">
    <w:altName w:val="微软雅黑"/>
    <w:panose1 w:val="00000000000000000000"/>
    <w:charset w:val="86"/>
    <w:family w:val="script"/>
    <w:pitch w:val="default"/>
    <w:sig w:usb0="00000000" w:usb1="00000000" w:usb2="00082016" w:usb3="00000000" w:csb0="00040001" w:csb1="00000000"/>
    <w:embedRegular r:id="rId5" w:fontKey="{00873C38-7694-41AD-B787-5785BE87FA18}"/>
  </w:font>
  <w:font w:name="方正小标宋_GBK">
    <w:altName w:val="微软雅黑"/>
    <w:panose1 w:val="00000000000000000000"/>
    <w:charset w:val="86"/>
    <w:family w:val="script"/>
    <w:pitch w:val="default"/>
    <w:sig w:usb0="00000000" w:usb1="00000000" w:usb2="00000000" w:usb3="00000000" w:csb0="00040000" w:csb1="00000000"/>
    <w:embedRegular r:id="rId6" w:fontKey="{09870F26-16D1-442E-BEB1-1E311E7602EF}"/>
  </w:font>
  <w:font w:name="方正仿宋_GB2312">
    <w:panose1 w:val="02000000000000000000"/>
    <w:charset w:val="86"/>
    <w:family w:val="auto"/>
    <w:pitch w:val="default"/>
    <w:sig w:usb0="A00002BF" w:usb1="184F6CFA" w:usb2="00000012" w:usb3="00000000" w:csb0="00040001" w:csb1="00000000"/>
    <w:embedRegular r:id="rId7" w:fontKey="{ED4F13BA-527A-408B-A881-2BF9A7862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84823">
    <w:pPr>
      <w:pStyle w:val="35"/>
      <w:ind w:firstLine="360"/>
      <w:jc w:val="center"/>
    </w:pPr>
    <w:r>
      <w:fldChar w:fldCharType="begin"/>
    </w:r>
    <w:r>
      <w:instrText xml:space="preserve">PAGE   \* MERGEFORMAT</w:instrText>
    </w:r>
    <w:r>
      <w:fldChar w:fldCharType="separate"/>
    </w:r>
    <w:r>
      <w:rPr>
        <w:lang w:val="zh-CN"/>
      </w:rPr>
      <w:t>-</w:t>
    </w:r>
    <w:r>
      <w:t xml:space="preserve"> 4 -</w:t>
    </w:r>
    <w:r>
      <w:fldChar w:fldCharType="end"/>
    </w:r>
  </w:p>
  <w:p w14:paraId="72582F42">
    <w:pPr>
      <w:pStyle w:val="3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B25D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B01A4">
    <w:pPr>
      <w:pStyle w:val="3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08518">
    <w:pPr>
      <w:pStyle w:val="3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FE015">
    <w:pPr>
      <w:pStyle w:val="35"/>
      <w:jc w:val="center"/>
      <w:rPr>
        <w:rFonts w:ascii="宋体" w:hAnsi="宋体"/>
        <w:sz w:val="21"/>
        <w:szCs w:val="21"/>
      </w:rPr>
    </w:pPr>
    <w:r>
      <w:rPr>
        <w:rFonts w:ascii="宋体" w:hAnsi="宋体"/>
        <w:sz w:val="21"/>
        <w:szCs w:val="21"/>
      </w:rPr>
      <w:fldChar w:fldCharType="begin"/>
    </w:r>
    <w:r>
      <w:rPr>
        <w:rStyle w:val="62"/>
        <w:rFonts w:ascii="宋体" w:hAnsi="宋体"/>
        <w:sz w:val="21"/>
        <w:szCs w:val="21"/>
      </w:rPr>
      <w:instrText xml:space="preserve"> PAGE </w:instrText>
    </w:r>
    <w:r>
      <w:rPr>
        <w:rFonts w:ascii="宋体" w:hAnsi="宋体"/>
        <w:sz w:val="21"/>
        <w:szCs w:val="21"/>
      </w:rPr>
      <w:fldChar w:fldCharType="separate"/>
    </w:r>
    <w:r>
      <w:rPr>
        <w:rStyle w:val="62"/>
        <w:rFonts w:ascii="宋体" w:hAnsi="宋体"/>
        <w:sz w:val="21"/>
        <w:szCs w:val="21"/>
      </w:rPr>
      <w:t>- 71 -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9A652">
    <w:pPr>
      <w:pStyle w:val="36"/>
      <w:ind w:firstLine="90" w:firstLineChars="5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B7D03">
    <w:pPr>
      <w:pStyle w:val="3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D9E86">
    <w:pPr>
      <w:pStyle w:val="3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A96E5">
    <w:pPr>
      <w:pStyle w:val="3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chineseCountingThousand"/>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68"/>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9"/>
    <w:multiLevelType w:val="multilevel"/>
    <w:tmpl w:val="00000009"/>
    <w:lvl w:ilvl="0" w:tentative="0">
      <w:start w:val="1"/>
      <w:numFmt w:val="upperLetter"/>
      <w:pStyle w:val="195"/>
      <w:suff w:val="nothing"/>
      <w:lvlText w:val="附　录　%1"/>
      <w:lvlJc w:val="left"/>
      <w:pPr>
        <w:ind w:left="0" w:firstLine="0"/>
      </w:pPr>
      <w:rPr>
        <w:rFonts w:hint="eastAsia" w:ascii="黑体" w:hAnsi="Times New Roman" w:eastAsia="黑体"/>
        <w:b w:val="0"/>
        <w:i w:val="0"/>
        <w:sz w:val="21"/>
      </w:rPr>
    </w:lvl>
    <w:lvl w:ilvl="1" w:tentative="0">
      <w:start w:val="1"/>
      <w:numFmt w:val="decimal"/>
      <w:pStyle w:val="11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207"/>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137"/>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82"/>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6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105"/>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120"/>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129"/>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
  </w:num>
  <w:num w:numId="2">
    <w:abstractNumId w:val="4"/>
  </w:num>
  <w:num w:numId="3">
    <w:abstractNumId w:val="10"/>
  </w:num>
  <w:num w:numId="4">
    <w:abstractNumId w:val="0"/>
  </w:num>
  <w:num w:numId="5">
    <w:abstractNumId w:val="5"/>
  </w:num>
  <w:num w:numId="6">
    <w:abstractNumId w:val="8"/>
  </w:num>
  <w:num w:numId="7">
    <w:abstractNumId w:val="1"/>
  </w:num>
  <w:num w:numId="8">
    <w:abstractNumId w:val="11"/>
  </w:num>
  <w:num w:numId="9">
    <w:abstractNumId w:val="12"/>
  </w:num>
  <w:num w:numId="10">
    <w:abstractNumId w:val="3"/>
  </w:num>
  <w:num w:numId="11">
    <w:abstractNumId w:val="7"/>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1ZjRkNTE1NTcyNzc4NTAwMTgxNWYyYzkyMWI0ODYifQ=="/>
  </w:docVars>
  <w:rsids>
    <w:rsidRoot w:val="00172A27"/>
    <w:rsid w:val="000014C5"/>
    <w:rsid w:val="00002AE4"/>
    <w:rsid w:val="00003626"/>
    <w:rsid w:val="000040DE"/>
    <w:rsid w:val="000070F0"/>
    <w:rsid w:val="000075E8"/>
    <w:rsid w:val="00011B4B"/>
    <w:rsid w:val="00016B79"/>
    <w:rsid w:val="00017816"/>
    <w:rsid w:val="00032ACA"/>
    <w:rsid w:val="000353A5"/>
    <w:rsid w:val="0003632F"/>
    <w:rsid w:val="00043835"/>
    <w:rsid w:val="0004739C"/>
    <w:rsid w:val="00051E02"/>
    <w:rsid w:val="000523C9"/>
    <w:rsid w:val="0005289C"/>
    <w:rsid w:val="0005298B"/>
    <w:rsid w:val="0005417C"/>
    <w:rsid w:val="000576E1"/>
    <w:rsid w:val="00061A7C"/>
    <w:rsid w:val="00063981"/>
    <w:rsid w:val="00074C38"/>
    <w:rsid w:val="000816AD"/>
    <w:rsid w:val="00082CC1"/>
    <w:rsid w:val="00090C5A"/>
    <w:rsid w:val="00091B1C"/>
    <w:rsid w:val="00091D22"/>
    <w:rsid w:val="000A164E"/>
    <w:rsid w:val="000A3057"/>
    <w:rsid w:val="000B1068"/>
    <w:rsid w:val="000B3002"/>
    <w:rsid w:val="000B42F4"/>
    <w:rsid w:val="000B7377"/>
    <w:rsid w:val="000B7F54"/>
    <w:rsid w:val="000C08C1"/>
    <w:rsid w:val="000C1E0E"/>
    <w:rsid w:val="000C20E6"/>
    <w:rsid w:val="000C2C03"/>
    <w:rsid w:val="000C6D89"/>
    <w:rsid w:val="000D776F"/>
    <w:rsid w:val="000E01C9"/>
    <w:rsid w:val="000E0DD7"/>
    <w:rsid w:val="000E3259"/>
    <w:rsid w:val="000E4835"/>
    <w:rsid w:val="000E5AB0"/>
    <w:rsid w:val="000F302A"/>
    <w:rsid w:val="000F3D5B"/>
    <w:rsid w:val="000F64D7"/>
    <w:rsid w:val="000F7DBF"/>
    <w:rsid w:val="0010014A"/>
    <w:rsid w:val="00100639"/>
    <w:rsid w:val="0010088E"/>
    <w:rsid w:val="001028FD"/>
    <w:rsid w:val="00105638"/>
    <w:rsid w:val="00106D0A"/>
    <w:rsid w:val="0010716D"/>
    <w:rsid w:val="001140DC"/>
    <w:rsid w:val="00114CFE"/>
    <w:rsid w:val="00115337"/>
    <w:rsid w:val="001166B8"/>
    <w:rsid w:val="0011683E"/>
    <w:rsid w:val="00116856"/>
    <w:rsid w:val="00116C42"/>
    <w:rsid w:val="0011780F"/>
    <w:rsid w:val="00117B26"/>
    <w:rsid w:val="00120259"/>
    <w:rsid w:val="00122F9D"/>
    <w:rsid w:val="001264A8"/>
    <w:rsid w:val="001266BF"/>
    <w:rsid w:val="00133D16"/>
    <w:rsid w:val="00134037"/>
    <w:rsid w:val="001342AC"/>
    <w:rsid w:val="00135BAE"/>
    <w:rsid w:val="00145224"/>
    <w:rsid w:val="00146EC3"/>
    <w:rsid w:val="00147FB4"/>
    <w:rsid w:val="0015011C"/>
    <w:rsid w:val="00150204"/>
    <w:rsid w:val="0015033B"/>
    <w:rsid w:val="00150429"/>
    <w:rsid w:val="001523C5"/>
    <w:rsid w:val="00152B00"/>
    <w:rsid w:val="00152CAD"/>
    <w:rsid w:val="00153556"/>
    <w:rsid w:val="0016265A"/>
    <w:rsid w:val="00171E05"/>
    <w:rsid w:val="00172A27"/>
    <w:rsid w:val="00174950"/>
    <w:rsid w:val="00180ACB"/>
    <w:rsid w:val="00181A6C"/>
    <w:rsid w:val="00183B60"/>
    <w:rsid w:val="00185DF4"/>
    <w:rsid w:val="00186623"/>
    <w:rsid w:val="001879FD"/>
    <w:rsid w:val="0019571D"/>
    <w:rsid w:val="001963A2"/>
    <w:rsid w:val="00196465"/>
    <w:rsid w:val="001975D3"/>
    <w:rsid w:val="001A1B93"/>
    <w:rsid w:val="001A64A1"/>
    <w:rsid w:val="001A6DCC"/>
    <w:rsid w:val="001A773E"/>
    <w:rsid w:val="001B0396"/>
    <w:rsid w:val="001B1400"/>
    <w:rsid w:val="001B3DBD"/>
    <w:rsid w:val="001B4377"/>
    <w:rsid w:val="001C169B"/>
    <w:rsid w:val="001C493C"/>
    <w:rsid w:val="001D0DF7"/>
    <w:rsid w:val="001D1038"/>
    <w:rsid w:val="001D2321"/>
    <w:rsid w:val="001D2DCD"/>
    <w:rsid w:val="001D5055"/>
    <w:rsid w:val="001D630C"/>
    <w:rsid w:val="001E1467"/>
    <w:rsid w:val="001E1A2F"/>
    <w:rsid w:val="001E201B"/>
    <w:rsid w:val="001E5CAC"/>
    <w:rsid w:val="001E64A9"/>
    <w:rsid w:val="001E6841"/>
    <w:rsid w:val="001E725F"/>
    <w:rsid w:val="001F1AF5"/>
    <w:rsid w:val="001F1AF7"/>
    <w:rsid w:val="001F4964"/>
    <w:rsid w:val="001F4A96"/>
    <w:rsid w:val="001F7063"/>
    <w:rsid w:val="00202B04"/>
    <w:rsid w:val="00203052"/>
    <w:rsid w:val="00204936"/>
    <w:rsid w:val="002049D5"/>
    <w:rsid w:val="00206AE4"/>
    <w:rsid w:val="002100EE"/>
    <w:rsid w:val="00210168"/>
    <w:rsid w:val="00210ED7"/>
    <w:rsid w:val="00212A06"/>
    <w:rsid w:val="00214E7A"/>
    <w:rsid w:val="00215DEE"/>
    <w:rsid w:val="0021618E"/>
    <w:rsid w:val="0021704D"/>
    <w:rsid w:val="002216C7"/>
    <w:rsid w:val="00222097"/>
    <w:rsid w:val="002227DB"/>
    <w:rsid w:val="00227202"/>
    <w:rsid w:val="00227377"/>
    <w:rsid w:val="00227851"/>
    <w:rsid w:val="002339D3"/>
    <w:rsid w:val="00234257"/>
    <w:rsid w:val="002348E0"/>
    <w:rsid w:val="00254E1A"/>
    <w:rsid w:val="00262555"/>
    <w:rsid w:val="002643C1"/>
    <w:rsid w:val="00265203"/>
    <w:rsid w:val="00270223"/>
    <w:rsid w:val="0027199E"/>
    <w:rsid w:val="00271D47"/>
    <w:rsid w:val="002721EA"/>
    <w:rsid w:val="002752BA"/>
    <w:rsid w:val="00280E8A"/>
    <w:rsid w:val="002827E6"/>
    <w:rsid w:val="00285164"/>
    <w:rsid w:val="002855B0"/>
    <w:rsid w:val="00286959"/>
    <w:rsid w:val="00295FA5"/>
    <w:rsid w:val="00297A6F"/>
    <w:rsid w:val="002A4956"/>
    <w:rsid w:val="002A6710"/>
    <w:rsid w:val="002A7778"/>
    <w:rsid w:val="002B1FDA"/>
    <w:rsid w:val="002B2ACF"/>
    <w:rsid w:val="002B578B"/>
    <w:rsid w:val="002B5ECC"/>
    <w:rsid w:val="002B7904"/>
    <w:rsid w:val="002C2507"/>
    <w:rsid w:val="002C2E6E"/>
    <w:rsid w:val="002C3A3D"/>
    <w:rsid w:val="002C7927"/>
    <w:rsid w:val="002D4012"/>
    <w:rsid w:val="002D41FF"/>
    <w:rsid w:val="002D608F"/>
    <w:rsid w:val="002D7053"/>
    <w:rsid w:val="002D7208"/>
    <w:rsid w:val="002D7725"/>
    <w:rsid w:val="002E0CC2"/>
    <w:rsid w:val="002E3527"/>
    <w:rsid w:val="002E3824"/>
    <w:rsid w:val="002E78F7"/>
    <w:rsid w:val="002F031F"/>
    <w:rsid w:val="002F0ED3"/>
    <w:rsid w:val="002F3278"/>
    <w:rsid w:val="002F3DE3"/>
    <w:rsid w:val="002F632E"/>
    <w:rsid w:val="003021BC"/>
    <w:rsid w:val="0030440F"/>
    <w:rsid w:val="00310AF9"/>
    <w:rsid w:val="00310DAA"/>
    <w:rsid w:val="0031465E"/>
    <w:rsid w:val="00315742"/>
    <w:rsid w:val="003163B3"/>
    <w:rsid w:val="003200C6"/>
    <w:rsid w:val="00322A7A"/>
    <w:rsid w:val="00326C5B"/>
    <w:rsid w:val="003336F0"/>
    <w:rsid w:val="0033663D"/>
    <w:rsid w:val="003366D9"/>
    <w:rsid w:val="00340777"/>
    <w:rsid w:val="00341D8A"/>
    <w:rsid w:val="00341DEB"/>
    <w:rsid w:val="00346A3D"/>
    <w:rsid w:val="00350510"/>
    <w:rsid w:val="00350C20"/>
    <w:rsid w:val="003548FA"/>
    <w:rsid w:val="00355643"/>
    <w:rsid w:val="00355A74"/>
    <w:rsid w:val="0035764D"/>
    <w:rsid w:val="00361427"/>
    <w:rsid w:val="00363702"/>
    <w:rsid w:val="0036458B"/>
    <w:rsid w:val="003703E8"/>
    <w:rsid w:val="00371D2F"/>
    <w:rsid w:val="00373122"/>
    <w:rsid w:val="0037612E"/>
    <w:rsid w:val="0038033A"/>
    <w:rsid w:val="003816ED"/>
    <w:rsid w:val="003840E9"/>
    <w:rsid w:val="00384161"/>
    <w:rsid w:val="00387610"/>
    <w:rsid w:val="003878F3"/>
    <w:rsid w:val="0039432A"/>
    <w:rsid w:val="003953EA"/>
    <w:rsid w:val="00395C2F"/>
    <w:rsid w:val="003973D3"/>
    <w:rsid w:val="00397F89"/>
    <w:rsid w:val="003A0495"/>
    <w:rsid w:val="003A0892"/>
    <w:rsid w:val="003A3162"/>
    <w:rsid w:val="003A422B"/>
    <w:rsid w:val="003A449E"/>
    <w:rsid w:val="003A71F3"/>
    <w:rsid w:val="003B19F5"/>
    <w:rsid w:val="003D0E0A"/>
    <w:rsid w:val="003D3B22"/>
    <w:rsid w:val="003D7B3D"/>
    <w:rsid w:val="003E0348"/>
    <w:rsid w:val="003F3DB1"/>
    <w:rsid w:val="003F451E"/>
    <w:rsid w:val="003F4939"/>
    <w:rsid w:val="003F626F"/>
    <w:rsid w:val="003F6794"/>
    <w:rsid w:val="00402B32"/>
    <w:rsid w:val="0040519F"/>
    <w:rsid w:val="0040781E"/>
    <w:rsid w:val="00410C93"/>
    <w:rsid w:val="004115FB"/>
    <w:rsid w:val="00411B4A"/>
    <w:rsid w:val="004134DD"/>
    <w:rsid w:val="00417E99"/>
    <w:rsid w:val="00421507"/>
    <w:rsid w:val="00424D02"/>
    <w:rsid w:val="0042525A"/>
    <w:rsid w:val="0042733C"/>
    <w:rsid w:val="0044185A"/>
    <w:rsid w:val="0044193A"/>
    <w:rsid w:val="00453B8F"/>
    <w:rsid w:val="004556B7"/>
    <w:rsid w:val="00460489"/>
    <w:rsid w:val="004608C7"/>
    <w:rsid w:val="00462878"/>
    <w:rsid w:val="00465B7A"/>
    <w:rsid w:val="00471121"/>
    <w:rsid w:val="00472AA2"/>
    <w:rsid w:val="00473B39"/>
    <w:rsid w:val="00474175"/>
    <w:rsid w:val="00481309"/>
    <w:rsid w:val="004928A2"/>
    <w:rsid w:val="00494610"/>
    <w:rsid w:val="004953EC"/>
    <w:rsid w:val="00497ADD"/>
    <w:rsid w:val="004A0D29"/>
    <w:rsid w:val="004A0DE1"/>
    <w:rsid w:val="004A2410"/>
    <w:rsid w:val="004A27AC"/>
    <w:rsid w:val="004A3995"/>
    <w:rsid w:val="004B3AB3"/>
    <w:rsid w:val="004C1DD0"/>
    <w:rsid w:val="004C2685"/>
    <w:rsid w:val="004C64E4"/>
    <w:rsid w:val="004C6673"/>
    <w:rsid w:val="004D2334"/>
    <w:rsid w:val="004D433D"/>
    <w:rsid w:val="004D4410"/>
    <w:rsid w:val="004E156F"/>
    <w:rsid w:val="004E2F88"/>
    <w:rsid w:val="004E550E"/>
    <w:rsid w:val="004E55DB"/>
    <w:rsid w:val="004E67C6"/>
    <w:rsid w:val="004F5959"/>
    <w:rsid w:val="004F670C"/>
    <w:rsid w:val="00502B2F"/>
    <w:rsid w:val="005124BE"/>
    <w:rsid w:val="00512D00"/>
    <w:rsid w:val="00512D44"/>
    <w:rsid w:val="00514179"/>
    <w:rsid w:val="00516243"/>
    <w:rsid w:val="005164D4"/>
    <w:rsid w:val="005406A0"/>
    <w:rsid w:val="00540E03"/>
    <w:rsid w:val="00540EA6"/>
    <w:rsid w:val="00541D5F"/>
    <w:rsid w:val="00544BEA"/>
    <w:rsid w:val="005460D5"/>
    <w:rsid w:val="0055298D"/>
    <w:rsid w:val="00553CF0"/>
    <w:rsid w:val="00557C75"/>
    <w:rsid w:val="00566A85"/>
    <w:rsid w:val="00570C78"/>
    <w:rsid w:val="00573AE3"/>
    <w:rsid w:val="00581EF9"/>
    <w:rsid w:val="00583690"/>
    <w:rsid w:val="005902D9"/>
    <w:rsid w:val="0059075F"/>
    <w:rsid w:val="00596AB7"/>
    <w:rsid w:val="005A1B5C"/>
    <w:rsid w:val="005A1EA7"/>
    <w:rsid w:val="005A6A12"/>
    <w:rsid w:val="005B0724"/>
    <w:rsid w:val="005B1E46"/>
    <w:rsid w:val="005B5AA4"/>
    <w:rsid w:val="005C3F4B"/>
    <w:rsid w:val="005C42AC"/>
    <w:rsid w:val="005C4F84"/>
    <w:rsid w:val="005D2EC6"/>
    <w:rsid w:val="005D37D0"/>
    <w:rsid w:val="005D41E8"/>
    <w:rsid w:val="005D703E"/>
    <w:rsid w:val="005E35E9"/>
    <w:rsid w:val="005E5525"/>
    <w:rsid w:val="005F38BB"/>
    <w:rsid w:val="005F7895"/>
    <w:rsid w:val="0060003E"/>
    <w:rsid w:val="00602BBE"/>
    <w:rsid w:val="0060315D"/>
    <w:rsid w:val="00613410"/>
    <w:rsid w:val="00617986"/>
    <w:rsid w:val="006256CA"/>
    <w:rsid w:val="00627729"/>
    <w:rsid w:val="00627F21"/>
    <w:rsid w:val="0063025A"/>
    <w:rsid w:val="0064583B"/>
    <w:rsid w:val="006468B8"/>
    <w:rsid w:val="00651127"/>
    <w:rsid w:val="0065190C"/>
    <w:rsid w:val="006542F1"/>
    <w:rsid w:val="00654A48"/>
    <w:rsid w:val="0065651B"/>
    <w:rsid w:val="00664607"/>
    <w:rsid w:val="00665941"/>
    <w:rsid w:val="0066755F"/>
    <w:rsid w:val="00670089"/>
    <w:rsid w:val="00670C89"/>
    <w:rsid w:val="00671233"/>
    <w:rsid w:val="006763DC"/>
    <w:rsid w:val="00680AE4"/>
    <w:rsid w:val="00682205"/>
    <w:rsid w:val="006822B0"/>
    <w:rsid w:val="00684E51"/>
    <w:rsid w:val="0068793C"/>
    <w:rsid w:val="00694288"/>
    <w:rsid w:val="00694F91"/>
    <w:rsid w:val="006A100B"/>
    <w:rsid w:val="006A143A"/>
    <w:rsid w:val="006A3285"/>
    <w:rsid w:val="006A4C56"/>
    <w:rsid w:val="006B0567"/>
    <w:rsid w:val="006B4535"/>
    <w:rsid w:val="006B72DE"/>
    <w:rsid w:val="006B75CB"/>
    <w:rsid w:val="006C5FC1"/>
    <w:rsid w:val="006D44E1"/>
    <w:rsid w:val="006D6350"/>
    <w:rsid w:val="006D6662"/>
    <w:rsid w:val="006E21FA"/>
    <w:rsid w:val="006E477D"/>
    <w:rsid w:val="006E6D5F"/>
    <w:rsid w:val="006F0FB7"/>
    <w:rsid w:val="006F5925"/>
    <w:rsid w:val="006F5E40"/>
    <w:rsid w:val="006F6E4A"/>
    <w:rsid w:val="00703B9C"/>
    <w:rsid w:val="00704E5D"/>
    <w:rsid w:val="00705739"/>
    <w:rsid w:val="007073D6"/>
    <w:rsid w:val="00710AE5"/>
    <w:rsid w:val="00712E83"/>
    <w:rsid w:val="00712FF5"/>
    <w:rsid w:val="0071464D"/>
    <w:rsid w:val="00714BF1"/>
    <w:rsid w:val="00715FB5"/>
    <w:rsid w:val="00716C50"/>
    <w:rsid w:val="007171A6"/>
    <w:rsid w:val="0071799D"/>
    <w:rsid w:val="00726088"/>
    <w:rsid w:val="00730B6A"/>
    <w:rsid w:val="00731B91"/>
    <w:rsid w:val="00736D88"/>
    <w:rsid w:val="00736DD2"/>
    <w:rsid w:val="00736EE0"/>
    <w:rsid w:val="0074132F"/>
    <w:rsid w:val="0074681C"/>
    <w:rsid w:val="00746EC2"/>
    <w:rsid w:val="007504DE"/>
    <w:rsid w:val="00761AC7"/>
    <w:rsid w:val="00762B70"/>
    <w:rsid w:val="007636FE"/>
    <w:rsid w:val="0077408E"/>
    <w:rsid w:val="00780577"/>
    <w:rsid w:val="00781AD3"/>
    <w:rsid w:val="00781BFB"/>
    <w:rsid w:val="00786FA7"/>
    <w:rsid w:val="0079177C"/>
    <w:rsid w:val="00794382"/>
    <w:rsid w:val="007959AC"/>
    <w:rsid w:val="00796323"/>
    <w:rsid w:val="007A20E0"/>
    <w:rsid w:val="007B2204"/>
    <w:rsid w:val="007B4B60"/>
    <w:rsid w:val="007B7278"/>
    <w:rsid w:val="007C1691"/>
    <w:rsid w:val="007C6B0F"/>
    <w:rsid w:val="007D0625"/>
    <w:rsid w:val="007D4303"/>
    <w:rsid w:val="007D7A44"/>
    <w:rsid w:val="007D7E65"/>
    <w:rsid w:val="007E19E0"/>
    <w:rsid w:val="007E517D"/>
    <w:rsid w:val="007F6769"/>
    <w:rsid w:val="008041D4"/>
    <w:rsid w:val="00806938"/>
    <w:rsid w:val="00807818"/>
    <w:rsid w:val="0081156A"/>
    <w:rsid w:val="00827398"/>
    <w:rsid w:val="008275B6"/>
    <w:rsid w:val="0083653E"/>
    <w:rsid w:val="008369DC"/>
    <w:rsid w:val="00842974"/>
    <w:rsid w:val="00842F87"/>
    <w:rsid w:val="00843A88"/>
    <w:rsid w:val="00843D2E"/>
    <w:rsid w:val="00845BF9"/>
    <w:rsid w:val="0085550A"/>
    <w:rsid w:val="008616EF"/>
    <w:rsid w:val="00863C25"/>
    <w:rsid w:val="008641B7"/>
    <w:rsid w:val="00864D80"/>
    <w:rsid w:val="00864DC1"/>
    <w:rsid w:val="00870530"/>
    <w:rsid w:val="008705BC"/>
    <w:rsid w:val="00871999"/>
    <w:rsid w:val="00872E27"/>
    <w:rsid w:val="00875A42"/>
    <w:rsid w:val="0088192C"/>
    <w:rsid w:val="008904A8"/>
    <w:rsid w:val="00891D94"/>
    <w:rsid w:val="00896589"/>
    <w:rsid w:val="008A0CEE"/>
    <w:rsid w:val="008A19AF"/>
    <w:rsid w:val="008A20FB"/>
    <w:rsid w:val="008A4D88"/>
    <w:rsid w:val="008C1B22"/>
    <w:rsid w:val="008C4C84"/>
    <w:rsid w:val="008C510F"/>
    <w:rsid w:val="008D067F"/>
    <w:rsid w:val="008D3283"/>
    <w:rsid w:val="008E02CF"/>
    <w:rsid w:val="008E437B"/>
    <w:rsid w:val="008E4D3F"/>
    <w:rsid w:val="008E66B8"/>
    <w:rsid w:val="008F0A2E"/>
    <w:rsid w:val="008F1988"/>
    <w:rsid w:val="008F2B05"/>
    <w:rsid w:val="008F4CCE"/>
    <w:rsid w:val="008F5E76"/>
    <w:rsid w:val="008F6252"/>
    <w:rsid w:val="009023F3"/>
    <w:rsid w:val="0090383C"/>
    <w:rsid w:val="009050F7"/>
    <w:rsid w:val="00905D85"/>
    <w:rsid w:val="00912132"/>
    <w:rsid w:val="00913CAA"/>
    <w:rsid w:val="009226D2"/>
    <w:rsid w:val="00922FAD"/>
    <w:rsid w:val="00924F0A"/>
    <w:rsid w:val="00925082"/>
    <w:rsid w:val="00925726"/>
    <w:rsid w:val="00926904"/>
    <w:rsid w:val="0092708B"/>
    <w:rsid w:val="0093049D"/>
    <w:rsid w:val="00934EE1"/>
    <w:rsid w:val="00936A01"/>
    <w:rsid w:val="00937713"/>
    <w:rsid w:val="009404E7"/>
    <w:rsid w:val="009409CD"/>
    <w:rsid w:val="00945B38"/>
    <w:rsid w:val="0094759E"/>
    <w:rsid w:val="00952C13"/>
    <w:rsid w:val="0095455D"/>
    <w:rsid w:val="00962BF1"/>
    <w:rsid w:val="00963237"/>
    <w:rsid w:val="00966820"/>
    <w:rsid w:val="00971E57"/>
    <w:rsid w:val="009723CF"/>
    <w:rsid w:val="00972F46"/>
    <w:rsid w:val="00973D3A"/>
    <w:rsid w:val="009741DC"/>
    <w:rsid w:val="0097652A"/>
    <w:rsid w:val="00980037"/>
    <w:rsid w:val="00983B43"/>
    <w:rsid w:val="00984742"/>
    <w:rsid w:val="0099161D"/>
    <w:rsid w:val="00991B37"/>
    <w:rsid w:val="00997DD2"/>
    <w:rsid w:val="009B31DB"/>
    <w:rsid w:val="009B6208"/>
    <w:rsid w:val="009B71FF"/>
    <w:rsid w:val="009C3034"/>
    <w:rsid w:val="009C4BFF"/>
    <w:rsid w:val="009C7522"/>
    <w:rsid w:val="009D0FDD"/>
    <w:rsid w:val="009D3162"/>
    <w:rsid w:val="009D3181"/>
    <w:rsid w:val="009D7B9B"/>
    <w:rsid w:val="009E067B"/>
    <w:rsid w:val="009E717E"/>
    <w:rsid w:val="009E737D"/>
    <w:rsid w:val="009F18FA"/>
    <w:rsid w:val="00A00565"/>
    <w:rsid w:val="00A0197B"/>
    <w:rsid w:val="00A02768"/>
    <w:rsid w:val="00A03977"/>
    <w:rsid w:val="00A06013"/>
    <w:rsid w:val="00A104A7"/>
    <w:rsid w:val="00A12904"/>
    <w:rsid w:val="00A15FBF"/>
    <w:rsid w:val="00A1616D"/>
    <w:rsid w:val="00A1783B"/>
    <w:rsid w:val="00A224AC"/>
    <w:rsid w:val="00A26FF7"/>
    <w:rsid w:val="00A27159"/>
    <w:rsid w:val="00A37A20"/>
    <w:rsid w:val="00A445DC"/>
    <w:rsid w:val="00A44BEA"/>
    <w:rsid w:val="00A47C22"/>
    <w:rsid w:val="00A55B14"/>
    <w:rsid w:val="00A5689C"/>
    <w:rsid w:val="00A569E8"/>
    <w:rsid w:val="00A57FAF"/>
    <w:rsid w:val="00A601C4"/>
    <w:rsid w:val="00A61D6E"/>
    <w:rsid w:val="00A70193"/>
    <w:rsid w:val="00A711C6"/>
    <w:rsid w:val="00A730F3"/>
    <w:rsid w:val="00A74B68"/>
    <w:rsid w:val="00A77EE1"/>
    <w:rsid w:val="00A84863"/>
    <w:rsid w:val="00A91750"/>
    <w:rsid w:val="00A95D95"/>
    <w:rsid w:val="00A977EC"/>
    <w:rsid w:val="00AA3FD1"/>
    <w:rsid w:val="00AA52DE"/>
    <w:rsid w:val="00AB11B3"/>
    <w:rsid w:val="00AB1DAF"/>
    <w:rsid w:val="00AB40EF"/>
    <w:rsid w:val="00AB43D9"/>
    <w:rsid w:val="00AB5ED3"/>
    <w:rsid w:val="00AB6091"/>
    <w:rsid w:val="00AB6B0C"/>
    <w:rsid w:val="00AB70CD"/>
    <w:rsid w:val="00AB7800"/>
    <w:rsid w:val="00AC1860"/>
    <w:rsid w:val="00AC4898"/>
    <w:rsid w:val="00AC48B3"/>
    <w:rsid w:val="00AC7893"/>
    <w:rsid w:val="00AC7AC9"/>
    <w:rsid w:val="00AD1C54"/>
    <w:rsid w:val="00AE1920"/>
    <w:rsid w:val="00AE76F8"/>
    <w:rsid w:val="00AF01B3"/>
    <w:rsid w:val="00AF0F13"/>
    <w:rsid w:val="00AF7992"/>
    <w:rsid w:val="00AF7CDD"/>
    <w:rsid w:val="00B00AB3"/>
    <w:rsid w:val="00B14C52"/>
    <w:rsid w:val="00B200AA"/>
    <w:rsid w:val="00B203A9"/>
    <w:rsid w:val="00B229A5"/>
    <w:rsid w:val="00B2488E"/>
    <w:rsid w:val="00B25EB3"/>
    <w:rsid w:val="00B42056"/>
    <w:rsid w:val="00B478C3"/>
    <w:rsid w:val="00B52715"/>
    <w:rsid w:val="00B61348"/>
    <w:rsid w:val="00B61A96"/>
    <w:rsid w:val="00B6263F"/>
    <w:rsid w:val="00B67114"/>
    <w:rsid w:val="00B678C7"/>
    <w:rsid w:val="00B70368"/>
    <w:rsid w:val="00B7097C"/>
    <w:rsid w:val="00B72BCC"/>
    <w:rsid w:val="00B75449"/>
    <w:rsid w:val="00B81284"/>
    <w:rsid w:val="00B86DA1"/>
    <w:rsid w:val="00B87401"/>
    <w:rsid w:val="00B96B1E"/>
    <w:rsid w:val="00BA527C"/>
    <w:rsid w:val="00BA5B9C"/>
    <w:rsid w:val="00BA7D51"/>
    <w:rsid w:val="00BA7F31"/>
    <w:rsid w:val="00BB4AD5"/>
    <w:rsid w:val="00BB7494"/>
    <w:rsid w:val="00BB76A5"/>
    <w:rsid w:val="00BC089B"/>
    <w:rsid w:val="00BC183F"/>
    <w:rsid w:val="00BC1C37"/>
    <w:rsid w:val="00BC2390"/>
    <w:rsid w:val="00BC775D"/>
    <w:rsid w:val="00BD0051"/>
    <w:rsid w:val="00BD2939"/>
    <w:rsid w:val="00BD5A75"/>
    <w:rsid w:val="00BD6BF7"/>
    <w:rsid w:val="00BE07A9"/>
    <w:rsid w:val="00BE1700"/>
    <w:rsid w:val="00BE2E36"/>
    <w:rsid w:val="00BE4D8F"/>
    <w:rsid w:val="00BF0A3E"/>
    <w:rsid w:val="00BF26AC"/>
    <w:rsid w:val="00BF46A7"/>
    <w:rsid w:val="00BF5230"/>
    <w:rsid w:val="00BF6DA8"/>
    <w:rsid w:val="00C00289"/>
    <w:rsid w:val="00C1090C"/>
    <w:rsid w:val="00C16FC4"/>
    <w:rsid w:val="00C201FC"/>
    <w:rsid w:val="00C240C8"/>
    <w:rsid w:val="00C249AF"/>
    <w:rsid w:val="00C26513"/>
    <w:rsid w:val="00C328C9"/>
    <w:rsid w:val="00C339ED"/>
    <w:rsid w:val="00C35BA8"/>
    <w:rsid w:val="00C37F72"/>
    <w:rsid w:val="00C40246"/>
    <w:rsid w:val="00C420C1"/>
    <w:rsid w:val="00C43FEE"/>
    <w:rsid w:val="00C45963"/>
    <w:rsid w:val="00C472B8"/>
    <w:rsid w:val="00C50723"/>
    <w:rsid w:val="00C529FD"/>
    <w:rsid w:val="00C53124"/>
    <w:rsid w:val="00C538A9"/>
    <w:rsid w:val="00C53B2E"/>
    <w:rsid w:val="00C6160A"/>
    <w:rsid w:val="00C62B51"/>
    <w:rsid w:val="00C65711"/>
    <w:rsid w:val="00C66460"/>
    <w:rsid w:val="00C76ECD"/>
    <w:rsid w:val="00C8221C"/>
    <w:rsid w:val="00C84B63"/>
    <w:rsid w:val="00C84E04"/>
    <w:rsid w:val="00C86DC6"/>
    <w:rsid w:val="00C910BE"/>
    <w:rsid w:val="00C922BE"/>
    <w:rsid w:val="00CA10F9"/>
    <w:rsid w:val="00CA14F4"/>
    <w:rsid w:val="00CA583F"/>
    <w:rsid w:val="00CA5844"/>
    <w:rsid w:val="00CA7415"/>
    <w:rsid w:val="00CB265C"/>
    <w:rsid w:val="00CB2BDD"/>
    <w:rsid w:val="00CB32BC"/>
    <w:rsid w:val="00CB4540"/>
    <w:rsid w:val="00CB4951"/>
    <w:rsid w:val="00CB7A07"/>
    <w:rsid w:val="00CC59BB"/>
    <w:rsid w:val="00CD1B93"/>
    <w:rsid w:val="00CD3BD4"/>
    <w:rsid w:val="00CD3CC8"/>
    <w:rsid w:val="00CD4915"/>
    <w:rsid w:val="00CD60BD"/>
    <w:rsid w:val="00CD635D"/>
    <w:rsid w:val="00CD6DEE"/>
    <w:rsid w:val="00CD7C5B"/>
    <w:rsid w:val="00CD7CED"/>
    <w:rsid w:val="00CE04C7"/>
    <w:rsid w:val="00CE2AC9"/>
    <w:rsid w:val="00CE2AFE"/>
    <w:rsid w:val="00CE7B14"/>
    <w:rsid w:val="00CF156B"/>
    <w:rsid w:val="00CF1E02"/>
    <w:rsid w:val="00CF4BD6"/>
    <w:rsid w:val="00CF597A"/>
    <w:rsid w:val="00D00228"/>
    <w:rsid w:val="00D00DA0"/>
    <w:rsid w:val="00D0103F"/>
    <w:rsid w:val="00D03E34"/>
    <w:rsid w:val="00D05BAA"/>
    <w:rsid w:val="00D07F26"/>
    <w:rsid w:val="00D11A09"/>
    <w:rsid w:val="00D11BCD"/>
    <w:rsid w:val="00D13B7A"/>
    <w:rsid w:val="00D17FD1"/>
    <w:rsid w:val="00D22C4B"/>
    <w:rsid w:val="00D230C7"/>
    <w:rsid w:val="00D23583"/>
    <w:rsid w:val="00D23E7D"/>
    <w:rsid w:val="00D2405F"/>
    <w:rsid w:val="00D26C71"/>
    <w:rsid w:val="00D30C7F"/>
    <w:rsid w:val="00D32DFB"/>
    <w:rsid w:val="00D33C77"/>
    <w:rsid w:val="00D41421"/>
    <w:rsid w:val="00D41998"/>
    <w:rsid w:val="00D41BA9"/>
    <w:rsid w:val="00D44059"/>
    <w:rsid w:val="00D4511A"/>
    <w:rsid w:val="00D51813"/>
    <w:rsid w:val="00D52376"/>
    <w:rsid w:val="00D53EE6"/>
    <w:rsid w:val="00D612C2"/>
    <w:rsid w:val="00D64D38"/>
    <w:rsid w:val="00D745E0"/>
    <w:rsid w:val="00D76AA3"/>
    <w:rsid w:val="00D80604"/>
    <w:rsid w:val="00D86529"/>
    <w:rsid w:val="00D86A86"/>
    <w:rsid w:val="00D8791E"/>
    <w:rsid w:val="00D92438"/>
    <w:rsid w:val="00DA0040"/>
    <w:rsid w:val="00DA086B"/>
    <w:rsid w:val="00DA1D7A"/>
    <w:rsid w:val="00DA5E0A"/>
    <w:rsid w:val="00DA6834"/>
    <w:rsid w:val="00DA7145"/>
    <w:rsid w:val="00DA78D8"/>
    <w:rsid w:val="00DA7E05"/>
    <w:rsid w:val="00DB4794"/>
    <w:rsid w:val="00DB5C3E"/>
    <w:rsid w:val="00DB628E"/>
    <w:rsid w:val="00DC4070"/>
    <w:rsid w:val="00DE1DE6"/>
    <w:rsid w:val="00DE1E39"/>
    <w:rsid w:val="00DE513D"/>
    <w:rsid w:val="00DF235C"/>
    <w:rsid w:val="00DF426D"/>
    <w:rsid w:val="00DF47D6"/>
    <w:rsid w:val="00DF4D5A"/>
    <w:rsid w:val="00DF5425"/>
    <w:rsid w:val="00DF782C"/>
    <w:rsid w:val="00E030A0"/>
    <w:rsid w:val="00E04F16"/>
    <w:rsid w:val="00E075A1"/>
    <w:rsid w:val="00E0797A"/>
    <w:rsid w:val="00E11D5D"/>
    <w:rsid w:val="00E124E3"/>
    <w:rsid w:val="00E12F81"/>
    <w:rsid w:val="00E14812"/>
    <w:rsid w:val="00E15231"/>
    <w:rsid w:val="00E15DDE"/>
    <w:rsid w:val="00E17B19"/>
    <w:rsid w:val="00E2339E"/>
    <w:rsid w:val="00E300BB"/>
    <w:rsid w:val="00E31D0A"/>
    <w:rsid w:val="00E3245B"/>
    <w:rsid w:val="00E32DCD"/>
    <w:rsid w:val="00E32DF0"/>
    <w:rsid w:val="00E3707B"/>
    <w:rsid w:val="00E50685"/>
    <w:rsid w:val="00E57F6B"/>
    <w:rsid w:val="00E609CE"/>
    <w:rsid w:val="00E6234F"/>
    <w:rsid w:val="00E67AC7"/>
    <w:rsid w:val="00E7134F"/>
    <w:rsid w:val="00E7342C"/>
    <w:rsid w:val="00E736E9"/>
    <w:rsid w:val="00E76363"/>
    <w:rsid w:val="00E90BE3"/>
    <w:rsid w:val="00E91374"/>
    <w:rsid w:val="00E91D81"/>
    <w:rsid w:val="00E92BC2"/>
    <w:rsid w:val="00EA010E"/>
    <w:rsid w:val="00EA28AB"/>
    <w:rsid w:val="00EA6FBF"/>
    <w:rsid w:val="00EB1E33"/>
    <w:rsid w:val="00EB4DA6"/>
    <w:rsid w:val="00EB7B0A"/>
    <w:rsid w:val="00EC0881"/>
    <w:rsid w:val="00EC74F9"/>
    <w:rsid w:val="00ED13DE"/>
    <w:rsid w:val="00ED1996"/>
    <w:rsid w:val="00ED2843"/>
    <w:rsid w:val="00ED2F55"/>
    <w:rsid w:val="00ED5ED8"/>
    <w:rsid w:val="00EE0C95"/>
    <w:rsid w:val="00EE3F0F"/>
    <w:rsid w:val="00EF0199"/>
    <w:rsid w:val="00EF0326"/>
    <w:rsid w:val="00F0263C"/>
    <w:rsid w:val="00F0402A"/>
    <w:rsid w:val="00F07266"/>
    <w:rsid w:val="00F16313"/>
    <w:rsid w:val="00F1700E"/>
    <w:rsid w:val="00F20820"/>
    <w:rsid w:val="00F20FF1"/>
    <w:rsid w:val="00F220D3"/>
    <w:rsid w:val="00F24317"/>
    <w:rsid w:val="00F27AC7"/>
    <w:rsid w:val="00F32641"/>
    <w:rsid w:val="00F34974"/>
    <w:rsid w:val="00F35457"/>
    <w:rsid w:val="00F3595B"/>
    <w:rsid w:val="00F367F3"/>
    <w:rsid w:val="00F36A26"/>
    <w:rsid w:val="00F41F54"/>
    <w:rsid w:val="00F426A6"/>
    <w:rsid w:val="00F429FD"/>
    <w:rsid w:val="00F4623C"/>
    <w:rsid w:val="00F46AD7"/>
    <w:rsid w:val="00F56399"/>
    <w:rsid w:val="00F606BB"/>
    <w:rsid w:val="00F70113"/>
    <w:rsid w:val="00F746E3"/>
    <w:rsid w:val="00F76C17"/>
    <w:rsid w:val="00F7709C"/>
    <w:rsid w:val="00F7750A"/>
    <w:rsid w:val="00F80006"/>
    <w:rsid w:val="00F80084"/>
    <w:rsid w:val="00F95676"/>
    <w:rsid w:val="00F96401"/>
    <w:rsid w:val="00F9690B"/>
    <w:rsid w:val="00FA3F8B"/>
    <w:rsid w:val="00FA56FF"/>
    <w:rsid w:val="00FA767D"/>
    <w:rsid w:val="00FB693B"/>
    <w:rsid w:val="00FC3C96"/>
    <w:rsid w:val="00FD23AC"/>
    <w:rsid w:val="00FD2470"/>
    <w:rsid w:val="00FD5823"/>
    <w:rsid w:val="00FD7BE0"/>
    <w:rsid w:val="00FE1C27"/>
    <w:rsid w:val="00FE326F"/>
    <w:rsid w:val="00FE5C31"/>
    <w:rsid w:val="00FF0F20"/>
    <w:rsid w:val="00FF1B0E"/>
    <w:rsid w:val="00FF268A"/>
    <w:rsid w:val="00FF748B"/>
    <w:rsid w:val="02026C8A"/>
    <w:rsid w:val="031E57BA"/>
    <w:rsid w:val="03355EB8"/>
    <w:rsid w:val="03430BE0"/>
    <w:rsid w:val="03777241"/>
    <w:rsid w:val="03B91D98"/>
    <w:rsid w:val="04046F21"/>
    <w:rsid w:val="049674C7"/>
    <w:rsid w:val="05893C45"/>
    <w:rsid w:val="058E0E23"/>
    <w:rsid w:val="06DD7580"/>
    <w:rsid w:val="07145E40"/>
    <w:rsid w:val="071E5DD5"/>
    <w:rsid w:val="07241C20"/>
    <w:rsid w:val="07400B46"/>
    <w:rsid w:val="077057D4"/>
    <w:rsid w:val="07FE1A67"/>
    <w:rsid w:val="08AC65E4"/>
    <w:rsid w:val="0964122B"/>
    <w:rsid w:val="09750907"/>
    <w:rsid w:val="09CF478B"/>
    <w:rsid w:val="0A9C2BA1"/>
    <w:rsid w:val="0A9F6449"/>
    <w:rsid w:val="0AB813B2"/>
    <w:rsid w:val="0AEA17FE"/>
    <w:rsid w:val="0B3A19CD"/>
    <w:rsid w:val="0B7F432A"/>
    <w:rsid w:val="0BA62524"/>
    <w:rsid w:val="0BE60842"/>
    <w:rsid w:val="0CA1775A"/>
    <w:rsid w:val="0CBE2794"/>
    <w:rsid w:val="0CD635BF"/>
    <w:rsid w:val="0D0553CD"/>
    <w:rsid w:val="0D1D5336"/>
    <w:rsid w:val="0DFB60CD"/>
    <w:rsid w:val="0E5460D0"/>
    <w:rsid w:val="0ED5229F"/>
    <w:rsid w:val="13D15E24"/>
    <w:rsid w:val="13E20039"/>
    <w:rsid w:val="147A5E14"/>
    <w:rsid w:val="14DF2EFE"/>
    <w:rsid w:val="15763F43"/>
    <w:rsid w:val="17505D59"/>
    <w:rsid w:val="17A1211B"/>
    <w:rsid w:val="17D6086D"/>
    <w:rsid w:val="18ED7A84"/>
    <w:rsid w:val="1992337D"/>
    <w:rsid w:val="1A797BAB"/>
    <w:rsid w:val="1AA329F9"/>
    <w:rsid w:val="1AEE100F"/>
    <w:rsid w:val="1AFF6057"/>
    <w:rsid w:val="1B1F5259"/>
    <w:rsid w:val="1BEE6805"/>
    <w:rsid w:val="1CBA2F46"/>
    <w:rsid w:val="1D941B61"/>
    <w:rsid w:val="1DC43E7C"/>
    <w:rsid w:val="1DC75C42"/>
    <w:rsid w:val="1E943BBB"/>
    <w:rsid w:val="1F9B72D1"/>
    <w:rsid w:val="20903495"/>
    <w:rsid w:val="20B6742F"/>
    <w:rsid w:val="20C001CF"/>
    <w:rsid w:val="21864056"/>
    <w:rsid w:val="21F00852"/>
    <w:rsid w:val="22714212"/>
    <w:rsid w:val="22797FF9"/>
    <w:rsid w:val="22B00133"/>
    <w:rsid w:val="24234674"/>
    <w:rsid w:val="244B1449"/>
    <w:rsid w:val="24DF684B"/>
    <w:rsid w:val="25ED3A96"/>
    <w:rsid w:val="27264C48"/>
    <w:rsid w:val="291E6BA8"/>
    <w:rsid w:val="29422464"/>
    <w:rsid w:val="2AA01F44"/>
    <w:rsid w:val="2B84641F"/>
    <w:rsid w:val="2B914A45"/>
    <w:rsid w:val="2C112654"/>
    <w:rsid w:val="2C4314A1"/>
    <w:rsid w:val="2C543669"/>
    <w:rsid w:val="2C603117"/>
    <w:rsid w:val="2CA2400B"/>
    <w:rsid w:val="2CD4790A"/>
    <w:rsid w:val="2DA404A2"/>
    <w:rsid w:val="2DD9710F"/>
    <w:rsid w:val="30CE7AC4"/>
    <w:rsid w:val="34846D39"/>
    <w:rsid w:val="35480F6B"/>
    <w:rsid w:val="36003390"/>
    <w:rsid w:val="361F67D2"/>
    <w:rsid w:val="369612C8"/>
    <w:rsid w:val="371C64AC"/>
    <w:rsid w:val="37961FBD"/>
    <w:rsid w:val="37C04926"/>
    <w:rsid w:val="37CD30A5"/>
    <w:rsid w:val="38972A67"/>
    <w:rsid w:val="38DB6103"/>
    <w:rsid w:val="398971B5"/>
    <w:rsid w:val="39EC0C78"/>
    <w:rsid w:val="3A4049DC"/>
    <w:rsid w:val="3A462DC0"/>
    <w:rsid w:val="3D3A02D4"/>
    <w:rsid w:val="3D6E1D27"/>
    <w:rsid w:val="3D892D98"/>
    <w:rsid w:val="3D89645B"/>
    <w:rsid w:val="3DF763B6"/>
    <w:rsid w:val="3E281B8F"/>
    <w:rsid w:val="3ED878CA"/>
    <w:rsid w:val="3F022B9B"/>
    <w:rsid w:val="402E5FC1"/>
    <w:rsid w:val="406334F2"/>
    <w:rsid w:val="406D52D2"/>
    <w:rsid w:val="406E1210"/>
    <w:rsid w:val="41C15231"/>
    <w:rsid w:val="42830494"/>
    <w:rsid w:val="439F7C88"/>
    <w:rsid w:val="43F33E86"/>
    <w:rsid w:val="44145F42"/>
    <w:rsid w:val="447D35AF"/>
    <w:rsid w:val="44847FCF"/>
    <w:rsid w:val="44CD5234"/>
    <w:rsid w:val="44CF7445"/>
    <w:rsid w:val="44F90013"/>
    <w:rsid w:val="452959D2"/>
    <w:rsid w:val="452C7897"/>
    <w:rsid w:val="45650197"/>
    <w:rsid w:val="45A3435E"/>
    <w:rsid w:val="46081EE8"/>
    <w:rsid w:val="46226EBC"/>
    <w:rsid w:val="46B420BF"/>
    <w:rsid w:val="4709297E"/>
    <w:rsid w:val="47464E17"/>
    <w:rsid w:val="47A81499"/>
    <w:rsid w:val="4880734D"/>
    <w:rsid w:val="49132D07"/>
    <w:rsid w:val="497B7CB3"/>
    <w:rsid w:val="4A722025"/>
    <w:rsid w:val="4ACB1E32"/>
    <w:rsid w:val="4B1E6FB1"/>
    <w:rsid w:val="4B2B0DBA"/>
    <w:rsid w:val="4B2D12E0"/>
    <w:rsid w:val="4B415703"/>
    <w:rsid w:val="4B7A3DBB"/>
    <w:rsid w:val="4BEB6B31"/>
    <w:rsid w:val="4C5F7116"/>
    <w:rsid w:val="4C8E68A0"/>
    <w:rsid w:val="4CFB6D69"/>
    <w:rsid w:val="4D2B1497"/>
    <w:rsid w:val="4D6A2CB2"/>
    <w:rsid w:val="4DD36371"/>
    <w:rsid w:val="4EF601D8"/>
    <w:rsid w:val="4EFB4507"/>
    <w:rsid w:val="4F35417F"/>
    <w:rsid w:val="4F714FA1"/>
    <w:rsid w:val="51561DD5"/>
    <w:rsid w:val="51CA08FF"/>
    <w:rsid w:val="51DC42C9"/>
    <w:rsid w:val="52565B4E"/>
    <w:rsid w:val="52A54FA4"/>
    <w:rsid w:val="52D92ACB"/>
    <w:rsid w:val="531719BC"/>
    <w:rsid w:val="53B4776F"/>
    <w:rsid w:val="53FA7638"/>
    <w:rsid w:val="546B6463"/>
    <w:rsid w:val="54700111"/>
    <w:rsid w:val="54A23167"/>
    <w:rsid w:val="550A66A7"/>
    <w:rsid w:val="551E3A16"/>
    <w:rsid w:val="55875AA0"/>
    <w:rsid w:val="55980A4A"/>
    <w:rsid w:val="560409EB"/>
    <w:rsid w:val="56212022"/>
    <w:rsid w:val="56B43A0B"/>
    <w:rsid w:val="56C353C7"/>
    <w:rsid w:val="5794188A"/>
    <w:rsid w:val="581C114E"/>
    <w:rsid w:val="582D67EB"/>
    <w:rsid w:val="583F4105"/>
    <w:rsid w:val="58C4101C"/>
    <w:rsid w:val="58E711FA"/>
    <w:rsid w:val="5AB2050B"/>
    <w:rsid w:val="5B1F6EC9"/>
    <w:rsid w:val="5B493C36"/>
    <w:rsid w:val="5B905510"/>
    <w:rsid w:val="5C083CEB"/>
    <w:rsid w:val="5C18087C"/>
    <w:rsid w:val="5CA67F0E"/>
    <w:rsid w:val="5CCF374B"/>
    <w:rsid w:val="5D3411D6"/>
    <w:rsid w:val="5DCB0B2C"/>
    <w:rsid w:val="5F4D4868"/>
    <w:rsid w:val="5FFF6A44"/>
    <w:rsid w:val="6011286D"/>
    <w:rsid w:val="61321BFF"/>
    <w:rsid w:val="61710047"/>
    <w:rsid w:val="619F27EC"/>
    <w:rsid w:val="61B03949"/>
    <w:rsid w:val="61EB58CA"/>
    <w:rsid w:val="622F2C7F"/>
    <w:rsid w:val="62674C7D"/>
    <w:rsid w:val="62784377"/>
    <w:rsid w:val="62B23DA0"/>
    <w:rsid w:val="62D41021"/>
    <w:rsid w:val="647772EB"/>
    <w:rsid w:val="65683C54"/>
    <w:rsid w:val="65974A77"/>
    <w:rsid w:val="65EC5F9D"/>
    <w:rsid w:val="663414BA"/>
    <w:rsid w:val="670963AD"/>
    <w:rsid w:val="670A2BFF"/>
    <w:rsid w:val="674D62BD"/>
    <w:rsid w:val="678228F8"/>
    <w:rsid w:val="67BA5152"/>
    <w:rsid w:val="67DD410F"/>
    <w:rsid w:val="6854325B"/>
    <w:rsid w:val="6A4964A7"/>
    <w:rsid w:val="6A624393"/>
    <w:rsid w:val="6A9D5EC5"/>
    <w:rsid w:val="6AC268B6"/>
    <w:rsid w:val="6C5F4619"/>
    <w:rsid w:val="6E110A16"/>
    <w:rsid w:val="6E520BE7"/>
    <w:rsid w:val="6F78316E"/>
    <w:rsid w:val="6FE969BF"/>
    <w:rsid w:val="705E062E"/>
    <w:rsid w:val="706F51E2"/>
    <w:rsid w:val="71031D48"/>
    <w:rsid w:val="711D1182"/>
    <w:rsid w:val="712352D7"/>
    <w:rsid w:val="71291F24"/>
    <w:rsid w:val="7152345B"/>
    <w:rsid w:val="71CE19C7"/>
    <w:rsid w:val="720930EC"/>
    <w:rsid w:val="721149AE"/>
    <w:rsid w:val="7254469A"/>
    <w:rsid w:val="729D386D"/>
    <w:rsid w:val="72C97FD7"/>
    <w:rsid w:val="72E561AF"/>
    <w:rsid w:val="73346AA5"/>
    <w:rsid w:val="73A63630"/>
    <w:rsid w:val="73C841BA"/>
    <w:rsid w:val="7447692F"/>
    <w:rsid w:val="74726316"/>
    <w:rsid w:val="74D70DF7"/>
    <w:rsid w:val="760E7BB7"/>
    <w:rsid w:val="76AA12D2"/>
    <w:rsid w:val="76AC55FA"/>
    <w:rsid w:val="76C1650E"/>
    <w:rsid w:val="77112FF4"/>
    <w:rsid w:val="774B20D1"/>
    <w:rsid w:val="774F13C9"/>
    <w:rsid w:val="77FD31EB"/>
    <w:rsid w:val="7821395B"/>
    <w:rsid w:val="78701DAF"/>
    <w:rsid w:val="789631FF"/>
    <w:rsid w:val="789F3DA6"/>
    <w:rsid w:val="78A52377"/>
    <w:rsid w:val="79160434"/>
    <w:rsid w:val="79503B83"/>
    <w:rsid w:val="79D41E56"/>
    <w:rsid w:val="79EC50F8"/>
    <w:rsid w:val="79F93333"/>
    <w:rsid w:val="7AE026B3"/>
    <w:rsid w:val="7B5B7497"/>
    <w:rsid w:val="7BAF243B"/>
    <w:rsid w:val="7D0374DB"/>
    <w:rsid w:val="7E004F37"/>
    <w:rsid w:val="7F73736C"/>
    <w:rsid w:val="7FA1784E"/>
    <w:rsid w:val="7FB25EBB"/>
    <w:rsid w:val="7FF23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8"/>
      <w:lang w:val="en-US" w:eastAsia="zh-CN" w:bidi="ar-SA"/>
    </w:rPr>
  </w:style>
  <w:style w:type="paragraph" w:styleId="3">
    <w:name w:val="heading 1"/>
    <w:basedOn w:val="1"/>
    <w:next w:val="1"/>
    <w:qFormat/>
    <w:uiPriority w:val="0"/>
    <w:pPr>
      <w:keepNext/>
      <w:snapToGrid w:val="0"/>
      <w:spacing w:line="360" w:lineRule="atLeast"/>
      <w:outlineLvl w:val="0"/>
    </w:pPr>
    <w:rPr>
      <w:rFonts w:ascii="宋体"/>
    </w:rPr>
  </w:style>
  <w:style w:type="paragraph" w:styleId="4">
    <w:name w:val="heading 2"/>
    <w:basedOn w:val="1"/>
    <w:next w:val="1"/>
    <w:link w:val="70"/>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link w:val="219"/>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spacing w:before="280" w:after="290" w:line="372" w:lineRule="auto"/>
      <w:outlineLvl w:val="3"/>
    </w:pPr>
    <w:rPr>
      <w:rFonts w:ascii="Arial" w:hAnsi="Arial" w:eastAsia="黑体"/>
      <w:b/>
    </w:rPr>
  </w:style>
  <w:style w:type="paragraph" w:styleId="7">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8">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9">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10">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1">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rPr>
      <w:rFonts w:ascii="仿宋_GB2312" w:eastAsia="仿宋_GB2312"/>
      <w:sz w:val="32"/>
    </w:rPr>
  </w:style>
  <w:style w:type="paragraph" w:styleId="12">
    <w:name w:val="List 3"/>
    <w:basedOn w:val="1"/>
    <w:qFormat/>
    <w:uiPriority w:val="0"/>
    <w:pPr>
      <w:adjustRightInd w:val="0"/>
      <w:snapToGrid w:val="0"/>
      <w:spacing w:line="360" w:lineRule="auto"/>
      <w:ind w:left="100" w:leftChars="400" w:hanging="200" w:hangingChars="200"/>
    </w:pPr>
    <w:rPr>
      <w:sz w:val="24"/>
    </w:rPr>
  </w:style>
  <w:style w:type="paragraph" w:styleId="13">
    <w:name w:val="toc 7"/>
    <w:basedOn w:val="1"/>
    <w:next w:val="1"/>
    <w:qFormat/>
    <w:uiPriority w:val="0"/>
    <w:pPr>
      <w:ind w:left="2520" w:leftChars="1200"/>
    </w:pPr>
  </w:style>
  <w:style w:type="paragraph" w:styleId="14">
    <w:name w:val="List Number 2"/>
    <w:basedOn w:val="1"/>
    <w:qFormat/>
    <w:uiPriority w:val="0"/>
    <w:pPr>
      <w:numPr>
        <w:ilvl w:val="0"/>
        <w:numId w:val="1"/>
      </w:numPr>
      <w:tabs>
        <w:tab w:val="left" w:pos="780"/>
        <w:tab w:val="clear" w:pos="425"/>
      </w:tabs>
      <w:spacing w:line="360" w:lineRule="auto"/>
    </w:pPr>
    <w:rPr>
      <w:sz w:val="24"/>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6">
    <w:name w:val="Normal Indent"/>
    <w:basedOn w:val="1"/>
    <w:qFormat/>
    <w:uiPriority w:val="0"/>
    <w:pPr>
      <w:adjustRightInd w:val="0"/>
      <w:snapToGrid w:val="0"/>
      <w:spacing w:line="360" w:lineRule="auto"/>
      <w:ind w:firstLine="420"/>
    </w:pPr>
    <w:rPr>
      <w:sz w:val="24"/>
    </w:rPr>
  </w:style>
  <w:style w:type="paragraph" w:styleId="17">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8">
    <w:name w:val="Document Map"/>
    <w:basedOn w:val="1"/>
    <w:qFormat/>
    <w:uiPriority w:val="0"/>
    <w:pPr>
      <w:shd w:val="clear" w:color="auto" w:fill="000080"/>
    </w:pPr>
  </w:style>
  <w:style w:type="paragraph" w:styleId="19">
    <w:name w:val="toa heading"/>
    <w:basedOn w:val="1"/>
    <w:next w:val="1"/>
    <w:qFormat/>
    <w:uiPriority w:val="0"/>
    <w:pPr>
      <w:spacing w:before="120"/>
    </w:pPr>
    <w:rPr>
      <w:rFonts w:ascii="Arial" w:hAnsi="Arial"/>
      <w:sz w:val="24"/>
    </w:rPr>
  </w:style>
  <w:style w:type="paragraph" w:styleId="20">
    <w:name w:val="annotation text"/>
    <w:basedOn w:val="1"/>
    <w:link w:val="243"/>
    <w:qFormat/>
    <w:uiPriority w:val="0"/>
    <w:pPr>
      <w:adjustRightInd w:val="0"/>
      <w:spacing w:line="360" w:lineRule="atLeast"/>
      <w:jc w:val="left"/>
      <w:textAlignment w:val="baseline"/>
    </w:pPr>
    <w:rPr>
      <w:kern w:val="0"/>
      <w:sz w:val="24"/>
    </w:rPr>
  </w:style>
  <w:style w:type="paragraph" w:styleId="21">
    <w:name w:val="Body Text 3"/>
    <w:basedOn w:val="1"/>
    <w:qFormat/>
    <w:uiPriority w:val="0"/>
    <w:pPr>
      <w:adjustRightInd w:val="0"/>
      <w:snapToGrid w:val="0"/>
      <w:spacing w:after="120" w:line="360" w:lineRule="auto"/>
    </w:pPr>
    <w:rPr>
      <w:sz w:val="16"/>
    </w:rPr>
  </w:style>
  <w:style w:type="paragraph" w:styleId="22">
    <w:name w:val="List Bullet 3"/>
    <w:basedOn w:val="1"/>
    <w:qFormat/>
    <w:uiPriority w:val="0"/>
    <w:pPr>
      <w:numPr>
        <w:ilvl w:val="0"/>
        <w:numId w:val="2"/>
      </w:numPr>
      <w:adjustRightInd w:val="0"/>
      <w:snapToGrid w:val="0"/>
      <w:spacing w:line="360" w:lineRule="auto"/>
    </w:pPr>
    <w:rPr>
      <w:sz w:val="24"/>
    </w:rPr>
  </w:style>
  <w:style w:type="paragraph" w:styleId="23">
    <w:name w:val="Body Text Indent"/>
    <w:basedOn w:val="1"/>
    <w:link w:val="238"/>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List Bullet 2"/>
    <w:basedOn w:val="1"/>
    <w:qFormat/>
    <w:uiPriority w:val="0"/>
    <w:pPr>
      <w:numPr>
        <w:ilvl w:val="0"/>
        <w:numId w:val="3"/>
      </w:numPr>
      <w:adjustRightInd w:val="0"/>
      <w:snapToGrid w:val="0"/>
      <w:spacing w:line="360" w:lineRule="auto"/>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qFormat/>
    <w:uiPriority w:val="0"/>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235"/>
    <w:qFormat/>
    <w:uiPriority w:val="0"/>
  </w:style>
  <w:style w:type="paragraph" w:styleId="33">
    <w:name w:val="Body Text Indent 2"/>
    <w:basedOn w:val="1"/>
    <w:link w:val="211"/>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next w:val="1"/>
    <w:qFormat/>
    <w:uiPriority w:val="0"/>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0"/>
    <w:pPr>
      <w:spacing w:line="180" w:lineRule="auto"/>
      <w:jc w:val="center"/>
    </w:pPr>
    <w:rPr>
      <w:sz w:val="30"/>
    </w:rPr>
  </w:style>
  <w:style w:type="paragraph" w:styleId="38">
    <w:name w:val="List Continue 4"/>
    <w:basedOn w:val="1"/>
    <w:qFormat/>
    <w:uiPriority w:val="0"/>
    <w:pPr>
      <w:adjustRightInd w:val="0"/>
      <w:snapToGrid w:val="0"/>
      <w:spacing w:after="120" w:line="360" w:lineRule="auto"/>
      <w:ind w:left="1680" w:leftChars="800"/>
    </w:pPr>
    <w:rPr>
      <w:sz w:val="24"/>
    </w:rPr>
  </w:style>
  <w:style w:type="paragraph" w:styleId="39">
    <w:name w:val="toc 4"/>
    <w:basedOn w:val="1"/>
    <w:next w:val="1"/>
    <w:qFormat/>
    <w:uiPriority w:val="0"/>
    <w:pPr>
      <w:ind w:left="1260" w:leftChars="600"/>
    </w:pPr>
  </w:style>
  <w:style w:type="paragraph" w:styleId="40">
    <w:name w:val="Subtitle"/>
    <w:basedOn w:val="1"/>
    <w:next w:val="1"/>
    <w:qFormat/>
    <w:uiPriority w:val="0"/>
    <w:pPr>
      <w:spacing w:before="240" w:after="60" w:line="312" w:lineRule="auto"/>
      <w:jc w:val="center"/>
      <w:outlineLvl w:val="1"/>
    </w:pPr>
    <w:rPr>
      <w:rFonts w:ascii="Cambria" w:hAnsi="Cambria"/>
      <w:b/>
      <w:bCs/>
      <w:kern w:val="28"/>
      <w:sz w:val="32"/>
      <w:szCs w:val="32"/>
    </w:rPr>
  </w:style>
  <w:style w:type="paragraph" w:styleId="41">
    <w:name w:val="footnote text"/>
    <w:basedOn w:val="1"/>
    <w:link w:val="237"/>
    <w:qFormat/>
    <w:uiPriority w:val="0"/>
    <w:pPr>
      <w:spacing w:line="360" w:lineRule="auto"/>
    </w:pPr>
    <w:rPr>
      <w:sz w:val="18"/>
    </w:rPr>
  </w:style>
  <w:style w:type="paragraph" w:styleId="42">
    <w:name w:val="toc 6"/>
    <w:basedOn w:val="1"/>
    <w:next w:val="1"/>
    <w:qFormat/>
    <w:uiPriority w:val="0"/>
    <w:pPr>
      <w:ind w:left="2100" w:leftChars="1000"/>
    </w:pPr>
  </w:style>
  <w:style w:type="paragraph" w:styleId="43">
    <w:name w:val="List 5"/>
    <w:basedOn w:val="1"/>
    <w:qFormat/>
    <w:uiPriority w:val="0"/>
    <w:pPr>
      <w:adjustRightInd w:val="0"/>
      <w:snapToGrid w:val="0"/>
      <w:spacing w:line="360" w:lineRule="auto"/>
      <w:ind w:left="100" w:leftChars="800" w:hanging="200" w:hangingChars="200"/>
    </w:pPr>
    <w:rPr>
      <w:sz w:val="24"/>
    </w:rPr>
  </w:style>
  <w:style w:type="paragraph" w:styleId="44">
    <w:name w:val="Body Text Indent 3"/>
    <w:basedOn w:val="1"/>
    <w:qFormat/>
    <w:uiPriority w:val="0"/>
    <w:pPr>
      <w:spacing w:line="360" w:lineRule="auto"/>
      <w:ind w:firstLine="632"/>
    </w:pPr>
    <w:rPr>
      <w:rFonts w:ascii="黑体" w:eastAsia="黑体"/>
    </w:r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ind w:left="420" w:leftChars="200"/>
    </w:pPr>
  </w:style>
  <w:style w:type="paragraph" w:styleId="47">
    <w:name w:val="toc 9"/>
    <w:basedOn w:val="1"/>
    <w:next w:val="1"/>
    <w:qFormat/>
    <w:uiPriority w:val="0"/>
    <w:pPr>
      <w:ind w:left="3360" w:leftChars="1600"/>
    </w:pPr>
  </w:style>
  <w:style w:type="paragraph" w:styleId="48">
    <w:name w:val="Body Text 2"/>
    <w:basedOn w:val="1"/>
    <w:qFormat/>
    <w:uiPriority w:val="0"/>
    <w:pPr>
      <w:adjustRightInd w:val="0"/>
      <w:snapToGrid w:val="0"/>
      <w:spacing w:after="12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line="360" w:lineRule="auto"/>
      <w:ind w:left="840" w:leftChars="400"/>
    </w:pPr>
    <w:rPr>
      <w:sz w:val="24"/>
    </w:rPr>
  </w:style>
  <w:style w:type="paragraph" w:styleId="51">
    <w:name w:val="Normal (Web)"/>
    <w:basedOn w:val="1"/>
    <w:qFormat/>
    <w:uiPriority w:val="0"/>
    <w:pPr>
      <w:widowControl/>
      <w:spacing w:before="100" w:beforeAutospacing="1" w:after="100" w:afterAutospacing="1"/>
      <w:jc w:val="left"/>
    </w:pPr>
    <w:rPr>
      <w:rFonts w:ascii="宋体" w:hAnsi="宋体"/>
      <w:kern w:val="0"/>
      <w:sz w:val="24"/>
    </w:rPr>
  </w:style>
  <w:style w:type="paragraph" w:styleId="52">
    <w:name w:val="List Continue 3"/>
    <w:basedOn w:val="1"/>
    <w:qFormat/>
    <w:uiPriority w:val="0"/>
    <w:pPr>
      <w:adjustRightInd w:val="0"/>
      <w:snapToGrid w:val="0"/>
      <w:spacing w:after="120" w:line="360" w:lineRule="auto"/>
      <w:ind w:left="1260" w:leftChars="600"/>
    </w:pPr>
    <w:rPr>
      <w:sz w:val="24"/>
    </w:rPr>
  </w:style>
  <w:style w:type="paragraph" w:styleId="53">
    <w:name w:val="index 1"/>
    <w:basedOn w:val="1"/>
    <w:next w:val="1"/>
    <w:qFormat/>
    <w:uiPriority w:val="0"/>
    <w:pPr>
      <w:adjustRightInd w:val="0"/>
      <w:spacing w:line="240" w:lineRule="atLeast"/>
      <w:textAlignment w:val="baseline"/>
    </w:pPr>
    <w:rPr>
      <w:rFonts w:ascii="宋体"/>
      <w:kern w:val="0"/>
      <w:sz w:val="21"/>
    </w:rPr>
  </w:style>
  <w:style w:type="paragraph" w:styleId="54">
    <w:name w:val="Title"/>
    <w:basedOn w:val="1"/>
    <w:qFormat/>
    <w:uiPriority w:val="0"/>
    <w:pPr>
      <w:widowControl/>
      <w:spacing w:after="240" w:line="360" w:lineRule="auto"/>
      <w:jc w:val="center"/>
    </w:pPr>
    <w:rPr>
      <w:rFonts w:ascii="Arial" w:hAnsi="Arial"/>
      <w:b/>
      <w:smallCaps/>
      <w:kern w:val="28"/>
      <w:sz w:val="36"/>
      <w:lang w:eastAsia="en-US"/>
    </w:rPr>
  </w:style>
  <w:style w:type="paragraph" w:styleId="55">
    <w:name w:val="annotation subject"/>
    <w:basedOn w:val="20"/>
    <w:next w:val="20"/>
    <w:link w:val="227"/>
    <w:qFormat/>
    <w:uiPriority w:val="0"/>
    <w:pPr>
      <w:adjustRightInd/>
      <w:spacing w:line="240" w:lineRule="auto"/>
      <w:textAlignment w:val="auto"/>
    </w:pPr>
  </w:style>
  <w:style w:type="paragraph" w:styleId="56">
    <w:name w:val="Body Text First Indent"/>
    <w:basedOn w:val="1"/>
    <w:qFormat/>
    <w:uiPriority w:val="0"/>
    <w:pPr>
      <w:spacing w:line="360" w:lineRule="auto"/>
      <w:ind w:firstLine="420"/>
    </w:pPr>
    <w:rPr>
      <w:rFonts w:ascii="宋体" w:hAnsi="宋体"/>
      <w:sz w:val="24"/>
    </w:rPr>
  </w:style>
  <w:style w:type="paragraph" w:styleId="57">
    <w:name w:val="Body Text First Indent 2"/>
    <w:basedOn w:val="23"/>
    <w:link w:val="239"/>
    <w:qFormat/>
    <w:uiPriority w:val="0"/>
    <w:pPr>
      <w:spacing w:after="120" w:line="240" w:lineRule="auto"/>
      <w:ind w:left="420" w:leftChars="200" w:firstLine="420" w:firstLineChars="200"/>
    </w:pPr>
  </w:style>
  <w:style w:type="table" w:styleId="59">
    <w:name w:val="Table Grid"/>
    <w:basedOn w:val="5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1">
    <w:name w:val="Strong"/>
    <w:qFormat/>
    <w:uiPriority w:val="22"/>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paragraph" w:customStyle="1" w:styleId="68">
    <w:name w:val="标题 5（有编号）（绿盟科技）"/>
    <w:basedOn w:val="1"/>
    <w:next w:val="69"/>
    <w:qFormat/>
    <w:uiPriority w:val="0"/>
    <w:pPr>
      <w:keepNext/>
      <w:keepLines/>
      <w:numPr>
        <w:ilvl w:val="4"/>
        <w:numId w:val="4"/>
      </w:numPr>
      <w:spacing w:before="280" w:after="156" w:line="377" w:lineRule="auto"/>
      <w:outlineLvl w:val="4"/>
    </w:pPr>
    <w:rPr>
      <w:rFonts w:ascii="Arial" w:hAnsi="Arial" w:eastAsia="黑体"/>
      <w:b/>
      <w:kern w:val="0"/>
      <w:szCs w:val="28"/>
    </w:rPr>
  </w:style>
  <w:style w:type="paragraph" w:customStyle="1" w:styleId="69">
    <w:name w:val="正文（绿盟科技）"/>
    <w:qFormat/>
    <w:uiPriority w:val="0"/>
    <w:pPr>
      <w:spacing w:line="300" w:lineRule="auto"/>
    </w:pPr>
    <w:rPr>
      <w:rFonts w:ascii="Arial" w:hAnsi="Arial" w:eastAsia="宋体" w:cs="Times New Roman"/>
      <w:sz w:val="21"/>
      <w:szCs w:val="21"/>
      <w:lang w:val="en-US" w:eastAsia="zh-CN" w:bidi="ar-SA"/>
    </w:rPr>
  </w:style>
  <w:style w:type="character" w:customStyle="1" w:styleId="70">
    <w:name w:val="标题 2 Char"/>
    <w:link w:val="4"/>
    <w:qFormat/>
    <w:uiPriority w:val="0"/>
    <w:rPr>
      <w:rFonts w:ascii="Arial" w:hAnsi="Arial" w:eastAsia="黑体"/>
      <w:b/>
      <w:kern w:val="2"/>
      <w:sz w:val="32"/>
    </w:rPr>
  </w:style>
  <w:style w:type="paragraph" w:customStyle="1" w:styleId="71">
    <w:name w:val="Char Char1 Char Char Char Char Char Char Char"/>
    <w:qFormat/>
    <w:uiPriority w:val="0"/>
    <w:pPr>
      <w:pageBreakBefore/>
      <w:widowControl w:val="0"/>
      <w:jc w:val="both"/>
    </w:pPr>
    <w:rPr>
      <w:rFonts w:ascii="宋体" w:hAnsi="Times New Roman" w:eastAsia="仿宋_GB2312" w:cs="宋体"/>
      <w:kern w:val="2"/>
      <w:sz w:val="28"/>
      <w:szCs w:val="28"/>
      <w:lang w:val="en-US" w:eastAsia="zh-CN" w:bidi="ar-SA"/>
    </w:rPr>
  </w:style>
  <w:style w:type="paragraph" w:customStyle="1" w:styleId="72">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73">
    <w:name w:val="标准正文"/>
    <w:basedOn w:val="23"/>
    <w:qFormat/>
    <w:uiPriority w:val="0"/>
    <w:pPr>
      <w:spacing w:before="60" w:after="60" w:line="360" w:lineRule="auto"/>
      <w:ind w:left="0" w:firstLine="482"/>
    </w:pPr>
    <w:rPr>
      <w:rFonts w:ascii="Arial" w:hAnsi="Arial"/>
      <w:sz w:val="24"/>
    </w:rPr>
  </w:style>
  <w:style w:type="paragraph" w:customStyle="1" w:styleId="74">
    <w:name w:val="Char2 Char Char Char Char Char Char"/>
    <w:basedOn w:val="1"/>
    <w:qFormat/>
    <w:uiPriority w:val="0"/>
    <w:rPr>
      <w:rFonts w:ascii="仿宋_GB2312"/>
      <w:b/>
      <w:sz w:val="30"/>
    </w:rPr>
  </w:style>
  <w:style w:type="paragraph" w:customStyle="1" w:styleId="75">
    <w:name w:val="文字"/>
    <w:basedOn w:val="1"/>
    <w:link w:val="221"/>
    <w:qFormat/>
    <w:uiPriority w:val="0"/>
    <w:pPr>
      <w:tabs>
        <w:tab w:val="left" w:pos="8520"/>
      </w:tabs>
      <w:spacing w:line="312" w:lineRule="auto"/>
      <w:ind w:right="-210" w:firstLine="556"/>
    </w:pPr>
    <w:rPr>
      <w:rFonts w:ascii="宋体"/>
    </w:rPr>
  </w:style>
  <w:style w:type="paragraph" w:customStyle="1" w:styleId="76">
    <w:name w:val="Char Char Char Char Char"/>
    <w:basedOn w:val="1"/>
    <w:qFormat/>
    <w:uiPriority w:val="0"/>
    <w:pPr>
      <w:tabs>
        <w:tab w:val="left" w:pos="425"/>
      </w:tabs>
      <w:ind w:left="1620" w:hanging="360"/>
    </w:pPr>
    <w:rPr>
      <w:rFonts w:ascii="Tahoma" w:hAnsi="Tahoma"/>
      <w:sz w:val="24"/>
    </w:rPr>
  </w:style>
  <w:style w:type="paragraph" w:customStyle="1" w:styleId="77">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78">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79">
    <w:name w:val="图片文字"/>
    <w:basedOn w:val="1"/>
    <w:qFormat/>
    <w:uiPriority w:val="0"/>
    <w:pPr>
      <w:spacing w:line="240" w:lineRule="atLeast"/>
      <w:jc w:val="center"/>
    </w:pPr>
    <w:rPr>
      <w:sz w:val="21"/>
    </w:rPr>
  </w:style>
  <w:style w:type="paragraph" w:customStyle="1" w:styleId="80">
    <w:name w:val="文本框样式1"/>
    <w:basedOn w:val="1"/>
    <w:qFormat/>
    <w:uiPriority w:val="0"/>
    <w:pPr>
      <w:adjustRightInd w:val="0"/>
      <w:snapToGrid w:val="0"/>
      <w:spacing w:before="60" w:line="180" w:lineRule="exact"/>
      <w:jc w:val="center"/>
    </w:pPr>
    <w:rPr>
      <w:sz w:val="21"/>
    </w:rPr>
  </w:style>
  <w:style w:type="paragraph" w:customStyle="1" w:styleId="81">
    <w:name w:val="段 Char"/>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82">
    <w:name w:val="首行缩进"/>
    <w:basedOn w:val="1"/>
    <w:qFormat/>
    <w:uiPriority w:val="0"/>
    <w:pPr>
      <w:numPr>
        <w:ilvl w:val="0"/>
        <w:numId w:val="5"/>
      </w:numPr>
      <w:spacing w:line="360" w:lineRule="auto"/>
    </w:pPr>
    <w:rPr>
      <w:rFonts w:eastAsia="仿宋_GB2312"/>
    </w:rPr>
  </w:style>
  <w:style w:type="paragraph" w:customStyle="1" w:styleId="83">
    <w:name w:val="标书正文:  0.74 厘米"/>
    <w:basedOn w:val="1"/>
    <w:qFormat/>
    <w:uiPriority w:val="0"/>
    <w:pPr>
      <w:snapToGrid w:val="0"/>
      <w:spacing w:line="360" w:lineRule="auto"/>
      <w:ind w:firstLine="420"/>
    </w:pPr>
    <w:rPr>
      <w:sz w:val="24"/>
    </w:rPr>
  </w:style>
  <w:style w:type="paragraph" w:customStyle="1" w:styleId="84">
    <w:name w:val="正文 + 三号"/>
    <w:basedOn w:val="1"/>
    <w:qFormat/>
    <w:uiPriority w:val="0"/>
    <w:rPr>
      <w:sz w:val="21"/>
    </w:rPr>
  </w:style>
  <w:style w:type="paragraph" w:customStyle="1" w:styleId="85">
    <w:name w:val="没有缩进（为图形使用）"/>
    <w:basedOn w:val="1"/>
    <w:qFormat/>
    <w:uiPriority w:val="0"/>
    <w:pPr>
      <w:spacing w:before="120" w:after="120" w:line="360" w:lineRule="auto"/>
    </w:pPr>
    <w:rPr>
      <w:sz w:val="24"/>
    </w:rPr>
  </w:style>
  <w:style w:type="paragraph" w:customStyle="1" w:styleId="86">
    <w:name w:val="Table Text"/>
    <w:link w:val="214"/>
    <w:qFormat/>
    <w:uiPriority w:val="0"/>
    <w:pPr>
      <w:snapToGrid w:val="0"/>
      <w:spacing w:before="80" w:after="80"/>
    </w:pPr>
    <w:rPr>
      <w:rFonts w:ascii="Arial" w:hAnsi="Arial" w:eastAsia="宋体" w:cs="Times New Roman"/>
      <w:kern w:val="2"/>
      <w:sz w:val="18"/>
      <w:lang w:val="en-US" w:eastAsia="zh-CN" w:bidi="ar-SA"/>
    </w:rPr>
  </w:style>
  <w:style w:type="paragraph" w:customStyle="1" w:styleId="87">
    <w:name w:val="IN Feature"/>
    <w:next w:val="88"/>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88">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89">
    <w:name w:val="段"/>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9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91">
    <w:name w:val="_Style 86"/>
    <w:qFormat/>
    <w:uiPriority w:val="0"/>
    <w:rPr>
      <w:rFonts w:ascii="Calibri" w:hAnsi="Calibri" w:eastAsia="宋体" w:cs="Times New Roman"/>
      <w:kern w:val="2"/>
      <w:sz w:val="21"/>
      <w:lang w:val="en-US" w:eastAsia="zh-CN" w:bidi="ar-SA"/>
    </w:rPr>
  </w:style>
  <w:style w:type="paragraph" w:customStyle="1" w:styleId="92">
    <w:name w:val="标题3——2"/>
    <w:basedOn w:val="5"/>
    <w:next w:val="56"/>
    <w:qFormat/>
    <w:uiPriority w:val="0"/>
    <w:pPr>
      <w:tabs>
        <w:tab w:val="left" w:pos="1280"/>
        <w:tab w:val="right" w:leader="dot" w:pos="8777"/>
      </w:tabs>
      <w:spacing w:beforeLines="100" w:after="0" w:line="240" w:lineRule="auto"/>
      <w:ind w:left="851" w:hanging="851"/>
      <w:outlineLvl w:val="9"/>
    </w:pPr>
    <w:rPr>
      <w:rFonts w:ascii="黑体" w:hAnsi="宋体" w:eastAsia="黑体"/>
      <w:sz w:val="30"/>
    </w:rPr>
  </w:style>
  <w:style w:type="paragraph" w:customStyle="1" w:styleId="93">
    <w:name w:val="样式 标题 6第五层条 + 三号 段前: 0.5 行"/>
    <w:basedOn w:val="8"/>
    <w:qFormat/>
    <w:uiPriority w:val="0"/>
    <w:pPr>
      <w:widowControl/>
      <w:adjustRightInd/>
      <w:snapToGrid/>
      <w:spacing w:beforeLines="50"/>
      <w:jc w:val="left"/>
    </w:pPr>
    <w:rPr>
      <w:snapToGrid w:val="0"/>
      <w:kern w:val="24"/>
      <w:sz w:val="28"/>
    </w:rPr>
  </w:style>
  <w:style w:type="paragraph" w:customStyle="1" w:styleId="94">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95">
    <w:name w:val="正文1"/>
    <w:basedOn w:val="1"/>
    <w:qFormat/>
    <w:uiPriority w:val="0"/>
    <w:pPr>
      <w:spacing w:line="300" w:lineRule="auto"/>
      <w:ind w:firstLine="200" w:firstLineChars="200"/>
    </w:pPr>
    <w:rPr>
      <w:sz w:val="24"/>
    </w:rPr>
  </w:style>
  <w:style w:type="paragraph" w:customStyle="1" w:styleId="96">
    <w:name w:val="正文（首行不缩进）"/>
    <w:basedOn w:val="1"/>
    <w:qFormat/>
    <w:uiPriority w:val="0"/>
    <w:pPr>
      <w:autoSpaceDE w:val="0"/>
      <w:autoSpaceDN w:val="0"/>
      <w:adjustRightInd w:val="0"/>
      <w:spacing w:line="360" w:lineRule="auto"/>
      <w:jc w:val="left"/>
    </w:pPr>
    <w:rPr>
      <w:kern w:val="0"/>
      <w:sz w:val="21"/>
    </w:rPr>
  </w:style>
  <w:style w:type="paragraph" w:customStyle="1" w:styleId="97">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98">
    <w:name w:val="Default"/>
    <w:qFormat/>
    <w:uiPriority w:val="0"/>
    <w:pPr>
      <w:widowControl w:val="0"/>
      <w:autoSpaceDE w:val="0"/>
      <w:autoSpaceDN w:val="0"/>
      <w:adjustRightInd w:val="0"/>
    </w:pPr>
    <w:rPr>
      <w:rFonts w:ascii="宋体" w:hAnsi="Calibri" w:eastAsia="宋体" w:cs="Times New Roman"/>
      <w:color w:val="000000"/>
      <w:sz w:val="24"/>
      <w:lang w:val="en-US" w:eastAsia="zh-CN" w:bidi="ar-SA"/>
    </w:rPr>
  </w:style>
  <w:style w:type="paragraph" w:customStyle="1" w:styleId="99">
    <w:name w:val="Char Char Char Char Char Char Char Char Char Char Char Char Char Char Char Char"/>
    <w:basedOn w:val="1"/>
    <w:qFormat/>
    <w:uiPriority w:val="0"/>
    <w:pPr>
      <w:tabs>
        <w:tab w:val="left" w:pos="360"/>
      </w:tabs>
    </w:pPr>
    <w:rPr>
      <w:sz w:val="24"/>
    </w:rPr>
  </w:style>
  <w:style w:type="paragraph" w:customStyle="1" w:styleId="100">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01">
    <w:name w:val="表文字"/>
    <w:qFormat/>
    <w:uiPriority w:val="0"/>
    <w:rPr>
      <w:rFonts w:ascii="宋体" w:hAnsi="Calibri" w:eastAsia="宋体" w:cs="Times New Roman"/>
      <w:kern w:val="2"/>
      <w:lang w:val="en-US" w:eastAsia="zh-CN" w:bidi="ar-SA"/>
    </w:rPr>
  </w:style>
  <w:style w:type="paragraph" w:customStyle="1" w:styleId="102">
    <w:name w:val="Char Char14 Char Char"/>
    <w:basedOn w:val="1"/>
    <w:qFormat/>
    <w:uiPriority w:val="0"/>
    <w:rPr>
      <w:sz w:val="21"/>
      <w:szCs w:val="24"/>
    </w:rPr>
  </w:style>
  <w:style w:type="paragraph" w:customStyle="1" w:styleId="103">
    <w:name w:val="附录3"/>
    <w:basedOn w:val="1"/>
    <w:next w:val="1"/>
    <w:qFormat/>
    <w:uiPriority w:val="0"/>
    <w:pPr>
      <w:tabs>
        <w:tab w:val="left" w:pos="851"/>
      </w:tabs>
      <w:ind w:left="425" w:hanging="425"/>
      <w:outlineLvl w:val="2"/>
    </w:pPr>
    <w:rPr>
      <w:rFonts w:eastAsia="黑体"/>
      <w:b/>
      <w:sz w:val="32"/>
    </w:rPr>
  </w:style>
  <w:style w:type="paragraph" w:customStyle="1" w:styleId="104">
    <w:name w:val="样式1xz"/>
    <w:basedOn w:val="1"/>
    <w:qFormat/>
    <w:uiPriority w:val="0"/>
    <w:pPr>
      <w:tabs>
        <w:tab w:val="left" w:pos="1050"/>
        <w:tab w:val="right" w:leader="dot" w:pos="8296"/>
      </w:tabs>
    </w:pPr>
    <w:rPr>
      <w:caps/>
      <w:spacing w:val="20"/>
      <w:sz w:val="24"/>
    </w:rPr>
  </w:style>
  <w:style w:type="paragraph" w:customStyle="1" w:styleId="105">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06">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107">
    <w:name w:val="_"/>
    <w:basedOn w:val="1"/>
    <w:qFormat/>
    <w:uiPriority w:val="0"/>
    <w:pPr>
      <w:adjustRightInd w:val="0"/>
      <w:spacing w:line="360" w:lineRule="auto"/>
      <w:ind w:left="480" w:firstLine="200" w:firstLineChars="200"/>
      <w:textAlignment w:val="baseline"/>
    </w:pPr>
    <w:rPr>
      <w:kern w:val="0"/>
      <w:sz w:val="24"/>
    </w:rPr>
  </w:style>
  <w:style w:type="paragraph" w:customStyle="1" w:styleId="108">
    <w:name w:val="文章正文"/>
    <w:basedOn w:val="1"/>
    <w:qFormat/>
    <w:uiPriority w:val="0"/>
    <w:pPr>
      <w:ind w:firstLine="560" w:firstLineChars="200"/>
    </w:pPr>
    <w:rPr>
      <w:rFonts w:ascii="仿宋_GB2312" w:hAnsi="宋体" w:eastAsia="仿宋_GB2312"/>
      <w:color w:val="000000"/>
    </w:rPr>
  </w:style>
  <w:style w:type="paragraph" w:customStyle="1" w:styleId="109">
    <w:name w:val="表头样式"/>
    <w:basedOn w:val="1"/>
    <w:qFormat/>
    <w:uiPriority w:val="0"/>
    <w:pPr>
      <w:autoSpaceDE w:val="0"/>
      <w:autoSpaceDN w:val="0"/>
      <w:adjustRightInd w:val="0"/>
      <w:spacing w:line="360" w:lineRule="auto"/>
      <w:jc w:val="left"/>
    </w:pPr>
    <w:rPr>
      <w:b/>
      <w:kern w:val="0"/>
      <w:sz w:val="21"/>
    </w:rPr>
  </w:style>
  <w:style w:type="paragraph" w:customStyle="1" w:styleId="110">
    <w:name w:val="Char1 Char Char Char"/>
    <w:basedOn w:val="1"/>
    <w:qFormat/>
    <w:uiPriority w:val="0"/>
    <w:rPr>
      <w:rFonts w:ascii="Tahoma" w:hAnsi="Tahoma"/>
      <w:sz w:val="24"/>
    </w:rPr>
  </w:style>
  <w:style w:type="paragraph" w:customStyle="1" w:styleId="111">
    <w:name w:val="内容标题"/>
    <w:basedOn w:val="18"/>
    <w:qFormat/>
    <w:uiPriority w:val="0"/>
    <w:rPr>
      <w:rFonts w:ascii="Tahoma" w:hAnsi="Tahoma"/>
      <w:sz w:val="24"/>
    </w:rPr>
  </w:style>
  <w:style w:type="paragraph" w:customStyle="1" w:styleId="112">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113">
    <w:name w:val="二级条标题"/>
    <w:basedOn w:val="114"/>
    <w:next w:val="89"/>
    <w:qFormat/>
    <w:uiPriority w:val="0"/>
    <w:pPr>
      <w:ind w:left="840"/>
      <w:outlineLvl w:val="3"/>
    </w:pPr>
  </w:style>
  <w:style w:type="paragraph" w:customStyle="1" w:styleId="114">
    <w:name w:val="一级条标题"/>
    <w:basedOn w:val="115"/>
    <w:next w:val="89"/>
    <w:qFormat/>
    <w:uiPriority w:val="0"/>
    <w:pPr>
      <w:numPr>
        <w:numId w:val="0"/>
      </w:numPr>
      <w:spacing w:beforeLines="0" w:afterLines="0"/>
      <w:ind w:left="525"/>
      <w:outlineLvl w:val="2"/>
    </w:pPr>
    <w:rPr>
      <w:sz w:val="21"/>
    </w:rPr>
  </w:style>
  <w:style w:type="paragraph" w:customStyle="1" w:styleId="115">
    <w:name w:val="章标题"/>
    <w:next w:val="1"/>
    <w:qFormat/>
    <w:uiPriority w:val="0"/>
    <w:pPr>
      <w:numPr>
        <w:ilvl w:val="1"/>
        <w:numId w:val="7"/>
      </w:numPr>
      <w:spacing w:beforeLines="50" w:afterLines="50"/>
      <w:ind w:left="0"/>
      <w:jc w:val="both"/>
      <w:outlineLvl w:val="1"/>
    </w:pPr>
    <w:rPr>
      <w:rFonts w:ascii="黑体" w:hAnsi="Calibri" w:eastAsia="黑体" w:cs="Times New Roman"/>
      <w:sz w:val="24"/>
      <w:lang w:val="en-US" w:eastAsia="zh-CN" w:bidi="ar-SA"/>
    </w:rPr>
  </w:style>
  <w:style w:type="paragraph" w:customStyle="1" w:styleId="116">
    <w:name w:val="af"/>
    <w:basedOn w:val="1"/>
    <w:qFormat/>
    <w:uiPriority w:val="0"/>
    <w:pPr>
      <w:widowControl/>
      <w:spacing w:line="300" w:lineRule="atLeast"/>
      <w:jc w:val="left"/>
    </w:pPr>
    <w:rPr>
      <w:rFonts w:ascii="宋体" w:hAnsi="宋体"/>
      <w:kern w:val="0"/>
      <w:sz w:val="18"/>
    </w:rPr>
  </w:style>
  <w:style w:type="paragraph" w:customStyle="1" w:styleId="117">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18">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19">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20">
    <w:name w:val="操作步骤"/>
    <w:basedOn w:val="1"/>
    <w:qFormat/>
    <w:uiPriority w:val="0"/>
    <w:pPr>
      <w:numPr>
        <w:ilvl w:val="0"/>
        <w:numId w:val="8"/>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21">
    <w:name w:val="Char Char Char"/>
    <w:basedOn w:val="1"/>
    <w:qFormat/>
    <w:uiPriority w:val="0"/>
    <w:rPr>
      <w:rFonts w:ascii="Tahoma" w:hAnsi="Tahoma"/>
      <w:sz w:val="24"/>
    </w:rPr>
  </w:style>
  <w:style w:type="paragraph" w:customStyle="1" w:styleId="122">
    <w:name w:val="BodyText"/>
    <w:basedOn w:val="1"/>
    <w:next w:val="123"/>
    <w:qFormat/>
    <w:uiPriority w:val="0"/>
    <w:pPr>
      <w:textAlignment w:val="baseline"/>
    </w:pPr>
    <w:rPr>
      <w:rFonts w:ascii="仿宋_GB2312" w:eastAsia="仿宋_GB2312"/>
      <w:szCs w:val="24"/>
    </w:rPr>
  </w:style>
  <w:style w:type="paragraph" w:customStyle="1" w:styleId="123">
    <w:name w:val="UserStyle_1"/>
    <w:next w:val="1"/>
    <w:qFormat/>
    <w:uiPriority w:val="0"/>
    <w:pPr>
      <w:ind w:left="1275"/>
      <w:jc w:val="both"/>
      <w:textAlignment w:val="baseline"/>
    </w:pPr>
    <w:rPr>
      <w:rFonts w:ascii="Calibri" w:hAnsi="Calibri" w:eastAsia="宋体" w:cs="Times New Roman"/>
      <w:sz w:val="21"/>
      <w:lang w:val="en-US" w:eastAsia="zh-CN" w:bidi="ar-SA"/>
    </w:rPr>
  </w:style>
  <w:style w:type="paragraph" w:customStyle="1" w:styleId="124">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25">
    <w:name w:val="Char Char Char Char Char Char Char"/>
    <w:basedOn w:val="18"/>
    <w:qFormat/>
    <w:uiPriority w:val="0"/>
    <w:rPr>
      <w:rFonts w:ascii="宋体" w:hAnsi="Tahoma"/>
    </w:rPr>
  </w:style>
  <w:style w:type="paragraph" w:customStyle="1" w:styleId="126">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27">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128">
    <w:name w:val="文本1"/>
    <w:basedOn w:val="1"/>
    <w:qFormat/>
    <w:uiPriority w:val="0"/>
    <w:pPr>
      <w:adjustRightInd w:val="0"/>
      <w:spacing w:line="312" w:lineRule="atLeast"/>
      <w:jc w:val="center"/>
      <w:textAlignment w:val="baseline"/>
    </w:pPr>
    <w:rPr>
      <w:kern w:val="0"/>
      <w:sz w:val="18"/>
    </w:rPr>
  </w:style>
  <w:style w:type="paragraph" w:customStyle="1" w:styleId="129">
    <w:name w:val="样式2"/>
    <w:basedOn w:val="6"/>
    <w:qFormat/>
    <w:uiPriority w:val="0"/>
    <w:pPr>
      <w:numPr>
        <w:ilvl w:val="0"/>
        <w:numId w:val="9"/>
      </w:numPr>
      <w:spacing w:before="560" w:line="400" w:lineRule="exact"/>
      <w:jc w:val="center"/>
      <w:outlineLvl w:val="0"/>
    </w:pPr>
    <w:rPr>
      <w:b w:val="0"/>
      <w:sz w:val="44"/>
    </w:rPr>
  </w:style>
  <w:style w:type="paragraph" w:customStyle="1" w:styleId="130">
    <w:name w:val="Char Char1 Char"/>
    <w:basedOn w:val="1"/>
    <w:qFormat/>
    <w:uiPriority w:val="0"/>
    <w:rPr>
      <w:rFonts w:ascii="Tahoma" w:hAnsi="Tahoma"/>
      <w:sz w:val="24"/>
      <w:szCs w:val="24"/>
    </w:rPr>
  </w:style>
  <w:style w:type="paragraph" w:customStyle="1" w:styleId="131">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32">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133">
    <w:name w:val="可研正文"/>
    <w:basedOn w:val="2"/>
    <w:qFormat/>
    <w:uiPriority w:val="0"/>
    <w:pPr>
      <w:adjustRightInd w:val="0"/>
      <w:snapToGrid w:val="0"/>
      <w:spacing w:line="440" w:lineRule="exact"/>
      <w:ind w:firstLine="567"/>
    </w:pPr>
    <w:rPr>
      <w:sz w:val="28"/>
    </w:rPr>
  </w:style>
  <w:style w:type="paragraph" w:customStyle="1" w:styleId="134">
    <w:name w:val="样式 行距: 1.5 倍行距1"/>
    <w:basedOn w:val="1"/>
    <w:qFormat/>
    <w:uiPriority w:val="0"/>
    <w:pPr>
      <w:snapToGrid w:val="0"/>
    </w:pPr>
    <w:rPr>
      <w:sz w:val="21"/>
    </w:rPr>
  </w:style>
  <w:style w:type="paragraph" w:customStyle="1" w:styleId="135">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36">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137">
    <w:name w:val="表号"/>
    <w:basedOn w:val="1"/>
    <w:qFormat/>
    <w:uiPriority w:val="0"/>
    <w:pPr>
      <w:numPr>
        <w:ilvl w:val="0"/>
        <w:numId w:val="10"/>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138">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39">
    <w:name w:val="样式1"/>
    <w:basedOn w:val="6"/>
    <w:qFormat/>
    <w:uiPriority w:val="0"/>
    <w:pPr>
      <w:tabs>
        <w:tab w:val="left" w:pos="720"/>
      </w:tabs>
      <w:spacing w:before="500" w:after="260" w:line="560" w:lineRule="atLeast"/>
      <w:ind w:left="420" w:hanging="420"/>
    </w:pPr>
  </w:style>
  <w:style w:type="paragraph" w:customStyle="1" w:styleId="140">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41">
    <w:name w:val="bt"/>
    <w:basedOn w:val="1"/>
    <w:next w:val="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42">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43">
    <w:name w:val="图例"/>
    <w:basedOn w:val="1"/>
    <w:qFormat/>
    <w:uiPriority w:val="0"/>
    <w:pPr>
      <w:spacing w:before="120" w:after="120" w:line="360" w:lineRule="auto"/>
      <w:jc w:val="center"/>
    </w:pPr>
    <w:rPr>
      <w:rFonts w:eastAsia="仿宋_GB2312"/>
      <w:b/>
      <w:sz w:val="24"/>
    </w:rPr>
  </w:style>
  <w:style w:type="paragraph" w:customStyle="1" w:styleId="144">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45">
    <w:name w:val="表头文本"/>
    <w:qFormat/>
    <w:uiPriority w:val="0"/>
    <w:pPr>
      <w:jc w:val="center"/>
    </w:pPr>
    <w:rPr>
      <w:rFonts w:ascii="Arial" w:hAnsi="Arial" w:eastAsia="宋体" w:cs="Times New Roman"/>
      <w:b/>
      <w:sz w:val="21"/>
      <w:lang w:val="en-US" w:eastAsia="zh-CN" w:bidi="ar-SA"/>
    </w:rPr>
  </w:style>
  <w:style w:type="paragraph" w:customStyle="1" w:styleId="146">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47">
    <w:name w:val="编号正文"/>
    <w:basedOn w:val="148"/>
    <w:qFormat/>
    <w:uiPriority w:val="0"/>
    <w:pPr>
      <w:snapToGrid/>
      <w:spacing w:line="360" w:lineRule="auto"/>
      <w:ind w:left="1407" w:hanging="1047"/>
      <w:jc w:val="left"/>
    </w:pPr>
    <w:rPr>
      <w:rFonts w:eastAsia="仿宋_GB2312"/>
    </w:rPr>
  </w:style>
  <w:style w:type="paragraph" w:customStyle="1" w:styleId="148">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49">
    <w:name w:val="默认段落字体 Para Char Char Char Char Char Char Char Char Char1 Char Char Char Char"/>
    <w:basedOn w:val="1"/>
    <w:qFormat/>
    <w:uiPriority w:val="0"/>
    <w:rPr>
      <w:rFonts w:ascii="Tahoma" w:hAnsi="Tahoma"/>
      <w:sz w:val="24"/>
    </w:rPr>
  </w:style>
  <w:style w:type="paragraph" w:customStyle="1" w:styleId="150">
    <w:name w:val="二级列表"/>
    <w:basedOn w:val="151"/>
    <w:next w:val="151"/>
    <w:qFormat/>
    <w:uiPriority w:val="0"/>
    <w:pPr>
      <w:tabs>
        <w:tab w:val="left" w:pos="2120"/>
      </w:tabs>
      <w:ind w:firstLine="0" w:firstLineChars="0"/>
    </w:pPr>
    <w:rPr>
      <w:b/>
    </w:rPr>
  </w:style>
  <w:style w:type="paragraph" w:customStyle="1" w:styleId="151">
    <w:name w:val="段落正文"/>
    <w:basedOn w:val="1"/>
    <w:qFormat/>
    <w:uiPriority w:val="0"/>
    <w:pPr>
      <w:spacing w:beforeLines="50" w:line="360" w:lineRule="auto"/>
      <w:ind w:firstLine="200" w:firstLineChars="200"/>
    </w:pPr>
    <w:rPr>
      <w:spacing w:val="2"/>
      <w:sz w:val="24"/>
    </w:rPr>
  </w:style>
  <w:style w:type="paragraph" w:customStyle="1" w:styleId="152">
    <w:name w:val="Title - Date"/>
    <w:basedOn w:val="54"/>
    <w:next w:val="1"/>
    <w:qFormat/>
    <w:uiPriority w:val="0"/>
    <w:pPr>
      <w:spacing w:before="240" w:after="720"/>
    </w:pPr>
    <w:rPr>
      <w:sz w:val="28"/>
    </w:rPr>
  </w:style>
  <w:style w:type="paragraph" w:customStyle="1" w:styleId="153">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54">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55">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156">
    <w:name w:val="样式4"/>
    <w:basedOn w:val="6"/>
    <w:qFormat/>
    <w:uiPriority w:val="0"/>
    <w:pPr>
      <w:adjustRightInd w:val="0"/>
      <w:snapToGrid w:val="0"/>
    </w:pPr>
  </w:style>
  <w:style w:type="paragraph" w:customStyle="1" w:styleId="157">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58">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59">
    <w:name w:val="Title - Revision"/>
    <w:basedOn w:val="54"/>
    <w:qFormat/>
    <w:uiPriority w:val="0"/>
    <w:pPr>
      <w:spacing w:before="720"/>
    </w:pPr>
  </w:style>
  <w:style w:type="paragraph" w:customStyle="1" w:styleId="160">
    <w:name w:val="关键词"/>
    <w:basedOn w:val="1"/>
    <w:next w:val="1"/>
    <w:qFormat/>
    <w:uiPriority w:val="0"/>
    <w:pPr>
      <w:spacing w:line="360" w:lineRule="auto"/>
    </w:pPr>
    <w:rPr>
      <w:rFonts w:eastAsia="黑体"/>
      <w:sz w:val="20"/>
    </w:rPr>
  </w:style>
  <w:style w:type="paragraph" w:customStyle="1" w:styleId="161">
    <w:name w:val="正文4"/>
    <w:basedOn w:val="1"/>
    <w:qFormat/>
    <w:uiPriority w:val="0"/>
    <w:pPr>
      <w:tabs>
        <w:tab w:val="left" w:pos="1275"/>
      </w:tabs>
      <w:spacing w:before="60" w:after="60" w:line="360" w:lineRule="auto"/>
      <w:ind w:left="820" w:leftChars="400" w:hanging="705"/>
    </w:pPr>
    <w:rPr>
      <w:sz w:val="24"/>
    </w:rPr>
  </w:style>
  <w:style w:type="paragraph" w:customStyle="1" w:styleId="162">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163">
    <w:name w:val="Table Text Char Char Char"/>
    <w:link w:val="229"/>
    <w:qFormat/>
    <w:uiPriority w:val="0"/>
    <w:pPr>
      <w:snapToGrid w:val="0"/>
      <w:spacing w:before="80" w:after="80"/>
    </w:pPr>
    <w:rPr>
      <w:rFonts w:ascii="Arial" w:hAnsi="Arial" w:eastAsia="宋体" w:cs="Times New Roman"/>
      <w:kern w:val="2"/>
      <w:sz w:val="18"/>
      <w:lang w:val="en-US" w:eastAsia="zh-CN" w:bidi="ar-SA"/>
    </w:rPr>
  </w:style>
  <w:style w:type="paragraph" w:customStyle="1" w:styleId="164">
    <w:name w:val="Note"/>
    <w:basedOn w:val="1"/>
    <w:qFormat/>
    <w:uiPriority w:val="0"/>
    <w:pPr>
      <w:pBdr>
        <w:top w:val="single" w:color="auto" w:sz="12" w:space="3"/>
        <w:bottom w:val="single" w:color="auto" w:sz="12" w:space="3"/>
      </w:pBdr>
      <w:spacing w:line="360" w:lineRule="auto"/>
    </w:pPr>
    <w:rPr>
      <w:sz w:val="24"/>
    </w:rPr>
  </w:style>
  <w:style w:type="paragraph" w:customStyle="1" w:styleId="165">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66">
    <w:name w:val="样式 首行缩进:  2 字符"/>
    <w:qFormat/>
    <w:uiPriority w:val="0"/>
    <w:pPr>
      <w:widowControl w:val="0"/>
      <w:ind w:firstLine="560"/>
      <w:jc w:val="both"/>
    </w:pPr>
    <w:rPr>
      <w:rFonts w:ascii="Calibri" w:hAnsi="Calibri" w:eastAsia="仿宋_GB2312" w:cs="宋体"/>
      <w:kern w:val="2"/>
      <w:sz w:val="24"/>
      <w:lang w:val="en-US" w:eastAsia="zh-CN" w:bidi="ar-SA"/>
    </w:rPr>
  </w:style>
  <w:style w:type="paragraph" w:customStyle="1" w:styleId="167">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68">
    <w:name w:val="标题无"/>
    <w:basedOn w:val="1"/>
    <w:qFormat/>
    <w:uiPriority w:val="0"/>
    <w:pPr>
      <w:spacing w:line="360" w:lineRule="auto"/>
    </w:pPr>
    <w:rPr>
      <w:sz w:val="24"/>
    </w:rPr>
  </w:style>
  <w:style w:type="paragraph" w:customStyle="1" w:styleId="169">
    <w:name w:val="表格文本"/>
    <w:qFormat/>
    <w:uiPriority w:val="0"/>
    <w:pPr>
      <w:tabs>
        <w:tab w:val="decimal" w:pos="0"/>
      </w:tabs>
    </w:pPr>
    <w:rPr>
      <w:rFonts w:ascii="Arial" w:hAnsi="Arial" w:eastAsia="宋体" w:cs="Times New Roman"/>
      <w:sz w:val="21"/>
      <w:lang w:val="en-US" w:eastAsia="zh-CN" w:bidi="ar-SA"/>
    </w:rPr>
  </w:style>
  <w:style w:type="paragraph" w:customStyle="1" w:styleId="170">
    <w:name w:val="列表项目"/>
    <w:basedOn w:val="1"/>
    <w:qFormat/>
    <w:uiPriority w:val="0"/>
    <w:pPr>
      <w:tabs>
        <w:tab w:val="left" w:pos="420"/>
      </w:tabs>
      <w:spacing w:line="288" w:lineRule="auto"/>
      <w:ind w:left="840" w:leftChars="200" w:hanging="420" w:hangingChars="200"/>
    </w:pPr>
    <w:rPr>
      <w:sz w:val="21"/>
    </w:rPr>
  </w:style>
  <w:style w:type="paragraph" w:customStyle="1" w:styleId="171">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72">
    <w:name w:val="样式 宋体 五号 行距: 单倍行距"/>
    <w:basedOn w:val="1"/>
    <w:qFormat/>
    <w:uiPriority w:val="0"/>
    <w:pPr>
      <w:adjustRightInd w:val="0"/>
      <w:jc w:val="left"/>
    </w:pPr>
    <w:rPr>
      <w:rFonts w:ascii="宋体" w:hAnsi="宋体"/>
      <w:kern w:val="0"/>
      <w:sz w:val="21"/>
    </w:rPr>
  </w:style>
  <w:style w:type="paragraph" w:customStyle="1" w:styleId="173">
    <w:name w:val="Char"/>
    <w:basedOn w:val="1"/>
    <w:qFormat/>
    <w:uiPriority w:val="0"/>
    <w:pPr>
      <w:spacing w:line="240" w:lineRule="atLeast"/>
      <w:ind w:left="420" w:firstLine="420"/>
    </w:pPr>
    <w:rPr>
      <w:kern w:val="0"/>
      <w:sz w:val="21"/>
    </w:rPr>
  </w:style>
  <w:style w:type="paragraph" w:customStyle="1" w:styleId="174">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75">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76">
    <w:name w:val="Char11"/>
    <w:basedOn w:val="1"/>
    <w:qFormat/>
    <w:uiPriority w:val="0"/>
    <w:pPr>
      <w:spacing w:line="240" w:lineRule="atLeast"/>
      <w:ind w:left="420" w:firstLine="420"/>
    </w:pPr>
    <w:rPr>
      <w:kern w:val="0"/>
      <w:sz w:val="21"/>
    </w:rPr>
  </w:style>
  <w:style w:type="paragraph" w:customStyle="1" w:styleId="177">
    <w:name w:val="正文表格"/>
    <w:basedOn w:val="1"/>
    <w:qFormat/>
    <w:uiPriority w:val="0"/>
    <w:pPr>
      <w:adjustRightInd w:val="0"/>
      <w:spacing w:before="40" w:after="40"/>
    </w:pPr>
    <w:rPr>
      <w:sz w:val="24"/>
    </w:rPr>
  </w:style>
  <w:style w:type="paragraph" w:customStyle="1" w:styleId="178">
    <w:name w:val="摘要"/>
    <w:basedOn w:val="1"/>
    <w:next w:val="4"/>
    <w:qFormat/>
    <w:uiPriority w:val="0"/>
    <w:pPr>
      <w:spacing w:line="360" w:lineRule="auto"/>
    </w:pPr>
    <w:rPr>
      <w:rFonts w:eastAsia="黑体"/>
      <w:sz w:val="20"/>
    </w:rPr>
  </w:style>
  <w:style w:type="paragraph" w:customStyle="1" w:styleId="179">
    <w:name w:val="Char Char Char Char Char Char Char1"/>
    <w:basedOn w:val="1"/>
    <w:qFormat/>
    <w:uiPriority w:val="0"/>
    <w:rPr>
      <w:rFonts w:ascii="Tahoma" w:hAnsi="Tahoma"/>
      <w:sz w:val="24"/>
    </w:rPr>
  </w:style>
  <w:style w:type="paragraph" w:customStyle="1" w:styleId="180">
    <w:name w:val="Char1"/>
    <w:basedOn w:val="1"/>
    <w:qFormat/>
    <w:uiPriority w:val="0"/>
    <w:rPr>
      <w:sz w:val="21"/>
    </w:rPr>
  </w:style>
  <w:style w:type="paragraph" w:customStyle="1" w:styleId="181">
    <w:name w:val="1.正文"/>
    <w:basedOn w:val="1"/>
    <w:qFormat/>
    <w:uiPriority w:val="0"/>
    <w:pPr>
      <w:spacing w:line="360" w:lineRule="auto"/>
      <w:ind w:left="540" w:leftChars="225" w:firstLine="540" w:firstLineChars="225"/>
    </w:pPr>
    <w:rPr>
      <w:sz w:val="24"/>
    </w:rPr>
  </w:style>
  <w:style w:type="paragraph" w:customStyle="1" w:styleId="182">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83">
    <w:name w:val="简单回函地址"/>
    <w:basedOn w:val="1"/>
    <w:qFormat/>
    <w:uiPriority w:val="0"/>
    <w:pPr>
      <w:adjustRightInd w:val="0"/>
      <w:snapToGrid w:val="0"/>
      <w:spacing w:line="360" w:lineRule="auto"/>
    </w:pPr>
    <w:rPr>
      <w:sz w:val="24"/>
    </w:rPr>
  </w:style>
  <w:style w:type="paragraph" w:customStyle="1" w:styleId="184">
    <w:name w:val="Style Heading 3h3Heading 3 - oldLevel 3 HeadH3level_3PIM 3se..."/>
    <w:basedOn w:val="5"/>
    <w:qFormat/>
    <w:uiPriority w:val="0"/>
    <w:pPr>
      <w:numPr>
        <w:ilvl w:val="2"/>
        <w:numId w:val="12"/>
      </w:numPr>
      <w:tabs>
        <w:tab w:val="left" w:pos="709"/>
        <w:tab w:val="left" w:pos="1620"/>
      </w:tabs>
    </w:pPr>
  </w:style>
  <w:style w:type="paragraph" w:customStyle="1" w:styleId="185">
    <w:name w:val="正文文本缩进 21"/>
    <w:basedOn w:val="1"/>
    <w:qFormat/>
    <w:uiPriority w:val="0"/>
    <w:pPr>
      <w:adjustRightInd w:val="0"/>
      <w:spacing w:before="120"/>
      <w:ind w:firstLine="420"/>
      <w:textAlignment w:val="baseline"/>
    </w:pPr>
    <w:rPr>
      <w:sz w:val="24"/>
    </w:rPr>
  </w:style>
  <w:style w:type="paragraph" w:customStyle="1" w:styleId="186">
    <w:name w:val="首行缩进 1"/>
    <w:basedOn w:val="1"/>
    <w:qFormat/>
    <w:uiPriority w:val="0"/>
    <w:pPr>
      <w:spacing w:after="120" w:line="360" w:lineRule="auto"/>
      <w:ind w:firstLine="200" w:firstLineChars="200"/>
    </w:pPr>
    <w:rPr>
      <w:sz w:val="24"/>
    </w:rPr>
  </w:style>
  <w:style w:type="paragraph" w:customStyle="1" w:styleId="187">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8">
    <w:name w:val="Char1 Char Char Char1"/>
    <w:basedOn w:val="1"/>
    <w:qFormat/>
    <w:uiPriority w:val="0"/>
    <w:rPr>
      <w:rFonts w:ascii="Tahoma" w:hAnsi="Tahoma"/>
      <w:sz w:val="30"/>
    </w:rPr>
  </w:style>
  <w:style w:type="paragraph" w:customStyle="1" w:styleId="189">
    <w:name w:val="默认段落字体 Para Char Char Char Char Char Char Char"/>
    <w:basedOn w:val="1"/>
    <w:qFormat/>
    <w:uiPriority w:val="0"/>
    <w:rPr>
      <w:rFonts w:ascii="Tahoma" w:hAnsi="Tahoma"/>
      <w:sz w:val="24"/>
    </w:rPr>
  </w:style>
  <w:style w:type="paragraph" w:customStyle="1" w:styleId="190">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91">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92">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93">
    <w:name w:val="CSS1级正文 Char"/>
    <w:basedOn w:val="2"/>
    <w:qFormat/>
    <w:uiPriority w:val="0"/>
    <w:pPr>
      <w:adjustRightInd w:val="0"/>
      <w:snapToGrid w:val="0"/>
      <w:spacing w:line="360" w:lineRule="auto"/>
      <w:ind w:firstLine="480"/>
    </w:pPr>
    <w:rPr>
      <w:rFonts w:ascii="Times New Roman" w:eastAsia="宋体"/>
      <w:sz w:val="24"/>
    </w:rPr>
  </w:style>
  <w:style w:type="paragraph" w:customStyle="1" w:styleId="194">
    <w:name w:val="正文字缩2字"/>
    <w:basedOn w:val="1"/>
    <w:qFormat/>
    <w:uiPriority w:val="0"/>
    <w:pPr>
      <w:spacing w:before="60" w:after="60" w:line="360" w:lineRule="auto"/>
      <w:ind w:left="200" w:leftChars="200" w:firstLine="200" w:firstLineChars="200"/>
    </w:pPr>
    <w:rPr>
      <w:sz w:val="24"/>
    </w:rPr>
  </w:style>
  <w:style w:type="paragraph" w:customStyle="1" w:styleId="195">
    <w:name w:val="Item Step in Table"/>
    <w:qFormat/>
    <w:uiPriority w:val="0"/>
    <w:pPr>
      <w:numPr>
        <w:ilvl w:val="0"/>
        <w:numId w:val="7"/>
      </w:numPr>
      <w:tabs>
        <w:tab w:val="left" w:pos="397"/>
      </w:tabs>
      <w:spacing w:before="40" w:after="40"/>
      <w:jc w:val="both"/>
    </w:pPr>
    <w:rPr>
      <w:rFonts w:ascii="Arial" w:hAnsi="Arial" w:eastAsia="宋体" w:cs="Times New Roman"/>
      <w:sz w:val="18"/>
      <w:lang w:val="en-US" w:eastAsia="zh-CN" w:bidi="ar-SA"/>
    </w:rPr>
  </w:style>
  <w:style w:type="paragraph" w:customStyle="1" w:styleId="196">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197">
    <w:name w:val="1"/>
    <w:basedOn w:val="1"/>
    <w:next w:val="30"/>
    <w:qFormat/>
    <w:uiPriority w:val="0"/>
    <w:rPr>
      <w:rFonts w:ascii="宋体" w:hAnsi="Courier New"/>
      <w:sz w:val="21"/>
    </w:rPr>
  </w:style>
  <w:style w:type="paragraph" w:customStyle="1" w:styleId="198">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199">
    <w:name w:val="表格内文字"/>
    <w:basedOn w:val="30"/>
    <w:qFormat/>
    <w:uiPriority w:val="0"/>
    <w:pPr>
      <w:adjustRightInd w:val="0"/>
    </w:pPr>
    <w:rPr>
      <w:color w:val="000000"/>
      <w:lang w:val="en-GB"/>
    </w:rPr>
  </w:style>
  <w:style w:type="paragraph" w:customStyle="1" w:styleId="200">
    <w:name w:val="样式 首行缩进:  0.74 厘米"/>
    <w:basedOn w:val="1"/>
    <w:qFormat/>
    <w:uiPriority w:val="0"/>
    <w:pPr>
      <w:spacing w:line="360" w:lineRule="auto"/>
      <w:ind w:firstLine="420"/>
    </w:pPr>
    <w:rPr>
      <w:sz w:val="24"/>
    </w:rPr>
  </w:style>
  <w:style w:type="paragraph" w:customStyle="1" w:styleId="201">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202">
    <w:name w:val="BodyText1I"/>
    <w:basedOn w:val="122"/>
    <w:qFormat/>
    <w:uiPriority w:val="0"/>
    <w:pPr>
      <w:spacing w:line="360" w:lineRule="auto"/>
    </w:pPr>
    <w:rPr>
      <w:rFonts w:ascii="宋体" w:hAnsi="宋体"/>
      <w:sz w:val="24"/>
    </w:rPr>
  </w:style>
  <w:style w:type="paragraph" w:customStyle="1" w:styleId="203">
    <w:name w:val="00"/>
    <w:basedOn w:val="1"/>
    <w:qFormat/>
    <w:uiPriority w:val="0"/>
    <w:pPr>
      <w:autoSpaceDE w:val="0"/>
      <w:autoSpaceDN w:val="0"/>
      <w:adjustRightInd w:val="0"/>
      <w:jc w:val="left"/>
    </w:pPr>
    <w:rPr>
      <w:rFonts w:ascii="黑体" w:eastAsia="黑体"/>
      <w:b/>
      <w:kern w:val="0"/>
      <w:sz w:val="20"/>
    </w:rPr>
  </w:style>
  <w:style w:type="paragraph" w:customStyle="1" w:styleId="204">
    <w:name w:val="Table Contents"/>
    <w:basedOn w:val="2"/>
    <w:qFormat/>
    <w:uiPriority w:val="0"/>
    <w:pPr>
      <w:suppressAutoHyphens/>
      <w:jc w:val="left"/>
    </w:pPr>
    <w:rPr>
      <w:rFonts w:ascii="Times New Roman" w:eastAsia="Times New Roman"/>
      <w:kern w:val="0"/>
      <w:sz w:val="24"/>
    </w:rPr>
  </w:style>
  <w:style w:type="paragraph" w:customStyle="1" w:styleId="205">
    <w:name w:val="司法正文"/>
    <w:qFormat/>
    <w:uiPriority w:val="0"/>
    <w:pPr>
      <w:widowControl w:val="0"/>
      <w:ind w:firstLine="200" w:firstLineChars="200"/>
      <w:jc w:val="both"/>
    </w:pPr>
    <w:rPr>
      <w:rFonts w:ascii="Calibri" w:hAnsi="Calibri" w:eastAsia="仿宋_GB2312" w:cs="Times New Roman"/>
      <w:sz w:val="32"/>
      <w:lang w:val="en-US" w:eastAsia="zh-CN" w:bidi="ar-SA"/>
    </w:rPr>
  </w:style>
  <w:style w:type="paragraph" w:customStyle="1" w:styleId="206">
    <w:name w:val="Char Char 字元 字元 字元 Char Char Char Char"/>
    <w:basedOn w:val="1"/>
    <w:qFormat/>
    <w:uiPriority w:val="0"/>
    <w:pPr>
      <w:adjustRightInd w:val="0"/>
      <w:spacing w:line="360" w:lineRule="auto"/>
    </w:pPr>
    <w:rPr>
      <w:kern w:val="0"/>
      <w:sz w:val="24"/>
    </w:rPr>
  </w:style>
  <w:style w:type="paragraph" w:customStyle="1" w:styleId="207">
    <w:name w:val="样式 正文首行缩进 2 + 首行缩进:  2 字符"/>
    <w:basedOn w:val="1"/>
    <w:qFormat/>
    <w:uiPriority w:val="0"/>
    <w:pPr>
      <w:numPr>
        <w:ilvl w:val="0"/>
        <w:numId w:val="13"/>
      </w:numPr>
      <w:adjustRightInd w:val="0"/>
      <w:snapToGrid w:val="0"/>
      <w:spacing w:line="360" w:lineRule="auto"/>
    </w:pPr>
    <w:rPr>
      <w:rFonts w:ascii="Arial" w:hAnsi="Arial"/>
      <w:b/>
      <w:sz w:val="24"/>
    </w:rPr>
  </w:style>
  <w:style w:type="paragraph" w:customStyle="1" w:styleId="208">
    <w:name w:val="样式 正文缩进正文（首行缩进两字）表正文正文非缩进特点标题4段1 + 首行缩进:  2 字符"/>
    <w:basedOn w:val="16"/>
    <w:qFormat/>
    <w:uiPriority w:val="0"/>
    <w:pPr>
      <w:ind w:firstLine="480" w:firstLineChars="200"/>
    </w:pPr>
  </w:style>
  <w:style w:type="paragraph" w:customStyle="1" w:styleId="209">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210">
    <w:name w:val="正文文本 21"/>
    <w:basedOn w:val="1"/>
    <w:qFormat/>
    <w:uiPriority w:val="0"/>
    <w:pPr>
      <w:adjustRightInd w:val="0"/>
      <w:spacing w:before="120" w:line="360" w:lineRule="auto"/>
      <w:ind w:firstLine="480"/>
      <w:textAlignment w:val="baseline"/>
    </w:pPr>
    <w:rPr>
      <w:sz w:val="24"/>
    </w:rPr>
  </w:style>
  <w:style w:type="character" w:customStyle="1" w:styleId="211">
    <w:name w:val="正文文本缩进 2 Char"/>
    <w:link w:val="33"/>
    <w:qFormat/>
    <w:uiPriority w:val="0"/>
    <w:rPr>
      <w:kern w:val="2"/>
      <w:sz w:val="28"/>
    </w:rPr>
  </w:style>
  <w:style w:type="character" w:customStyle="1" w:styleId="212">
    <w:name w:val="Table Heading Char Char"/>
    <w:qFormat/>
    <w:uiPriority w:val="0"/>
    <w:rPr>
      <w:rFonts w:ascii="Arial" w:hAnsi="Arial" w:eastAsia="黑体"/>
      <w:kern w:val="2"/>
      <w:sz w:val="18"/>
      <w:lang w:val="en-US" w:eastAsia="zh-CN"/>
    </w:rPr>
  </w:style>
  <w:style w:type="character" w:customStyle="1" w:styleId="213">
    <w:name w:val="Char Char4"/>
    <w:qFormat/>
    <w:uiPriority w:val="0"/>
    <w:rPr>
      <w:rFonts w:eastAsia="宋体"/>
      <w:b/>
      <w:kern w:val="2"/>
      <w:sz w:val="21"/>
      <w:lang w:val="en-US" w:eastAsia="zh-CN"/>
    </w:rPr>
  </w:style>
  <w:style w:type="character" w:customStyle="1" w:styleId="214">
    <w:name w:val="Table Text Char"/>
    <w:link w:val="86"/>
    <w:qFormat/>
    <w:uiPriority w:val="0"/>
    <w:rPr>
      <w:rFonts w:ascii="Arial" w:hAnsi="Arial"/>
      <w:kern w:val="2"/>
      <w:sz w:val="18"/>
      <w:lang w:val="en-US" w:eastAsia="zh-CN" w:bidi="ar-SA"/>
    </w:rPr>
  </w:style>
  <w:style w:type="character" w:customStyle="1" w:styleId="215">
    <w:name w:val="样式 宋体"/>
    <w:qFormat/>
    <w:uiPriority w:val="0"/>
    <w:rPr>
      <w:rFonts w:ascii="宋体" w:hAnsi="宋体" w:eastAsia="宋体"/>
      <w:sz w:val="28"/>
    </w:rPr>
  </w:style>
  <w:style w:type="character" w:customStyle="1" w:styleId="216">
    <w:name w:val="正文 + 三号 Char"/>
    <w:qFormat/>
    <w:uiPriority w:val="0"/>
    <w:rPr>
      <w:rFonts w:eastAsia="宋体"/>
      <w:kern w:val="2"/>
      <w:sz w:val="21"/>
      <w:lang w:val="en-US" w:eastAsia="zh-CN"/>
    </w:rPr>
  </w:style>
  <w:style w:type="character" w:customStyle="1" w:styleId="217">
    <w:name w:val="Char Char7"/>
    <w:qFormat/>
    <w:uiPriority w:val="0"/>
    <w:rPr>
      <w:rFonts w:ascii="宋体" w:hAnsi="宋体" w:eastAsia="宋体"/>
      <w:kern w:val="2"/>
      <w:sz w:val="28"/>
    </w:rPr>
  </w:style>
  <w:style w:type="character" w:customStyle="1" w:styleId="218">
    <w:name w:val="Char Char11"/>
    <w:qFormat/>
    <w:uiPriority w:val="0"/>
    <w:rPr>
      <w:rFonts w:ascii="宋体"/>
      <w:kern w:val="2"/>
      <w:sz w:val="28"/>
    </w:rPr>
  </w:style>
  <w:style w:type="character" w:customStyle="1" w:styleId="219">
    <w:name w:val="标题 3 Char"/>
    <w:link w:val="5"/>
    <w:qFormat/>
    <w:uiPriority w:val="0"/>
    <w:rPr>
      <w:rFonts w:eastAsia="宋体"/>
      <w:b/>
      <w:kern w:val="2"/>
      <w:sz w:val="32"/>
      <w:lang w:val="en-US" w:eastAsia="zh-CN"/>
    </w:rPr>
  </w:style>
  <w:style w:type="character" w:customStyle="1" w:styleId="220">
    <w:name w:val="小 Char"/>
    <w:qFormat/>
    <w:uiPriority w:val="0"/>
    <w:rPr>
      <w:rFonts w:ascii="宋体" w:hAnsi="Courier New" w:eastAsia="宋体"/>
      <w:kern w:val="2"/>
      <w:sz w:val="21"/>
      <w:lang w:val="en-US" w:eastAsia="zh-CN" w:bidi="ar-SA"/>
    </w:rPr>
  </w:style>
  <w:style w:type="character" w:customStyle="1" w:styleId="221">
    <w:name w:val="文字 Char"/>
    <w:link w:val="75"/>
    <w:qFormat/>
    <w:uiPriority w:val="0"/>
    <w:rPr>
      <w:rFonts w:ascii="宋体"/>
      <w:kern w:val="2"/>
      <w:sz w:val="28"/>
    </w:rPr>
  </w:style>
  <w:style w:type="character" w:customStyle="1" w:styleId="222">
    <w:name w:val="Char Char6"/>
    <w:qFormat/>
    <w:uiPriority w:val="0"/>
    <w:rPr>
      <w:rFonts w:ascii="仿宋_GB2312" w:eastAsia="仿宋_GB2312"/>
      <w:kern w:val="2"/>
      <w:sz w:val="32"/>
    </w:rPr>
  </w:style>
  <w:style w:type="character" w:customStyle="1" w:styleId="223">
    <w:name w:val="Char Char3"/>
    <w:qFormat/>
    <w:uiPriority w:val="0"/>
    <w:rPr>
      <w:rFonts w:eastAsia="宋体"/>
      <w:kern w:val="2"/>
      <w:sz w:val="18"/>
      <w:lang w:val="en-US" w:eastAsia="zh-CN"/>
    </w:rPr>
  </w:style>
  <w:style w:type="character" w:customStyle="1" w:styleId="224">
    <w:name w:val="Char Char"/>
    <w:qFormat/>
    <w:uiPriority w:val="0"/>
    <w:rPr>
      <w:rFonts w:ascii="宋体" w:hAnsi="宋体" w:eastAsia="宋体"/>
      <w:kern w:val="2"/>
      <w:sz w:val="24"/>
      <w:lang w:val="en-US" w:eastAsia="zh-CN" w:bidi="ar-SA"/>
    </w:rPr>
  </w:style>
  <w:style w:type="character" w:customStyle="1" w:styleId="225">
    <w:name w:val="H2 Char"/>
    <w:qFormat/>
    <w:uiPriority w:val="0"/>
    <w:rPr>
      <w:rFonts w:ascii="Arial" w:hAnsi="Arial" w:eastAsia="宋体"/>
      <w:kern w:val="2"/>
      <w:sz w:val="28"/>
      <w:lang w:val="en-US" w:eastAsia="zh-CN"/>
    </w:rPr>
  </w:style>
  <w:style w:type="character" w:customStyle="1" w:styleId="226">
    <w:name w:val="Char Char5"/>
    <w:qFormat/>
    <w:uiPriority w:val="0"/>
    <w:rPr>
      <w:rFonts w:ascii="Arial" w:hAnsi="Arial" w:eastAsia="宋体"/>
      <w:b/>
      <w:smallCaps/>
      <w:kern w:val="28"/>
      <w:sz w:val="36"/>
      <w:lang w:val="en-US" w:eastAsia="en-US"/>
    </w:rPr>
  </w:style>
  <w:style w:type="character" w:customStyle="1" w:styleId="227">
    <w:name w:val="批注主题 Char"/>
    <w:link w:val="55"/>
    <w:qFormat/>
    <w:uiPriority w:val="0"/>
  </w:style>
  <w:style w:type="character" w:customStyle="1" w:styleId="228">
    <w:name w:val="未命名11"/>
    <w:qFormat/>
    <w:uiPriority w:val="0"/>
    <w:rPr>
      <w:color w:val="77FFFF"/>
      <w:sz w:val="24"/>
    </w:rPr>
  </w:style>
  <w:style w:type="character" w:customStyle="1" w:styleId="229">
    <w:name w:val="Table Text Char Char Char Char"/>
    <w:link w:val="163"/>
    <w:qFormat/>
    <w:uiPriority w:val="0"/>
    <w:rPr>
      <w:rFonts w:ascii="Arial" w:hAnsi="Arial"/>
      <w:kern w:val="2"/>
      <w:sz w:val="18"/>
      <w:lang w:val="en-US" w:eastAsia="zh-CN" w:bidi="ar-SA"/>
    </w:rPr>
  </w:style>
  <w:style w:type="character" w:customStyle="1" w:styleId="230">
    <w:name w:val="title_emph1"/>
    <w:qFormat/>
    <w:uiPriority w:val="0"/>
    <w:rPr>
      <w:rFonts w:hint="default" w:ascii="Arial" w:hAnsi="Arial"/>
      <w:b/>
      <w:sz w:val="20"/>
    </w:rPr>
  </w:style>
  <w:style w:type="character" w:customStyle="1" w:styleId="231">
    <w:name w:val="crowed11"/>
    <w:qFormat/>
    <w:uiPriority w:val="0"/>
    <w:rPr>
      <w:rFonts w:hint="default" w:ascii="_x000B__x000C_" w:hAnsi="_x000B__x000C_"/>
      <w:sz w:val="24"/>
    </w:rPr>
  </w:style>
  <w:style w:type="character" w:customStyle="1" w:styleId="232">
    <w:name w:val="Table Text Char1 Char"/>
    <w:qFormat/>
    <w:uiPriority w:val="0"/>
    <w:rPr>
      <w:rFonts w:ascii="Arial" w:hAnsi="Arial"/>
      <w:kern w:val="2"/>
      <w:sz w:val="18"/>
      <w:lang w:val="en-US" w:eastAsia="zh-CN" w:bidi="ar-SA"/>
    </w:rPr>
  </w:style>
  <w:style w:type="character" w:customStyle="1" w:styleId="233">
    <w:name w:val="Char Char2"/>
    <w:qFormat/>
    <w:uiPriority w:val="0"/>
    <w:rPr>
      <w:rFonts w:eastAsia="宋体"/>
      <w:kern w:val="2"/>
      <w:sz w:val="18"/>
      <w:lang w:val="en-US" w:eastAsia="zh-CN"/>
    </w:rPr>
  </w:style>
  <w:style w:type="character" w:customStyle="1" w:styleId="234">
    <w:name w:val="v151"/>
    <w:qFormat/>
    <w:uiPriority w:val="0"/>
    <w:rPr>
      <w:sz w:val="18"/>
    </w:rPr>
  </w:style>
  <w:style w:type="character" w:customStyle="1" w:styleId="235">
    <w:name w:val="日期 Char"/>
    <w:link w:val="32"/>
    <w:qFormat/>
    <w:uiPriority w:val="0"/>
    <w:rPr>
      <w:kern w:val="2"/>
      <w:sz w:val="28"/>
    </w:rPr>
  </w:style>
  <w:style w:type="character" w:customStyle="1" w:styleId="236">
    <w:name w:val="标书正文:  0.74 厘米 Char1"/>
    <w:qFormat/>
    <w:uiPriority w:val="0"/>
    <w:rPr>
      <w:rFonts w:eastAsia="宋体"/>
      <w:kern w:val="2"/>
      <w:sz w:val="24"/>
      <w:lang w:val="en-US" w:eastAsia="zh-CN"/>
    </w:rPr>
  </w:style>
  <w:style w:type="character" w:customStyle="1" w:styleId="237">
    <w:name w:val="脚注文本 Char"/>
    <w:link w:val="41"/>
    <w:qFormat/>
    <w:uiPriority w:val="0"/>
    <w:rPr>
      <w:kern w:val="2"/>
      <w:sz w:val="18"/>
    </w:rPr>
  </w:style>
  <w:style w:type="character" w:customStyle="1" w:styleId="238">
    <w:name w:val="正文文本缩进 Char"/>
    <w:link w:val="23"/>
    <w:qFormat/>
    <w:uiPriority w:val="0"/>
    <w:rPr>
      <w:kern w:val="2"/>
      <w:sz w:val="44"/>
    </w:rPr>
  </w:style>
  <w:style w:type="character" w:customStyle="1" w:styleId="239">
    <w:name w:val="正文首行缩进 2 Char"/>
    <w:link w:val="57"/>
    <w:qFormat/>
    <w:uiPriority w:val="0"/>
  </w:style>
  <w:style w:type="character" w:customStyle="1" w:styleId="240">
    <w:name w:val="top-det1"/>
    <w:qFormat/>
    <w:uiPriority w:val="0"/>
    <w:rPr>
      <w:b/>
      <w:color w:val="000000"/>
    </w:rPr>
  </w:style>
  <w:style w:type="character" w:customStyle="1" w:styleId="241">
    <w:name w:val="content-white1"/>
    <w:qFormat/>
    <w:uiPriority w:val="0"/>
    <w:rPr>
      <w:rFonts w:ascii="_x000B__x000C_" w:hAnsi="_x000B__x000C_"/>
      <w:color w:val="auto"/>
      <w:sz w:val="18"/>
      <w:u w:val="none"/>
    </w:rPr>
  </w:style>
  <w:style w:type="character" w:customStyle="1" w:styleId="242">
    <w:name w:val="font1"/>
    <w:qFormat/>
    <w:uiPriority w:val="0"/>
    <w:rPr>
      <w:color w:val="000000"/>
      <w:sz w:val="18"/>
    </w:rPr>
  </w:style>
  <w:style w:type="character" w:customStyle="1" w:styleId="243">
    <w:name w:val="批注文字 Char"/>
    <w:link w:val="20"/>
    <w:qFormat/>
    <w:uiPriority w:val="0"/>
    <w:rPr>
      <w:sz w:val="24"/>
    </w:rPr>
  </w:style>
  <w:style w:type="paragraph" w:customStyle="1" w:styleId="244">
    <w:name w:val="*正文"/>
    <w:basedOn w:val="1"/>
    <w:qFormat/>
    <w:uiPriority w:val="0"/>
    <w:pPr>
      <w:widowControl/>
      <w:spacing w:line="360" w:lineRule="auto"/>
      <w:ind w:firstLine="480" w:firstLineChars="200"/>
    </w:pPr>
    <w:rPr>
      <w:rFonts w:eastAsia="仿宋_GB2312"/>
      <w:sz w:val="24"/>
      <w:szCs w:val="28"/>
    </w:rPr>
  </w:style>
  <w:style w:type="paragraph" w:customStyle="1" w:styleId="245">
    <w:name w:val="列表段落1"/>
    <w:basedOn w:val="1"/>
    <w:unhideWhenUsed/>
    <w:qFormat/>
    <w:uiPriority w:val="99"/>
    <w:pPr>
      <w:ind w:firstLine="420"/>
    </w:pPr>
  </w:style>
  <w:style w:type="character" w:customStyle="1" w:styleId="246">
    <w:name w:val="font31"/>
    <w:basedOn w:val="60"/>
    <w:qFormat/>
    <w:uiPriority w:val="0"/>
    <w:rPr>
      <w:rFonts w:hint="eastAsia" w:ascii="微软雅黑" w:hAnsi="微软雅黑" w:eastAsia="微软雅黑" w:cs="微软雅黑"/>
      <w:color w:val="000000"/>
      <w:sz w:val="20"/>
      <w:szCs w:val="20"/>
      <w:u w:val="none"/>
    </w:rPr>
  </w:style>
  <w:style w:type="character" w:customStyle="1" w:styleId="247">
    <w:name w:val="font51"/>
    <w:basedOn w:val="60"/>
    <w:qFormat/>
    <w:uiPriority w:val="0"/>
    <w:rPr>
      <w:rFonts w:hint="eastAsia" w:ascii="仿宋" w:hAnsi="仿宋" w:eastAsia="仿宋" w:cs="仿宋"/>
      <w:color w:val="000000"/>
      <w:sz w:val="18"/>
      <w:szCs w:val="18"/>
      <w:u w:val="none"/>
    </w:rPr>
  </w:style>
  <w:style w:type="character" w:customStyle="1" w:styleId="248">
    <w:name w:val="font122"/>
    <w:basedOn w:val="60"/>
    <w:qFormat/>
    <w:uiPriority w:val="0"/>
    <w:rPr>
      <w:rFonts w:hint="eastAsia" w:ascii="宋体" w:hAnsi="宋体" w:eastAsia="宋体" w:cs="宋体"/>
      <w:color w:val="FF0000"/>
      <w:sz w:val="22"/>
      <w:szCs w:val="22"/>
      <w:u w:val="none"/>
    </w:rPr>
  </w:style>
  <w:style w:type="character" w:customStyle="1" w:styleId="249">
    <w:name w:val="font71"/>
    <w:basedOn w:val="60"/>
    <w:qFormat/>
    <w:uiPriority w:val="0"/>
    <w:rPr>
      <w:rFonts w:hint="eastAsia" w:ascii="宋体" w:hAnsi="宋体" w:eastAsia="宋体" w:cs="宋体"/>
      <w:color w:val="000000"/>
      <w:sz w:val="22"/>
      <w:szCs w:val="22"/>
      <w:u w:val="none"/>
    </w:rPr>
  </w:style>
  <w:style w:type="character" w:customStyle="1" w:styleId="250">
    <w:name w:val="font81"/>
    <w:basedOn w:val="60"/>
    <w:qFormat/>
    <w:uiPriority w:val="0"/>
    <w:rPr>
      <w:rFonts w:hint="eastAsia" w:ascii="宋体" w:hAnsi="宋体" w:eastAsia="宋体" w:cs="宋体"/>
      <w:color w:val="000000"/>
      <w:sz w:val="22"/>
      <w:szCs w:val="22"/>
      <w:u w:val="none"/>
    </w:rPr>
  </w:style>
  <w:style w:type="character" w:customStyle="1" w:styleId="251">
    <w:name w:val="font101"/>
    <w:basedOn w:val="60"/>
    <w:qFormat/>
    <w:uiPriority w:val="0"/>
    <w:rPr>
      <w:rFonts w:hint="eastAsia" w:ascii="宋体" w:hAnsi="宋体" w:eastAsia="宋体" w:cs="宋体"/>
      <w:color w:val="000000"/>
      <w:sz w:val="22"/>
      <w:szCs w:val="22"/>
      <w:u w:val="none"/>
    </w:rPr>
  </w:style>
  <w:style w:type="character" w:customStyle="1" w:styleId="252">
    <w:name w:val="font21"/>
    <w:basedOn w:val="6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Manager>罗成</Manager>
  <Company>重庆市政府采购中心</Company>
  <Pages>73</Pages>
  <Words>3656</Words>
  <Characters>4556</Characters>
  <Lines>487</Lines>
  <Paragraphs>137</Paragraphs>
  <TotalTime>20</TotalTime>
  <ScaleCrop>false</ScaleCrop>
  <LinksUpToDate>false</LinksUpToDate>
  <CharactersWithSpaces>5001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2022-06-13T08:41:00Z</dcterms:created>
  <dc:creator>周媛媛</dc:creator>
  <cp:lastModifiedBy>余</cp:lastModifiedBy>
  <cp:lastPrinted>2023-04-13T07:52:00Z</cp:lastPrinted>
  <dcterms:modified xsi:type="dcterms:W3CDTF">2025-10-29T08:29:21Z</dcterms:modified>
  <dc:title>竞争性谈判文件</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2BA1B4D18247478EAF43E57ACF876419_13</vt:lpwstr>
  </property>
  <property fmtid="{D5CDD505-2E9C-101B-9397-08002B2CF9AE}" pid="4" name="KSOTemplateDocerSaveRecord">
    <vt:lpwstr>eyJoZGlkIjoiNDFjYzMzZmE4ODM0YjgzZTcxODRkZDU1NTI3MjYyZDQiLCJ1c2VySWQiOiI2MzkwMzU1MDgifQ==</vt:lpwstr>
  </property>
</Properties>
</file>