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52EF5">
      <w:pPr>
        <w:pStyle w:val="3"/>
        <w:spacing w:before="0" w:after="0" w:line="360" w:lineRule="auto"/>
        <w:jc w:val="center"/>
        <w:rPr>
          <w:rFonts w:hint="eastAsia" w:ascii="方正小标宋_GBK" w:eastAsia="方正小标宋_GBK"/>
          <w:b w:val="0"/>
          <w:color w:val="auto"/>
          <w:sz w:val="36"/>
          <w:szCs w:val="30"/>
          <w:highlight w:val="none"/>
        </w:rPr>
      </w:pPr>
      <w:r>
        <w:rPr>
          <w:rFonts w:hint="eastAsia" w:ascii="方正仿宋_GBK" w:hAnsi="方正仿宋_GBK" w:eastAsia="方正仿宋_GBK" w:cs="方正仿宋_GBK"/>
          <w:b w:val="0"/>
          <w:color w:val="auto"/>
          <w:sz w:val="36"/>
          <w:szCs w:val="36"/>
          <w:highlight w:val="none"/>
        </w:rPr>
        <w:t>竞争性谈判邀请书</w:t>
      </w:r>
    </w:p>
    <w:p w14:paraId="28E69719">
      <w:pPr>
        <w:pageBreakBefore w:val="0"/>
        <w:kinsoku/>
        <w:wordWrap/>
        <w:overflowPunct/>
        <w:topLinePunct w:val="0"/>
        <w:autoSpaceDE/>
        <w:autoSpaceDN/>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重庆尚宇工程项目管理有限公司</w:t>
      </w:r>
      <w:r>
        <w:rPr>
          <w:rFonts w:hint="eastAsia" w:ascii="仿宋" w:hAnsi="仿宋" w:eastAsia="仿宋" w:cs="仿宋"/>
          <w:color w:val="auto"/>
          <w:sz w:val="24"/>
          <w:szCs w:val="24"/>
          <w:highlight w:val="none"/>
        </w:rPr>
        <w:t>（以下简称：采购代理机构）接受</w:t>
      </w:r>
      <w:r>
        <w:rPr>
          <w:rFonts w:hint="eastAsia" w:ascii="仿宋" w:hAnsi="仿宋" w:eastAsia="仿宋" w:cs="仿宋"/>
          <w:color w:val="auto"/>
          <w:sz w:val="24"/>
          <w:szCs w:val="24"/>
          <w:highlight w:val="none"/>
          <w:lang w:val="en-US" w:eastAsia="zh-CN"/>
        </w:rPr>
        <w:t>重庆市铜梁区平滩初级中学校</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lang w:eastAsia="zh-CN"/>
        </w:rPr>
        <w:t>重庆市铜梁区平滩初级中学校路面整治及窗户更换等维修改造工程</w:t>
      </w:r>
      <w:r>
        <w:rPr>
          <w:rFonts w:hint="eastAsia" w:ascii="仿宋" w:hAnsi="仿宋" w:eastAsia="仿宋" w:cs="仿宋"/>
          <w:color w:val="auto"/>
          <w:sz w:val="24"/>
          <w:szCs w:val="24"/>
          <w:highlight w:val="none"/>
        </w:rPr>
        <w:t>进行竞争性谈判采购。欢迎有资格的供应商前来参加谈判。</w:t>
      </w:r>
    </w:p>
    <w:p w14:paraId="1ED9EA3C">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0" w:name="_Toc18246"/>
      <w:bookmarkStart w:id="1" w:name="_Toc317775175"/>
      <w:bookmarkStart w:id="2" w:name="_Toc7758"/>
      <w:bookmarkStart w:id="3" w:name="_Toc65660330"/>
      <w:bookmarkStart w:id="4" w:name="_Toc32533"/>
      <w:bookmarkStart w:id="5" w:name="_Toc29635"/>
      <w:bookmarkStart w:id="6" w:name="_Toc313893526"/>
      <w:r>
        <w:rPr>
          <w:rFonts w:hint="eastAsia" w:ascii="仿宋" w:hAnsi="仿宋" w:eastAsia="仿宋" w:cs="仿宋"/>
          <w:color w:val="auto"/>
          <w:sz w:val="24"/>
          <w:szCs w:val="24"/>
          <w:highlight w:val="none"/>
        </w:rPr>
        <w:t>一、竞争性谈判内容</w:t>
      </w:r>
      <w:bookmarkEnd w:id="0"/>
      <w:bookmarkEnd w:id="1"/>
      <w:bookmarkEnd w:id="2"/>
      <w:bookmarkEnd w:id="3"/>
      <w:bookmarkEnd w:id="4"/>
      <w:bookmarkEnd w:id="5"/>
      <w:bookmarkEnd w:id="6"/>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1416"/>
        <w:gridCol w:w="939"/>
        <w:gridCol w:w="1510"/>
        <w:gridCol w:w="1925"/>
      </w:tblGrid>
      <w:tr w14:paraId="44E9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tcBorders>
              <w:top w:val="single" w:color="auto" w:sz="4" w:space="0"/>
              <w:left w:val="single" w:color="auto" w:sz="4" w:space="0"/>
              <w:right w:val="single" w:color="auto" w:sz="4" w:space="0"/>
            </w:tcBorders>
            <w:noWrap w:val="0"/>
            <w:vAlign w:val="center"/>
          </w:tcPr>
          <w:p w14:paraId="0598A869">
            <w:pPr>
              <w:pageBreakBefore w:val="0"/>
              <w:widowControl/>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包号及名称</w:t>
            </w:r>
          </w:p>
        </w:tc>
        <w:tc>
          <w:tcPr>
            <w:tcW w:w="0" w:type="auto"/>
            <w:tcBorders>
              <w:top w:val="single" w:color="auto" w:sz="4" w:space="0"/>
              <w:left w:val="single" w:color="auto" w:sz="4" w:space="0"/>
              <w:right w:val="single" w:color="auto" w:sz="4" w:space="0"/>
            </w:tcBorders>
            <w:noWrap w:val="0"/>
            <w:vAlign w:val="center"/>
          </w:tcPr>
          <w:p w14:paraId="1514716B">
            <w:pPr>
              <w:widowControl/>
              <w:spacing w:line="360" w:lineRule="auto"/>
              <w:jc w:val="center"/>
              <w:rPr>
                <w:rFonts w:ascii="仿宋" w:hAnsi="仿宋" w:eastAsia="仿宋" w:cs="宋体"/>
                <w:b/>
                <w:bCs/>
                <w:color w:val="auto"/>
                <w:kern w:val="0"/>
                <w:sz w:val="24"/>
                <w:szCs w:val="24"/>
              </w:rPr>
            </w:pPr>
            <w:r>
              <w:rPr>
                <w:rFonts w:ascii="仿宋" w:hAnsi="仿宋" w:eastAsia="仿宋" w:cs="宋体"/>
                <w:b/>
                <w:bCs/>
                <w:color w:val="auto"/>
                <w:kern w:val="0"/>
                <w:sz w:val="24"/>
                <w:szCs w:val="24"/>
              </w:rPr>
              <w:t>最高限价</w:t>
            </w:r>
          </w:p>
          <w:p w14:paraId="67D405AA">
            <w:pPr>
              <w:widowControl/>
              <w:spacing w:line="360" w:lineRule="auto"/>
              <w:jc w:val="center"/>
              <w:rPr>
                <w:rFonts w:hint="eastAsia" w:ascii="仿宋" w:hAnsi="仿宋" w:eastAsia="仿宋" w:cs="仿宋"/>
                <w:b/>
                <w:bCs/>
                <w:color w:val="auto"/>
                <w:kern w:val="0"/>
                <w:sz w:val="24"/>
                <w:szCs w:val="24"/>
                <w:highlight w:val="none"/>
              </w:rPr>
            </w:pPr>
            <w:r>
              <w:rPr>
                <w:rFonts w:ascii="仿宋" w:hAnsi="仿宋" w:eastAsia="仿宋" w:cs="宋体"/>
                <w:b/>
                <w:bCs/>
                <w:color w:val="auto"/>
                <w:kern w:val="0"/>
                <w:sz w:val="24"/>
                <w:szCs w:val="24"/>
              </w:rPr>
              <w:t>（</w:t>
            </w:r>
            <w:r>
              <w:rPr>
                <w:rFonts w:hint="eastAsia" w:ascii="仿宋" w:hAnsi="仿宋" w:eastAsia="仿宋" w:cs="宋体"/>
                <w:b/>
                <w:bCs/>
                <w:color w:val="auto"/>
                <w:kern w:val="0"/>
                <w:sz w:val="24"/>
                <w:szCs w:val="24"/>
                <w:lang w:val="en-US" w:eastAsia="zh-CN"/>
              </w:rPr>
              <w:t>元</w:t>
            </w:r>
            <w:r>
              <w:rPr>
                <w:rFonts w:ascii="仿宋" w:hAnsi="仿宋" w:eastAsia="仿宋" w:cs="宋体"/>
                <w:b/>
                <w:bCs/>
                <w:color w:val="auto"/>
                <w:kern w:val="0"/>
                <w:sz w:val="24"/>
                <w:szCs w:val="24"/>
              </w:rPr>
              <w:t>）</w:t>
            </w:r>
          </w:p>
        </w:tc>
        <w:tc>
          <w:tcPr>
            <w:tcW w:w="0" w:type="auto"/>
            <w:tcBorders>
              <w:top w:val="single" w:color="auto" w:sz="4" w:space="0"/>
              <w:left w:val="single" w:color="auto" w:sz="4" w:space="0"/>
              <w:right w:val="single" w:color="auto" w:sz="4" w:space="0"/>
            </w:tcBorders>
            <w:noWrap w:val="0"/>
            <w:vAlign w:val="center"/>
          </w:tcPr>
          <w:p w14:paraId="772A5FB2">
            <w:pPr>
              <w:pageBreakBefore w:val="0"/>
              <w:widowControl/>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保证金</w:t>
            </w:r>
          </w:p>
          <w:p w14:paraId="4519F2BC">
            <w:pPr>
              <w:pageBreakBefore w:val="0"/>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（元）</w:t>
            </w:r>
          </w:p>
        </w:tc>
        <w:tc>
          <w:tcPr>
            <w:tcW w:w="0" w:type="auto"/>
            <w:tcBorders>
              <w:top w:val="single" w:color="auto" w:sz="4" w:space="0"/>
              <w:left w:val="single" w:color="auto" w:sz="4" w:space="0"/>
              <w:right w:val="single" w:color="auto" w:sz="4" w:space="0"/>
            </w:tcBorders>
            <w:noWrap w:val="0"/>
            <w:vAlign w:val="center"/>
          </w:tcPr>
          <w:p w14:paraId="24A00F2D">
            <w:pPr>
              <w:pageBreakBefore w:val="0"/>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0" w:type="auto"/>
            <w:tcBorders>
              <w:top w:val="single" w:color="auto" w:sz="4" w:space="0"/>
              <w:left w:val="single" w:color="auto" w:sz="4" w:space="0"/>
              <w:right w:val="single" w:color="auto" w:sz="4" w:space="0"/>
            </w:tcBorders>
            <w:noWrap w:val="0"/>
            <w:vAlign w:val="center"/>
          </w:tcPr>
          <w:p w14:paraId="78DE465C">
            <w:pPr>
              <w:pageBreakBefore w:val="0"/>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采购标的对应的中小企业划分标准所属行业</w:t>
            </w:r>
          </w:p>
        </w:tc>
      </w:tr>
      <w:tr w14:paraId="40F7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1A58BAC">
            <w:pPr>
              <w:pageBreakBefore w:val="0"/>
              <w:widowControl/>
              <w:kinsoku/>
              <w:wordWrap/>
              <w:overflowPunct/>
              <w:topLinePunct w:val="0"/>
              <w:autoSpaceDE/>
              <w:autoSpaceDN/>
              <w:bidi w:val="0"/>
              <w:spacing w:line="400" w:lineRule="exact"/>
              <w:jc w:val="center"/>
              <w:rPr>
                <w:rFonts w:hint="eastAsia" w:ascii="仿宋" w:hAnsi="仿宋" w:eastAsia="仿宋" w:cs="仿宋"/>
                <w:color w:val="auto"/>
                <w:kern w:val="0"/>
                <w:sz w:val="24"/>
                <w:szCs w:val="24"/>
                <w:highlight w:val="none"/>
                <w:lang w:eastAsia="zh-CN"/>
              </w:rPr>
            </w:pPr>
            <w:bookmarkStart w:id="7" w:name="_Hlk344477914"/>
            <w:r>
              <w:rPr>
                <w:rFonts w:hint="eastAsia" w:ascii="仿宋" w:hAnsi="仿宋" w:eastAsia="仿宋" w:cs="仿宋"/>
                <w:color w:val="auto"/>
                <w:kern w:val="0"/>
                <w:sz w:val="24"/>
                <w:szCs w:val="24"/>
                <w:highlight w:val="none"/>
                <w:lang w:eastAsia="zh-CN"/>
              </w:rPr>
              <w:t>重庆市铜梁区平滩初级中学校路面整治及窗户更换等维修改造工程</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42AEFF">
            <w:pPr>
              <w:pStyle w:val="6"/>
              <w:jc w:val="center"/>
              <w:rPr>
                <w:rFonts w:hint="default" w:ascii="仿宋" w:hAnsi="仿宋" w:eastAsia="仿宋" w:cs="仿宋"/>
                <w:color w:val="auto"/>
                <w:kern w:val="0"/>
                <w:sz w:val="24"/>
                <w:szCs w:val="24"/>
                <w:highlight w:val="none"/>
                <w:lang w:val="en-US" w:eastAsia="zh-CN"/>
              </w:rPr>
            </w:pPr>
            <w:r>
              <w:rPr>
                <w:rFonts w:hint="eastAsia" w:ascii="仿宋" w:hAnsi="仿宋" w:eastAsia="仿宋"/>
                <w:bCs/>
                <w:color w:val="auto"/>
                <w:sz w:val="24"/>
                <w:szCs w:val="24"/>
                <w:lang w:val="en-US" w:eastAsia="zh-CN"/>
              </w:rPr>
              <w:t>992,400.26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EAFFEB">
            <w:pPr>
              <w:pageBreakBefore w:val="0"/>
              <w:widowControl/>
              <w:kinsoku/>
              <w:wordWrap/>
              <w:overflowPunct/>
              <w:topLinePunct w:val="0"/>
              <w:autoSpaceDE/>
              <w:autoSpaceDN/>
              <w:bidi w:val="0"/>
              <w:spacing w:line="4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18000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70D22A">
            <w:pPr>
              <w:pageBreakBefore w:val="0"/>
              <w:widowControl/>
              <w:kinsoku/>
              <w:wordWrap/>
              <w:overflowPunct/>
              <w:topLinePunct w:val="0"/>
              <w:autoSpaceDE/>
              <w:autoSpaceDN/>
              <w:bidi w:val="0"/>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88ACD3">
            <w:pPr>
              <w:pageBreakBefore w:val="0"/>
              <w:widowControl/>
              <w:kinsoku/>
              <w:wordWrap/>
              <w:overflowPunct/>
              <w:topLinePunct w:val="0"/>
              <w:autoSpaceDE/>
              <w:autoSpaceDN/>
              <w:bidi w:val="0"/>
              <w:spacing w:line="4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建筑业</w:t>
            </w:r>
          </w:p>
        </w:tc>
      </w:tr>
      <w:bookmarkEnd w:id="7"/>
    </w:tbl>
    <w:p w14:paraId="4F58A0F1">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8" w:name="_Toc3256"/>
      <w:bookmarkStart w:id="9" w:name="_Toc12714"/>
      <w:bookmarkStart w:id="10" w:name="_Toc27028"/>
      <w:bookmarkStart w:id="11" w:name="_Toc65660331"/>
      <w:bookmarkStart w:id="12" w:name="_Toc18449"/>
      <w:bookmarkStart w:id="13" w:name="_Toc373860293"/>
      <w:bookmarkStart w:id="14" w:name="_Toc317775178"/>
      <w:r>
        <w:rPr>
          <w:rFonts w:hint="eastAsia" w:ascii="仿宋" w:hAnsi="仿宋" w:eastAsia="仿宋" w:cs="仿宋"/>
          <w:color w:val="auto"/>
          <w:sz w:val="24"/>
          <w:szCs w:val="24"/>
          <w:highlight w:val="none"/>
        </w:rPr>
        <w:t>二、资金来源</w:t>
      </w:r>
      <w:bookmarkEnd w:id="8"/>
      <w:bookmarkEnd w:id="9"/>
      <w:bookmarkEnd w:id="10"/>
      <w:bookmarkEnd w:id="11"/>
      <w:bookmarkEnd w:id="12"/>
    </w:p>
    <w:p w14:paraId="4701A5F1">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财政预算资金，采购预算</w:t>
      </w:r>
      <w:r>
        <w:rPr>
          <w:rFonts w:hint="eastAsia" w:ascii="仿宋" w:hAnsi="仿宋" w:eastAsia="仿宋" w:cs="仿宋"/>
          <w:color w:val="auto"/>
          <w:sz w:val="24"/>
          <w:szCs w:val="24"/>
          <w:highlight w:val="none"/>
          <w:lang w:eastAsia="zh-CN"/>
        </w:rPr>
        <w:t>992,400.26</w:t>
      </w:r>
      <w:r>
        <w:rPr>
          <w:rFonts w:hint="eastAsia" w:ascii="仿宋" w:hAnsi="仿宋" w:eastAsia="仿宋" w:cs="仿宋"/>
          <w:color w:val="auto"/>
          <w:sz w:val="24"/>
          <w:szCs w:val="24"/>
          <w:highlight w:val="none"/>
        </w:rPr>
        <w:t>元。</w:t>
      </w:r>
    </w:p>
    <w:p w14:paraId="47AE8458">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15" w:name="_Toc65660332"/>
      <w:bookmarkStart w:id="16" w:name="_Toc13541"/>
      <w:bookmarkStart w:id="17" w:name="_Toc64731996"/>
      <w:bookmarkStart w:id="18" w:name="_Toc18548"/>
      <w:bookmarkStart w:id="19" w:name="_Toc13425"/>
      <w:bookmarkStart w:id="20" w:name="_Toc10177"/>
      <w:r>
        <w:rPr>
          <w:rFonts w:hint="eastAsia" w:ascii="仿宋" w:hAnsi="仿宋" w:eastAsia="仿宋" w:cs="仿宋"/>
          <w:color w:val="auto"/>
          <w:sz w:val="24"/>
          <w:szCs w:val="24"/>
          <w:highlight w:val="none"/>
        </w:rPr>
        <w:t>三、供应商资格条件</w:t>
      </w:r>
      <w:bookmarkEnd w:id="15"/>
      <w:bookmarkEnd w:id="16"/>
      <w:bookmarkEnd w:id="17"/>
      <w:bookmarkEnd w:id="18"/>
      <w:bookmarkEnd w:id="19"/>
      <w:bookmarkEnd w:id="20"/>
    </w:p>
    <w:p w14:paraId="4954B420">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（一）满足《中华人民共和国政府采购法》第二十二条规定；</w:t>
      </w:r>
    </w:p>
    <w:p w14:paraId="68582790">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落实政府采购政策需满足的资格要求：本项目专门面向中小企业采购，承建单位应为中小微企业（提供中小企业声明函）或监狱企业（提供监狱企业证明文件）或残疾人福利性单位（提供残疾人福利性单位声明函）；</w:t>
      </w:r>
    </w:p>
    <w:p w14:paraId="5F09E489">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（三）本项目的特定资格要求：</w:t>
      </w:r>
      <w:r>
        <w:rPr>
          <w:rFonts w:hint="eastAsia" w:ascii="方正仿宋_GBK" w:hAnsi="方正仿宋_GBK" w:eastAsia="方正仿宋_GBK" w:cs="方正仿宋_GBK"/>
          <w:color w:val="auto"/>
          <w:sz w:val="24"/>
          <w:szCs w:val="24"/>
          <w:highlight w:val="none"/>
          <w:lang w:val="en-US" w:eastAsia="zh-CN"/>
        </w:rPr>
        <w:t>1、供应商</w:t>
      </w:r>
      <w:r>
        <w:rPr>
          <w:rFonts w:hint="eastAsia" w:ascii="方正仿宋_GBK" w:hAnsi="方正仿宋_GBK" w:eastAsia="方正仿宋_GBK" w:cs="方正仿宋_GBK"/>
          <w:color w:val="auto"/>
          <w:sz w:val="24"/>
          <w:szCs w:val="24"/>
          <w:highlight w:val="none"/>
        </w:rPr>
        <w:t>具备建设行政主管部门颁发的有效的</w:t>
      </w:r>
      <w:r>
        <w:rPr>
          <w:rFonts w:hint="eastAsia" w:ascii="方正仿宋_GBK" w:hAnsi="方正仿宋_GBK" w:eastAsia="方正仿宋_GBK" w:cs="方正仿宋_GBK"/>
          <w:b/>
          <w:bCs/>
          <w:color w:val="auto"/>
          <w:sz w:val="24"/>
          <w:szCs w:val="24"/>
          <w:highlight w:val="none"/>
          <w:lang w:val="en-US" w:eastAsia="zh-CN"/>
        </w:rPr>
        <w:t>建筑工程施工总承包三</w:t>
      </w:r>
      <w:r>
        <w:rPr>
          <w:rFonts w:hint="eastAsia" w:ascii="方正仿宋_GBK" w:hAnsi="方正仿宋_GBK" w:eastAsia="方正仿宋_GBK" w:cs="方正仿宋_GBK"/>
          <w:b/>
          <w:bCs/>
          <w:color w:val="auto"/>
          <w:sz w:val="24"/>
          <w:szCs w:val="24"/>
          <w:highlight w:val="none"/>
          <w:lang w:eastAsia="zh-CN"/>
        </w:rPr>
        <w:t>级及以上资质</w:t>
      </w:r>
      <w:r>
        <w:rPr>
          <w:rFonts w:hint="eastAsia" w:ascii="方正仿宋_GBK" w:hAnsi="方正仿宋_GBK" w:eastAsia="方正仿宋_GBK" w:cs="方正仿宋_GBK"/>
          <w:color w:val="auto"/>
          <w:sz w:val="24"/>
          <w:szCs w:val="24"/>
          <w:highlight w:val="none"/>
          <w:lang w:eastAsia="zh-CN"/>
        </w:rPr>
        <w:t>（提供有效的资质证书复印件</w:t>
      </w:r>
      <w:r>
        <w:rPr>
          <w:rFonts w:hint="eastAsia" w:ascii="方正仿宋_GBK" w:hAnsi="方正仿宋_GBK" w:eastAsia="方正仿宋_GBK" w:cs="方正仿宋_GBK"/>
          <w:color w:val="auto"/>
          <w:sz w:val="24"/>
          <w:szCs w:val="24"/>
          <w:highlight w:val="none"/>
        </w:rPr>
        <w:t>加盖供应商公章</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p>
    <w:p w14:paraId="6102619C">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21" w:name="_Toc11908"/>
      <w:bookmarkStart w:id="22" w:name="_Toc65660333"/>
      <w:bookmarkStart w:id="23" w:name="_Toc12564"/>
      <w:bookmarkStart w:id="24" w:name="_Toc1386"/>
      <w:bookmarkStart w:id="25" w:name="_Toc27191"/>
      <w:r>
        <w:rPr>
          <w:rFonts w:hint="eastAsia" w:ascii="仿宋" w:hAnsi="仿宋" w:eastAsia="仿宋" w:cs="仿宋"/>
          <w:color w:val="auto"/>
          <w:sz w:val="24"/>
          <w:szCs w:val="24"/>
          <w:highlight w:val="none"/>
        </w:rPr>
        <w:t>四、谈判有关说明</w:t>
      </w:r>
      <w:bookmarkEnd w:id="13"/>
      <w:bookmarkEnd w:id="21"/>
      <w:bookmarkEnd w:id="22"/>
      <w:bookmarkEnd w:id="23"/>
      <w:bookmarkEnd w:id="24"/>
      <w:bookmarkEnd w:id="25"/>
    </w:p>
    <w:p w14:paraId="27FA79B8">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方正仿宋_GBK" w:hAnsi="宋体" w:eastAsia="方正仿宋_GBK"/>
          <w:color w:val="auto"/>
          <w:sz w:val="24"/>
          <w:szCs w:val="24"/>
          <w:highlight w:val="none"/>
        </w:rPr>
        <w:t>凡有意参加谈判的供应商，请到采购代理机构处领取本项目竞争性谈判文件以及图纸、澄清等谈判前公布的所有项目资料，无论供应商领取与否，均视为已知晓所有谈</w:t>
      </w:r>
      <w:r>
        <w:rPr>
          <w:rFonts w:hint="eastAsia" w:ascii="仿宋" w:hAnsi="仿宋" w:eastAsia="仿宋" w:cs="仿宋"/>
          <w:color w:val="auto"/>
          <w:sz w:val="24"/>
          <w:szCs w:val="24"/>
          <w:highlight w:val="none"/>
        </w:rPr>
        <w:t>判实质性要求内容。</w:t>
      </w:r>
    </w:p>
    <w:p w14:paraId="1D44DF41">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）获取竞争性谈判文件期限:</w:t>
      </w:r>
    </w:p>
    <w:p w14:paraId="175CFCF0">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1.竞争性谈判文件提供期限:2025年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日17时30分。</w:t>
      </w:r>
    </w:p>
    <w:p w14:paraId="20BF7AD7">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2.报名方式:凡有意参加供应商,请于竞争性谈判文件提供期限内,在采购代理机构报名竞争性谈判文件等其它相关技术资料,售价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00元/份,售后不退。请持法定代人身份证明书或法定代表人授权委托书(原件)和营业执照副本复印件。未在规定时间报</w:t>
      </w:r>
      <w:r>
        <w:rPr>
          <w:rFonts w:hint="eastAsia" w:ascii="仿宋" w:hAnsi="仿宋" w:eastAsia="仿宋" w:cs="仿宋"/>
          <w:color w:val="auto"/>
          <w:sz w:val="24"/>
          <w:szCs w:val="24"/>
          <w:highlight w:val="none"/>
          <w:lang w:val="en-US" w:eastAsia="zh-CN"/>
        </w:rPr>
        <w:t>名</w:t>
      </w:r>
      <w:r>
        <w:rPr>
          <w:rFonts w:hint="eastAsia" w:ascii="仿宋" w:hAnsi="仿宋" w:eastAsia="仿宋" w:cs="仿宋"/>
          <w:color w:val="auto"/>
          <w:sz w:val="24"/>
          <w:szCs w:val="24"/>
          <w:highlight w:val="none"/>
        </w:rPr>
        <w:t>参加谈判的供应商，采购人和采购代理机构将不予接受其响应文件。</w:t>
      </w:r>
    </w:p>
    <w:p w14:paraId="7D1B621C">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（三）竞争性谈判公告期限：自采购公告发布之日起三个工作日。</w:t>
      </w:r>
    </w:p>
    <w:p w14:paraId="041E9D88">
      <w:pPr>
        <w:pageBreakBefore w:val="0"/>
        <w:kinsoku/>
        <w:wordWrap/>
        <w:overflowPunct/>
        <w:topLinePunct w:val="0"/>
        <w:autoSpaceDE/>
        <w:autoSpaceDN/>
        <w:bidi w:val="0"/>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（四）谈判地点：</w:t>
      </w:r>
      <w:r>
        <w:rPr>
          <w:rFonts w:hint="eastAsia" w:ascii="仿宋" w:hAnsi="仿宋" w:eastAsia="仿宋" w:cs="仿宋"/>
          <w:color w:val="auto"/>
          <w:sz w:val="24"/>
          <w:szCs w:val="24"/>
          <w:highlight w:val="none"/>
          <w:lang w:eastAsia="zh-CN"/>
        </w:rPr>
        <w:t>重庆尚宇工程项目管理有限公司会议室</w:t>
      </w:r>
    </w:p>
    <w:p w14:paraId="2754BE60">
      <w:pPr>
        <w:pageBreakBefore w:val="0"/>
        <w:kinsoku/>
        <w:wordWrap/>
        <w:overflowPunct/>
        <w:topLinePunct w:val="0"/>
        <w:autoSpaceDE/>
        <w:autoSpaceDN/>
        <w:bidi w:val="0"/>
        <w:snapToGrid w:val="0"/>
        <w:spacing w:line="40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提交</w:t>
      </w:r>
      <w:r>
        <w:rPr>
          <w:rFonts w:hint="eastAsia" w:ascii="仿宋" w:hAnsi="仿宋" w:eastAsia="仿宋" w:cs="仿宋"/>
          <w:color w:val="auto"/>
          <w:sz w:val="24"/>
          <w:szCs w:val="24"/>
          <w:highlight w:val="none"/>
        </w:rPr>
        <w:t>响应文件</w:t>
      </w:r>
      <w:r>
        <w:rPr>
          <w:rFonts w:hint="eastAsia" w:ascii="仿宋" w:hAnsi="仿宋" w:eastAsia="仿宋" w:cs="仿宋"/>
          <w:color w:val="auto"/>
          <w:sz w:val="24"/>
          <w:szCs w:val="24"/>
          <w:highlight w:val="none"/>
          <w:lang w:eastAsia="zh-CN"/>
        </w:rPr>
        <w:t>开始</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val="en-US" w:eastAsia="zh-CN"/>
        </w:rPr>
        <w:t>9:00-9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p>
    <w:p w14:paraId="36283C2D">
      <w:pPr>
        <w:pageBreakBefore w:val="0"/>
        <w:kinsoku/>
        <w:wordWrap/>
        <w:overflowPunct/>
        <w:topLinePunct w:val="0"/>
        <w:autoSpaceDE/>
        <w:autoSpaceDN/>
        <w:bidi w:val="0"/>
        <w:snapToGrid w:val="0"/>
        <w:spacing w:line="40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）谈判开始时间：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p>
    <w:bookmarkEnd w:id="14"/>
    <w:p w14:paraId="1E884D10">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26" w:name="_Toc373860294"/>
      <w:bookmarkStart w:id="27" w:name="_Toc8549"/>
      <w:bookmarkStart w:id="28" w:name="_Toc11956"/>
      <w:bookmarkStart w:id="29" w:name="_Toc65660334"/>
      <w:bookmarkStart w:id="30" w:name="_Toc9610"/>
      <w:bookmarkStart w:id="31" w:name="_Toc6178"/>
      <w:bookmarkStart w:id="32" w:name="_Toc525047161"/>
      <w:bookmarkStart w:id="33" w:name="_Toc521053053"/>
      <w:r>
        <w:rPr>
          <w:rFonts w:hint="eastAsia" w:ascii="仿宋" w:hAnsi="仿宋" w:eastAsia="仿宋" w:cs="仿宋"/>
          <w:color w:val="auto"/>
          <w:sz w:val="24"/>
          <w:szCs w:val="24"/>
          <w:highlight w:val="none"/>
        </w:rPr>
        <w:t>五、保证金</w:t>
      </w:r>
      <w:bookmarkEnd w:id="26"/>
      <w:bookmarkEnd w:id="27"/>
      <w:bookmarkEnd w:id="28"/>
      <w:bookmarkEnd w:id="29"/>
      <w:bookmarkEnd w:id="30"/>
      <w:bookmarkEnd w:id="31"/>
      <w:bookmarkEnd w:id="32"/>
      <w:bookmarkEnd w:id="33"/>
    </w:p>
    <w:p w14:paraId="34E455DD">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方正仿宋_GBK" w:hAnsi="宋体" w:eastAsia="方正仿宋_GBK" w:cs="Times New Roman"/>
          <w:b w:val="0"/>
          <w:color w:val="auto"/>
          <w:kern w:val="2"/>
          <w:sz w:val="24"/>
          <w:szCs w:val="24"/>
          <w:highlight w:val="none"/>
          <w:lang w:val="en-US" w:eastAsia="zh-CN" w:bidi="ar-SA"/>
        </w:rPr>
      </w:pPr>
      <w:bookmarkStart w:id="34" w:name="_Toc31510"/>
      <w:bookmarkStart w:id="35" w:name="_Toc22737"/>
      <w:bookmarkStart w:id="36" w:name="_Toc479668114"/>
      <w:bookmarkStart w:id="37" w:name="_Toc2945"/>
      <w:bookmarkStart w:id="38" w:name="_Toc525047162"/>
      <w:bookmarkStart w:id="39" w:name="_Toc23368"/>
      <w:bookmarkStart w:id="40" w:name="_Toc4355"/>
      <w:bookmarkStart w:id="41" w:name="_Toc65660335"/>
      <w:bookmarkStart w:id="42" w:name="_Toc521053054"/>
      <w:r>
        <w:rPr>
          <w:rFonts w:hint="eastAsia" w:ascii="方正仿宋_GBK" w:hAnsi="宋体" w:eastAsia="方正仿宋_GBK" w:cs="Times New Roman"/>
          <w:b w:val="0"/>
          <w:color w:val="auto"/>
          <w:kern w:val="2"/>
          <w:sz w:val="24"/>
          <w:szCs w:val="24"/>
          <w:highlight w:val="none"/>
          <w:lang w:val="en-US" w:eastAsia="zh-CN" w:bidi="ar-SA"/>
        </w:rPr>
        <w:t>（一）保证金递交</w:t>
      </w:r>
      <w:bookmarkEnd w:id="34"/>
      <w:bookmarkEnd w:id="35"/>
    </w:p>
    <w:p w14:paraId="7378EE65">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方正仿宋_GBK" w:hAnsi="宋体" w:eastAsia="方正仿宋_GBK" w:cs="Times New Roman"/>
          <w:b w:val="0"/>
          <w:color w:val="auto"/>
          <w:kern w:val="2"/>
          <w:sz w:val="24"/>
          <w:szCs w:val="24"/>
          <w:highlight w:val="none"/>
          <w:lang w:val="en-US" w:eastAsia="zh-CN" w:bidi="ar-SA"/>
        </w:rPr>
      </w:pPr>
      <w:bookmarkStart w:id="43" w:name="_Toc22085"/>
      <w:bookmarkStart w:id="44" w:name="_Toc23977"/>
      <w:r>
        <w:rPr>
          <w:rFonts w:hint="eastAsia" w:ascii="方正仿宋_GBK" w:hAnsi="宋体" w:eastAsia="方正仿宋_GBK" w:cs="Times New Roman"/>
          <w:b w:val="0"/>
          <w:color w:val="auto"/>
          <w:kern w:val="2"/>
          <w:sz w:val="24"/>
          <w:szCs w:val="24"/>
          <w:highlight w:val="none"/>
          <w:lang w:val="en-US" w:eastAsia="zh-CN" w:bidi="ar-SA"/>
        </w:rPr>
        <w:t>供应商应足额交纳投标保证金（保证金金额详见本篇，一、竞争性谈判内容），将保证金以现金方式装至信封将其密封并加盖供应商鲜章交代理机构，保证金缴纳时间同提交响应文件时间。</w:t>
      </w:r>
      <w:bookmarkEnd w:id="43"/>
      <w:bookmarkEnd w:id="44"/>
    </w:p>
    <w:p w14:paraId="732065FD">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方正仿宋_GBK" w:hAnsi="宋体" w:eastAsia="方正仿宋_GBK" w:cs="Times New Roman"/>
          <w:b w:val="0"/>
          <w:color w:val="auto"/>
          <w:kern w:val="2"/>
          <w:sz w:val="24"/>
          <w:szCs w:val="24"/>
          <w:highlight w:val="none"/>
          <w:lang w:val="en-US" w:eastAsia="zh-CN" w:bidi="ar-SA"/>
        </w:rPr>
      </w:pPr>
      <w:bookmarkStart w:id="45" w:name="_Toc27922"/>
      <w:bookmarkStart w:id="46" w:name="_Toc18376"/>
      <w:r>
        <w:rPr>
          <w:rFonts w:hint="eastAsia" w:ascii="方正仿宋_GBK" w:hAnsi="宋体" w:eastAsia="方正仿宋_GBK" w:cs="Times New Roman"/>
          <w:b w:val="0"/>
          <w:color w:val="auto"/>
          <w:kern w:val="2"/>
          <w:sz w:val="24"/>
          <w:szCs w:val="24"/>
          <w:highlight w:val="none"/>
          <w:lang w:val="en-US" w:eastAsia="zh-CN" w:bidi="ar-SA"/>
        </w:rPr>
        <w:t>（二）保证金退还方式</w:t>
      </w:r>
      <w:bookmarkEnd w:id="45"/>
      <w:bookmarkEnd w:id="46"/>
    </w:p>
    <w:p w14:paraId="401B1895">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方正仿宋_GBK" w:hAnsi="宋体" w:eastAsia="方正仿宋_GBK" w:cs="Times New Roman"/>
          <w:b w:val="0"/>
          <w:color w:val="auto"/>
          <w:kern w:val="2"/>
          <w:sz w:val="24"/>
          <w:szCs w:val="24"/>
          <w:highlight w:val="none"/>
          <w:lang w:val="en-US" w:eastAsia="zh-CN" w:bidi="ar-SA"/>
        </w:rPr>
      </w:pPr>
      <w:bookmarkStart w:id="47" w:name="_Toc15376"/>
      <w:bookmarkStart w:id="48" w:name="_Toc24932"/>
      <w:r>
        <w:rPr>
          <w:rFonts w:hint="eastAsia" w:ascii="方正仿宋_GBK" w:hAnsi="宋体" w:eastAsia="方正仿宋_GBK" w:cs="Times New Roman"/>
          <w:b w:val="0"/>
          <w:color w:val="auto"/>
          <w:kern w:val="2"/>
          <w:sz w:val="24"/>
          <w:szCs w:val="24"/>
          <w:highlight w:val="none"/>
          <w:lang w:val="en-US" w:eastAsia="zh-CN" w:bidi="ar-SA"/>
        </w:rPr>
        <w:t>1.未成交供应商的保证金，在开标会议结束后由代理机构现场直接退还。</w:t>
      </w:r>
      <w:bookmarkEnd w:id="47"/>
      <w:bookmarkEnd w:id="48"/>
    </w:p>
    <w:p w14:paraId="5A99FD00">
      <w:pPr>
        <w:pStyle w:val="3"/>
        <w:pageBreakBefore w:val="0"/>
        <w:kinsoku/>
        <w:wordWrap/>
        <w:overflowPunct/>
        <w:topLinePunct w:val="0"/>
        <w:autoSpaceDE/>
        <w:autoSpaceDN/>
        <w:bidi w:val="0"/>
        <w:adjustRightInd w:val="0"/>
        <w:snapToGrid w:val="0"/>
        <w:spacing w:before="0" w:beforeLines="0" w:after="0" w:afterLines="0" w:line="400" w:lineRule="exact"/>
        <w:ind w:firstLine="480" w:firstLineChars="200"/>
        <w:rPr>
          <w:rFonts w:hint="eastAsia" w:ascii="方正仿宋_GBK" w:hAnsi="宋体" w:eastAsia="方正仿宋_GBK" w:cs="Times New Roman"/>
          <w:b w:val="0"/>
          <w:color w:val="auto"/>
          <w:kern w:val="2"/>
          <w:sz w:val="24"/>
          <w:szCs w:val="24"/>
          <w:highlight w:val="none"/>
          <w:lang w:val="en-US" w:eastAsia="zh-CN" w:bidi="ar-SA"/>
        </w:rPr>
      </w:pPr>
      <w:bookmarkStart w:id="49" w:name="_Toc12180"/>
      <w:bookmarkStart w:id="50" w:name="_Toc1751"/>
      <w:r>
        <w:rPr>
          <w:rFonts w:hint="eastAsia" w:ascii="方正仿宋_GBK" w:hAnsi="宋体" w:eastAsia="方正仿宋_GBK" w:cs="Times New Roman"/>
          <w:b w:val="0"/>
          <w:color w:val="auto"/>
          <w:kern w:val="2"/>
          <w:sz w:val="24"/>
          <w:szCs w:val="24"/>
          <w:highlight w:val="none"/>
          <w:lang w:val="en-US" w:eastAsia="zh-CN" w:bidi="ar-SA"/>
        </w:rPr>
        <w:t>2.成交供应商的保证金由代理机构保存，在成交供应商与采购人签订合同后由代理机构直接退还。</w:t>
      </w:r>
      <w:bookmarkEnd w:id="49"/>
      <w:bookmarkEnd w:id="50"/>
    </w:p>
    <w:p w14:paraId="531750A9">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51" w:name="_Toc4379"/>
      <w:r>
        <w:rPr>
          <w:rFonts w:hint="eastAsia" w:ascii="仿宋" w:hAnsi="仿宋" w:eastAsia="仿宋" w:cs="仿宋"/>
          <w:color w:val="auto"/>
          <w:sz w:val="24"/>
          <w:szCs w:val="24"/>
          <w:highlight w:val="none"/>
        </w:rPr>
        <w:t>六、</w:t>
      </w:r>
      <w:bookmarkEnd w:id="36"/>
      <w:bookmarkEnd w:id="37"/>
      <w:bookmarkEnd w:id="38"/>
      <w:bookmarkEnd w:id="39"/>
      <w:bookmarkEnd w:id="40"/>
      <w:bookmarkEnd w:id="41"/>
      <w:bookmarkEnd w:id="42"/>
      <w:bookmarkStart w:id="52" w:name="_Toc65660336"/>
      <w:bookmarkStart w:id="53" w:name="_Toc521053055"/>
      <w:bookmarkStart w:id="54" w:name="_Toc16269"/>
      <w:bookmarkStart w:id="55" w:name="_Toc6563"/>
      <w:bookmarkStart w:id="56" w:name="_Toc525047163"/>
      <w:bookmarkStart w:id="57" w:name="_Toc15880"/>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有关规定</w:t>
      </w:r>
      <w:bookmarkEnd w:id="51"/>
      <w:bookmarkEnd w:id="52"/>
      <w:bookmarkEnd w:id="53"/>
      <w:bookmarkEnd w:id="54"/>
      <w:bookmarkEnd w:id="55"/>
      <w:bookmarkEnd w:id="56"/>
      <w:bookmarkEnd w:id="57"/>
    </w:p>
    <w:p w14:paraId="284A28D9">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（一）单位负责人为同一人或者存在直接控股、管理关系的不同供应商，不得参加同一合同项（包）下的政府采购活动，否则均为无效谈判。</w:t>
      </w:r>
    </w:p>
    <w:p w14:paraId="7B73D254">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05EEB887">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（三）同一合同项（包）下为单一品目的货物采购中，同一品牌同一型号产品有多家供应商参加谈判，只能按照一家供应商计算。</w:t>
      </w:r>
    </w:p>
    <w:p w14:paraId="621CECB9">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（四）同一合同项（包）下的货物，制造商参与谈判的，不得再委托代理商参与谈判。</w:t>
      </w:r>
    </w:p>
    <w:p w14:paraId="0450041B">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（五）本项目的澄清文件（如果有）一律在</w:t>
      </w:r>
      <w:r>
        <w:rPr>
          <w:rFonts w:hint="eastAsia" w:ascii="仿宋" w:hAnsi="仿宋" w:eastAsia="仿宋" w:cs="仿宋"/>
          <w:color w:val="auto"/>
          <w:sz w:val="24"/>
          <w:szCs w:val="24"/>
          <w:highlight w:val="none"/>
          <w:lang w:eastAsia="zh-CN"/>
        </w:rPr>
        <w:t>行采家（www.gec123.com）</w:t>
      </w:r>
      <w:r>
        <w:rPr>
          <w:rFonts w:hint="eastAsia" w:ascii="仿宋" w:hAnsi="仿宋" w:eastAsia="仿宋" w:cs="仿宋"/>
          <w:color w:val="auto"/>
          <w:sz w:val="24"/>
          <w:szCs w:val="24"/>
          <w:highlight w:val="none"/>
        </w:rPr>
        <w:t>上发布，请各供应商注意下载；无论供应商下载与否，均视同供应商已知晓本项目澄清文件（如果有）的内容。</w:t>
      </w:r>
    </w:p>
    <w:p w14:paraId="1657565B">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（六）超过响应文件截止时间递交的响应文件，恕不接收。</w:t>
      </w:r>
    </w:p>
    <w:p w14:paraId="4CEFBD6A">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（七）谈判费用：无论谈判结果如何，供应商参与本项目谈判的所有费用均应由供应商自行承担。</w:t>
      </w:r>
    </w:p>
    <w:p w14:paraId="591CAF83">
      <w:pPr>
        <w:pageBreakBefore w:val="0"/>
        <w:kinsoku/>
        <w:wordWrap/>
        <w:overflowPunct/>
        <w:topLinePunct w:val="0"/>
        <w:autoSpaceDE/>
        <w:autoSpaceDN/>
        <w:bidi w:val="0"/>
        <w:snapToGrid w:val="0"/>
        <w:spacing w:line="400" w:lineRule="exact"/>
        <w:ind w:firstLine="361" w:firstLineChars="150"/>
        <w:rPr>
          <w:rFonts w:hint="eastAsia" w:ascii="仿宋" w:hAnsi="仿宋" w:eastAsia="仿宋" w:cs="仿宋"/>
          <w:b/>
          <w:i w:val="0"/>
          <w:iCs w:val="0"/>
          <w:color w:val="auto"/>
          <w:sz w:val="24"/>
          <w:szCs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b/>
          <w:i w:val="0"/>
          <w:iCs w:val="0"/>
          <w:color w:val="auto"/>
          <w:sz w:val="24"/>
          <w:szCs w:val="24"/>
          <w:highlight w:val="none"/>
        </w:rPr>
        <w:t>本项目不接受联合体参与谈判，否则按无效处理。</w:t>
      </w:r>
    </w:p>
    <w:p w14:paraId="495636A0">
      <w:pPr>
        <w:pageBreakBefore w:val="0"/>
        <w:kinsoku/>
        <w:wordWrap/>
        <w:overflowPunct/>
        <w:topLinePunct w:val="0"/>
        <w:autoSpaceDE/>
        <w:autoSpaceDN/>
        <w:bidi w:val="0"/>
        <w:snapToGrid w:val="0"/>
        <w:spacing w:line="400" w:lineRule="exact"/>
        <w:ind w:firstLine="361" w:firstLineChars="150"/>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（九）本项目不接受合同分包，否则按无效处理。</w:t>
      </w:r>
    </w:p>
    <w:p w14:paraId="4F946078">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ADD2786">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58" w:name="_Toc525047164"/>
      <w:bookmarkStart w:id="59" w:name="_Toc20003"/>
      <w:bookmarkStart w:id="60" w:name="_Toc10415"/>
      <w:bookmarkStart w:id="61" w:name="_Toc521053056"/>
      <w:bookmarkStart w:id="62" w:name="_Toc4539"/>
      <w:bookmarkStart w:id="63" w:name="_Toc1733"/>
      <w:bookmarkStart w:id="64" w:name="_Toc65660337"/>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、联系方式</w:t>
      </w:r>
      <w:bookmarkEnd w:id="58"/>
      <w:bookmarkEnd w:id="59"/>
      <w:bookmarkEnd w:id="60"/>
      <w:bookmarkEnd w:id="61"/>
      <w:bookmarkEnd w:id="62"/>
      <w:bookmarkEnd w:id="63"/>
      <w:bookmarkEnd w:id="64"/>
    </w:p>
    <w:p w14:paraId="1866374E">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采购人：重庆市铜梁区</w:t>
      </w:r>
      <w:r>
        <w:rPr>
          <w:rFonts w:hint="eastAsia" w:ascii="仿宋" w:hAnsi="仿宋" w:eastAsia="仿宋" w:cs="仿宋"/>
          <w:color w:val="auto"/>
          <w:sz w:val="24"/>
          <w:szCs w:val="24"/>
          <w:highlight w:val="none"/>
          <w:lang w:val="en-US" w:eastAsia="zh-CN"/>
        </w:rPr>
        <w:t>平滩</w:t>
      </w:r>
      <w:r>
        <w:rPr>
          <w:rFonts w:hint="default" w:ascii="仿宋" w:hAnsi="仿宋" w:eastAsia="仿宋" w:cs="仿宋"/>
          <w:color w:val="auto"/>
          <w:sz w:val="24"/>
          <w:szCs w:val="24"/>
          <w:highlight w:val="none"/>
          <w:lang w:val="en-US"/>
        </w:rPr>
        <w:t xml:space="preserve">初级中学校    </w:t>
      </w:r>
    </w:p>
    <w:p w14:paraId="27F77669">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rPr>
        <w:t>联系人：</w:t>
      </w:r>
      <w:r>
        <w:rPr>
          <w:rFonts w:hint="eastAsia" w:ascii="仿宋" w:hAnsi="仿宋" w:eastAsia="仿宋" w:cs="仿宋"/>
          <w:color w:val="auto"/>
          <w:sz w:val="24"/>
          <w:szCs w:val="24"/>
          <w:highlight w:val="none"/>
          <w:lang w:val="en-US" w:eastAsia="zh-CN"/>
        </w:rPr>
        <w:t>周老师</w:t>
      </w:r>
    </w:p>
    <w:p w14:paraId="4831AFE7">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电  话：19923403456</w:t>
      </w:r>
    </w:p>
    <w:p w14:paraId="658665FE">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p>
    <w:p w14:paraId="7BD9DF61">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rPr>
        <w:t>采购代理机构：</w:t>
      </w:r>
      <w:r>
        <w:rPr>
          <w:rFonts w:hint="eastAsia" w:ascii="仿宋" w:hAnsi="仿宋" w:eastAsia="仿宋" w:cs="仿宋"/>
          <w:color w:val="auto"/>
          <w:sz w:val="24"/>
          <w:szCs w:val="24"/>
          <w:highlight w:val="none"/>
          <w:lang w:val="en-US" w:eastAsia="zh-CN"/>
        </w:rPr>
        <w:t>重庆尚宇工程项目管理有限公司</w:t>
      </w:r>
    </w:p>
    <w:p w14:paraId="3B34D6C4">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联系人：陈老师</w:t>
      </w:r>
    </w:p>
    <w:p w14:paraId="7D373961">
      <w:pPr>
        <w:pageBreakBefore w:val="0"/>
        <w:kinsoku/>
        <w:wordWrap/>
        <w:overflowPunct/>
        <w:topLinePunct w:val="0"/>
        <w:autoSpaceDE/>
        <w:autoSpaceDN/>
        <w:bidi w:val="0"/>
        <w:snapToGrid w:val="0"/>
        <w:spacing w:line="400" w:lineRule="exact"/>
        <w:ind w:firstLine="360" w:firstLineChars="150"/>
      </w:pPr>
      <w:bookmarkStart w:id="65" w:name="_GoBack"/>
      <w:bookmarkEnd w:id="65"/>
      <w:r>
        <w:rPr>
          <w:rFonts w:hint="default" w:ascii="仿宋" w:hAnsi="仿宋" w:eastAsia="仿宋" w:cs="仿宋"/>
          <w:color w:val="auto"/>
          <w:sz w:val="24"/>
          <w:szCs w:val="24"/>
          <w:highlight w:val="none"/>
          <w:lang w:val="en-US"/>
        </w:rPr>
        <w:t>电  话：</w:t>
      </w:r>
      <w:r>
        <w:rPr>
          <w:rFonts w:hint="eastAsia" w:ascii="仿宋" w:hAnsi="仿宋" w:eastAsia="仿宋" w:cs="仿宋"/>
          <w:color w:val="auto"/>
          <w:sz w:val="24"/>
          <w:szCs w:val="24"/>
          <w:highlight w:val="none"/>
          <w:lang w:val="en-US" w:eastAsia="zh-CN"/>
        </w:rPr>
        <w:t>15123369535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4615A89-B454-413F-9ADA-5B6D3478C363}"/>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89B5789F-BF0C-4EBA-B415-FA566A169C61}"/>
  </w:font>
  <w:font w:name="方正仿宋_GBK">
    <w:panose1 w:val="02000000000000000000"/>
    <w:charset w:val="86"/>
    <w:family w:val="script"/>
    <w:pitch w:val="default"/>
    <w:sig w:usb0="A00002BF" w:usb1="38CF7CFA" w:usb2="00082016" w:usb3="00000000" w:csb0="00040001" w:csb1="00000000"/>
    <w:embedRegular r:id="rId3" w:fontKey="{48CC3110-3A6B-4911-98ED-8A778064BB73}"/>
  </w:font>
  <w:font w:name="仿宋">
    <w:panose1 w:val="02010609060101010101"/>
    <w:charset w:val="86"/>
    <w:family w:val="auto"/>
    <w:pitch w:val="default"/>
    <w:sig w:usb0="800002BF" w:usb1="38CF7CFA" w:usb2="00000016" w:usb3="00000000" w:csb0="00040001" w:csb1="00000000"/>
    <w:embedRegular r:id="rId4" w:fontKey="{377B8BED-C66B-42F5-92E1-C81A9729D0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67604"/>
    <w:rsid w:val="7766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customStyle="1" w:styleId="6">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2025-07-09T03:03:00Z</dcterms:created>
  <dc:creator>ch</dc:creator>
  <cp:lastModifiedBy>ch</cp:lastModifiedBy>
  <dcterms:modified xsi:type="dcterms:W3CDTF">2025-07-09T03:03:09Z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244F83F900B14BEAB3975B6D79377BFE_11</vt:lpwstr>
  </property>
  <property fmtid="{D5CDD505-2E9C-101B-9397-08002B2CF9AE}" pid="4" name="KSOTemplateDocerSaveRecord">
    <vt:lpwstr>eyJoZGlkIjoiODk5NGNiMWZkOTBmMjk3N2ZiOTY2OWY1M2U2YWMyZTYiLCJ1c2VySWQiOiIyNDQ5NzAxMDEifQ==</vt:lpwstr>
  </property>
</Properties>
</file>