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665DD0">
      <w:pPr>
        <w:spacing w:line="360" w:lineRule="auto"/>
        <w:ind w:left="5760" w:hanging="5760" w:hangingChars="800"/>
        <w:jc w:val="center"/>
        <w:rPr>
          <w:rFonts w:hint="eastAsia" w:ascii="宋体" w:hAnsi="宋体" w:cs="宋体"/>
          <w:color w:val="000000"/>
          <w:sz w:val="72"/>
          <w:szCs w:val="52"/>
        </w:rPr>
      </w:pPr>
    </w:p>
    <w:p w14:paraId="058DD406">
      <w:pPr>
        <w:spacing w:line="360" w:lineRule="auto"/>
        <w:ind w:left="5760" w:hanging="5760" w:hangingChars="800"/>
        <w:jc w:val="center"/>
        <w:rPr>
          <w:rFonts w:hint="eastAsia" w:ascii="宋体" w:hAnsi="宋体" w:cs="宋体"/>
          <w:color w:val="000000"/>
          <w:sz w:val="72"/>
          <w:szCs w:val="52"/>
        </w:rPr>
      </w:pPr>
      <w:r>
        <w:rPr>
          <w:rFonts w:hint="eastAsia" w:ascii="宋体" w:hAnsi="宋体" w:cs="宋体"/>
          <w:color w:val="000000"/>
          <w:sz w:val="72"/>
          <w:szCs w:val="52"/>
        </w:rPr>
        <w:t>行采家-电子竞采</w:t>
      </w:r>
      <w:bookmarkStart w:id="0" w:name="_Toc4250"/>
      <w:bookmarkStart w:id="1" w:name="_Toc8776"/>
      <w:bookmarkStart w:id="2" w:name="_Toc13150"/>
      <w:bookmarkStart w:id="3" w:name="_Toc10207"/>
      <w:bookmarkStart w:id="4" w:name="_Toc10857"/>
      <w:bookmarkStart w:id="5" w:name="_Toc2272"/>
      <w:bookmarkStart w:id="6" w:name="_Toc29479"/>
      <w:r>
        <w:rPr>
          <w:rFonts w:hint="eastAsia" w:ascii="宋体" w:hAnsi="宋体" w:cs="宋体"/>
          <w:color w:val="000000"/>
          <w:sz w:val="72"/>
          <w:szCs w:val="52"/>
        </w:rPr>
        <w:t>文件</w:t>
      </w:r>
    </w:p>
    <w:p w14:paraId="4DF437A0">
      <w:pPr>
        <w:spacing w:line="360" w:lineRule="auto"/>
        <w:jc w:val="center"/>
        <w:rPr>
          <w:rFonts w:hint="eastAsia" w:ascii="宋体" w:hAnsi="宋体" w:cs="宋体"/>
          <w:color w:val="000000"/>
          <w:sz w:val="52"/>
          <w:szCs w:val="52"/>
        </w:rPr>
      </w:pPr>
      <w:r>
        <w:rPr>
          <w:rFonts w:hint="eastAsia" w:ascii="宋体" w:hAnsi="宋体" w:cs="宋体"/>
          <w:color w:val="000000"/>
          <w:sz w:val="52"/>
          <w:szCs w:val="52"/>
        </w:rPr>
        <w:t>（综合评分法）</w:t>
      </w:r>
      <w:bookmarkEnd w:id="0"/>
      <w:bookmarkEnd w:id="1"/>
      <w:bookmarkEnd w:id="2"/>
      <w:bookmarkEnd w:id="3"/>
      <w:bookmarkEnd w:id="4"/>
      <w:bookmarkEnd w:id="5"/>
      <w:bookmarkEnd w:id="6"/>
    </w:p>
    <w:p w14:paraId="68DA8750">
      <w:pPr>
        <w:spacing w:line="360" w:lineRule="auto"/>
        <w:ind w:firstLine="1080" w:firstLineChars="300"/>
        <w:jc w:val="left"/>
        <w:rPr>
          <w:rFonts w:hint="eastAsia" w:ascii="宋体" w:hAnsi="宋体" w:cs="宋体"/>
          <w:color w:val="000000"/>
          <w:sz w:val="36"/>
          <w:szCs w:val="30"/>
        </w:rPr>
      </w:pPr>
    </w:p>
    <w:p w14:paraId="18DF4EA1">
      <w:pPr>
        <w:spacing w:line="360" w:lineRule="auto"/>
        <w:ind w:firstLine="1080" w:firstLineChars="300"/>
        <w:jc w:val="left"/>
        <w:rPr>
          <w:rFonts w:hint="eastAsia" w:ascii="宋体" w:hAnsi="宋体" w:cs="宋体"/>
          <w:color w:val="000000"/>
          <w:sz w:val="36"/>
          <w:szCs w:val="30"/>
        </w:rPr>
      </w:pPr>
    </w:p>
    <w:p w14:paraId="6C2DF126">
      <w:pPr>
        <w:spacing w:line="360" w:lineRule="auto"/>
        <w:ind w:firstLine="1800" w:firstLineChars="500"/>
        <w:jc w:val="left"/>
        <w:rPr>
          <w:rFonts w:hint="eastAsia" w:ascii="宋体" w:hAnsi="宋体" w:eastAsia="宋体" w:cs="宋体"/>
          <w:color w:val="FFC000"/>
          <w:sz w:val="36"/>
          <w:szCs w:val="30"/>
          <w:lang w:eastAsia="zh-CN"/>
        </w:rPr>
      </w:pPr>
      <w:r>
        <w:rPr>
          <w:rFonts w:hint="eastAsia" w:ascii="宋体" w:hAnsi="宋体" w:cs="宋体"/>
          <w:color w:val="000000"/>
          <w:sz w:val="36"/>
          <w:szCs w:val="30"/>
        </w:rPr>
        <w:t xml:space="preserve">竞采编号:3796732437069825  </w:t>
      </w:r>
      <w:r>
        <w:rPr>
          <w:rFonts w:hint="eastAsia" w:ascii="宋体" w:hAnsi="宋体" w:cs="宋体"/>
          <w:color w:val="FFC000"/>
          <w:sz w:val="36"/>
          <w:szCs w:val="30"/>
          <w:lang w:val="en-US" w:eastAsia="zh-CN"/>
        </w:rPr>
        <w:t xml:space="preserve"> </w:t>
      </w:r>
    </w:p>
    <w:p w14:paraId="6700FF8E">
      <w:pPr>
        <w:spacing w:line="360" w:lineRule="auto"/>
        <w:ind w:firstLine="1800" w:firstLineChars="500"/>
        <w:jc w:val="left"/>
        <w:rPr>
          <w:rFonts w:hint="default" w:ascii="宋体" w:hAnsi="宋体" w:cs="宋体"/>
          <w:color w:val="000000"/>
          <w:sz w:val="36"/>
          <w:szCs w:val="30"/>
          <w:lang w:val="en-US"/>
        </w:rPr>
      </w:pPr>
      <w:r>
        <w:rPr>
          <w:rFonts w:hint="eastAsia" w:ascii="宋体" w:hAnsi="宋体" w:cs="宋体"/>
          <w:color w:val="000000"/>
          <w:sz w:val="36"/>
          <w:szCs w:val="30"/>
        </w:rPr>
        <w:t>项 目 号:</w:t>
      </w:r>
      <w:r>
        <w:rPr>
          <w:rFonts w:hint="eastAsia" w:ascii="宋体" w:hAnsi="宋体" w:cs="宋体"/>
          <w:color w:val="000000"/>
          <w:sz w:val="36"/>
          <w:szCs w:val="30"/>
          <w:lang w:val="en-US" w:eastAsia="zh-CN"/>
        </w:rPr>
        <w:t xml:space="preserve"> CJJC-202508-LYJBGBZ</w:t>
      </w:r>
    </w:p>
    <w:p w14:paraId="1777E79B">
      <w:pPr>
        <w:spacing w:line="360" w:lineRule="auto"/>
        <w:ind w:left="2875" w:leftChars="384" w:hanging="1800" w:hangingChars="500"/>
        <w:jc w:val="left"/>
        <w:rPr>
          <w:rFonts w:hint="eastAsia" w:ascii="宋体" w:hAnsi="宋体" w:cs="宋体"/>
          <w:color w:val="auto"/>
          <w:sz w:val="36"/>
          <w:szCs w:val="30"/>
        </w:rPr>
      </w:pPr>
      <w:r>
        <w:rPr>
          <w:rFonts w:hint="eastAsia" w:ascii="宋体" w:hAnsi="宋体" w:cs="宋体"/>
          <w:color w:val="000000"/>
          <w:sz w:val="36"/>
          <w:szCs w:val="30"/>
        </w:rPr>
        <w:t>项目名称：</w:t>
      </w:r>
      <w:r>
        <w:rPr>
          <w:rFonts w:hint="eastAsia" w:ascii="宋体" w:hAnsi="宋体" w:cs="宋体"/>
          <w:color w:val="auto"/>
          <w:sz w:val="36"/>
          <w:szCs w:val="30"/>
        </w:rPr>
        <w:t>重庆市永川区森林防火道路建设项目可研报告编制(第二次）</w:t>
      </w:r>
    </w:p>
    <w:p w14:paraId="372116D5">
      <w:pPr>
        <w:rPr>
          <w:rFonts w:hint="eastAsia" w:ascii="宋体" w:hAnsi="宋体" w:cs="宋体"/>
          <w:color w:val="000000"/>
        </w:rPr>
      </w:pPr>
    </w:p>
    <w:p w14:paraId="56A2C799">
      <w:pPr>
        <w:pStyle w:val="2"/>
        <w:rPr>
          <w:rFonts w:hint="eastAsia" w:ascii="宋体" w:hAnsi="宋体" w:cs="宋体"/>
          <w:color w:val="000000"/>
        </w:rPr>
      </w:pPr>
    </w:p>
    <w:p w14:paraId="65603616">
      <w:pPr>
        <w:pStyle w:val="10"/>
        <w:rPr>
          <w:rFonts w:hint="eastAsia" w:ascii="宋体" w:hAnsi="宋体" w:cs="宋体"/>
          <w:color w:val="000000"/>
        </w:rPr>
      </w:pPr>
    </w:p>
    <w:p w14:paraId="762F57FC">
      <w:pPr>
        <w:rPr>
          <w:rFonts w:hint="eastAsia" w:ascii="宋体" w:hAnsi="宋体" w:cs="宋体"/>
          <w:color w:val="000000"/>
        </w:rPr>
      </w:pPr>
    </w:p>
    <w:p w14:paraId="4F2756D7">
      <w:pPr>
        <w:rPr>
          <w:rFonts w:hint="eastAsia" w:ascii="宋体" w:hAnsi="宋体" w:cs="宋体"/>
          <w:color w:val="000000"/>
        </w:rPr>
      </w:pPr>
    </w:p>
    <w:p w14:paraId="1A68FBF9">
      <w:pPr>
        <w:rPr>
          <w:rFonts w:hint="eastAsia" w:ascii="宋体" w:hAnsi="宋体"/>
        </w:rPr>
      </w:pPr>
    </w:p>
    <w:p w14:paraId="7755C9C9">
      <w:pPr>
        <w:widowControl/>
        <w:spacing w:line="480" w:lineRule="auto"/>
        <w:ind w:firstLine="1440" w:firstLineChars="400"/>
        <w:rPr>
          <w:rFonts w:hint="eastAsia" w:ascii="宋体" w:hAnsi="宋体" w:eastAsia="宋体" w:cs="宋体"/>
          <w:color w:val="000000"/>
          <w:sz w:val="36"/>
          <w:szCs w:val="30"/>
          <w:lang w:eastAsia="zh-CN"/>
        </w:rPr>
      </w:pPr>
      <w:r>
        <w:rPr>
          <w:rFonts w:hint="eastAsia" w:ascii="宋体" w:hAnsi="宋体" w:cs="宋体"/>
          <w:color w:val="000000"/>
          <w:sz w:val="36"/>
          <w:szCs w:val="30"/>
        </w:rPr>
        <w:t>采 购 人：</w:t>
      </w:r>
      <w:bookmarkStart w:id="7" w:name="_Toc3860"/>
      <w:bookmarkStart w:id="8" w:name="_Toc32261"/>
      <w:bookmarkStart w:id="9" w:name="_Toc986"/>
      <w:bookmarkStart w:id="10" w:name="_Toc24202"/>
      <w:bookmarkStart w:id="11" w:name="_Toc13475"/>
      <w:bookmarkStart w:id="12" w:name="_Toc9010"/>
      <w:bookmarkStart w:id="13" w:name="_Toc32685"/>
      <w:r>
        <w:rPr>
          <w:rFonts w:hint="eastAsia" w:ascii="宋体" w:hAnsi="宋体" w:cs="宋体"/>
          <w:color w:val="000000"/>
          <w:sz w:val="36"/>
          <w:szCs w:val="30"/>
          <w:lang w:eastAsia="zh-CN"/>
        </w:rPr>
        <w:t>重庆市永川区林业局</w:t>
      </w:r>
    </w:p>
    <w:p w14:paraId="53723940">
      <w:pPr>
        <w:widowControl/>
        <w:spacing w:line="480" w:lineRule="auto"/>
        <w:ind w:firstLine="1440" w:firstLineChars="400"/>
        <w:rPr>
          <w:rFonts w:hint="eastAsia" w:ascii="宋体" w:hAnsi="宋体" w:cs="宋体"/>
          <w:color w:val="000000"/>
          <w:sz w:val="36"/>
          <w:szCs w:val="30"/>
        </w:rPr>
      </w:pPr>
      <w:r>
        <w:rPr>
          <w:rFonts w:hint="eastAsia" w:ascii="宋体" w:hAnsi="宋体" w:cs="宋体"/>
          <w:color w:val="000000"/>
          <w:sz w:val="36"/>
          <w:szCs w:val="30"/>
        </w:rPr>
        <w:t>代理机构：</w:t>
      </w:r>
      <w:bookmarkEnd w:id="7"/>
      <w:bookmarkEnd w:id="8"/>
      <w:bookmarkEnd w:id="9"/>
      <w:bookmarkEnd w:id="10"/>
      <w:bookmarkEnd w:id="11"/>
      <w:bookmarkEnd w:id="12"/>
      <w:bookmarkEnd w:id="13"/>
      <w:bookmarkStart w:id="14" w:name="_Toc23628"/>
      <w:bookmarkStart w:id="15" w:name="_Toc28479"/>
      <w:bookmarkStart w:id="16" w:name="_Toc19291"/>
      <w:bookmarkStart w:id="17" w:name="_Toc27041"/>
      <w:bookmarkStart w:id="18" w:name="_Toc26556"/>
      <w:r>
        <w:rPr>
          <w:rFonts w:hint="eastAsia" w:ascii="宋体" w:hAnsi="宋体" w:cs="宋体"/>
          <w:color w:val="000000"/>
          <w:sz w:val="36"/>
          <w:szCs w:val="30"/>
        </w:rPr>
        <w:t>重庆采家</w:t>
      </w:r>
      <w:r>
        <w:rPr>
          <w:rFonts w:hint="eastAsia" w:ascii="宋体" w:hAnsi="宋体" w:cs="宋体"/>
          <w:color w:val="000000"/>
          <w:sz w:val="36"/>
          <w:szCs w:val="30"/>
          <w:lang w:eastAsia="zh-CN"/>
        </w:rPr>
        <w:t>工程</w:t>
      </w:r>
      <w:r>
        <w:rPr>
          <w:rFonts w:hint="eastAsia" w:ascii="宋体" w:hAnsi="宋体" w:cs="宋体"/>
          <w:color w:val="000000"/>
          <w:sz w:val="36"/>
          <w:szCs w:val="30"/>
        </w:rPr>
        <w:t>管理有限公司</w:t>
      </w:r>
    </w:p>
    <w:p w14:paraId="51EFA40C">
      <w:pPr>
        <w:jc w:val="center"/>
        <w:rPr>
          <w:rFonts w:hint="eastAsia" w:ascii="宋体" w:hAnsi="宋体" w:cs="宋体"/>
          <w:color w:val="000000"/>
          <w:sz w:val="36"/>
          <w:szCs w:val="30"/>
        </w:rPr>
      </w:pPr>
      <w:bookmarkStart w:id="19" w:name="_Toc3414"/>
      <w:bookmarkStart w:id="20" w:name="_Toc29520"/>
      <w:r>
        <w:rPr>
          <w:rFonts w:hint="eastAsia" w:ascii="宋体" w:hAnsi="宋体" w:cs="宋体"/>
          <w:color w:val="000000"/>
          <w:sz w:val="36"/>
          <w:szCs w:val="30"/>
        </w:rPr>
        <w:t>二〇二</w:t>
      </w:r>
      <w:r>
        <w:rPr>
          <w:rFonts w:hint="eastAsia" w:ascii="宋体" w:hAnsi="宋体" w:cs="宋体"/>
          <w:color w:val="000000"/>
          <w:sz w:val="36"/>
          <w:szCs w:val="30"/>
          <w:lang w:eastAsia="zh-CN"/>
        </w:rPr>
        <w:t>五</w:t>
      </w:r>
      <w:r>
        <w:rPr>
          <w:rFonts w:hint="eastAsia" w:ascii="宋体" w:hAnsi="宋体" w:cs="宋体"/>
          <w:color w:val="000000"/>
          <w:sz w:val="36"/>
          <w:szCs w:val="30"/>
        </w:rPr>
        <w:t>年</w:t>
      </w:r>
      <w:r>
        <w:rPr>
          <w:rFonts w:hint="eastAsia" w:ascii="宋体" w:hAnsi="宋体" w:cs="宋体"/>
          <w:color w:val="000000"/>
          <w:sz w:val="36"/>
          <w:szCs w:val="30"/>
          <w:lang w:eastAsia="zh-CN"/>
        </w:rPr>
        <w:t>七</w:t>
      </w:r>
      <w:r>
        <w:rPr>
          <w:rFonts w:hint="eastAsia" w:ascii="宋体" w:hAnsi="宋体" w:cs="宋体"/>
          <w:color w:val="000000"/>
          <w:sz w:val="36"/>
          <w:szCs w:val="30"/>
        </w:rPr>
        <w:t>月</w:t>
      </w:r>
      <w:bookmarkEnd w:id="14"/>
      <w:bookmarkEnd w:id="15"/>
      <w:bookmarkEnd w:id="16"/>
      <w:bookmarkEnd w:id="17"/>
      <w:bookmarkEnd w:id="18"/>
      <w:bookmarkEnd w:id="19"/>
      <w:bookmarkEnd w:id="20"/>
    </w:p>
    <w:p w14:paraId="7B253791">
      <w:pPr>
        <w:pStyle w:val="5"/>
        <w:spacing w:before="0" w:after="0" w:line="312" w:lineRule="auto"/>
        <w:rPr>
          <w:rFonts w:hint="eastAsia" w:ascii="宋体" w:hAnsi="宋体" w:cs="宋体"/>
          <w:color w:val="000000"/>
        </w:rPr>
        <w:sectPr>
          <w:pgSz w:w="11907" w:h="16840"/>
          <w:pgMar w:top="1134" w:right="1191" w:bottom="1134" w:left="1304" w:header="851" w:footer="992" w:gutter="0"/>
          <w:pgNumType w:fmt="numberInDash" w:start="1"/>
          <w:cols w:space="720" w:num="1"/>
          <w:docGrid w:linePitch="380" w:charSpace="-5734"/>
        </w:sectPr>
      </w:pPr>
    </w:p>
    <w:p w14:paraId="2F186B42">
      <w:pPr>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宋体" w:eastAsia="宋体" w:cs="Times New Roman"/>
          <w:bCs/>
          <w:color w:val="000000"/>
          <w:kern w:val="2"/>
          <w:sz w:val="22"/>
          <w:szCs w:val="21"/>
          <w:lang w:val="en-US" w:eastAsia="zh-CN" w:bidi="ar-SA"/>
        </w:rPr>
      </w:pPr>
      <w:bookmarkStart w:id="21" w:name="_Toc21016"/>
      <w:bookmarkStart w:id="22" w:name="_Toc4907"/>
      <w:bookmarkStart w:id="23" w:name="_Toc5295"/>
      <w:bookmarkStart w:id="24" w:name="_Toc31461"/>
      <w:r>
        <w:rPr>
          <w:rFonts w:hint="eastAsia"/>
          <w:b/>
          <w:bCs/>
          <w:sz w:val="36"/>
          <w:szCs w:val="36"/>
        </w:rPr>
        <w:t>目  录</w:t>
      </w:r>
      <w:bookmarkEnd w:id="21"/>
      <w:bookmarkEnd w:id="22"/>
      <w:bookmarkEnd w:id="23"/>
      <w:bookmarkEnd w:id="24"/>
      <w:r>
        <w:rPr>
          <w:rFonts w:hint="eastAsia" w:hAnsi="宋体"/>
          <w:color w:val="000000"/>
          <w:sz w:val="36"/>
          <w:szCs w:val="36"/>
        </w:rPr>
        <w:fldChar w:fldCharType="begin"/>
      </w:r>
      <w:r>
        <w:rPr>
          <w:rFonts w:hint="eastAsia" w:hAnsi="宋体"/>
          <w:color w:val="000000"/>
          <w:sz w:val="36"/>
          <w:szCs w:val="36"/>
        </w:rPr>
        <w:instrText xml:space="preserve"> TOC \o "1-3" \h \z \u </w:instrText>
      </w:r>
      <w:r>
        <w:rPr>
          <w:rFonts w:hint="eastAsia" w:hAnsi="宋体"/>
          <w:color w:val="000000"/>
          <w:sz w:val="36"/>
          <w:szCs w:val="36"/>
        </w:rPr>
        <w:fldChar w:fldCharType="separate"/>
      </w:r>
    </w:p>
    <w:p w14:paraId="093CA78C">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_Toc27601 </w:instrText>
      </w:r>
      <w:r>
        <w:rPr>
          <w:rFonts w:hint="eastAsia" w:hAnsi="宋体"/>
          <w:bCs/>
          <w:szCs w:val="21"/>
        </w:rPr>
        <w:fldChar w:fldCharType="separate"/>
      </w:r>
      <w:r>
        <w:rPr>
          <w:rFonts w:hint="eastAsia"/>
          <w:bCs/>
        </w:rPr>
        <w:t>第一篇  竞采邀请书</w:t>
      </w:r>
      <w:r>
        <w:tab/>
      </w:r>
      <w:r>
        <w:fldChar w:fldCharType="begin"/>
      </w:r>
      <w:r>
        <w:instrText xml:space="preserve"> PAGEREF _Toc27601 \h </w:instrText>
      </w:r>
      <w:r>
        <w:fldChar w:fldCharType="separate"/>
      </w:r>
      <w:r>
        <w:t>- 4 -</w:t>
      </w:r>
      <w:r>
        <w:fldChar w:fldCharType="end"/>
      </w:r>
      <w:r>
        <w:rPr>
          <w:rFonts w:hint="eastAsia" w:hAnsi="宋体"/>
          <w:bCs/>
          <w:color w:val="000000"/>
          <w:szCs w:val="21"/>
        </w:rPr>
        <w:fldChar w:fldCharType="end"/>
      </w:r>
    </w:p>
    <w:p w14:paraId="5BFB383D">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_Toc746 </w:instrText>
      </w:r>
      <w:r>
        <w:rPr>
          <w:rFonts w:hint="eastAsia" w:hAnsi="宋体"/>
          <w:bCs/>
          <w:szCs w:val="21"/>
        </w:rPr>
        <w:fldChar w:fldCharType="separate"/>
      </w:r>
      <w:r>
        <w:rPr>
          <w:rFonts w:hint="eastAsia" w:ascii="宋体" w:hAnsi="宋体" w:eastAsia="宋体" w:cs="宋体"/>
          <w:szCs w:val="24"/>
        </w:rPr>
        <w:t>一、竞采项目内容</w:t>
      </w:r>
      <w:r>
        <w:tab/>
      </w:r>
      <w:r>
        <w:fldChar w:fldCharType="begin"/>
      </w:r>
      <w:r>
        <w:instrText xml:space="preserve"> PAGEREF _Toc746 \h </w:instrText>
      </w:r>
      <w:r>
        <w:fldChar w:fldCharType="separate"/>
      </w:r>
      <w:r>
        <w:t>- 4 -</w:t>
      </w:r>
      <w:r>
        <w:fldChar w:fldCharType="end"/>
      </w:r>
      <w:r>
        <w:rPr>
          <w:rFonts w:hint="eastAsia" w:hAnsi="宋体"/>
          <w:bCs/>
          <w:color w:val="000000"/>
          <w:szCs w:val="21"/>
        </w:rPr>
        <w:fldChar w:fldCharType="end"/>
      </w:r>
    </w:p>
    <w:p w14:paraId="533D2423">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_Toc19727 </w:instrText>
      </w:r>
      <w:r>
        <w:rPr>
          <w:rFonts w:hint="eastAsia" w:hAnsi="宋体"/>
          <w:bCs/>
          <w:szCs w:val="21"/>
        </w:rPr>
        <w:fldChar w:fldCharType="separate"/>
      </w:r>
      <w:r>
        <w:rPr>
          <w:rFonts w:hint="eastAsia" w:ascii="宋体" w:hAnsi="宋体" w:eastAsia="宋体" w:cs="宋体"/>
          <w:szCs w:val="24"/>
        </w:rPr>
        <w:t>二、资金来源</w:t>
      </w:r>
      <w:r>
        <w:tab/>
      </w:r>
      <w:r>
        <w:fldChar w:fldCharType="begin"/>
      </w:r>
      <w:r>
        <w:instrText xml:space="preserve"> PAGEREF _Toc19727 \h </w:instrText>
      </w:r>
      <w:r>
        <w:fldChar w:fldCharType="separate"/>
      </w:r>
      <w:r>
        <w:t>- 4 -</w:t>
      </w:r>
      <w:r>
        <w:fldChar w:fldCharType="end"/>
      </w:r>
      <w:r>
        <w:rPr>
          <w:rFonts w:hint="eastAsia" w:hAnsi="宋体"/>
          <w:bCs/>
          <w:color w:val="000000"/>
          <w:szCs w:val="21"/>
        </w:rPr>
        <w:fldChar w:fldCharType="end"/>
      </w:r>
    </w:p>
    <w:p w14:paraId="12994588">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_Toc766 </w:instrText>
      </w:r>
      <w:r>
        <w:rPr>
          <w:rFonts w:hint="eastAsia" w:hAnsi="宋体"/>
          <w:bCs/>
          <w:szCs w:val="21"/>
        </w:rPr>
        <w:fldChar w:fldCharType="separate"/>
      </w:r>
      <w:r>
        <w:rPr>
          <w:rFonts w:hint="eastAsia" w:ascii="宋体" w:hAnsi="宋体" w:eastAsia="宋体" w:cs="宋体"/>
          <w:szCs w:val="24"/>
        </w:rPr>
        <w:t>三、供应商资格条件</w:t>
      </w:r>
      <w:r>
        <w:tab/>
      </w:r>
      <w:r>
        <w:fldChar w:fldCharType="begin"/>
      </w:r>
      <w:r>
        <w:instrText xml:space="preserve"> PAGEREF _Toc766 \h </w:instrText>
      </w:r>
      <w:r>
        <w:fldChar w:fldCharType="separate"/>
      </w:r>
      <w:r>
        <w:t>- 4 -</w:t>
      </w:r>
      <w:r>
        <w:fldChar w:fldCharType="end"/>
      </w:r>
      <w:r>
        <w:rPr>
          <w:rFonts w:hint="eastAsia" w:hAnsi="宋体"/>
          <w:bCs/>
          <w:color w:val="000000"/>
          <w:szCs w:val="21"/>
        </w:rPr>
        <w:fldChar w:fldCharType="end"/>
      </w:r>
    </w:p>
    <w:p w14:paraId="71CBAF2D">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_Toc7177 </w:instrText>
      </w:r>
      <w:r>
        <w:rPr>
          <w:rFonts w:hint="eastAsia" w:hAnsi="宋体"/>
          <w:bCs/>
          <w:szCs w:val="21"/>
        </w:rPr>
        <w:fldChar w:fldCharType="separate"/>
      </w:r>
      <w:r>
        <w:rPr>
          <w:rFonts w:hint="eastAsia" w:ascii="宋体" w:hAnsi="宋体" w:eastAsia="宋体" w:cs="宋体"/>
          <w:szCs w:val="24"/>
        </w:rPr>
        <w:t>四、竞采、评审有关说明</w:t>
      </w:r>
      <w:r>
        <w:tab/>
      </w:r>
      <w:r>
        <w:fldChar w:fldCharType="begin"/>
      </w:r>
      <w:r>
        <w:instrText xml:space="preserve"> PAGEREF _Toc7177 \h </w:instrText>
      </w:r>
      <w:r>
        <w:fldChar w:fldCharType="separate"/>
      </w:r>
      <w:r>
        <w:t>- 4 -</w:t>
      </w:r>
      <w:r>
        <w:fldChar w:fldCharType="end"/>
      </w:r>
      <w:r>
        <w:rPr>
          <w:rFonts w:hint="eastAsia" w:hAnsi="宋体"/>
          <w:bCs/>
          <w:color w:val="000000"/>
          <w:szCs w:val="21"/>
        </w:rPr>
        <w:fldChar w:fldCharType="end"/>
      </w:r>
    </w:p>
    <w:p w14:paraId="249F33B7">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_Toc30865 </w:instrText>
      </w:r>
      <w:r>
        <w:rPr>
          <w:rFonts w:hint="eastAsia" w:hAnsi="宋体"/>
          <w:bCs/>
          <w:szCs w:val="21"/>
        </w:rPr>
        <w:fldChar w:fldCharType="separate"/>
      </w:r>
      <w:r>
        <w:rPr>
          <w:rFonts w:hint="eastAsia" w:ascii="宋体" w:hAnsi="宋体" w:eastAsia="宋体" w:cs="宋体"/>
          <w:szCs w:val="24"/>
          <w:lang w:eastAsia="zh-CN"/>
        </w:rPr>
        <w:t>五</w:t>
      </w:r>
      <w:r>
        <w:rPr>
          <w:rFonts w:hint="eastAsia" w:ascii="宋体" w:hAnsi="宋体" w:eastAsia="宋体" w:cs="宋体"/>
          <w:szCs w:val="24"/>
        </w:rPr>
        <w:t>、竞采有关规定</w:t>
      </w:r>
      <w:r>
        <w:tab/>
      </w:r>
      <w:r>
        <w:fldChar w:fldCharType="begin"/>
      </w:r>
      <w:r>
        <w:instrText xml:space="preserve"> PAGEREF _Toc30865 \h </w:instrText>
      </w:r>
      <w:r>
        <w:fldChar w:fldCharType="separate"/>
      </w:r>
      <w:r>
        <w:t>- 5 -</w:t>
      </w:r>
      <w:r>
        <w:fldChar w:fldCharType="end"/>
      </w:r>
      <w:r>
        <w:rPr>
          <w:rFonts w:hint="eastAsia" w:hAnsi="宋体"/>
          <w:bCs/>
          <w:color w:val="000000"/>
          <w:szCs w:val="21"/>
        </w:rPr>
        <w:fldChar w:fldCharType="end"/>
      </w:r>
    </w:p>
    <w:p w14:paraId="74D6FB1D">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_Toc9074 </w:instrText>
      </w:r>
      <w:r>
        <w:rPr>
          <w:rFonts w:hint="eastAsia" w:hAnsi="宋体"/>
          <w:bCs/>
          <w:szCs w:val="21"/>
        </w:rPr>
        <w:fldChar w:fldCharType="separate"/>
      </w:r>
      <w:r>
        <w:rPr>
          <w:rFonts w:hint="eastAsia" w:ascii="宋体" w:hAnsi="宋体" w:eastAsia="宋体" w:cs="宋体"/>
          <w:szCs w:val="24"/>
          <w:lang w:eastAsia="zh-CN"/>
        </w:rPr>
        <w:t>六</w:t>
      </w:r>
      <w:r>
        <w:rPr>
          <w:rFonts w:hint="eastAsia" w:ascii="宋体" w:hAnsi="宋体" w:eastAsia="宋体" w:cs="宋体"/>
          <w:szCs w:val="24"/>
        </w:rPr>
        <w:t>、联系方式</w:t>
      </w:r>
      <w:r>
        <w:tab/>
      </w:r>
      <w:r>
        <w:fldChar w:fldCharType="begin"/>
      </w:r>
      <w:r>
        <w:instrText xml:space="preserve"> PAGEREF _Toc9074 \h </w:instrText>
      </w:r>
      <w:r>
        <w:fldChar w:fldCharType="separate"/>
      </w:r>
      <w:r>
        <w:t>- 5 -</w:t>
      </w:r>
      <w:r>
        <w:fldChar w:fldCharType="end"/>
      </w:r>
      <w:r>
        <w:rPr>
          <w:rFonts w:hint="eastAsia" w:hAnsi="宋体"/>
          <w:bCs/>
          <w:color w:val="000000"/>
          <w:szCs w:val="21"/>
        </w:rPr>
        <w:fldChar w:fldCharType="end"/>
      </w:r>
    </w:p>
    <w:p w14:paraId="33C62007">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_Toc31504 </w:instrText>
      </w:r>
      <w:r>
        <w:rPr>
          <w:rFonts w:hint="eastAsia" w:hAnsi="宋体"/>
          <w:bCs/>
          <w:szCs w:val="21"/>
        </w:rPr>
        <w:fldChar w:fldCharType="separate"/>
      </w:r>
      <w:r>
        <w:rPr>
          <w:rFonts w:hint="eastAsia" w:hAnsi="宋体"/>
        </w:rPr>
        <w:t>第二篇 竞采项目技术（质量）需求</w:t>
      </w:r>
      <w:r>
        <w:tab/>
      </w:r>
      <w:r>
        <w:fldChar w:fldCharType="begin"/>
      </w:r>
      <w:r>
        <w:instrText xml:space="preserve"> PAGEREF _Toc31504 \h </w:instrText>
      </w:r>
      <w:r>
        <w:fldChar w:fldCharType="separate"/>
      </w:r>
      <w:r>
        <w:t>- 6 -</w:t>
      </w:r>
      <w:r>
        <w:fldChar w:fldCharType="end"/>
      </w:r>
      <w:r>
        <w:rPr>
          <w:rFonts w:hint="eastAsia" w:hAnsi="宋体"/>
          <w:bCs/>
          <w:color w:val="000000"/>
          <w:szCs w:val="21"/>
        </w:rPr>
        <w:fldChar w:fldCharType="end"/>
      </w:r>
    </w:p>
    <w:p w14:paraId="3305E2B8">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_Toc24166 </w:instrText>
      </w:r>
      <w:r>
        <w:rPr>
          <w:rFonts w:hint="eastAsia" w:hAnsi="宋体"/>
          <w:bCs/>
          <w:szCs w:val="21"/>
        </w:rPr>
        <w:fldChar w:fldCharType="separate"/>
      </w:r>
      <w:r>
        <w:rPr>
          <w:rFonts w:hint="eastAsia" w:asciiTheme="minorEastAsia" w:hAnsiTheme="minorEastAsia" w:eastAsiaTheme="minorEastAsia" w:cstheme="minorEastAsia"/>
          <w:szCs w:val="24"/>
        </w:rPr>
        <w:t>一、项目一览表</w:t>
      </w:r>
      <w:r>
        <w:tab/>
      </w:r>
      <w:r>
        <w:fldChar w:fldCharType="begin"/>
      </w:r>
      <w:r>
        <w:instrText xml:space="preserve"> PAGEREF _Toc24166 \h </w:instrText>
      </w:r>
      <w:r>
        <w:fldChar w:fldCharType="separate"/>
      </w:r>
      <w:r>
        <w:t>- 6 -</w:t>
      </w:r>
      <w:r>
        <w:fldChar w:fldCharType="end"/>
      </w:r>
      <w:r>
        <w:rPr>
          <w:rFonts w:hint="eastAsia" w:hAnsi="宋体"/>
          <w:bCs/>
          <w:color w:val="000000"/>
          <w:szCs w:val="21"/>
        </w:rPr>
        <w:fldChar w:fldCharType="end"/>
      </w:r>
    </w:p>
    <w:p w14:paraId="642802D9">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_Toc23811 </w:instrText>
      </w:r>
      <w:r>
        <w:rPr>
          <w:rFonts w:hint="eastAsia" w:hAnsi="宋体"/>
          <w:bCs/>
          <w:szCs w:val="21"/>
        </w:rPr>
        <w:fldChar w:fldCharType="separate"/>
      </w:r>
      <w:r>
        <w:rPr>
          <w:rFonts w:hint="eastAsia" w:asciiTheme="minorEastAsia" w:hAnsiTheme="minorEastAsia" w:eastAsiaTheme="minorEastAsia" w:cstheme="minorEastAsia"/>
          <w:szCs w:val="24"/>
        </w:rPr>
        <w:t>二、项目服务需求</w:t>
      </w:r>
      <w:r>
        <w:tab/>
      </w:r>
      <w:r>
        <w:fldChar w:fldCharType="begin"/>
      </w:r>
      <w:r>
        <w:instrText xml:space="preserve"> PAGEREF _Toc23811 \h </w:instrText>
      </w:r>
      <w:r>
        <w:fldChar w:fldCharType="separate"/>
      </w:r>
      <w:r>
        <w:t>- 6 -</w:t>
      </w:r>
      <w:r>
        <w:fldChar w:fldCharType="end"/>
      </w:r>
      <w:r>
        <w:rPr>
          <w:rFonts w:hint="eastAsia" w:hAnsi="宋体"/>
          <w:bCs/>
          <w:color w:val="000000"/>
          <w:szCs w:val="21"/>
        </w:rPr>
        <w:fldChar w:fldCharType="end"/>
      </w:r>
    </w:p>
    <w:p w14:paraId="351F0F6C">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_Toc29118 </w:instrText>
      </w:r>
      <w:r>
        <w:rPr>
          <w:rFonts w:hint="eastAsia" w:hAnsi="宋体"/>
          <w:bCs/>
          <w:szCs w:val="21"/>
        </w:rPr>
        <w:fldChar w:fldCharType="separate"/>
      </w:r>
      <w:r>
        <w:rPr>
          <w:rFonts w:hint="eastAsia" w:asciiTheme="minorEastAsia" w:hAnsiTheme="minorEastAsia" w:eastAsiaTheme="minorEastAsia" w:cstheme="minorEastAsia"/>
          <w:szCs w:val="24"/>
        </w:rPr>
        <w:t>三、技术要求</w:t>
      </w:r>
      <w:r>
        <w:tab/>
      </w:r>
      <w:r>
        <w:fldChar w:fldCharType="begin"/>
      </w:r>
      <w:r>
        <w:instrText xml:space="preserve"> PAGEREF _Toc29118 \h </w:instrText>
      </w:r>
      <w:r>
        <w:fldChar w:fldCharType="separate"/>
      </w:r>
      <w:r>
        <w:t>- 6 -</w:t>
      </w:r>
      <w:r>
        <w:fldChar w:fldCharType="end"/>
      </w:r>
      <w:r>
        <w:rPr>
          <w:rFonts w:hint="eastAsia" w:hAnsi="宋体"/>
          <w:bCs/>
          <w:color w:val="000000"/>
          <w:szCs w:val="21"/>
        </w:rPr>
        <w:fldChar w:fldCharType="end"/>
      </w:r>
    </w:p>
    <w:p w14:paraId="46C87591">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_Toc8842 </w:instrText>
      </w:r>
      <w:r>
        <w:rPr>
          <w:rFonts w:hint="eastAsia" w:hAnsi="宋体"/>
          <w:bCs/>
          <w:szCs w:val="21"/>
        </w:rPr>
        <w:fldChar w:fldCharType="separate"/>
      </w:r>
      <w:r>
        <w:rPr>
          <w:rFonts w:hint="eastAsia" w:hAnsi="宋体"/>
        </w:rPr>
        <w:t>第三篇  竞采项目商务需求</w:t>
      </w:r>
      <w:r>
        <w:tab/>
      </w:r>
      <w:r>
        <w:fldChar w:fldCharType="begin"/>
      </w:r>
      <w:r>
        <w:instrText xml:space="preserve"> PAGEREF _Toc8842 \h </w:instrText>
      </w:r>
      <w:r>
        <w:fldChar w:fldCharType="separate"/>
      </w:r>
      <w:r>
        <w:t>- 9 -</w:t>
      </w:r>
      <w:r>
        <w:fldChar w:fldCharType="end"/>
      </w:r>
      <w:r>
        <w:rPr>
          <w:rFonts w:hint="eastAsia" w:hAnsi="宋体"/>
          <w:bCs/>
          <w:color w:val="000000"/>
          <w:szCs w:val="21"/>
        </w:rPr>
        <w:fldChar w:fldCharType="end"/>
      </w:r>
    </w:p>
    <w:p w14:paraId="469F60E7">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_Toc8476 </w:instrText>
      </w:r>
      <w:r>
        <w:rPr>
          <w:rFonts w:hint="eastAsia" w:hAnsi="宋体"/>
          <w:bCs/>
          <w:szCs w:val="21"/>
        </w:rPr>
        <w:fldChar w:fldCharType="separate"/>
      </w:r>
      <w:r>
        <w:rPr>
          <w:rFonts w:hint="eastAsia" w:ascii="宋体" w:hAnsi="宋体" w:eastAsia="宋体" w:cs="宋体"/>
          <w:szCs w:val="24"/>
        </w:rPr>
        <w:t>一、服务时间、地点及验收方式</w:t>
      </w:r>
      <w:r>
        <w:tab/>
      </w:r>
      <w:r>
        <w:fldChar w:fldCharType="begin"/>
      </w:r>
      <w:r>
        <w:instrText xml:space="preserve"> PAGEREF _Toc8476 \h </w:instrText>
      </w:r>
      <w:r>
        <w:fldChar w:fldCharType="separate"/>
      </w:r>
      <w:r>
        <w:t>- 9 -</w:t>
      </w:r>
      <w:r>
        <w:fldChar w:fldCharType="end"/>
      </w:r>
      <w:r>
        <w:rPr>
          <w:rFonts w:hint="eastAsia" w:hAnsi="宋体"/>
          <w:bCs/>
          <w:color w:val="000000"/>
          <w:szCs w:val="21"/>
        </w:rPr>
        <w:fldChar w:fldCharType="end"/>
      </w:r>
    </w:p>
    <w:p w14:paraId="55203673">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_Toc6330 </w:instrText>
      </w:r>
      <w:r>
        <w:rPr>
          <w:rFonts w:hint="eastAsia" w:hAnsi="宋体"/>
          <w:bCs/>
          <w:szCs w:val="21"/>
        </w:rPr>
        <w:fldChar w:fldCharType="separate"/>
      </w:r>
      <w:r>
        <w:rPr>
          <w:rFonts w:hint="eastAsia" w:ascii="宋体" w:hAnsi="宋体" w:eastAsia="宋体" w:cs="宋体"/>
          <w:szCs w:val="24"/>
        </w:rPr>
        <w:t>二、报价要求</w:t>
      </w:r>
      <w:r>
        <w:tab/>
      </w:r>
      <w:r>
        <w:fldChar w:fldCharType="begin"/>
      </w:r>
      <w:r>
        <w:instrText xml:space="preserve"> PAGEREF _Toc6330 \h </w:instrText>
      </w:r>
      <w:r>
        <w:fldChar w:fldCharType="separate"/>
      </w:r>
      <w:r>
        <w:t>- 9 -</w:t>
      </w:r>
      <w:r>
        <w:fldChar w:fldCharType="end"/>
      </w:r>
      <w:r>
        <w:rPr>
          <w:rFonts w:hint="eastAsia" w:hAnsi="宋体"/>
          <w:bCs/>
          <w:color w:val="000000"/>
          <w:szCs w:val="21"/>
        </w:rPr>
        <w:fldChar w:fldCharType="end"/>
      </w:r>
    </w:p>
    <w:p w14:paraId="592AFF27">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_Toc9554 </w:instrText>
      </w:r>
      <w:r>
        <w:rPr>
          <w:rFonts w:hint="eastAsia" w:hAnsi="宋体"/>
          <w:bCs/>
          <w:szCs w:val="21"/>
        </w:rPr>
        <w:fldChar w:fldCharType="separate"/>
      </w:r>
      <w:r>
        <w:rPr>
          <w:rFonts w:hint="eastAsia" w:ascii="宋体" w:hAnsi="宋体" w:eastAsia="宋体" w:cs="宋体"/>
          <w:szCs w:val="24"/>
        </w:rPr>
        <w:t>三、付款方式</w:t>
      </w:r>
      <w:r>
        <w:tab/>
      </w:r>
      <w:r>
        <w:fldChar w:fldCharType="begin"/>
      </w:r>
      <w:r>
        <w:instrText xml:space="preserve"> PAGEREF _Toc9554 \h </w:instrText>
      </w:r>
      <w:r>
        <w:fldChar w:fldCharType="separate"/>
      </w:r>
      <w:r>
        <w:t>- 9 -</w:t>
      </w:r>
      <w:r>
        <w:fldChar w:fldCharType="end"/>
      </w:r>
      <w:r>
        <w:rPr>
          <w:rFonts w:hint="eastAsia" w:hAnsi="宋体"/>
          <w:bCs/>
          <w:color w:val="000000"/>
          <w:szCs w:val="21"/>
        </w:rPr>
        <w:fldChar w:fldCharType="end"/>
      </w:r>
    </w:p>
    <w:p w14:paraId="125B06AD">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_Toc31971 </w:instrText>
      </w:r>
      <w:r>
        <w:rPr>
          <w:rFonts w:hint="eastAsia" w:hAnsi="宋体"/>
          <w:bCs/>
          <w:szCs w:val="21"/>
        </w:rPr>
        <w:fldChar w:fldCharType="separate"/>
      </w:r>
      <w:r>
        <w:rPr>
          <w:rFonts w:hint="eastAsia" w:ascii="宋体" w:hAnsi="宋体" w:eastAsia="宋体" w:cs="宋体"/>
          <w:szCs w:val="24"/>
        </w:rPr>
        <w:t>四、知识产权</w:t>
      </w:r>
      <w:r>
        <w:tab/>
      </w:r>
      <w:r>
        <w:fldChar w:fldCharType="begin"/>
      </w:r>
      <w:r>
        <w:instrText xml:space="preserve"> PAGEREF _Toc31971 \h </w:instrText>
      </w:r>
      <w:r>
        <w:fldChar w:fldCharType="separate"/>
      </w:r>
      <w:r>
        <w:t>- 10 -</w:t>
      </w:r>
      <w:r>
        <w:fldChar w:fldCharType="end"/>
      </w:r>
      <w:r>
        <w:rPr>
          <w:rFonts w:hint="eastAsia" w:hAnsi="宋体"/>
          <w:bCs/>
          <w:color w:val="000000"/>
          <w:szCs w:val="21"/>
        </w:rPr>
        <w:fldChar w:fldCharType="end"/>
      </w:r>
    </w:p>
    <w:p w14:paraId="338CB3DC">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_Toc14100 </w:instrText>
      </w:r>
      <w:r>
        <w:rPr>
          <w:rFonts w:hint="eastAsia" w:hAnsi="宋体"/>
          <w:bCs/>
          <w:szCs w:val="21"/>
        </w:rPr>
        <w:fldChar w:fldCharType="separate"/>
      </w:r>
      <w:r>
        <w:rPr>
          <w:rFonts w:hint="eastAsia" w:ascii="宋体" w:hAnsi="宋体" w:eastAsia="宋体" w:cs="宋体"/>
          <w:szCs w:val="24"/>
        </w:rPr>
        <w:t>五、其他</w:t>
      </w:r>
      <w:r>
        <w:tab/>
      </w:r>
      <w:r>
        <w:fldChar w:fldCharType="begin"/>
      </w:r>
      <w:r>
        <w:instrText xml:space="preserve"> PAGEREF _Toc14100 \h </w:instrText>
      </w:r>
      <w:r>
        <w:fldChar w:fldCharType="separate"/>
      </w:r>
      <w:r>
        <w:t>- 10 -</w:t>
      </w:r>
      <w:r>
        <w:fldChar w:fldCharType="end"/>
      </w:r>
      <w:r>
        <w:rPr>
          <w:rFonts w:hint="eastAsia" w:hAnsi="宋体"/>
          <w:bCs/>
          <w:color w:val="000000"/>
          <w:szCs w:val="21"/>
        </w:rPr>
        <w:fldChar w:fldCharType="end"/>
      </w:r>
    </w:p>
    <w:p w14:paraId="77F0B218">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_Toc23303 </w:instrText>
      </w:r>
      <w:r>
        <w:rPr>
          <w:rFonts w:hint="eastAsia" w:hAnsi="宋体"/>
          <w:bCs/>
          <w:szCs w:val="21"/>
        </w:rPr>
        <w:fldChar w:fldCharType="separate"/>
      </w:r>
      <w:r>
        <w:rPr>
          <w:rFonts w:hint="eastAsia" w:hAnsi="宋体"/>
        </w:rPr>
        <w:t>第四篇  竞采程序及方法、评审标准、无效响应和竞采终止</w:t>
      </w:r>
      <w:r>
        <w:tab/>
      </w:r>
      <w:r>
        <w:fldChar w:fldCharType="begin"/>
      </w:r>
      <w:r>
        <w:instrText xml:space="preserve"> PAGEREF _Toc23303 \h </w:instrText>
      </w:r>
      <w:r>
        <w:fldChar w:fldCharType="separate"/>
      </w:r>
      <w:r>
        <w:t>- 11 -</w:t>
      </w:r>
      <w:r>
        <w:fldChar w:fldCharType="end"/>
      </w:r>
      <w:r>
        <w:rPr>
          <w:rFonts w:hint="eastAsia" w:hAnsi="宋体"/>
          <w:bCs/>
          <w:color w:val="000000"/>
          <w:szCs w:val="21"/>
        </w:rPr>
        <w:fldChar w:fldCharType="end"/>
      </w:r>
    </w:p>
    <w:p w14:paraId="1F6444ED">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_Toc30734 </w:instrText>
      </w:r>
      <w:r>
        <w:rPr>
          <w:rFonts w:hint="eastAsia" w:hAnsi="宋体"/>
          <w:bCs/>
          <w:szCs w:val="21"/>
        </w:rPr>
        <w:fldChar w:fldCharType="separate"/>
      </w:r>
      <w:r>
        <w:rPr>
          <w:rFonts w:hint="eastAsia" w:ascii="宋体" w:hAnsi="宋体" w:eastAsia="宋体" w:cs="宋体"/>
          <w:szCs w:val="24"/>
        </w:rPr>
        <w:t>一、竞采程序及方法</w:t>
      </w:r>
      <w:r>
        <w:tab/>
      </w:r>
      <w:r>
        <w:fldChar w:fldCharType="begin"/>
      </w:r>
      <w:r>
        <w:instrText xml:space="preserve"> PAGEREF _Toc30734 \h </w:instrText>
      </w:r>
      <w:r>
        <w:fldChar w:fldCharType="separate"/>
      </w:r>
      <w:r>
        <w:t>- 11 -</w:t>
      </w:r>
      <w:r>
        <w:fldChar w:fldCharType="end"/>
      </w:r>
      <w:r>
        <w:rPr>
          <w:rFonts w:hint="eastAsia" w:hAnsi="宋体"/>
          <w:bCs/>
          <w:color w:val="000000"/>
          <w:szCs w:val="21"/>
        </w:rPr>
        <w:fldChar w:fldCharType="end"/>
      </w:r>
    </w:p>
    <w:p w14:paraId="33292D74">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_Toc17673 </w:instrText>
      </w:r>
      <w:r>
        <w:rPr>
          <w:rFonts w:hint="eastAsia" w:hAnsi="宋体"/>
          <w:bCs/>
          <w:szCs w:val="21"/>
        </w:rPr>
        <w:fldChar w:fldCharType="separate"/>
      </w:r>
      <w:r>
        <w:rPr>
          <w:rFonts w:hint="eastAsia" w:ascii="宋体" w:hAnsi="宋体" w:eastAsia="宋体" w:cs="宋体"/>
          <w:szCs w:val="24"/>
        </w:rPr>
        <w:t>二、评审标准</w:t>
      </w:r>
      <w:r>
        <w:tab/>
      </w:r>
      <w:r>
        <w:fldChar w:fldCharType="begin"/>
      </w:r>
      <w:r>
        <w:instrText xml:space="preserve"> PAGEREF _Toc17673 \h </w:instrText>
      </w:r>
      <w:r>
        <w:fldChar w:fldCharType="separate"/>
      </w:r>
      <w:r>
        <w:t>- 12 -</w:t>
      </w:r>
      <w:r>
        <w:fldChar w:fldCharType="end"/>
      </w:r>
      <w:r>
        <w:rPr>
          <w:rFonts w:hint="eastAsia" w:hAnsi="宋体"/>
          <w:bCs/>
          <w:color w:val="000000"/>
          <w:szCs w:val="21"/>
        </w:rPr>
        <w:fldChar w:fldCharType="end"/>
      </w:r>
    </w:p>
    <w:p w14:paraId="069A7CFE">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_Toc30166 </w:instrText>
      </w:r>
      <w:r>
        <w:rPr>
          <w:rFonts w:hint="eastAsia" w:hAnsi="宋体"/>
          <w:bCs/>
          <w:szCs w:val="21"/>
        </w:rPr>
        <w:fldChar w:fldCharType="separate"/>
      </w:r>
      <w:r>
        <w:rPr>
          <w:rFonts w:hint="eastAsia" w:ascii="宋体" w:hAnsi="宋体" w:eastAsia="宋体" w:cs="宋体"/>
          <w:szCs w:val="24"/>
        </w:rPr>
        <w:t>三、无效响应</w:t>
      </w:r>
      <w:r>
        <w:tab/>
      </w:r>
      <w:r>
        <w:fldChar w:fldCharType="begin"/>
      </w:r>
      <w:r>
        <w:instrText xml:space="preserve"> PAGEREF _Toc30166 \h </w:instrText>
      </w:r>
      <w:r>
        <w:fldChar w:fldCharType="separate"/>
      </w:r>
      <w:r>
        <w:t>- 14 -</w:t>
      </w:r>
      <w:r>
        <w:fldChar w:fldCharType="end"/>
      </w:r>
      <w:r>
        <w:rPr>
          <w:rFonts w:hint="eastAsia" w:hAnsi="宋体"/>
          <w:bCs/>
          <w:color w:val="000000"/>
          <w:szCs w:val="21"/>
        </w:rPr>
        <w:fldChar w:fldCharType="end"/>
      </w:r>
    </w:p>
    <w:p w14:paraId="0EC6116B">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_Toc20577 </w:instrText>
      </w:r>
      <w:r>
        <w:rPr>
          <w:rFonts w:hint="eastAsia" w:hAnsi="宋体"/>
          <w:bCs/>
          <w:szCs w:val="21"/>
        </w:rPr>
        <w:fldChar w:fldCharType="separate"/>
      </w:r>
      <w:r>
        <w:rPr>
          <w:rFonts w:hint="eastAsia" w:ascii="宋体" w:hAnsi="宋体" w:eastAsia="宋体" w:cs="宋体"/>
          <w:szCs w:val="24"/>
        </w:rPr>
        <w:t>四、竞采终止</w:t>
      </w:r>
      <w:r>
        <w:tab/>
      </w:r>
      <w:r>
        <w:fldChar w:fldCharType="begin"/>
      </w:r>
      <w:r>
        <w:instrText xml:space="preserve"> PAGEREF _Toc20577 \h </w:instrText>
      </w:r>
      <w:r>
        <w:fldChar w:fldCharType="separate"/>
      </w:r>
      <w:r>
        <w:t>- 14 -</w:t>
      </w:r>
      <w:r>
        <w:fldChar w:fldCharType="end"/>
      </w:r>
      <w:r>
        <w:rPr>
          <w:rFonts w:hint="eastAsia" w:hAnsi="宋体"/>
          <w:bCs/>
          <w:color w:val="000000"/>
          <w:szCs w:val="21"/>
        </w:rPr>
        <w:fldChar w:fldCharType="end"/>
      </w:r>
    </w:p>
    <w:p w14:paraId="77B0780E">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_Toc7513 </w:instrText>
      </w:r>
      <w:r>
        <w:rPr>
          <w:rFonts w:hint="eastAsia" w:hAnsi="宋体"/>
          <w:bCs/>
          <w:szCs w:val="21"/>
        </w:rPr>
        <w:fldChar w:fldCharType="separate"/>
      </w:r>
      <w:r>
        <w:rPr>
          <w:rFonts w:hint="eastAsia" w:hAnsi="宋体"/>
        </w:rPr>
        <w:t>第五篇  供应商须知</w:t>
      </w:r>
      <w:r>
        <w:tab/>
      </w:r>
      <w:r>
        <w:fldChar w:fldCharType="begin"/>
      </w:r>
      <w:r>
        <w:instrText xml:space="preserve"> PAGEREF _Toc7513 \h </w:instrText>
      </w:r>
      <w:r>
        <w:fldChar w:fldCharType="separate"/>
      </w:r>
      <w:r>
        <w:t>- 15 -</w:t>
      </w:r>
      <w:r>
        <w:fldChar w:fldCharType="end"/>
      </w:r>
      <w:r>
        <w:rPr>
          <w:rFonts w:hint="eastAsia" w:hAnsi="宋体"/>
          <w:bCs/>
          <w:color w:val="000000"/>
          <w:szCs w:val="21"/>
        </w:rPr>
        <w:fldChar w:fldCharType="end"/>
      </w:r>
    </w:p>
    <w:p w14:paraId="64CCA9AC">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_Toc30292 </w:instrText>
      </w:r>
      <w:r>
        <w:rPr>
          <w:rFonts w:hint="eastAsia" w:hAnsi="宋体"/>
          <w:bCs/>
          <w:szCs w:val="21"/>
        </w:rPr>
        <w:fldChar w:fldCharType="separate"/>
      </w:r>
      <w:r>
        <w:rPr>
          <w:rFonts w:hint="eastAsia" w:ascii="宋体" w:hAnsi="宋体" w:eastAsia="宋体" w:cs="宋体"/>
          <w:szCs w:val="24"/>
        </w:rPr>
        <w:t>一、网上竞采费用</w:t>
      </w:r>
      <w:r>
        <w:tab/>
      </w:r>
      <w:r>
        <w:fldChar w:fldCharType="begin"/>
      </w:r>
      <w:r>
        <w:instrText xml:space="preserve"> PAGEREF _Toc30292 \h </w:instrText>
      </w:r>
      <w:r>
        <w:fldChar w:fldCharType="separate"/>
      </w:r>
      <w:r>
        <w:t>- 15 -</w:t>
      </w:r>
      <w:r>
        <w:fldChar w:fldCharType="end"/>
      </w:r>
      <w:r>
        <w:rPr>
          <w:rFonts w:hint="eastAsia" w:hAnsi="宋体"/>
          <w:bCs/>
          <w:color w:val="000000"/>
          <w:szCs w:val="21"/>
        </w:rPr>
        <w:fldChar w:fldCharType="end"/>
      </w:r>
    </w:p>
    <w:p w14:paraId="39F63DA0">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_Toc27308 </w:instrText>
      </w:r>
      <w:r>
        <w:rPr>
          <w:rFonts w:hint="eastAsia" w:hAnsi="宋体"/>
          <w:bCs/>
          <w:szCs w:val="21"/>
        </w:rPr>
        <w:fldChar w:fldCharType="separate"/>
      </w:r>
      <w:r>
        <w:rPr>
          <w:rFonts w:hint="eastAsia" w:ascii="宋体" w:hAnsi="宋体" w:eastAsia="宋体" w:cs="宋体"/>
          <w:szCs w:val="24"/>
        </w:rPr>
        <w:t>二、网上竞采文件</w:t>
      </w:r>
      <w:r>
        <w:tab/>
      </w:r>
      <w:r>
        <w:fldChar w:fldCharType="begin"/>
      </w:r>
      <w:r>
        <w:instrText xml:space="preserve"> PAGEREF _Toc27308 \h </w:instrText>
      </w:r>
      <w:r>
        <w:fldChar w:fldCharType="separate"/>
      </w:r>
      <w:r>
        <w:t>- 15 -</w:t>
      </w:r>
      <w:r>
        <w:fldChar w:fldCharType="end"/>
      </w:r>
      <w:r>
        <w:rPr>
          <w:rFonts w:hint="eastAsia" w:hAnsi="宋体"/>
          <w:bCs/>
          <w:color w:val="000000"/>
          <w:szCs w:val="21"/>
        </w:rPr>
        <w:fldChar w:fldCharType="end"/>
      </w:r>
    </w:p>
    <w:p w14:paraId="1B36F557">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_Toc4862 </w:instrText>
      </w:r>
      <w:r>
        <w:rPr>
          <w:rFonts w:hint="eastAsia" w:hAnsi="宋体"/>
          <w:bCs/>
          <w:szCs w:val="21"/>
        </w:rPr>
        <w:fldChar w:fldCharType="separate"/>
      </w:r>
      <w:r>
        <w:rPr>
          <w:rFonts w:hint="eastAsia" w:ascii="宋体" w:hAnsi="宋体" w:eastAsia="宋体" w:cs="宋体"/>
          <w:szCs w:val="24"/>
        </w:rPr>
        <w:t>三、网上竞采要求</w:t>
      </w:r>
      <w:r>
        <w:tab/>
      </w:r>
      <w:r>
        <w:fldChar w:fldCharType="begin"/>
      </w:r>
      <w:r>
        <w:instrText xml:space="preserve"> PAGEREF _Toc4862 \h </w:instrText>
      </w:r>
      <w:r>
        <w:fldChar w:fldCharType="separate"/>
      </w:r>
      <w:r>
        <w:t>- 15 -</w:t>
      </w:r>
      <w:r>
        <w:fldChar w:fldCharType="end"/>
      </w:r>
      <w:r>
        <w:rPr>
          <w:rFonts w:hint="eastAsia" w:hAnsi="宋体"/>
          <w:bCs/>
          <w:color w:val="000000"/>
          <w:szCs w:val="21"/>
        </w:rPr>
        <w:fldChar w:fldCharType="end"/>
      </w:r>
    </w:p>
    <w:p w14:paraId="28213ACF">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_Toc16489 </w:instrText>
      </w:r>
      <w:r>
        <w:rPr>
          <w:rFonts w:hint="eastAsia" w:hAnsi="宋体"/>
          <w:bCs/>
          <w:szCs w:val="21"/>
        </w:rPr>
        <w:fldChar w:fldCharType="separate"/>
      </w:r>
      <w:r>
        <w:rPr>
          <w:rFonts w:hint="eastAsia" w:ascii="宋体" w:hAnsi="宋体" w:eastAsia="宋体" w:cs="宋体"/>
          <w:szCs w:val="24"/>
        </w:rPr>
        <w:t>四、成交供应商的确认和变更</w:t>
      </w:r>
      <w:r>
        <w:tab/>
      </w:r>
      <w:r>
        <w:fldChar w:fldCharType="begin"/>
      </w:r>
      <w:r>
        <w:instrText xml:space="preserve"> PAGEREF _Toc16489 \h </w:instrText>
      </w:r>
      <w:r>
        <w:fldChar w:fldCharType="separate"/>
      </w:r>
      <w:r>
        <w:t>- 16 -</w:t>
      </w:r>
      <w:r>
        <w:fldChar w:fldCharType="end"/>
      </w:r>
      <w:r>
        <w:rPr>
          <w:rFonts w:hint="eastAsia" w:hAnsi="宋体"/>
          <w:bCs/>
          <w:color w:val="000000"/>
          <w:szCs w:val="21"/>
        </w:rPr>
        <w:fldChar w:fldCharType="end"/>
      </w:r>
    </w:p>
    <w:p w14:paraId="3EADFAF8">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_Toc25016 </w:instrText>
      </w:r>
      <w:r>
        <w:rPr>
          <w:rFonts w:hint="eastAsia" w:hAnsi="宋体"/>
          <w:bCs/>
          <w:szCs w:val="21"/>
        </w:rPr>
        <w:fldChar w:fldCharType="separate"/>
      </w:r>
      <w:r>
        <w:rPr>
          <w:rFonts w:hint="eastAsia" w:ascii="宋体" w:hAnsi="宋体" w:eastAsia="宋体" w:cs="宋体"/>
          <w:szCs w:val="24"/>
        </w:rPr>
        <w:t>五、成交通知</w:t>
      </w:r>
      <w:r>
        <w:tab/>
      </w:r>
      <w:r>
        <w:fldChar w:fldCharType="begin"/>
      </w:r>
      <w:r>
        <w:instrText xml:space="preserve"> PAGEREF _Toc25016 \h </w:instrText>
      </w:r>
      <w:r>
        <w:fldChar w:fldCharType="separate"/>
      </w:r>
      <w:r>
        <w:t>- 16 -</w:t>
      </w:r>
      <w:r>
        <w:fldChar w:fldCharType="end"/>
      </w:r>
      <w:r>
        <w:rPr>
          <w:rFonts w:hint="eastAsia" w:hAnsi="宋体"/>
          <w:bCs/>
          <w:color w:val="000000"/>
          <w:szCs w:val="21"/>
        </w:rPr>
        <w:fldChar w:fldCharType="end"/>
      </w:r>
    </w:p>
    <w:p w14:paraId="3C1E7885">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_Toc27396 </w:instrText>
      </w:r>
      <w:r>
        <w:rPr>
          <w:rFonts w:hint="eastAsia" w:hAnsi="宋体"/>
          <w:bCs/>
          <w:szCs w:val="21"/>
        </w:rPr>
        <w:fldChar w:fldCharType="separate"/>
      </w:r>
      <w:r>
        <w:rPr>
          <w:rFonts w:hint="eastAsia" w:ascii="宋体" w:hAnsi="宋体" w:eastAsia="宋体" w:cs="宋体"/>
          <w:szCs w:val="24"/>
          <w:highlight w:val="none"/>
        </w:rPr>
        <w:t>六、代理服务费</w:t>
      </w:r>
      <w:r>
        <w:tab/>
      </w:r>
      <w:r>
        <w:fldChar w:fldCharType="begin"/>
      </w:r>
      <w:r>
        <w:instrText xml:space="preserve"> PAGEREF _Toc27396 \h </w:instrText>
      </w:r>
      <w:r>
        <w:fldChar w:fldCharType="separate"/>
      </w:r>
      <w:r>
        <w:t>- 16 -</w:t>
      </w:r>
      <w:r>
        <w:fldChar w:fldCharType="end"/>
      </w:r>
      <w:r>
        <w:rPr>
          <w:rFonts w:hint="eastAsia" w:hAnsi="宋体"/>
          <w:bCs/>
          <w:color w:val="000000"/>
          <w:szCs w:val="21"/>
        </w:rPr>
        <w:fldChar w:fldCharType="end"/>
      </w:r>
    </w:p>
    <w:p w14:paraId="4D9A9876">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_Toc2464 </w:instrText>
      </w:r>
      <w:r>
        <w:rPr>
          <w:rFonts w:hint="eastAsia" w:hAnsi="宋体"/>
          <w:bCs/>
          <w:szCs w:val="21"/>
        </w:rPr>
        <w:fldChar w:fldCharType="separate"/>
      </w:r>
      <w:r>
        <w:rPr>
          <w:rFonts w:hint="eastAsia" w:ascii="宋体" w:hAnsi="宋体" w:eastAsia="宋体" w:cs="宋体"/>
          <w:szCs w:val="24"/>
        </w:rPr>
        <w:t>七、签订合同</w:t>
      </w:r>
      <w:r>
        <w:tab/>
      </w:r>
      <w:r>
        <w:fldChar w:fldCharType="begin"/>
      </w:r>
      <w:r>
        <w:instrText xml:space="preserve"> PAGEREF _Toc2464 \h </w:instrText>
      </w:r>
      <w:r>
        <w:fldChar w:fldCharType="separate"/>
      </w:r>
      <w:r>
        <w:t>- 16 -</w:t>
      </w:r>
      <w:r>
        <w:fldChar w:fldCharType="end"/>
      </w:r>
      <w:r>
        <w:rPr>
          <w:rFonts w:hint="eastAsia" w:hAnsi="宋体"/>
          <w:bCs/>
          <w:color w:val="000000"/>
          <w:szCs w:val="21"/>
        </w:rPr>
        <w:fldChar w:fldCharType="end"/>
      </w:r>
    </w:p>
    <w:p w14:paraId="36BC7C7F">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_Toc14271 </w:instrText>
      </w:r>
      <w:r>
        <w:rPr>
          <w:rFonts w:hint="eastAsia" w:hAnsi="宋体"/>
          <w:bCs/>
          <w:szCs w:val="21"/>
        </w:rPr>
        <w:fldChar w:fldCharType="separate"/>
      </w:r>
      <w:r>
        <w:rPr>
          <w:rFonts w:hint="eastAsia" w:hAnsi="宋体"/>
          <w:bCs/>
          <w:szCs w:val="32"/>
        </w:rPr>
        <w:t>第六篇  合同草案条款</w:t>
      </w:r>
      <w:r>
        <w:tab/>
      </w:r>
      <w:r>
        <w:fldChar w:fldCharType="begin"/>
      </w:r>
      <w:r>
        <w:instrText xml:space="preserve"> PAGEREF _Toc14271 \h </w:instrText>
      </w:r>
      <w:r>
        <w:fldChar w:fldCharType="separate"/>
      </w:r>
      <w:r>
        <w:t>- 18 -</w:t>
      </w:r>
      <w:r>
        <w:fldChar w:fldCharType="end"/>
      </w:r>
      <w:r>
        <w:rPr>
          <w:rFonts w:hint="eastAsia" w:hAnsi="宋体"/>
          <w:bCs/>
          <w:color w:val="000000"/>
          <w:szCs w:val="21"/>
        </w:rPr>
        <w:fldChar w:fldCharType="end"/>
      </w:r>
    </w:p>
    <w:p w14:paraId="2C1AA9DD">
      <w:pPr>
        <w:pStyle w:val="18"/>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_Toc9024 </w:instrText>
      </w:r>
      <w:r>
        <w:rPr>
          <w:rFonts w:hint="eastAsia" w:hAnsi="宋体"/>
          <w:bCs/>
          <w:szCs w:val="21"/>
        </w:rPr>
        <w:fldChar w:fldCharType="separate"/>
      </w:r>
      <w:r>
        <w:rPr>
          <w:rFonts w:hint="eastAsia" w:hAnsi="宋体"/>
          <w:bCs/>
          <w:szCs w:val="32"/>
        </w:rPr>
        <w:t>第七篇  响应文件格式要求</w:t>
      </w:r>
      <w:r>
        <w:tab/>
      </w:r>
      <w:r>
        <w:fldChar w:fldCharType="begin"/>
      </w:r>
      <w:r>
        <w:instrText xml:space="preserve"> PAGEREF _Toc9024 \h </w:instrText>
      </w:r>
      <w:r>
        <w:fldChar w:fldCharType="separate"/>
      </w:r>
      <w:r>
        <w:t>- 19 -</w:t>
      </w:r>
      <w:r>
        <w:fldChar w:fldCharType="end"/>
      </w:r>
      <w:r>
        <w:rPr>
          <w:rFonts w:hint="eastAsia" w:hAnsi="宋体"/>
          <w:bCs/>
          <w:color w:val="000000"/>
          <w:szCs w:val="21"/>
        </w:rPr>
        <w:fldChar w:fldCharType="end"/>
      </w:r>
    </w:p>
    <w:p w14:paraId="4F3BCADA">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_Toc1047 </w:instrText>
      </w:r>
      <w:r>
        <w:rPr>
          <w:rFonts w:hint="eastAsia" w:hAnsi="宋体"/>
          <w:bCs/>
          <w:szCs w:val="21"/>
        </w:rPr>
        <w:fldChar w:fldCharType="separate"/>
      </w:r>
      <w:r>
        <w:rPr>
          <w:rFonts w:hint="eastAsia" w:ascii="宋体" w:hAnsi="宋体" w:eastAsia="宋体" w:cs="宋体"/>
        </w:rPr>
        <w:t>一、经济部分</w:t>
      </w:r>
      <w:r>
        <w:tab/>
      </w:r>
      <w:r>
        <w:fldChar w:fldCharType="begin"/>
      </w:r>
      <w:r>
        <w:instrText xml:space="preserve"> PAGEREF _Toc1047 \h </w:instrText>
      </w:r>
      <w:r>
        <w:fldChar w:fldCharType="separate"/>
      </w:r>
      <w:r>
        <w:t>- 20 -</w:t>
      </w:r>
      <w:r>
        <w:fldChar w:fldCharType="end"/>
      </w:r>
      <w:r>
        <w:rPr>
          <w:rFonts w:hint="eastAsia" w:hAnsi="宋体"/>
          <w:bCs/>
          <w:color w:val="000000"/>
          <w:szCs w:val="21"/>
        </w:rPr>
        <w:fldChar w:fldCharType="end"/>
      </w:r>
    </w:p>
    <w:p w14:paraId="49A801D0">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_Toc10418 </w:instrText>
      </w:r>
      <w:r>
        <w:rPr>
          <w:rFonts w:hint="eastAsia" w:hAnsi="宋体"/>
          <w:bCs/>
          <w:szCs w:val="21"/>
        </w:rPr>
        <w:fldChar w:fldCharType="separate"/>
      </w:r>
      <w:r>
        <w:rPr>
          <w:rFonts w:hint="eastAsia" w:ascii="宋体" w:hAnsi="宋体" w:eastAsia="宋体" w:cs="宋体"/>
        </w:rPr>
        <w:t>二、技术（质量）部分</w:t>
      </w:r>
      <w:r>
        <w:tab/>
      </w:r>
      <w:r>
        <w:fldChar w:fldCharType="begin"/>
      </w:r>
      <w:r>
        <w:instrText xml:space="preserve"> PAGEREF _Toc10418 \h </w:instrText>
      </w:r>
      <w:r>
        <w:fldChar w:fldCharType="separate"/>
      </w:r>
      <w:r>
        <w:t>- 22 -</w:t>
      </w:r>
      <w:r>
        <w:fldChar w:fldCharType="end"/>
      </w:r>
      <w:r>
        <w:rPr>
          <w:rFonts w:hint="eastAsia" w:hAnsi="宋体"/>
          <w:bCs/>
          <w:color w:val="000000"/>
          <w:szCs w:val="21"/>
        </w:rPr>
        <w:fldChar w:fldCharType="end"/>
      </w:r>
    </w:p>
    <w:p w14:paraId="42D19222">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_Toc4592 </w:instrText>
      </w:r>
      <w:r>
        <w:rPr>
          <w:rFonts w:hint="eastAsia" w:hAnsi="宋体"/>
          <w:bCs/>
          <w:szCs w:val="21"/>
        </w:rPr>
        <w:fldChar w:fldCharType="separate"/>
      </w:r>
      <w:r>
        <w:rPr>
          <w:rFonts w:hint="eastAsia" w:ascii="宋体" w:hAnsi="宋体" w:eastAsia="宋体" w:cs="宋体"/>
        </w:rPr>
        <w:t>三、商务部分</w:t>
      </w:r>
      <w:r>
        <w:tab/>
      </w:r>
      <w:r>
        <w:fldChar w:fldCharType="begin"/>
      </w:r>
      <w:r>
        <w:instrText xml:space="preserve"> PAGEREF _Toc4592 \h </w:instrText>
      </w:r>
      <w:r>
        <w:fldChar w:fldCharType="separate"/>
      </w:r>
      <w:r>
        <w:t>- 24 -</w:t>
      </w:r>
      <w:r>
        <w:fldChar w:fldCharType="end"/>
      </w:r>
      <w:r>
        <w:rPr>
          <w:rFonts w:hint="eastAsia" w:hAnsi="宋体"/>
          <w:bCs/>
          <w:color w:val="000000"/>
          <w:szCs w:val="21"/>
        </w:rPr>
        <w:fldChar w:fldCharType="end"/>
      </w:r>
    </w:p>
    <w:p w14:paraId="55CADF28">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_Toc2999 </w:instrText>
      </w:r>
      <w:r>
        <w:rPr>
          <w:rFonts w:hint="eastAsia" w:hAnsi="宋体"/>
          <w:bCs/>
          <w:szCs w:val="21"/>
        </w:rPr>
        <w:fldChar w:fldCharType="separate"/>
      </w:r>
      <w:r>
        <w:rPr>
          <w:rFonts w:hint="eastAsia" w:ascii="宋体" w:hAnsi="宋体" w:eastAsia="宋体" w:cs="宋体"/>
        </w:rPr>
        <w:t>四、资格条件及其他</w:t>
      </w:r>
      <w:r>
        <w:tab/>
      </w:r>
      <w:r>
        <w:fldChar w:fldCharType="begin"/>
      </w:r>
      <w:r>
        <w:instrText xml:space="preserve"> PAGEREF _Toc2999 \h </w:instrText>
      </w:r>
      <w:r>
        <w:fldChar w:fldCharType="separate"/>
      </w:r>
      <w:r>
        <w:t>- 26 -</w:t>
      </w:r>
      <w:r>
        <w:fldChar w:fldCharType="end"/>
      </w:r>
      <w:r>
        <w:rPr>
          <w:rFonts w:hint="eastAsia" w:hAnsi="宋体"/>
          <w:bCs/>
          <w:color w:val="000000"/>
          <w:szCs w:val="21"/>
        </w:rPr>
        <w:fldChar w:fldCharType="end"/>
      </w:r>
    </w:p>
    <w:p w14:paraId="4181BB69">
      <w:pPr>
        <w:pStyle w:val="21"/>
        <w:tabs>
          <w:tab w:val="right" w:leader="dot" w:pos="9412"/>
          <w:tab w:val="clear" w:pos="8303"/>
        </w:tabs>
      </w:pPr>
      <w:r>
        <w:rPr>
          <w:rFonts w:hint="eastAsia" w:hAnsi="宋体"/>
          <w:bCs/>
          <w:color w:val="000000"/>
          <w:szCs w:val="21"/>
        </w:rPr>
        <w:fldChar w:fldCharType="begin"/>
      </w:r>
      <w:r>
        <w:rPr>
          <w:rFonts w:hint="eastAsia" w:hAnsi="宋体"/>
          <w:bCs/>
          <w:szCs w:val="21"/>
        </w:rPr>
        <w:instrText xml:space="preserve"> HYPERLINK \l _Toc3528 </w:instrText>
      </w:r>
      <w:r>
        <w:rPr>
          <w:rFonts w:hint="eastAsia" w:hAnsi="宋体"/>
          <w:bCs/>
          <w:szCs w:val="21"/>
        </w:rPr>
        <w:fldChar w:fldCharType="separate"/>
      </w:r>
      <w:r>
        <w:rPr>
          <w:rFonts w:hint="eastAsia" w:ascii="宋体" w:hAnsi="宋体" w:eastAsia="宋体" w:cs="宋体"/>
        </w:rPr>
        <w:t>五、其他资料</w:t>
      </w:r>
      <w:r>
        <w:tab/>
      </w:r>
      <w:r>
        <w:fldChar w:fldCharType="begin"/>
      </w:r>
      <w:r>
        <w:instrText xml:space="preserve"> PAGEREF _Toc3528 \h </w:instrText>
      </w:r>
      <w:r>
        <w:fldChar w:fldCharType="separate"/>
      </w:r>
      <w:r>
        <w:t>- 31 -</w:t>
      </w:r>
      <w:r>
        <w:fldChar w:fldCharType="end"/>
      </w:r>
      <w:r>
        <w:rPr>
          <w:rFonts w:hint="eastAsia" w:hAnsi="宋体"/>
          <w:bCs/>
          <w:color w:val="000000"/>
          <w:szCs w:val="21"/>
        </w:rPr>
        <w:fldChar w:fldCharType="end"/>
      </w:r>
    </w:p>
    <w:p w14:paraId="76BB3DF3">
      <w:pPr>
        <w:pStyle w:val="3"/>
        <w:keepLines w:val="0"/>
        <w:pageBreakBefore w:val="0"/>
        <w:widowControl w:val="0"/>
        <w:kinsoku/>
        <w:wordWrap/>
        <w:overflowPunct/>
        <w:topLinePunct w:val="0"/>
        <w:autoSpaceDE/>
        <w:autoSpaceDN/>
        <w:bidi w:val="0"/>
        <w:adjustRightInd/>
        <w:spacing w:line="320" w:lineRule="exact"/>
        <w:jc w:val="center"/>
        <w:textAlignment w:val="auto"/>
        <w:rPr>
          <w:rFonts w:hint="eastAsia" w:hAnsi="宋体"/>
          <w:bCs/>
          <w:color w:val="000000"/>
          <w:sz w:val="22"/>
          <w:szCs w:val="21"/>
        </w:rPr>
      </w:pPr>
      <w:r>
        <w:rPr>
          <w:rFonts w:hint="eastAsia" w:hAnsi="宋体"/>
          <w:bCs/>
          <w:color w:val="000000"/>
          <w:sz w:val="22"/>
          <w:szCs w:val="21"/>
        </w:rPr>
        <w:fldChar w:fldCharType="end"/>
      </w:r>
      <w:bookmarkStart w:id="25" w:name="_Toc152480139"/>
      <w:bookmarkStart w:id="26" w:name="_Toc30092"/>
      <w:bookmarkStart w:id="27" w:name="_Toc11641050"/>
      <w:bookmarkStart w:id="28" w:name="_Toc12789052"/>
      <w:bookmarkStart w:id="29" w:name="_Toc128744981"/>
    </w:p>
    <w:p w14:paraId="5D33B77C">
      <w:pPr>
        <w:jc w:val="center"/>
        <w:rPr>
          <w:rStyle w:val="71"/>
          <w:b/>
          <w:bCs/>
        </w:rPr>
      </w:pPr>
      <w:r>
        <w:rPr>
          <w:rFonts w:hint="eastAsia" w:hAnsi="宋体"/>
          <w:bCs/>
          <w:color w:val="000000"/>
          <w:sz w:val="22"/>
          <w:szCs w:val="21"/>
        </w:rPr>
        <w:br w:type="page"/>
      </w:r>
      <w:bookmarkStart w:id="30" w:name="_Toc27601"/>
      <w:r>
        <w:rPr>
          <w:rStyle w:val="71"/>
          <w:rFonts w:hint="eastAsia"/>
          <w:b/>
          <w:bCs/>
        </w:rPr>
        <w:t>第一篇  竞采邀请书</w:t>
      </w:r>
      <w:bookmarkEnd w:id="25"/>
      <w:bookmarkEnd w:id="26"/>
    </w:p>
    <w:bookmarkEnd w:id="30"/>
    <w:p w14:paraId="500AE5A4">
      <w:pPr>
        <w:spacing w:line="400" w:lineRule="exact"/>
        <w:ind w:firstLine="480" w:firstLineChars="200"/>
        <w:rPr>
          <w:rFonts w:hint="eastAsia" w:ascii="宋体" w:hAnsi="宋体" w:cs="宋体"/>
          <w:color w:val="000000"/>
          <w:sz w:val="24"/>
        </w:rPr>
      </w:pPr>
      <w:bookmarkStart w:id="31" w:name="_Toc379619850"/>
      <w:r>
        <w:rPr>
          <w:rFonts w:hint="eastAsia" w:ascii="宋体" w:hAnsi="宋体" w:cs="宋体"/>
          <w:color w:val="auto"/>
          <w:sz w:val="24"/>
        </w:rPr>
        <w:t>受</w:t>
      </w:r>
      <w:r>
        <w:rPr>
          <w:rFonts w:hint="eastAsia" w:ascii="宋体" w:hAnsi="宋体" w:cs="宋体"/>
          <w:color w:val="auto"/>
          <w:sz w:val="24"/>
          <w:u w:val="single"/>
          <w:lang w:eastAsia="zh-CN"/>
        </w:rPr>
        <w:t>重庆市永川区林业局</w:t>
      </w:r>
      <w:r>
        <w:rPr>
          <w:rFonts w:hint="eastAsia" w:ascii="宋体" w:hAnsi="宋体" w:cs="宋体"/>
          <w:color w:val="auto"/>
          <w:sz w:val="24"/>
        </w:rPr>
        <w:t>的委托，我公司组织对</w:t>
      </w:r>
      <w:r>
        <w:rPr>
          <w:rFonts w:hint="eastAsia" w:ascii="宋体" w:hAnsi="宋体" w:cs="宋体"/>
          <w:color w:val="auto"/>
          <w:sz w:val="24"/>
          <w:u w:val="single"/>
        </w:rPr>
        <w:t>重庆市永川区森林防火道路建设项目可研报告编制(第二次）</w:t>
      </w:r>
      <w:r>
        <w:rPr>
          <w:rFonts w:hint="eastAsia" w:ascii="宋体" w:hAnsi="宋体" w:cs="宋体"/>
          <w:color w:val="000000"/>
          <w:sz w:val="24"/>
        </w:rPr>
        <w:t>在行采家·电子竞采平台进行网上竞采。欢迎具备相关资质的供应商参加报价。</w:t>
      </w:r>
    </w:p>
    <w:p w14:paraId="08DA2A5D">
      <w:pPr>
        <w:pStyle w:val="4"/>
        <w:spacing w:before="0" w:after="0" w:line="400" w:lineRule="exact"/>
        <w:rPr>
          <w:rFonts w:hint="eastAsia" w:ascii="宋体" w:hAnsi="宋体" w:eastAsia="宋体" w:cs="宋体"/>
          <w:sz w:val="24"/>
          <w:szCs w:val="24"/>
        </w:rPr>
      </w:pPr>
      <w:bookmarkStart w:id="32" w:name="_Toc746"/>
      <w:bookmarkStart w:id="33" w:name="_Toc25548"/>
      <w:r>
        <w:rPr>
          <w:rFonts w:hint="eastAsia" w:ascii="宋体" w:hAnsi="宋体" w:eastAsia="宋体" w:cs="宋体"/>
          <w:sz w:val="24"/>
          <w:szCs w:val="24"/>
        </w:rPr>
        <w:t>一、竞采项目内容</w:t>
      </w:r>
      <w:bookmarkEnd w:id="31"/>
      <w:bookmarkEnd w:id="32"/>
      <w:bookmarkEnd w:id="33"/>
    </w:p>
    <w:tbl>
      <w:tblPr>
        <w:tblStyle w:val="28"/>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18"/>
        <w:gridCol w:w="1253"/>
        <w:gridCol w:w="1637"/>
        <w:gridCol w:w="1951"/>
      </w:tblGrid>
      <w:tr w14:paraId="13FE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8" w:type="dxa"/>
            <w:vAlign w:val="center"/>
          </w:tcPr>
          <w:p w14:paraId="41CE07BD">
            <w:pPr>
              <w:widowControl/>
              <w:spacing w:line="380" w:lineRule="exact"/>
              <w:jc w:val="center"/>
              <w:rPr>
                <w:rFonts w:hint="eastAsia" w:ascii="宋体" w:hAnsi="宋体" w:cs="宋体"/>
                <w:b/>
                <w:bCs/>
                <w:color w:val="000000"/>
                <w:kern w:val="0"/>
                <w:sz w:val="24"/>
                <w:szCs w:val="24"/>
              </w:rPr>
            </w:pPr>
            <w:bookmarkStart w:id="34" w:name="_Toc378251877"/>
            <w:bookmarkStart w:id="35" w:name="_Toc152480140"/>
            <w:r>
              <w:rPr>
                <w:rFonts w:hint="eastAsia" w:ascii="宋体" w:hAnsi="宋体" w:cs="宋体"/>
                <w:b/>
                <w:bCs/>
                <w:color w:val="000000"/>
                <w:kern w:val="0"/>
                <w:sz w:val="24"/>
                <w:szCs w:val="24"/>
              </w:rPr>
              <w:t>序号</w:t>
            </w:r>
          </w:p>
        </w:tc>
        <w:tc>
          <w:tcPr>
            <w:tcW w:w="2618" w:type="dxa"/>
            <w:vAlign w:val="center"/>
          </w:tcPr>
          <w:p w14:paraId="12FE9AE0">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253" w:type="dxa"/>
            <w:vAlign w:val="center"/>
          </w:tcPr>
          <w:p w14:paraId="434C6F8D">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最高限价</w:t>
            </w:r>
          </w:p>
          <w:p w14:paraId="7C47BB92">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万</w:t>
            </w:r>
            <w:r>
              <w:rPr>
                <w:rFonts w:hint="eastAsia" w:ascii="宋体" w:hAnsi="宋体" w:cs="宋体"/>
                <w:b/>
                <w:bCs/>
                <w:color w:val="000000"/>
                <w:kern w:val="0"/>
                <w:sz w:val="24"/>
                <w:szCs w:val="24"/>
              </w:rPr>
              <w:t>元）</w:t>
            </w:r>
          </w:p>
        </w:tc>
        <w:tc>
          <w:tcPr>
            <w:tcW w:w="1637" w:type="dxa"/>
            <w:vAlign w:val="center"/>
          </w:tcPr>
          <w:p w14:paraId="00593542">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成交供应商</w:t>
            </w:r>
          </w:p>
          <w:p w14:paraId="671AD554">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（名）</w:t>
            </w:r>
          </w:p>
        </w:tc>
        <w:tc>
          <w:tcPr>
            <w:tcW w:w="1951" w:type="dxa"/>
            <w:vAlign w:val="center"/>
          </w:tcPr>
          <w:p w14:paraId="0BF74F7D">
            <w:pPr>
              <w:widowControl/>
              <w:spacing w:line="38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采购标的对应的中小企业划分标准所属行业</w:t>
            </w:r>
          </w:p>
        </w:tc>
      </w:tr>
      <w:tr w14:paraId="1C7A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8" w:type="dxa"/>
            <w:vAlign w:val="center"/>
          </w:tcPr>
          <w:p w14:paraId="67E04745">
            <w:pPr>
              <w:pStyle w:val="60"/>
              <w:spacing w:line="380" w:lineRule="exact"/>
              <w:jc w:val="center"/>
              <w:rPr>
                <w:rFonts w:hint="eastAsia" w:hAnsi="宋体"/>
                <w:color w:val="000000"/>
                <w:kern w:val="0"/>
                <w:sz w:val="24"/>
                <w:szCs w:val="24"/>
              </w:rPr>
            </w:pPr>
            <w:r>
              <w:rPr>
                <w:rFonts w:hint="eastAsia" w:hAnsi="宋体"/>
                <w:color w:val="000000"/>
                <w:kern w:val="0"/>
                <w:sz w:val="24"/>
                <w:szCs w:val="24"/>
              </w:rPr>
              <w:t>1</w:t>
            </w:r>
          </w:p>
        </w:tc>
        <w:tc>
          <w:tcPr>
            <w:tcW w:w="2618" w:type="dxa"/>
            <w:vAlign w:val="center"/>
          </w:tcPr>
          <w:p w14:paraId="5D6974B7">
            <w:pPr>
              <w:widowControl/>
              <w:spacing w:line="380" w:lineRule="exact"/>
              <w:jc w:val="center"/>
              <w:rPr>
                <w:rFonts w:hint="eastAsia" w:ascii="宋体" w:hAnsi="宋体" w:cs="宋体"/>
                <w:color w:val="000000"/>
                <w:kern w:val="0"/>
                <w:sz w:val="24"/>
                <w:szCs w:val="24"/>
              </w:rPr>
            </w:pPr>
            <w:r>
              <w:rPr>
                <w:rFonts w:hint="eastAsia" w:ascii="宋体" w:hAnsi="宋体" w:cs="宋体"/>
                <w:color w:val="auto"/>
                <w:kern w:val="0"/>
                <w:sz w:val="24"/>
                <w:szCs w:val="24"/>
              </w:rPr>
              <w:t>重庆市永川区森林防火道路建设项目可研报告编制(第二次）</w:t>
            </w:r>
          </w:p>
        </w:tc>
        <w:tc>
          <w:tcPr>
            <w:tcW w:w="1253" w:type="dxa"/>
            <w:vAlign w:val="center"/>
          </w:tcPr>
          <w:p w14:paraId="262AFCA8">
            <w:pPr>
              <w:widowControl/>
              <w:spacing w:line="3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auto"/>
                <w:kern w:val="0"/>
                <w:sz w:val="24"/>
                <w:szCs w:val="24"/>
                <w:lang w:val="en-US" w:eastAsia="zh-CN"/>
              </w:rPr>
              <w:t>49.3</w:t>
            </w:r>
          </w:p>
        </w:tc>
        <w:tc>
          <w:tcPr>
            <w:tcW w:w="1637" w:type="dxa"/>
            <w:vAlign w:val="center"/>
          </w:tcPr>
          <w:p w14:paraId="5357498D">
            <w:pPr>
              <w:widowControl/>
              <w:spacing w:line="38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951" w:type="dxa"/>
            <w:vAlign w:val="center"/>
          </w:tcPr>
          <w:p w14:paraId="1BE682B1">
            <w:pPr>
              <w:widowControl/>
              <w:spacing w:line="38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其他未列明行业</w:t>
            </w:r>
          </w:p>
        </w:tc>
      </w:tr>
      <w:bookmarkEnd w:id="34"/>
    </w:tbl>
    <w:p w14:paraId="4F18558C">
      <w:pPr>
        <w:pStyle w:val="4"/>
        <w:spacing w:before="0" w:after="0" w:line="400" w:lineRule="exact"/>
        <w:rPr>
          <w:rFonts w:hint="eastAsia" w:ascii="宋体" w:hAnsi="宋体" w:eastAsia="宋体" w:cs="宋体"/>
          <w:sz w:val="24"/>
          <w:szCs w:val="24"/>
        </w:rPr>
      </w:pPr>
      <w:bookmarkStart w:id="36" w:name="_Toc11409"/>
      <w:bookmarkStart w:id="37" w:name="_Toc13697"/>
      <w:bookmarkStart w:id="38" w:name="_Toc19727"/>
      <w:bookmarkStart w:id="39" w:name="_Toc22097"/>
      <w:r>
        <w:rPr>
          <w:rFonts w:hint="eastAsia" w:ascii="宋体" w:hAnsi="宋体" w:eastAsia="宋体" w:cs="宋体"/>
          <w:sz w:val="24"/>
          <w:szCs w:val="24"/>
        </w:rPr>
        <w:t>二、资金来源</w:t>
      </w:r>
      <w:bookmarkEnd w:id="36"/>
      <w:bookmarkEnd w:id="37"/>
      <w:bookmarkEnd w:id="38"/>
    </w:p>
    <w:p w14:paraId="3A98D332">
      <w:pPr>
        <w:spacing w:line="400" w:lineRule="exact"/>
        <w:ind w:firstLine="480" w:firstLineChars="200"/>
        <w:rPr>
          <w:rFonts w:hint="eastAsia" w:ascii="宋体" w:hAnsi="宋体" w:cs="宋体"/>
          <w:color w:val="auto"/>
          <w:sz w:val="24"/>
        </w:rPr>
      </w:pPr>
      <w:r>
        <w:rPr>
          <w:rFonts w:hint="eastAsia" w:ascii="宋体" w:hAnsi="宋体" w:cs="宋体"/>
          <w:color w:val="auto"/>
          <w:sz w:val="24"/>
        </w:rPr>
        <w:t>自筹资金，预算金额为</w:t>
      </w:r>
      <w:r>
        <w:rPr>
          <w:rFonts w:hint="eastAsia" w:ascii="宋体" w:hAnsi="宋体" w:cs="宋体"/>
          <w:color w:val="auto"/>
          <w:sz w:val="24"/>
          <w:lang w:val="en-US" w:eastAsia="zh-CN"/>
        </w:rPr>
        <w:t>49.3万</w:t>
      </w:r>
      <w:r>
        <w:rPr>
          <w:rFonts w:hint="eastAsia" w:ascii="宋体" w:hAnsi="宋体" w:cs="宋体"/>
          <w:color w:val="auto"/>
          <w:sz w:val="24"/>
        </w:rPr>
        <w:t>元。</w:t>
      </w:r>
    </w:p>
    <w:bookmarkEnd w:id="39"/>
    <w:p w14:paraId="0C3AC6A5">
      <w:pPr>
        <w:pStyle w:val="4"/>
        <w:spacing w:before="0" w:after="0" w:line="400" w:lineRule="exact"/>
        <w:rPr>
          <w:rFonts w:hint="eastAsia" w:ascii="宋体" w:hAnsi="宋体" w:eastAsia="宋体" w:cs="宋体"/>
          <w:sz w:val="24"/>
          <w:szCs w:val="24"/>
        </w:rPr>
      </w:pPr>
      <w:bookmarkStart w:id="40" w:name="_Toc15611"/>
      <w:bookmarkStart w:id="41" w:name="_Toc766"/>
      <w:bookmarkStart w:id="42" w:name="_Toc18244"/>
      <w:bookmarkStart w:id="43" w:name="_Toc24666"/>
      <w:bookmarkStart w:id="44" w:name="_Toc487204776"/>
      <w:bookmarkStart w:id="45" w:name="_Toc28965"/>
      <w:r>
        <w:rPr>
          <w:rFonts w:hint="eastAsia" w:ascii="宋体" w:hAnsi="宋体" w:eastAsia="宋体" w:cs="宋体"/>
          <w:sz w:val="24"/>
          <w:szCs w:val="24"/>
        </w:rPr>
        <w:t>三、供应商资格条件</w:t>
      </w:r>
      <w:bookmarkEnd w:id="40"/>
      <w:bookmarkEnd w:id="41"/>
      <w:bookmarkEnd w:id="42"/>
    </w:p>
    <w:p w14:paraId="3F598008">
      <w:pPr>
        <w:spacing w:line="400" w:lineRule="exact"/>
        <w:ind w:firstLine="480" w:firstLineChars="200"/>
        <w:rPr>
          <w:rFonts w:hint="eastAsia" w:ascii="宋体" w:hAnsi="宋体" w:cs="宋体"/>
          <w:sz w:val="24"/>
        </w:rPr>
      </w:pPr>
      <w:r>
        <w:rPr>
          <w:rFonts w:hint="eastAsia" w:ascii="宋体" w:hAnsi="宋体" w:cs="宋体"/>
          <w:sz w:val="24"/>
        </w:rPr>
        <w:t>供应商是指向采购人提供服务或者货物的法人、其他组织或者自然人。</w:t>
      </w:r>
    </w:p>
    <w:p w14:paraId="510B0256">
      <w:pPr>
        <w:spacing w:line="400" w:lineRule="exact"/>
        <w:ind w:firstLine="480" w:firstLineChars="200"/>
      </w:pPr>
      <w:r>
        <w:rPr>
          <w:rFonts w:hint="eastAsia" w:ascii="宋体" w:hAnsi="宋体" w:cs="宋体"/>
          <w:sz w:val="24"/>
        </w:rPr>
        <w:t>（一）基本资格条件：</w:t>
      </w:r>
    </w:p>
    <w:p w14:paraId="01EF242F">
      <w:pPr>
        <w:spacing w:line="400" w:lineRule="exact"/>
        <w:ind w:firstLine="720" w:firstLineChars="300"/>
        <w:rPr>
          <w:rFonts w:hint="eastAsia" w:ascii="宋体" w:hAnsi="宋体" w:cs="宋体"/>
          <w:sz w:val="24"/>
        </w:rPr>
      </w:pPr>
      <w:r>
        <w:rPr>
          <w:rFonts w:hint="eastAsia" w:ascii="宋体" w:hAnsi="宋体" w:cs="宋体"/>
          <w:sz w:val="24"/>
        </w:rPr>
        <w:t>1.具有独立承担民事责任的能力；</w:t>
      </w:r>
    </w:p>
    <w:p w14:paraId="1D13B65D">
      <w:pPr>
        <w:tabs>
          <w:tab w:val="left" w:pos="501"/>
        </w:tabs>
        <w:spacing w:line="400" w:lineRule="exact"/>
        <w:ind w:firstLine="480" w:firstLineChars="200"/>
        <w:rPr>
          <w:rFonts w:hint="eastAsia" w:ascii="宋体" w:hAnsi="宋体" w:cs="宋体"/>
          <w:sz w:val="24"/>
        </w:rPr>
      </w:pPr>
      <w:r>
        <w:rPr>
          <w:rFonts w:hint="eastAsia" w:ascii="宋体" w:hAnsi="宋体" w:cs="宋体"/>
          <w:sz w:val="24"/>
        </w:rPr>
        <w:tab/>
      </w:r>
      <w:r>
        <w:rPr>
          <w:rFonts w:hint="eastAsia" w:ascii="宋体" w:hAnsi="宋体" w:cs="宋体"/>
          <w:sz w:val="24"/>
        </w:rPr>
        <w:t xml:space="preserve">  2.具有良好的商业信誉和健全的财务会计制度；</w:t>
      </w:r>
    </w:p>
    <w:p w14:paraId="677D0AB8">
      <w:pPr>
        <w:spacing w:line="400" w:lineRule="exact"/>
        <w:ind w:firstLine="720" w:firstLineChars="300"/>
        <w:rPr>
          <w:rFonts w:hint="eastAsia" w:ascii="宋体" w:hAnsi="宋体" w:cs="宋体"/>
          <w:sz w:val="24"/>
        </w:rPr>
      </w:pPr>
      <w:r>
        <w:rPr>
          <w:rFonts w:hint="eastAsia" w:ascii="宋体" w:hAnsi="宋体" w:cs="宋体"/>
          <w:sz w:val="24"/>
        </w:rPr>
        <w:t>3.具有履行合同所必须的设备和专业技术能力；</w:t>
      </w:r>
    </w:p>
    <w:p w14:paraId="6FA80180">
      <w:pPr>
        <w:spacing w:line="400" w:lineRule="exact"/>
        <w:ind w:firstLine="720" w:firstLineChars="300"/>
        <w:rPr>
          <w:rFonts w:hint="eastAsia" w:ascii="宋体" w:hAnsi="宋体" w:cs="宋体"/>
          <w:sz w:val="24"/>
        </w:rPr>
      </w:pPr>
      <w:r>
        <w:rPr>
          <w:rFonts w:hint="eastAsia" w:ascii="宋体" w:hAnsi="宋体" w:cs="宋体"/>
          <w:sz w:val="24"/>
        </w:rPr>
        <w:t>4.有依法缴纳税收和社会保障资金的良好记录；</w:t>
      </w:r>
    </w:p>
    <w:p w14:paraId="79BB2F34">
      <w:pPr>
        <w:spacing w:line="400" w:lineRule="exact"/>
        <w:ind w:firstLine="720" w:firstLineChars="300"/>
        <w:rPr>
          <w:rFonts w:hint="eastAsia" w:ascii="宋体" w:hAnsi="宋体" w:cs="宋体"/>
          <w:sz w:val="24"/>
        </w:rPr>
      </w:pPr>
      <w:r>
        <w:rPr>
          <w:rFonts w:hint="eastAsia" w:ascii="宋体" w:hAnsi="宋体" w:cs="宋体"/>
          <w:sz w:val="24"/>
        </w:rPr>
        <w:t>5.参加采购活动前三年内，在经营活动中没有重大违法记录。</w:t>
      </w:r>
    </w:p>
    <w:p w14:paraId="54707770">
      <w:pPr>
        <w:spacing w:line="400" w:lineRule="exact"/>
        <w:ind w:firstLine="480" w:firstLineChars="200"/>
        <w:rPr>
          <w:rFonts w:hint="eastAsia" w:ascii="宋体" w:hAnsi="宋体" w:cs="宋体"/>
          <w:sz w:val="24"/>
        </w:rPr>
      </w:pPr>
      <w:r>
        <w:rPr>
          <w:rFonts w:hint="eastAsia" w:ascii="宋体" w:hAnsi="宋体" w:cs="宋体"/>
          <w:sz w:val="24"/>
        </w:rPr>
        <w:t>（二）特定资格条件:</w:t>
      </w:r>
    </w:p>
    <w:p w14:paraId="290C39F9">
      <w:pPr>
        <w:wordWrap w:val="0"/>
        <w:spacing w:line="400" w:lineRule="exact"/>
        <w:ind w:left="-490" w:leftChars="-175" w:firstLine="720" w:firstLineChars="300"/>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lang w:val="zh-TW"/>
        </w:rPr>
        <w:t>供应商需具备林业调查规划设计丙级及以上资质。（提供资质证书复印件并加盖供应商公章）。</w:t>
      </w:r>
    </w:p>
    <w:p w14:paraId="271F674D">
      <w:pPr>
        <w:pStyle w:val="4"/>
        <w:spacing w:before="0" w:after="0" w:line="400" w:lineRule="exact"/>
        <w:rPr>
          <w:rFonts w:hint="eastAsia" w:ascii="宋体" w:hAnsi="宋体" w:eastAsia="宋体" w:cs="宋体"/>
          <w:sz w:val="24"/>
          <w:szCs w:val="24"/>
        </w:rPr>
      </w:pPr>
      <w:bookmarkStart w:id="46" w:name="_Toc7177"/>
      <w:r>
        <w:rPr>
          <w:rFonts w:hint="eastAsia" w:ascii="宋体" w:hAnsi="宋体" w:eastAsia="宋体" w:cs="宋体"/>
          <w:sz w:val="24"/>
          <w:szCs w:val="24"/>
        </w:rPr>
        <w:t>四、竞采、评审有关说明</w:t>
      </w:r>
      <w:bookmarkEnd w:id="46"/>
    </w:p>
    <w:p w14:paraId="54344A7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（一）凡有意参加采购的供应商，请在行采家·电子竞采（http://www.gec123.com）网上下载本项目网上竞采文件以及补遗等采购前公布的所有项目资料，无论供应商下载与否，均视为已知晓所有采购实质性要求内容。</w:t>
      </w:r>
    </w:p>
    <w:p w14:paraId="4644E760">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（二）报名要求</w:t>
      </w:r>
    </w:p>
    <w:p w14:paraId="22112E89">
      <w:pPr>
        <w:spacing w:line="400" w:lineRule="exact"/>
        <w:ind w:firstLine="480" w:firstLineChars="200"/>
        <w:rPr>
          <w:rFonts w:hint="eastAsia" w:ascii="宋体" w:hAnsi="宋体" w:cs="宋体"/>
          <w:color w:val="000000"/>
          <w:sz w:val="24"/>
        </w:rPr>
      </w:pPr>
      <w:r>
        <w:rPr>
          <w:rFonts w:hint="eastAsia" w:ascii="宋体" w:hAnsi="宋体" w:cs="宋体"/>
          <w:color w:val="000000" w:themeColor="text1"/>
          <w:sz w:val="24"/>
          <w14:textFill>
            <w14:solidFill>
              <w14:schemeClr w14:val="tx1"/>
            </w14:solidFill>
          </w14:textFill>
        </w:rPr>
        <w:t xml:space="preserve"> 1.报名及竞采文件发售期限：202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2025年8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日17:00前（节假日除外）。</w:t>
      </w:r>
    </w:p>
    <w:p w14:paraId="5221B820">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2.报名方式：供应商在竞采文件发售期内，将《采购文件发售登记表》（加盖供应商公章）扫描后发送至214553094@qq.com（邮箱）。</w:t>
      </w:r>
    </w:p>
    <w:p w14:paraId="23E48959">
      <w:pPr>
        <w:spacing w:line="40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3.竞采文件售价：人民币500元/份（售后不退）。</w:t>
      </w:r>
    </w:p>
    <w:p w14:paraId="5DEFFEF3">
      <w:pPr>
        <w:spacing w:line="400" w:lineRule="exact"/>
        <w:ind w:firstLine="720" w:firstLineChars="300"/>
        <w:rPr>
          <w:rFonts w:hint="eastAsia" w:ascii="宋体" w:hAnsi="宋体" w:cs="宋体"/>
          <w:color w:val="000000"/>
          <w:sz w:val="24"/>
        </w:rPr>
      </w:pPr>
      <w:r>
        <w:rPr>
          <w:rFonts w:hint="eastAsia" w:ascii="宋体" w:hAnsi="宋体" w:cs="宋体"/>
          <w:color w:val="000000"/>
          <w:sz w:val="24"/>
        </w:rPr>
        <w:t>4.竞采文件报名缴费</w:t>
      </w:r>
      <w:r>
        <w:rPr>
          <w:rFonts w:ascii="宋体" w:hAnsi="宋体" w:cs="宋体"/>
          <w:color w:val="000000"/>
          <w:sz w:val="24"/>
        </w:rPr>
        <w:t>账户信息：</w:t>
      </w:r>
    </w:p>
    <w:p w14:paraId="57486492">
      <w:pPr>
        <w:spacing w:line="400" w:lineRule="exact"/>
        <w:ind w:firstLine="1200" w:firstLineChars="500"/>
        <w:rPr>
          <w:rFonts w:ascii="宋体" w:hAnsi="宋体" w:cs="宋体"/>
          <w:b w:val="0"/>
          <w:bCs w:val="0"/>
          <w:color w:val="000000"/>
          <w:sz w:val="24"/>
        </w:rPr>
      </w:pPr>
      <w:r>
        <w:rPr>
          <w:rFonts w:ascii="宋体" w:hAnsi="宋体" w:cs="宋体"/>
          <w:b w:val="0"/>
          <w:bCs w:val="0"/>
          <w:color w:val="000000"/>
          <w:sz w:val="24"/>
        </w:rPr>
        <w:t xml:space="preserve">户 </w:t>
      </w:r>
      <w:r>
        <w:rPr>
          <w:rFonts w:hint="eastAsia" w:ascii="宋体" w:hAnsi="宋体" w:cs="宋体"/>
          <w:b w:val="0"/>
          <w:bCs w:val="0"/>
          <w:color w:val="000000"/>
          <w:sz w:val="24"/>
        </w:rPr>
        <w:t xml:space="preserve">    </w:t>
      </w:r>
      <w:r>
        <w:rPr>
          <w:rFonts w:ascii="宋体" w:hAnsi="宋体" w:cs="宋体"/>
          <w:b w:val="0"/>
          <w:bCs w:val="0"/>
          <w:color w:val="000000"/>
          <w:sz w:val="24"/>
        </w:rPr>
        <w:t xml:space="preserve"> 名：重庆采家</w:t>
      </w:r>
      <w:r>
        <w:rPr>
          <w:rFonts w:hint="eastAsia" w:ascii="宋体" w:hAnsi="宋体" w:cs="宋体"/>
          <w:b w:val="0"/>
          <w:bCs w:val="0"/>
          <w:color w:val="000000"/>
          <w:sz w:val="24"/>
          <w:lang w:eastAsia="zh-CN"/>
        </w:rPr>
        <w:t>工程</w:t>
      </w:r>
      <w:r>
        <w:rPr>
          <w:rFonts w:ascii="宋体" w:hAnsi="宋体" w:cs="宋体"/>
          <w:b w:val="0"/>
          <w:bCs w:val="0"/>
          <w:color w:val="000000"/>
          <w:sz w:val="24"/>
        </w:rPr>
        <w:t>管理有限公司</w:t>
      </w:r>
    </w:p>
    <w:p w14:paraId="0C71E052">
      <w:pPr>
        <w:spacing w:line="400" w:lineRule="exact"/>
        <w:ind w:firstLine="1200" w:firstLineChars="500"/>
        <w:rPr>
          <w:rFonts w:hint="eastAsia" w:ascii="宋体" w:hAnsi="宋体" w:cs="宋体"/>
          <w:b w:val="0"/>
          <w:bCs w:val="0"/>
          <w:color w:val="000000"/>
          <w:sz w:val="24"/>
        </w:rPr>
      </w:pPr>
      <w:r>
        <w:rPr>
          <w:rFonts w:ascii="宋体" w:hAnsi="宋体" w:cs="宋体"/>
          <w:b w:val="0"/>
          <w:bCs w:val="0"/>
          <w:color w:val="000000"/>
          <w:sz w:val="24"/>
        </w:rPr>
        <w:t xml:space="preserve">开 户 行：中国工商银行重庆永川阳光尚城支行 </w:t>
      </w:r>
    </w:p>
    <w:p w14:paraId="50603428">
      <w:pPr>
        <w:spacing w:line="400" w:lineRule="exact"/>
        <w:ind w:firstLine="1200" w:firstLineChars="500"/>
        <w:rPr>
          <w:rFonts w:hint="eastAsia" w:ascii="宋体" w:hAnsi="宋体" w:cs="宋体"/>
          <w:b w:val="0"/>
          <w:bCs w:val="0"/>
          <w:color w:val="000000"/>
          <w:sz w:val="24"/>
        </w:rPr>
      </w:pPr>
      <w:r>
        <w:rPr>
          <w:rFonts w:ascii="宋体" w:hAnsi="宋体" w:cs="宋体"/>
          <w:b w:val="0"/>
          <w:bCs w:val="0"/>
          <w:color w:val="000000"/>
          <w:sz w:val="24"/>
        </w:rPr>
        <w:t xml:space="preserve">帐   号：3100 0917 0910 0068 958 </w:t>
      </w:r>
    </w:p>
    <w:p w14:paraId="5F9239D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 （三）线上报价及线下响应文件递交要求</w:t>
      </w:r>
    </w:p>
    <w:p w14:paraId="2649296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1、线上报价</w:t>
      </w:r>
    </w:p>
    <w:p w14:paraId="4AAD33DE">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 （1）按本项目规定的时间在行采家·电子竞采（http://www.gec123.com）进行网上报名，未在规定时间内报名的供应商将失去成交供应商资格。</w:t>
      </w:r>
    </w:p>
    <w:p w14:paraId="18230E40">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sz w:val="24"/>
        </w:rPr>
        <w:t xml:space="preserve"> </w:t>
      </w:r>
      <w:r>
        <w:rPr>
          <w:rFonts w:hint="eastAsia" w:ascii="宋体" w:hAnsi="宋体" w:cs="宋体"/>
          <w:color w:val="000000" w:themeColor="text1"/>
          <w:sz w:val="24"/>
          <w14:textFill>
            <w14:solidFill>
              <w14:schemeClr w14:val="tx1"/>
            </w14:solidFill>
          </w14:textFill>
        </w:rPr>
        <w:t>（2）线上报价时间：202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日北京时间9:00-1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w:t>
      </w:r>
    </w:p>
    <w:p w14:paraId="027554CC">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（3）线上报价要求：供应商线上报价时需上传盖章后的电子文档响应文件一份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未在规定时间内报价的供应商将失去成交供应商资格。</w:t>
      </w:r>
    </w:p>
    <w:p w14:paraId="708BA050">
      <w:pPr>
        <w:spacing w:line="400" w:lineRule="exact"/>
        <w:ind w:firstLine="720" w:firstLineChars="3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项目评审时间：2025年 8 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日北京时间1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30</w:t>
      </w:r>
      <w:bookmarkStart w:id="337" w:name="_GoBack"/>
      <w:bookmarkEnd w:id="337"/>
    </w:p>
    <w:p w14:paraId="3F8FB0DF">
      <w:pPr>
        <w:spacing w:line="400" w:lineRule="exact"/>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评审地点：重庆采家工程管理有限公司（重庆市永川区卧龙路128号附20。）</w:t>
      </w:r>
    </w:p>
    <w:p w14:paraId="7BBAD42A">
      <w:pPr>
        <w:pStyle w:val="4"/>
        <w:spacing w:before="0" w:after="0" w:line="400" w:lineRule="exact"/>
        <w:rPr>
          <w:rFonts w:hint="eastAsia" w:ascii="宋体" w:hAnsi="宋体" w:eastAsia="宋体" w:cs="宋体"/>
          <w:sz w:val="24"/>
          <w:szCs w:val="24"/>
        </w:rPr>
      </w:pPr>
      <w:bookmarkStart w:id="47" w:name="_Toc30865"/>
      <w:r>
        <w:rPr>
          <w:rFonts w:hint="eastAsia" w:ascii="宋体" w:hAnsi="宋体" w:eastAsia="宋体" w:cs="宋体"/>
          <w:sz w:val="24"/>
          <w:szCs w:val="24"/>
          <w:lang w:eastAsia="zh-CN"/>
        </w:rPr>
        <w:t>五</w:t>
      </w:r>
      <w:r>
        <w:rPr>
          <w:rFonts w:hint="eastAsia" w:ascii="宋体" w:hAnsi="宋体" w:eastAsia="宋体" w:cs="宋体"/>
          <w:sz w:val="24"/>
          <w:szCs w:val="24"/>
        </w:rPr>
        <w:t>、竞采有关规定</w:t>
      </w:r>
      <w:bookmarkEnd w:id="43"/>
      <w:bookmarkEnd w:id="44"/>
      <w:bookmarkEnd w:id="45"/>
      <w:bookmarkEnd w:id="47"/>
    </w:p>
    <w:p w14:paraId="277EBFC8">
      <w:pPr>
        <w:spacing w:line="400" w:lineRule="exact"/>
        <w:ind w:firstLine="480" w:firstLineChars="200"/>
        <w:rPr>
          <w:rFonts w:hint="eastAsia" w:ascii="宋体" w:hAnsi="宋体" w:cs="宋体"/>
          <w:color w:val="000000"/>
          <w:sz w:val="24"/>
        </w:rPr>
      </w:pPr>
      <w:bookmarkStart w:id="48" w:name="_Toc2804"/>
      <w:r>
        <w:rPr>
          <w:rFonts w:hint="eastAsia" w:ascii="宋体" w:hAnsi="宋体" w:cs="宋体"/>
          <w:color w:val="000000"/>
          <w:sz w:val="24"/>
        </w:rPr>
        <w:t>（一）单位负责人为同一人或者存在直接控股、管理关系的不同供应商，不得参加同一合同项（分包）下的政府竞采活动，否则均为无效响应。</w:t>
      </w:r>
    </w:p>
    <w:p w14:paraId="06EA65E7">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（二）为竞采项目提供整体设计、规范编制或者项目管理、监理、检测等服务的供应商，不得再参加该竞采项目的其他竞采活动。</w:t>
      </w:r>
    </w:p>
    <w:p w14:paraId="0D8069C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（三）本项目的澄清文件（如果有）一律在行采家·电子竞采（https://www.gec123.com/）上发布，请各供应商注意下载；无论供应商下载与否，均视同供应商已知晓本项目澄清文件（如果有）的内容。</w:t>
      </w:r>
    </w:p>
    <w:p w14:paraId="637A021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（四）超过响应文件截止时间递交的响应文件，恕不接收。</w:t>
      </w:r>
    </w:p>
    <w:p w14:paraId="753FD7A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（五）竞采费用：无论竞采结果如何，供应商参与本项目竞采的所有费用均应由供应商自行承担。</w:t>
      </w:r>
    </w:p>
    <w:p w14:paraId="5B49B74E">
      <w:pPr>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（六）</w:t>
      </w:r>
      <w:r>
        <w:rPr>
          <w:rFonts w:hint="eastAsia" w:ascii="宋体" w:hAnsi="宋体" w:cs="宋体"/>
          <w:b/>
          <w:bCs/>
          <w:color w:val="000000"/>
          <w:sz w:val="24"/>
        </w:rPr>
        <w:t>本项目不接受联合体参与竞采，否则按无效响应处理。</w:t>
      </w:r>
    </w:p>
    <w:p w14:paraId="00B0C8B7">
      <w:pPr>
        <w:spacing w:line="400" w:lineRule="exact"/>
        <w:ind w:firstLine="480" w:firstLineChars="200"/>
        <w:rPr>
          <w:rFonts w:hint="eastAsia" w:ascii="宋体" w:hAnsi="宋体" w:cs="宋体"/>
          <w:color w:val="auto"/>
          <w:sz w:val="24"/>
        </w:rPr>
      </w:pPr>
      <w:r>
        <w:rPr>
          <w:rFonts w:hint="eastAsia" w:ascii="宋体" w:hAnsi="宋体" w:cs="宋体"/>
          <w:color w:val="auto"/>
          <w:sz w:val="24"/>
        </w:rPr>
        <w:t>（七）</w:t>
      </w:r>
      <w:r>
        <w:rPr>
          <w:rFonts w:hint="eastAsia" w:ascii="宋体" w:hAnsi="宋体" w:cs="宋体"/>
          <w:b/>
          <w:bCs/>
          <w:color w:val="auto"/>
          <w:sz w:val="24"/>
        </w:rPr>
        <w:t>本项目接受合同分包。</w:t>
      </w:r>
    </w:p>
    <w:p w14:paraId="061BFF5F">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八）按照《财政部关于在政府竞采活动中查询及使用信用记录有关问题的通知》财库〔2016〕125号，供应商列入失信被执行人、重大税收违法案件当事人名单、政府竞采严重违法失信行为记录名单及其他不符合《中华人民共和国政府竞采法》第二十二条规定条件的供应商，将拒绝其参与政府竞采活动。</w:t>
      </w:r>
    </w:p>
    <w:bookmarkEnd w:id="48"/>
    <w:p w14:paraId="2DDC359F">
      <w:pPr>
        <w:pStyle w:val="4"/>
        <w:spacing w:before="0" w:after="0" w:line="400" w:lineRule="exact"/>
        <w:rPr>
          <w:rFonts w:hint="eastAsia" w:ascii="宋体" w:hAnsi="宋体" w:eastAsia="宋体" w:cs="宋体"/>
          <w:sz w:val="24"/>
          <w:szCs w:val="24"/>
        </w:rPr>
      </w:pPr>
      <w:bookmarkStart w:id="49" w:name="_Toc31316"/>
      <w:bookmarkStart w:id="50" w:name="_Toc9074"/>
      <w:r>
        <w:rPr>
          <w:rFonts w:hint="eastAsia" w:ascii="宋体" w:hAnsi="宋体" w:eastAsia="宋体" w:cs="宋体"/>
          <w:sz w:val="24"/>
          <w:szCs w:val="24"/>
          <w:lang w:eastAsia="zh-CN"/>
        </w:rPr>
        <w:t>六</w:t>
      </w:r>
      <w:r>
        <w:rPr>
          <w:rFonts w:hint="eastAsia" w:ascii="宋体" w:hAnsi="宋体" w:eastAsia="宋体" w:cs="宋体"/>
          <w:sz w:val="24"/>
          <w:szCs w:val="24"/>
        </w:rPr>
        <w:t>、联系方式</w:t>
      </w:r>
      <w:bookmarkEnd w:id="49"/>
      <w:bookmarkEnd w:id="50"/>
    </w:p>
    <w:p w14:paraId="2DD69A28">
      <w:pPr>
        <w:spacing w:line="400" w:lineRule="exact"/>
        <w:ind w:firstLine="480" w:firstLineChars="200"/>
        <w:rPr>
          <w:rFonts w:hint="eastAsia" w:ascii="宋体" w:hAnsi="宋体" w:eastAsia="宋体" w:cs="宋体"/>
          <w:sz w:val="24"/>
          <w:lang w:eastAsia="zh-CN"/>
        </w:rPr>
      </w:pPr>
      <w:r>
        <w:rPr>
          <w:rFonts w:hint="eastAsia" w:ascii="宋体" w:hAnsi="宋体" w:cs="宋体"/>
          <w:color w:val="000000"/>
          <w:sz w:val="24"/>
        </w:rPr>
        <w:t>（一）采购人：</w:t>
      </w:r>
      <w:r>
        <w:rPr>
          <w:rFonts w:hint="eastAsia" w:ascii="宋体" w:hAnsi="宋体" w:cs="宋体"/>
          <w:sz w:val="24"/>
          <w:lang w:eastAsia="zh-CN"/>
        </w:rPr>
        <w:t>重庆市永川区林业局</w:t>
      </w:r>
    </w:p>
    <w:p w14:paraId="544E502C">
      <w:pPr>
        <w:spacing w:line="400" w:lineRule="exact"/>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lang w:eastAsia="zh-CN"/>
          <w14:textFill>
            <w14:solidFill>
              <w14:schemeClr w14:val="tx1"/>
            </w14:solidFill>
          </w14:textFill>
        </w:rPr>
        <w:t>赵老师</w:t>
      </w:r>
      <w:r>
        <w:rPr>
          <w:rFonts w:hint="eastAsia" w:ascii="宋体" w:hAnsi="宋体"/>
          <w:color w:val="000000" w:themeColor="text1"/>
          <w:sz w:val="24"/>
          <w:szCs w:val="24"/>
          <w:lang w:val="en-US" w:eastAsia="zh-CN"/>
          <w14:textFill>
            <w14:solidFill>
              <w14:schemeClr w14:val="tx1"/>
            </w14:solidFill>
          </w14:textFill>
        </w:rPr>
        <w:t xml:space="preserve"> </w:t>
      </w:r>
    </w:p>
    <w:p w14:paraId="63756433">
      <w:pPr>
        <w:spacing w:line="400" w:lineRule="exact"/>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  话：023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49387119 </w:t>
      </w:r>
      <w:r>
        <w:rPr>
          <w:rFonts w:hint="eastAsia" w:ascii="宋体" w:hAnsi="宋体"/>
          <w:color w:val="000000" w:themeColor="text1"/>
          <w:sz w:val="24"/>
          <w:szCs w:val="24"/>
          <w:lang w:val="en-US" w:eastAsia="zh-CN"/>
          <w14:textFill>
            <w14:solidFill>
              <w14:schemeClr w14:val="tx1"/>
            </w14:solidFill>
          </w14:textFill>
        </w:rPr>
        <w:t xml:space="preserve"> </w:t>
      </w:r>
    </w:p>
    <w:p w14:paraId="1ED2653E">
      <w:p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址：重庆市永川区人民北路6号</w:t>
      </w:r>
      <w:r>
        <w:rPr>
          <w:rFonts w:hint="eastAsia" w:ascii="宋体" w:hAnsi="宋体"/>
          <w:color w:val="000000" w:themeColor="text1"/>
          <w:sz w:val="24"/>
          <w:szCs w:val="24"/>
          <w:lang w:val="en-US" w:eastAsia="zh-CN"/>
          <w14:textFill>
            <w14:solidFill>
              <w14:schemeClr w14:val="tx1"/>
            </w14:solidFill>
          </w14:textFill>
        </w:rPr>
        <w:t xml:space="preserve"> </w:t>
      </w:r>
    </w:p>
    <w:p w14:paraId="66DA8E8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（二）代理机构：重庆采家</w:t>
      </w:r>
      <w:r>
        <w:rPr>
          <w:rFonts w:hint="eastAsia" w:ascii="宋体" w:hAnsi="宋体" w:cs="宋体"/>
          <w:color w:val="000000"/>
          <w:sz w:val="24"/>
          <w:lang w:eastAsia="zh-CN"/>
        </w:rPr>
        <w:t>工程</w:t>
      </w:r>
      <w:r>
        <w:rPr>
          <w:rFonts w:hint="eastAsia" w:ascii="宋体" w:hAnsi="宋体" w:cs="宋体"/>
          <w:color w:val="000000"/>
          <w:sz w:val="24"/>
        </w:rPr>
        <w:t>管理有限公司</w:t>
      </w:r>
    </w:p>
    <w:p w14:paraId="637516B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联系人：张老师</w:t>
      </w:r>
    </w:p>
    <w:p w14:paraId="2D48183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电  话：023-85383639</w:t>
      </w:r>
    </w:p>
    <w:p w14:paraId="6E0DA0EE">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地  址：</w:t>
      </w:r>
      <w:bookmarkEnd w:id="35"/>
      <w:bookmarkStart w:id="51" w:name="_Toc152480141"/>
      <w:bookmarkStart w:id="52" w:name="_Toc376349875"/>
      <w:bookmarkStart w:id="53" w:name="_Toc102227313"/>
      <w:r>
        <w:rPr>
          <w:rFonts w:hint="eastAsia" w:ascii="宋体" w:hAnsi="宋体" w:cs="宋体"/>
          <w:color w:val="000000"/>
          <w:sz w:val="24"/>
        </w:rPr>
        <w:t>重庆市永川区卧龙路128号附20</w:t>
      </w:r>
    </w:p>
    <w:p w14:paraId="0F62A644">
      <w:pPr>
        <w:widowControl/>
        <w:jc w:val="left"/>
        <w:rPr>
          <w:rFonts w:hint="eastAsia" w:ascii="宋体" w:hAnsi="宋体" w:cs="宋体"/>
          <w:b/>
        </w:rPr>
      </w:pPr>
      <w:r>
        <w:rPr>
          <w:rFonts w:hAnsi="宋体"/>
          <w:b/>
        </w:rPr>
        <w:br w:type="page"/>
      </w:r>
    </w:p>
    <w:p w14:paraId="42A8D633">
      <w:pPr>
        <w:pStyle w:val="3"/>
        <w:spacing w:line="360" w:lineRule="auto"/>
        <w:jc w:val="center"/>
        <w:rPr>
          <w:rFonts w:hint="eastAsia" w:hAnsi="宋体"/>
          <w:b/>
        </w:rPr>
      </w:pPr>
      <w:bookmarkStart w:id="54" w:name="_Toc31504"/>
      <w:bookmarkStart w:id="55" w:name="_Toc32557"/>
      <w:bookmarkStart w:id="56" w:name="_Toc23255"/>
      <w:r>
        <w:rPr>
          <w:rFonts w:hint="eastAsia" w:hAnsi="宋体"/>
          <w:b/>
        </w:rPr>
        <w:t>第二篇 竞采项目技术（质量）需求</w:t>
      </w:r>
      <w:bookmarkEnd w:id="54"/>
    </w:p>
    <w:p w14:paraId="017E5FDF">
      <w:pPr>
        <w:pStyle w:val="4"/>
        <w:spacing w:before="0" w:after="0" w:line="400" w:lineRule="exact"/>
        <w:rPr>
          <w:rFonts w:hint="eastAsia" w:asciiTheme="minorEastAsia" w:hAnsiTheme="minorEastAsia" w:eastAsiaTheme="minorEastAsia" w:cstheme="minorEastAsia"/>
          <w:sz w:val="24"/>
          <w:szCs w:val="24"/>
        </w:rPr>
      </w:pPr>
      <w:bookmarkStart w:id="57" w:name="_Toc24166"/>
      <w:r>
        <w:rPr>
          <w:rFonts w:hint="eastAsia" w:asciiTheme="minorEastAsia" w:hAnsiTheme="minorEastAsia" w:eastAsiaTheme="minorEastAsia" w:cstheme="minorEastAsia"/>
          <w:sz w:val="24"/>
          <w:szCs w:val="24"/>
        </w:rPr>
        <w:t>一、</w:t>
      </w:r>
      <w:bookmarkStart w:id="58" w:name="_Toc27684"/>
      <w:bookmarkStart w:id="59" w:name="_Toc11734"/>
      <w:bookmarkStart w:id="60" w:name="_Toc20528"/>
      <w:r>
        <w:rPr>
          <w:rFonts w:hint="eastAsia" w:asciiTheme="minorEastAsia" w:hAnsiTheme="minorEastAsia" w:eastAsiaTheme="minorEastAsia" w:cstheme="minorEastAsia"/>
          <w:sz w:val="24"/>
          <w:szCs w:val="24"/>
        </w:rPr>
        <w:t>项目一览表</w:t>
      </w:r>
      <w:bookmarkEnd w:id="55"/>
      <w:bookmarkEnd w:id="57"/>
      <w:bookmarkEnd w:id="58"/>
      <w:bookmarkEnd w:id="59"/>
      <w:bookmarkEnd w:id="60"/>
    </w:p>
    <w:bookmarkEnd w:id="27"/>
    <w:bookmarkEnd w:id="28"/>
    <w:bookmarkEnd w:id="29"/>
    <w:bookmarkEnd w:id="51"/>
    <w:bookmarkEnd w:id="52"/>
    <w:bookmarkEnd w:id="53"/>
    <w:bookmarkEnd w:id="56"/>
    <w:tbl>
      <w:tblPr>
        <w:tblStyle w:val="28"/>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918"/>
        <w:gridCol w:w="1414"/>
      </w:tblGrid>
      <w:tr w14:paraId="62E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noWrap w:val="0"/>
            <w:vAlign w:val="center"/>
          </w:tcPr>
          <w:p w14:paraId="04CB5334">
            <w:pPr>
              <w:ind w:firstLine="0" w:firstLineChars="0"/>
              <w:jc w:val="center"/>
              <w:rPr>
                <w:rFonts w:hint="eastAsia" w:asciiTheme="minorEastAsia" w:hAnsiTheme="minorEastAsia" w:eastAsiaTheme="minorEastAsia" w:cstheme="minorEastAsia"/>
                <w:b/>
                <w:bCs/>
                <w:color w:val="auto"/>
                <w:sz w:val="24"/>
                <w:szCs w:val="24"/>
              </w:rPr>
            </w:pPr>
            <w:bookmarkStart w:id="61" w:name="_Toc10723"/>
            <w:bookmarkStart w:id="62" w:name="_Toc6346"/>
            <w:bookmarkStart w:id="63" w:name="_Toc65660340"/>
            <w:bookmarkStart w:id="64" w:name="_Toc7333"/>
            <w:bookmarkStart w:id="65" w:name="_Toc4186"/>
            <w:bookmarkStart w:id="66" w:name="_Toc11439"/>
            <w:bookmarkStart w:id="67" w:name="_Toc10026"/>
            <w:bookmarkStart w:id="68" w:name="_Toc21988"/>
            <w:bookmarkStart w:id="69" w:name="_Toc12789058"/>
            <w:bookmarkStart w:id="70" w:name="_Toc128744993"/>
            <w:r>
              <w:rPr>
                <w:rFonts w:hint="eastAsia" w:asciiTheme="minorEastAsia" w:hAnsiTheme="minorEastAsia" w:eastAsiaTheme="minorEastAsia" w:cstheme="minorEastAsia"/>
                <w:b/>
                <w:bCs/>
                <w:color w:val="auto"/>
                <w:sz w:val="24"/>
                <w:szCs w:val="24"/>
              </w:rPr>
              <w:t>项目名称</w:t>
            </w:r>
          </w:p>
        </w:tc>
        <w:tc>
          <w:tcPr>
            <w:tcW w:w="1613" w:type="dxa"/>
            <w:noWrap w:val="0"/>
            <w:vAlign w:val="center"/>
          </w:tcPr>
          <w:p w14:paraId="6AE6A8D8">
            <w:pPr>
              <w:ind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采购预算</w:t>
            </w:r>
          </w:p>
          <w:p w14:paraId="0F598728">
            <w:pPr>
              <w:ind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（元）</w:t>
            </w:r>
          </w:p>
        </w:tc>
        <w:tc>
          <w:tcPr>
            <w:tcW w:w="1918" w:type="dxa"/>
            <w:noWrap w:val="0"/>
            <w:vAlign w:val="top"/>
          </w:tcPr>
          <w:p w14:paraId="64A788BD">
            <w:pPr>
              <w:spacing w:line="600" w:lineRule="exact"/>
              <w:ind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数量/单位</w:t>
            </w:r>
          </w:p>
        </w:tc>
        <w:tc>
          <w:tcPr>
            <w:tcW w:w="1414" w:type="dxa"/>
            <w:noWrap w:val="0"/>
            <w:vAlign w:val="center"/>
          </w:tcPr>
          <w:p w14:paraId="48EE150C">
            <w:pPr>
              <w:ind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备注</w:t>
            </w:r>
          </w:p>
        </w:tc>
      </w:tr>
      <w:tr w14:paraId="1B40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47" w:type="dxa"/>
            <w:noWrap w:val="0"/>
            <w:vAlign w:val="center"/>
          </w:tcPr>
          <w:p w14:paraId="1395D446">
            <w:pPr>
              <w:wordWrap w:val="0"/>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rPr>
              <w:t>重庆市永川区森林防火道路建设项目可研报告编制(第二次）</w:t>
            </w:r>
          </w:p>
        </w:tc>
        <w:tc>
          <w:tcPr>
            <w:tcW w:w="1613" w:type="dxa"/>
            <w:noWrap w:val="0"/>
            <w:vAlign w:val="center"/>
          </w:tcPr>
          <w:p w14:paraId="525FB868">
            <w:pPr>
              <w:wordWrap w:val="0"/>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493000</w:t>
            </w:r>
            <w:r>
              <w:rPr>
                <w:rFonts w:hint="eastAsia" w:asciiTheme="minorEastAsia" w:hAnsiTheme="minorEastAsia" w:eastAsiaTheme="minorEastAsia" w:cstheme="minorEastAsia"/>
                <w:color w:val="auto"/>
                <w:sz w:val="24"/>
                <w:szCs w:val="24"/>
              </w:rPr>
              <w:t>.00</w:t>
            </w:r>
          </w:p>
        </w:tc>
        <w:tc>
          <w:tcPr>
            <w:tcW w:w="1918" w:type="dxa"/>
            <w:noWrap w:val="0"/>
            <w:vAlign w:val="top"/>
          </w:tcPr>
          <w:p w14:paraId="3D578527">
            <w:pPr>
              <w:spacing w:line="600" w:lineRule="exact"/>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w:t>
            </w:r>
          </w:p>
        </w:tc>
        <w:tc>
          <w:tcPr>
            <w:tcW w:w="1414" w:type="dxa"/>
            <w:noWrap w:val="0"/>
            <w:vAlign w:val="center"/>
          </w:tcPr>
          <w:p w14:paraId="6279AAFD">
            <w:pPr>
              <w:ind w:firstLine="0" w:firstLineChars="0"/>
              <w:jc w:val="center"/>
              <w:rPr>
                <w:rFonts w:hint="eastAsia" w:asciiTheme="minorEastAsia" w:hAnsiTheme="minorEastAsia" w:eastAsiaTheme="minorEastAsia" w:cstheme="minorEastAsia"/>
                <w:color w:val="auto"/>
                <w:sz w:val="24"/>
                <w:szCs w:val="24"/>
              </w:rPr>
            </w:pPr>
          </w:p>
        </w:tc>
      </w:tr>
      <w:bookmarkEnd w:id="61"/>
      <w:bookmarkEnd w:id="62"/>
      <w:bookmarkEnd w:id="63"/>
      <w:bookmarkEnd w:id="64"/>
      <w:bookmarkEnd w:id="65"/>
      <w:bookmarkEnd w:id="66"/>
      <w:bookmarkEnd w:id="67"/>
    </w:tbl>
    <w:p w14:paraId="496C4C88">
      <w:pPr>
        <w:pStyle w:val="4"/>
        <w:spacing w:before="0" w:after="0" w:line="400" w:lineRule="exact"/>
        <w:rPr>
          <w:rFonts w:hint="eastAsia" w:asciiTheme="minorEastAsia" w:hAnsiTheme="minorEastAsia" w:eastAsiaTheme="minorEastAsia" w:cstheme="minorEastAsia"/>
          <w:sz w:val="24"/>
          <w:szCs w:val="24"/>
        </w:rPr>
      </w:pPr>
      <w:bookmarkStart w:id="71" w:name="_Toc23811"/>
      <w:r>
        <w:rPr>
          <w:rFonts w:hint="eastAsia" w:asciiTheme="minorEastAsia" w:hAnsiTheme="minorEastAsia" w:eastAsiaTheme="minorEastAsia" w:cstheme="minorEastAsia"/>
          <w:sz w:val="24"/>
          <w:szCs w:val="24"/>
        </w:rPr>
        <w:t>二、项目服务需求</w:t>
      </w:r>
      <w:bookmarkEnd w:id="71"/>
    </w:p>
    <w:p w14:paraId="46D4099B">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1.项目名称</w:t>
      </w:r>
    </w:p>
    <w:p w14:paraId="7D27E91F">
      <w:pPr>
        <w:spacing w:line="400" w:lineRule="exact"/>
        <w:ind w:firstLine="48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重庆市永川区森林防火道路建设项目可研报告编制(第二次）</w:t>
      </w:r>
      <w:r>
        <w:rPr>
          <w:rFonts w:hint="eastAsia" w:ascii="宋体" w:hAnsi="宋体" w:cs="宋体"/>
          <w:color w:val="auto"/>
          <w:kern w:val="0"/>
          <w:sz w:val="24"/>
          <w:szCs w:val="24"/>
          <w:lang w:eastAsia="zh-CN"/>
        </w:rPr>
        <w:t>。</w:t>
      </w:r>
    </w:p>
    <w:p w14:paraId="53855AF3">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2.工作内容</w:t>
      </w:r>
    </w:p>
    <w:p w14:paraId="6E871EF6">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编制重庆市永川区森林防火道路建设项目可行性研究报告及编制报告所需的初步踏勘、工程测量等。</w:t>
      </w:r>
    </w:p>
    <w:p w14:paraId="09F9EA98">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3.人员要求</w:t>
      </w:r>
    </w:p>
    <w:p w14:paraId="59141E7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供应商提供的项目组至少有5名及以上成员（具有林业相关专业技术职称）。项目组人员应具有良好的职业道德和严谨的工作作风，必须是供应商的在职职工，提供相关专业职称证书。</w:t>
      </w:r>
    </w:p>
    <w:p w14:paraId="7F13F04C">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4.质量要求</w:t>
      </w:r>
    </w:p>
    <w:p w14:paraId="14EADDED">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成果文件符合政府投资项目可行性研究报告的深度要求和质量要求，并符合国家、省省级森林防火道路建设技术要求，并配合采购人完成报告评审、取得批复文件。</w:t>
      </w:r>
    </w:p>
    <w:p w14:paraId="60386C4D">
      <w:pPr>
        <w:pStyle w:val="4"/>
        <w:spacing w:before="0" w:after="0" w:line="400" w:lineRule="exact"/>
        <w:rPr>
          <w:rFonts w:hint="eastAsia" w:asciiTheme="minorEastAsia" w:hAnsiTheme="minorEastAsia" w:eastAsiaTheme="minorEastAsia" w:cstheme="minorEastAsia"/>
          <w:sz w:val="24"/>
          <w:szCs w:val="24"/>
        </w:rPr>
      </w:pPr>
      <w:bookmarkStart w:id="72" w:name="_Toc29118"/>
      <w:r>
        <w:rPr>
          <w:rFonts w:hint="eastAsia" w:asciiTheme="minorEastAsia" w:hAnsiTheme="minorEastAsia" w:eastAsiaTheme="minorEastAsia" w:cstheme="minorEastAsia"/>
          <w:sz w:val="24"/>
          <w:szCs w:val="24"/>
        </w:rPr>
        <w:t>三、技术要求</w:t>
      </w:r>
      <w:bookmarkEnd w:id="72"/>
    </w:p>
    <w:p w14:paraId="5DD706B8">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（一）编制依据</w:t>
      </w:r>
    </w:p>
    <w:p w14:paraId="4133AF39">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《全国森林防火规划（2016-2025）年》；</w:t>
      </w:r>
    </w:p>
    <w:p w14:paraId="4A993918">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《全国重点森林草原防火系统建设实施方案》；</w:t>
      </w:r>
    </w:p>
    <w:p w14:paraId="12344B2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《林区四级道路建设标准》；</w:t>
      </w:r>
    </w:p>
    <w:p w14:paraId="797104CF">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《生态保护修复中央预算内投资专项管理办法》；</w:t>
      </w:r>
    </w:p>
    <w:p w14:paraId="4DECE47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《林业和草原建设项目可行性研究报告编制项目实施细则》；</w:t>
      </w:r>
    </w:p>
    <w:p w14:paraId="1A20EBD8">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初步现场测量、踏勘等；</w:t>
      </w:r>
    </w:p>
    <w:p w14:paraId="122AE87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国家现行的政策、规范、标准等要求；</w:t>
      </w:r>
    </w:p>
    <w:p w14:paraId="334ABD4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委托方提供的相关资料及要求。</w:t>
      </w:r>
    </w:p>
    <w:p w14:paraId="1100EAFE">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（二）编制要求</w:t>
      </w:r>
    </w:p>
    <w:p w14:paraId="2977920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1.编制单位应在对现场进行充分调研、踏勘的基础上，对工程现状和建设条件进行详细论证，提出全面、合理的建设方案，并进行多方案多角度技术经济比选，为项目实施奠定可靠基础。</w:t>
      </w:r>
    </w:p>
    <w:p w14:paraId="7948BEB3">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2.对工程建设中涉及到的附属费用应有全面的估算，保证可行性研究报告能起到良好的控制工程造价的作用。</w:t>
      </w:r>
    </w:p>
    <w:p w14:paraId="38E4C86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建设方案中采用的材料应有一定的市场占有率，便于采购。技术的应用应符合国家相关政策引领，必须保证技术成熟可靠。本着安全、经济、便于现场管理实施的原则，鼓励创新设计，优先考虑供应稳定、受季节环境政策等影响较小的材料，合理采用其他新技术。</w:t>
      </w:r>
    </w:p>
    <w:p w14:paraId="37B60543">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4.工程投资估算应采用市场最新的信息价，应明确项目资金来源及额度，经济分析数据应详实、全面、到位，有效控制工程投资。</w:t>
      </w:r>
    </w:p>
    <w:p w14:paraId="4976A0E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5.依据工程内容和规模，制定详细的项目实施方案，分配合理的建设工期，制定完善的工程进度计划，为项目后续的建设提供可靠依据。</w:t>
      </w:r>
    </w:p>
    <w:p w14:paraId="0D6E366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6.积极配合建设单位，进行可行性研究报告的评审工作，并根据评审意见尽快修改完善报告，直至获得相关部门批复为止。相关的费用应包含在合同的价款之中。</w:t>
      </w:r>
    </w:p>
    <w:p w14:paraId="24E0B3D9">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（三）报告主要内容</w:t>
      </w:r>
    </w:p>
    <w:p w14:paraId="6E3248AE">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委托方提供的资料，编制重庆市永川区森林防火道路建设项目可行性研究报告编制项目，具体内容参考《林业和草原建设项目可行性研究报告编制项目实施细则》《政府投资项目可行性研究报告编制项目指南》等要求编制，包括但不限于以下内容：</w:t>
      </w:r>
    </w:p>
    <w:p w14:paraId="2D92B5D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概论</w:t>
      </w:r>
    </w:p>
    <w:p w14:paraId="7AB07104">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1.1项目概况</w:t>
      </w:r>
    </w:p>
    <w:p w14:paraId="269D179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1.2项目单位概况</w:t>
      </w:r>
    </w:p>
    <w:p w14:paraId="541AAA0C">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1.3编制依据</w:t>
      </w:r>
    </w:p>
    <w:p w14:paraId="3607738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1.4主要结论和建议</w:t>
      </w:r>
    </w:p>
    <w:p w14:paraId="5699EFD8">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 xml:space="preserve">项目建设背景及必要性 </w:t>
      </w:r>
    </w:p>
    <w:p w14:paraId="1E0B717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2.1项目建设背景</w:t>
      </w:r>
    </w:p>
    <w:p w14:paraId="5C9E9A1A">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2.2规划政策符合性</w:t>
      </w:r>
    </w:p>
    <w:p w14:paraId="7487282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2.3建设必要性</w:t>
      </w:r>
    </w:p>
    <w:p w14:paraId="498E15F9">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2.4指导思想和原则</w:t>
      </w:r>
    </w:p>
    <w:p w14:paraId="2943B344">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 xml:space="preserve">项目需求分析与产出方案 </w:t>
      </w:r>
    </w:p>
    <w:p w14:paraId="35CFD896">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3.1需求分析</w:t>
      </w:r>
    </w:p>
    <w:p w14:paraId="3917934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3.2建设内容和规模</w:t>
      </w:r>
    </w:p>
    <w:p w14:paraId="58BEEA5C">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3.3项目产出方案</w:t>
      </w:r>
    </w:p>
    <w:p w14:paraId="7982D59B">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 xml:space="preserve">项目选址与要素保障 </w:t>
      </w:r>
    </w:p>
    <w:p w14:paraId="6F03AB8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4.1项目选址</w:t>
      </w:r>
    </w:p>
    <w:p w14:paraId="788B137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4.2项目建设条件</w:t>
      </w:r>
    </w:p>
    <w:p w14:paraId="194BB6F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4.3要素保障分析</w:t>
      </w:r>
    </w:p>
    <w:p w14:paraId="1D9314C1">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 xml:space="preserve">建设方案 </w:t>
      </w:r>
    </w:p>
    <w:p w14:paraId="2643D02A">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5.1建设规模</w:t>
      </w:r>
    </w:p>
    <w:p w14:paraId="7FF10159">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5.2工程方案</w:t>
      </w:r>
    </w:p>
    <w:p w14:paraId="0E1D4A2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5.3技术方案</w:t>
      </w:r>
    </w:p>
    <w:p w14:paraId="4999013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5.4建设管理方案</w:t>
      </w:r>
    </w:p>
    <w:p w14:paraId="1470A9D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第六章</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 xml:space="preserve">项目运营方案 </w:t>
      </w:r>
    </w:p>
    <w:p w14:paraId="27984715">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6.1运营模式选择</w:t>
      </w:r>
    </w:p>
    <w:p w14:paraId="626DC19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6.2运营组织方案</w:t>
      </w:r>
    </w:p>
    <w:p w14:paraId="768D3241">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6.3安全保障方案</w:t>
      </w:r>
    </w:p>
    <w:p w14:paraId="10BFF311">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6.4绩效管理方案</w:t>
      </w:r>
    </w:p>
    <w:p w14:paraId="478DF83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第七章 项目投融与财务方案</w:t>
      </w:r>
    </w:p>
    <w:p w14:paraId="7F55245E">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7.1投资估算</w:t>
      </w:r>
    </w:p>
    <w:p w14:paraId="0B2C006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7.2资金筹措</w:t>
      </w:r>
    </w:p>
    <w:p w14:paraId="72DC8D52">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第八章 项目影响效果评价</w:t>
      </w:r>
    </w:p>
    <w:p w14:paraId="0C1DCB7F">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第九章 项目风险管控方案</w:t>
      </w:r>
    </w:p>
    <w:p w14:paraId="559A4B79">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第十章 项目结论和建议</w:t>
      </w:r>
    </w:p>
    <w:p w14:paraId="51A694E0">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（四）成果要求</w:t>
      </w:r>
    </w:p>
    <w:p w14:paraId="7F2E62DA">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编制单位需按规定的内容、进度及份数提供。</w:t>
      </w:r>
    </w:p>
    <w:p w14:paraId="3C6230D1">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1.项目成果的报送要求，本项目可行性研究报告报送纸质文档和电子文档。</w:t>
      </w:r>
    </w:p>
    <w:p w14:paraId="37A76007">
      <w:pPr>
        <w:spacing w:line="40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2.最终成果需通过相关行政审批部门的批复。</w:t>
      </w:r>
    </w:p>
    <w:p w14:paraId="0C49B7DE">
      <w:pPr>
        <w:rPr>
          <w:rFonts w:hint="eastAsia" w:hAnsi="宋体"/>
          <w:b/>
          <w:color w:val="auto"/>
        </w:rPr>
      </w:pPr>
      <w:r>
        <w:rPr>
          <w:rFonts w:hint="eastAsia" w:hAnsi="宋体"/>
          <w:b/>
          <w:color w:val="auto"/>
        </w:rPr>
        <w:br w:type="page"/>
      </w:r>
    </w:p>
    <w:p w14:paraId="64129E27">
      <w:pPr>
        <w:pStyle w:val="3"/>
        <w:spacing w:line="360" w:lineRule="auto"/>
        <w:jc w:val="center"/>
        <w:rPr>
          <w:rFonts w:hint="eastAsia" w:hAnsi="宋体"/>
          <w:b/>
          <w:color w:val="auto"/>
        </w:rPr>
      </w:pPr>
      <w:bookmarkStart w:id="73" w:name="_Toc8842"/>
      <w:r>
        <w:rPr>
          <w:rFonts w:hint="eastAsia" w:hAnsi="宋体"/>
          <w:b/>
          <w:color w:val="auto"/>
        </w:rPr>
        <w:t>第三篇  竞采项目商务需求</w:t>
      </w:r>
      <w:bookmarkEnd w:id="68"/>
      <w:bookmarkEnd w:id="73"/>
    </w:p>
    <w:bookmarkEnd w:id="69"/>
    <w:bookmarkEnd w:id="70"/>
    <w:p w14:paraId="27954851">
      <w:pPr>
        <w:pStyle w:val="4"/>
        <w:spacing w:before="0" w:after="0" w:line="400" w:lineRule="exact"/>
        <w:rPr>
          <w:rFonts w:hint="eastAsia" w:ascii="宋体" w:hAnsi="宋体" w:eastAsia="宋体" w:cs="宋体"/>
          <w:color w:val="auto"/>
          <w:sz w:val="24"/>
          <w:szCs w:val="24"/>
        </w:rPr>
      </w:pPr>
      <w:bookmarkStart w:id="74" w:name="_Toc29746248"/>
      <w:bookmarkStart w:id="75" w:name="_Toc42805185"/>
      <w:bookmarkStart w:id="76" w:name="_Toc26536"/>
      <w:bookmarkStart w:id="77" w:name="_Toc22507"/>
      <w:bookmarkStart w:id="78" w:name="_Toc155094502"/>
      <w:bookmarkStart w:id="79" w:name="_Toc8476"/>
      <w:bookmarkStart w:id="80" w:name="_Toc22669"/>
      <w:bookmarkStart w:id="81" w:name="_Toc18194"/>
      <w:bookmarkStart w:id="82" w:name="_Toc3535"/>
      <w:bookmarkStart w:id="83" w:name="_Toc8764"/>
      <w:bookmarkStart w:id="84" w:name="_Toc23841"/>
      <w:r>
        <w:rPr>
          <w:rFonts w:hint="eastAsia" w:ascii="宋体" w:hAnsi="宋体" w:eastAsia="宋体" w:cs="宋体"/>
          <w:color w:val="auto"/>
          <w:sz w:val="24"/>
          <w:szCs w:val="24"/>
        </w:rPr>
        <w:t>一、</w:t>
      </w:r>
      <w:bookmarkEnd w:id="74"/>
      <w:bookmarkEnd w:id="75"/>
      <w:r>
        <w:rPr>
          <w:rFonts w:hint="eastAsia" w:ascii="宋体" w:hAnsi="宋体" w:eastAsia="宋体" w:cs="宋体"/>
          <w:color w:val="auto"/>
          <w:sz w:val="24"/>
          <w:szCs w:val="24"/>
        </w:rPr>
        <w:t>服务时间、地点及验收方式</w:t>
      </w:r>
      <w:bookmarkEnd w:id="76"/>
      <w:bookmarkEnd w:id="77"/>
      <w:bookmarkEnd w:id="78"/>
      <w:bookmarkEnd w:id="79"/>
    </w:p>
    <w:p w14:paraId="01C7BC2C">
      <w:pPr>
        <w:spacing w:line="400" w:lineRule="exact"/>
        <w:ind w:firstLine="480" w:firstLineChars="200"/>
        <w:rPr>
          <w:rFonts w:ascii="宋体" w:hAnsi="宋体" w:cs="宋体"/>
          <w:color w:val="auto"/>
          <w:sz w:val="24"/>
        </w:rPr>
      </w:pPr>
      <w:bookmarkStart w:id="85" w:name="_Toc6369"/>
      <w:bookmarkStart w:id="86" w:name="_Toc109899030"/>
      <w:bookmarkStart w:id="87" w:name="_Toc29746249"/>
      <w:bookmarkStart w:id="88" w:name="_Toc42805186"/>
      <w:bookmarkStart w:id="89" w:name="_Toc155094503"/>
      <w:bookmarkStart w:id="90" w:name="_Toc29209"/>
      <w:r>
        <w:rPr>
          <w:rFonts w:hint="eastAsia" w:ascii="宋体" w:hAnsi="宋体" w:cs="宋体"/>
          <w:color w:val="auto"/>
          <w:sz w:val="24"/>
        </w:rPr>
        <w:t>（一）服务时间：合同签订之日起30日历天内完成报告编制，服务至该项目取得可行性研究报告批复文件。</w:t>
      </w:r>
    </w:p>
    <w:p w14:paraId="7F637B8B">
      <w:pPr>
        <w:spacing w:line="400" w:lineRule="exact"/>
        <w:ind w:firstLine="480" w:firstLineChars="200"/>
        <w:rPr>
          <w:rFonts w:ascii="宋体" w:hAnsi="宋体" w:cs="宋体"/>
          <w:color w:val="auto"/>
          <w:sz w:val="24"/>
        </w:rPr>
      </w:pPr>
      <w:r>
        <w:rPr>
          <w:rFonts w:hint="eastAsia" w:ascii="宋体" w:hAnsi="宋体" w:cs="宋体"/>
          <w:color w:val="auto"/>
          <w:sz w:val="24"/>
        </w:rPr>
        <w:t>（二）服务地点：采购人指定地点。</w:t>
      </w:r>
    </w:p>
    <w:p w14:paraId="6881EE19">
      <w:pPr>
        <w:spacing w:line="400" w:lineRule="exact"/>
        <w:ind w:firstLine="480" w:firstLineChars="200"/>
        <w:rPr>
          <w:rFonts w:ascii="宋体" w:hAnsi="宋体" w:cs="宋体"/>
          <w:color w:val="auto"/>
          <w:sz w:val="24"/>
        </w:rPr>
      </w:pPr>
      <w:r>
        <w:rPr>
          <w:rFonts w:hint="eastAsia" w:ascii="宋体" w:hAnsi="宋体" w:cs="宋体"/>
          <w:color w:val="auto"/>
          <w:sz w:val="24"/>
        </w:rPr>
        <w:t>（三）质量要求：成果文件符合政府投资项目可行性研究报告的深度要求和质量要求，并符合相关行业技术要求，并配合采购人完成报告评审、取得批复文件。</w:t>
      </w:r>
    </w:p>
    <w:p w14:paraId="560DA2C6">
      <w:pPr>
        <w:pStyle w:val="4"/>
        <w:spacing w:before="0" w:after="0" w:line="400" w:lineRule="exact"/>
        <w:rPr>
          <w:rFonts w:hint="eastAsia" w:ascii="宋体" w:hAnsi="宋体" w:eastAsia="宋体" w:cs="宋体"/>
          <w:color w:val="auto"/>
          <w:sz w:val="24"/>
          <w:szCs w:val="24"/>
        </w:rPr>
      </w:pPr>
      <w:bookmarkStart w:id="91" w:name="_Toc6330"/>
      <w:r>
        <w:rPr>
          <w:rFonts w:hint="eastAsia" w:ascii="宋体" w:hAnsi="宋体" w:eastAsia="宋体" w:cs="宋体"/>
          <w:color w:val="auto"/>
          <w:sz w:val="24"/>
          <w:szCs w:val="24"/>
        </w:rPr>
        <w:t>二、报价要求</w:t>
      </w:r>
      <w:bookmarkEnd w:id="85"/>
      <w:bookmarkEnd w:id="86"/>
      <w:bookmarkEnd w:id="87"/>
      <w:bookmarkEnd w:id="88"/>
      <w:bookmarkEnd w:id="89"/>
      <w:bookmarkEnd w:id="90"/>
      <w:bookmarkEnd w:id="91"/>
    </w:p>
    <w:p w14:paraId="642A5D85">
      <w:pPr>
        <w:spacing w:line="400" w:lineRule="exact"/>
        <w:ind w:firstLine="480" w:firstLineChars="200"/>
        <w:rPr>
          <w:rFonts w:hint="eastAsia" w:ascii="宋体" w:hAnsi="宋体" w:cs="宋体"/>
          <w:color w:val="auto"/>
          <w:sz w:val="24"/>
        </w:rPr>
      </w:pPr>
      <w:bookmarkStart w:id="92" w:name="_Hlk99619394"/>
      <w:bookmarkStart w:id="93" w:name="_Toc344475122"/>
      <w:bookmarkStart w:id="94" w:name="_Toc42805187"/>
      <w:bookmarkStart w:id="95" w:name="_Toc29746250"/>
      <w:r>
        <w:rPr>
          <w:rFonts w:hint="eastAsia" w:ascii="宋体" w:hAnsi="宋体" w:cs="宋体"/>
          <w:color w:val="auto"/>
          <w:sz w:val="24"/>
        </w:rPr>
        <w:t>本次采购为人民币报价，</w:t>
      </w:r>
      <w:r>
        <w:rPr>
          <w:rFonts w:hint="eastAsia" w:ascii="宋体" w:hAnsi="宋体" w:cs="宋体"/>
          <w:color w:val="auto"/>
          <w:sz w:val="24"/>
          <w:lang w:eastAsia="zh-CN"/>
        </w:rPr>
        <w:t>竞采</w:t>
      </w:r>
      <w:r>
        <w:rPr>
          <w:rFonts w:hint="eastAsia" w:ascii="宋体" w:hAnsi="宋体" w:cs="宋体"/>
          <w:color w:val="auto"/>
          <w:sz w:val="24"/>
        </w:rPr>
        <w:t>报价包含完成本项目所有费用，包含但不限于完成本项目所需的技术服务费、人工费、差旅费、交通费、</w:t>
      </w:r>
      <w:r>
        <w:rPr>
          <w:rFonts w:hint="eastAsia" w:ascii="宋体" w:hAnsi="宋体" w:eastAsia="宋体" w:cs="宋体"/>
          <w:color w:val="auto"/>
          <w:sz w:val="24"/>
          <w:szCs w:val="24"/>
        </w:rPr>
        <w:t>检测费、鉴定费</w:t>
      </w:r>
      <w:r>
        <w:rPr>
          <w:rFonts w:hint="eastAsia" w:ascii="宋体" w:hAnsi="宋体" w:cs="宋体"/>
          <w:color w:val="auto"/>
          <w:sz w:val="24"/>
        </w:rPr>
        <w:t>及提供服务所需的相关设备费用及各种应纳的税费等全部费用。</w:t>
      </w:r>
    </w:p>
    <w:p w14:paraId="48529E1E">
      <w:pPr>
        <w:spacing w:line="400" w:lineRule="exact"/>
        <w:ind w:firstLine="480" w:firstLineChars="200"/>
        <w:rPr>
          <w:rFonts w:hint="eastAsia" w:ascii="宋体" w:hAnsi="宋体" w:cs="宋体"/>
          <w:color w:val="auto"/>
          <w:sz w:val="24"/>
        </w:rPr>
      </w:pPr>
      <w:r>
        <w:rPr>
          <w:rFonts w:hint="eastAsia" w:ascii="宋体" w:hAnsi="宋体" w:cs="宋体"/>
          <w:color w:val="auto"/>
          <w:sz w:val="24"/>
        </w:rPr>
        <w:t>因成交供应商自身原因造成漏报、少报皆由其自行承担责任，采购人不再补偿。</w:t>
      </w:r>
    </w:p>
    <w:bookmarkEnd w:id="92"/>
    <w:p w14:paraId="2488C6D5">
      <w:pPr>
        <w:pStyle w:val="4"/>
        <w:spacing w:before="0" w:after="0" w:line="400" w:lineRule="exact"/>
        <w:rPr>
          <w:rFonts w:hint="eastAsia" w:ascii="宋体" w:hAnsi="宋体" w:eastAsia="宋体" w:cs="宋体"/>
          <w:color w:val="auto"/>
          <w:sz w:val="24"/>
          <w:szCs w:val="24"/>
        </w:rPr>
      </w:pPr>
      <w:bookmarkStart w:id="96" w:name="_Toc14414"/>
      <w:bookmarkStart w:id="97" w:name="_Toc155094504"/>
      <w:bookmarkStart w:id="98" w:name="_Toc21576"/>
      <w:bookmarkStart w:id="99" w:name="_Toc109899031"/>
      <w:bookmarkStart w:id="100" w:name="_Toc9554"/>
      <w:r>
        <w:rPr>
          <w:rFonts w:hint="eastAsia" w:ascii="宋体" w:hAnsi="宋体" w:eastAsia="宋体" w:cs="宋体"/>
          <w:color w:val="auto"/>
          <w:sz w:val="24"/>
          <w:szCs w:val="24"/>
        </w:rPr>
        <w:t>三、付款方式</w:t>
      </w:r>
      <w:bookmarkEnd w:id="93"/>
      <w:bookmarkEnd w:id="96"/>
      <w:bookmarkEnd w:id="97"/>
      <w:bookmarkEnd w:id="98"/>
      <w:bookmarkEnd w:id="99"/>
      <w:bookmarkEnd w:id="100"/>
    </w:p>
    <w:bookmarkEnd w:id="94"/>
    <w:bookmarkEnd w:id="95"/>
    <w:p w14:paraId="1284246A">
      <w:pPr>
        <w:spacing w:line="400" w:lineRule="exact"/>
        <w:ind w:firstLine="480" w:firstLineChars="200"/>
        <w:rPr>
          <w:rFonts w:hint="eastAsia" w:ascii="宋体" w:hAnsi="宋体" w:cs="宋体"/>
          <w:color w:val="auto"/>
          <w:sz w:val="24"/>
          <w:highlight w:val="none"/>
        </w:rPr>
      </w:pPr>
      <w:bookmarkStart w:id="101" w:name="_Toc29746251"/>
      <w:bookmarkStart w:id="102" w:name="_Toc42805188"/>
      <w:r>
        <w:rPr>
          <w:rFonts w:hint="eastAsia" w:ascii="宋体" w:hAnsi="宋体" w:cs="宋体"/>
          <w:color w:val="auto"/>
          <w:sz w:val="24"/>
          <w:highlight w:val="none"/>
          <w:lang w:val="en-US" w:eastAsia="zh-CN"/>
        </w:rPr>
        <w:t>1.报告完成后，通过甲方审查和上级相关部门认可后，采购人在收到发票后5个工作日内一次性支付。</w:t>
      </w:r>
    </w:p>
    <w:p w14:paraId="4B0A326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结算方式：银行转账。</w:t>
      </w:r>
    </w:p>
    <w:p w14:paraId="57FDC489">
      <w:pPr>
        <w:spacing w:line="400" w:lineRule="exact"/>
        <w:ind w:firstLine="480" w:firstLineChars="200"/>
        <w:rPr>
          <w:rFonts w:hint="default" w:ascii="宋体" w:hAnsi="宋体" w:eastAsia="宋体" w:cs="宋体"/>
          <w:color w:val="auto"/>
          <w:sz w:val="24"/>
          <w:lang w:val="en-US" w:eastAsia="zh-CN"/>
        </w:rPr>
      </w:pPr>
    </w:p>
    <w:p w14:paraId="6130CFB0">
      <w:pPr>
        <w:spacing w:line="400" w:lineRule="exact"/>
        <w:ind w:firstLine="480" w:firstLineChars="200"/>
        <w:rPr>
          <w:rFonts w:hint="eastAsia" w:ascii="宋体" w:hAnsi="宋体" w:cs="宋体"/>
          <w:color w:val="auto"/>
          <w:sz w:val="24"/>
          <w:lang w:val="en-US" w:eastAsia="zh-CN"/>
        </w:rPr>
      </w:pPr>
      <w:r>
        <w:rPr>
          <w:rFonts w:hint="eastAsia" w:ascii="仿宋" w:hAnsi="仿宋" w:eastAsia="仿宋" w:cs="仿宋"/>
          <w:b/>
          <w:bCs/>
          <w:color w:val="auto"/>
          <w:sz w:val="24"/>
          <w:lang w:val="en-US" w:eastAsia="zh-CN"/>
        </w:rPr>
        <w:t>四、履约担保</w:t>
      </w:r>
    </w:p>
    <w:p w14:paraId="4F4F3DB4">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1.成交供应商提供的货物及服务未达到采购文件规定要求，且对采购人造成损失的，由成交供应商承担一切责任的同时，扣除履约保证金，并赔偿所造成的损失。</w:t>
      </w:r>
    </w:p>
    <w:p w14:paraId="6DFF2747">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2.成交供应商是否提供履约担保：提供。</w:t>
      </w:r>
    </w:p>
    <w:p w14:paraId="23A1C4DE">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3.成交供应商提供履约担保金额：成交金额的5%。</w:t>
      </w:r>
    </w:p>
    <w:p w14:paraId="727E13D0">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担保的提交时间：成交供应商应在接到成交通知书后10日以内将履约担保将（不可撤销且见索即付的银行保函）提交至采购人处。（以支票、汇票、本票或者金融机构出具的保函等非现金形式提交，保函出具担保方须经永川区财政监管部门备案同意。）</w:t>
      </w:r>
    </w:p>
    <w:p w14:paraId="1A6A02DB">
      <w:pPr>
        <w:wordWrap w:val="0"/>
        <w:snapToGrid w:val="0"/>
        <w:spacing w:line="400" w:lineRule="exact"/>
        <w:ind w:firstLine="480"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注：保函的担保金额、有效期、付款（或索赔或兑付）条件、免责条款（或情形）等内容不得与“不可撤销且见索即付”的实质性要求相背离（或抵触或抗辩）。</w:t>
      </w:r>
    </w:p>
    <w:p w14:paraId="3BA9C8D6">
      <w:pPr>
        <w:wordWrap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5.履约担保的期限：提交履约担保之日起至项目交付结束后验收合格之日止。</w:t>
      </w:r>
    </w:p>
    <w:p w14:paraId="0444BC4D">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6.履约担保的退还时间：项目交货结束后通过验收并达到合格标准后一次性无息退还。</w:t>
      </w:r>
    </w:p>
    <w:p w14:paraId="3C9D91C1">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7.履约担保的其他要求：</w:t>
      </w:r>
    </w:p>
    <w:p w14:paraId="44628460">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（1）拟成交供应商或者成交供应商提供的保函不符合《重庆市财政局关于开展政府采购保函业务的通知》（渝财采购〔2023〕7 号）、永川区财政局《转发重庆市财政局关于开展政府采购保函业务的通知》（永财采购〔2023〕7 号）和采购文件规定的，采购人应当拒收。</w:t>
      </w:r>
    </w:p>
    <w:p w14:paraId="5770F9C3">
      <w:pPr>
        <w:wordWrap w:val="0"/>
        <w:snapToGrid w:val="0"/>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（2）拟成交供应商或者成交供应商提供的保函不符合采购文件规定的，视为放弃中选，取消中选资格，给采购人造成的损失，成交供应商应当予以赔偿。</w:t>
      </w:r>
    </w:p>
    <w:p w14:paraId="211BF24D">
      <w:pPr>
        <w:pStyle w:val="18"/>
        <w:rPr>
          <w:rFonts w:hint="eastAsia"/>
          <w:color w:val="auto"/>
        </w:rPr>
      </w:pPr>
    </w:p>
    <w:p w14:paraId="48A18FDF">
      <w:pPr>
        <w:pStyle w:val="4"/>
        <w:spacing w:before="0" w:after="0" w:line="400" w:lineRule="exact"/>
        <w:rPr>
          <w:rFonts w:hint="eastAsia" w:ascii="宋体" w:hAnsi="宋体" w:eastAsia="宋体" w:cs="宋体"/>
          <w:color w:val="auto"/>
          <w:sz w:val="24"/>
          <w:szCs w:val="24"/>
        </w:rPr>
      </w:pPr>
      <w:bookmarkStart w:id="103" w:name="_Toc155094507"/>
      <w:bookmarkStart w:id="104" w:name="_Toc12701"/>
      <w:bookmarkStart w:id="105" w:name="_Toc8530"/>
      <w:bookmarkStart w:id="106" w:name="_Toc109899032"/>
      <w:bookmarkStart w:id="107" w:name="_Toc31971"/>
      <w:r>
        <w:rPr>
          <w:rFonts w:hint="eastAsia" w:ascii="宋体" w:hAnsi="宋体" w:eastAsia="宋体" w:cs="宋体"/>
          <w:color w:val="auto"/>
          <w:sz w:val="24"/>
          <w:szCs w:val="24"/>
        </w:rPr>
        <w:t>四、知识产权</w:t>
      </w:r>
      <w:bookmarkEnd w:id="101"/>
      <w:bookmarkEnd w:id="102"/>
      <w:bookmarkEnd w:id="103"/>
      <w:bookmarkEnd w:id="104"/>
      <w:bookmarkEnd w:id="105"/>
      <w:bookmarkEnd w:id="106"/>
      <w:bookmarkEnd w:id="107"/>
    </w:p>
    <w:p w14:paraId="79194961">
      <w:pPr>
        <w:spacing w:line="400" w:lineRule="exact"/>
        <w:ind w:firstLine="480" w:firstLineChars="200"/>
        <w:rPr>
          <w:rFonts w:hint="eastAsia" w:ascii="宋体" w:hAnsi="宋体" w:cs="宋体"/>
          <w:color w:val="auto"/>
          <w:sz w:val="24"/>
        </w:rPr>
      </w:pPr>
      <w:bookmarkStart w:id="108" w:name="_Toc267320053"/>
      <w:bookmarkStart w:id="109" w:name="_Toc441065671"/>
      <w:bookmarkStart w:id="110" w:name="_Toc29746252"/>
      <w:bookmarkStart w:id="111" w:name="_Toc42805190"/>
      <w:r>
        <w:rPr>
          <w:rFonts w:hint="eastAsia" w:ascii="宋体" w:hAnsi="宋体" w:cs="宋体"/>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造成采购人损失的，采购人有权追偿。</w:t>
      </w:r>
    </w:p>
    <w:bookmarkEnd w:id="108"/>
    <w:bookmarkEnd w:id="109"/>
    <w:p w14:paraId="5A21199B">
      <w:pPr>
        <w:pStyle w:val="4"/>
        <w:spacing w:before="0" w:after="0" w:line="400" w:lineRule="exact"/>
        <w:rPr>
          <w:rFonts w:hint="eastAsia" w:ascii="宋体" w:hAnsi="宋体" w:eastAsia="宋体" w:cs="宋体"/>
          <w:color w:val="auto"/>
          <w:sz w:val="24"/>
          <w:szCs w:val="24"/>
        </w:rPr>
      </w:pPr>
      <w:bookmarkStart w:id="112" w:name="_Toc14119"/>
      <w:bookmarkStart w:id="113" w:name="_Toc17994"/>
      <w:bookmarkStart w:id="114" w:name="_Toc109899033"/>
      <w:bookmarkStart w:id="115" w:name="_Toc14100"/>
      <w:bookmarkStart w:id="116" w:name="_Toc155094508"/>
      <w:r>
        <w:rPr>
          <w:rFonts w:hint="eastAsia" w:ascii="宋体" w:hAnsi="宋体" w:eastAsia="宋体" w:cs="宋体"/>
          <w:color w:val="auto"/>
          <w:sz w:val="24"/>
          <w:szCs w:val="24"/>
        </w:rPr>
        <w:t>五、其他</w:t>
      </w:r>
      <w:bookmarkEnd w:id="110"/>
      <w:bookmarkEnd w:id="111"/>
      <w:bookmarkEnd w:id="112"/>
      <w:bookmarkEnd w:id="113"/>
      <w:bookmarkEnd w:id="114"/>
      <w:bookmarkEnd w:id="115"/>
      <w:bookmarkEnd w:id="116"/>
    </w:p>
    <w:p w14:paraId="42E02374">
      <w:pPr>
        <w:spacing w:line="400" w:lineRule="exact"/>
        <w:ind w:firstLine="480" w:firstLineChars="200"/>
        <w:rPr>
          <w:rFonts w:hint="eastAsia" w:ascii="宋体" w:hAnsi="宋体" w:cs="宋体"/>
          <w:color w:val="auto"/>
          <w:sz w:val="24"/>
        </w:rPr>
      </w:pPr>
      <w:r>
        <w:rPr>
          <w:rFonts w:hint="eastAsia" w:ascii="宋体" w:hAnsi="宋体" w:cs="宋体"/>
          <w:color w:val="auto"/>
          <w:sz w:val="24"/>
        </w:rPr>
        <w:t>（一）供应商必须在响应文件中对以上条款和服务承诺明确列出，承诺内容必须达到本篇及</w:t>
      </w:r>
      <w:r>
        <w:rPr>
          <w:rFonts w:hint="eastAsia" w:ascii="宋体" w:hAnsi="宋体" w:cs="宋体"/>
          <w:color w:val="auto"/>
          <w:sz w:val="24"/>
          <w:lang w:eastAsia="zh-CN"/>
        </w:rPr>
        <w:t>竞采</w:t>
      </w:r>
      <w:r>
        <w:rPr>
          <w:rFonts w:hint="eastAsia" w:ascii="宋体" w:hAnsi="宋体" w:cs="宋体"/>
          <w:color w:val="auto"/>
          <w:sz w:val="24"/>
        </w:rPr>
        <w:t>文件其他条款的要求。</w:t>
      </w:r>
    </w:p>
    <w:p w14:paraId="4D1944CF">
      <w:pPr>
        <w:spacing w:line="400" w:lineRule="exact"/>
        <w:ind w:firstLine="480" w:firstLineChars="200"/>
        <w:rPr>
          <w:rFonts w:hint="eastAsia" w:ascii="宋体" w:hAnsi="宋体" w:cs="宋体"/>
          <w:color w:val="auto"/>
          <w:sz w:val="24"/>
        </w:rPr>
      </w:pPr>
      <w:r>
        <w:rPr>
          <w:rFonts w:hint="eastAsia" w:ascii="宋体" w:hAnsi="宋体" w:cs="宋体"/>
          <w:color w:val="auto"/>
          <w:sz w:val="24"/>
        </w:rPr>
        <w:t>（二）本项目不允许转包、挂靠。</w:t>
      </w:r>
    </w:p>
    <w:p w14:paraId="2BBCF24F">
      <w:pPr>
        <w:spacing w:line="40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）其他未尽事宜由供需双方在采购合同中详细约定。</w:t>
      </w:r>
    </w:p>
    <w:p w14:paraId="20E5D7DA">
      <w:pPr>
        <w:rPr>
          <w:rFonts w:hint="eastAsia" w:hAnsi="宋体"/>
          <w:b/>
        </w:rPr>
      </w:pPr>
      <w:r>
        <w:rPr>
          <w:rFonts w:hint="eastAsia" w:hAnsi="宋体"/>
          <w:b/>
        </w:rPr>
        <w:br w:type="page"/>
      </w:r>
    </w:p>
    <w:p w14:paraId="15555CD5">
      <w:pPr>
        <w:pStyle w:val="3"/>
        <w:spacing w:line="360" w:lineRule="auto"/>
        <w:jc w:val="center"/>
        <w:rPr>
          <w:rFonts w:hint="eastAsia" w:hAnsi="宋体"/>
          <w:b/>
        </w:rPr>
      </w:pPr>
      <w:bookmarkStart w:id="117" w:name="_Toc23303"/>
      <w:r>
        <w:rPr>
          <w:rFonts w:hint="eastAsia" w:hAnsi="宋体"/>
          <w:b/>
        </w:rPr>
        <w:t>第四篇  竞采程序及方法、评审标准、无效响应和竞采终止</w:t>
      </w:r>
      <w:bookmarkEnd w:id="80"/>
      <w:bookmarkEnd w:id="81"/>
      <w:bookmarkEnd w:id="117"/>
    </w:p>
    <w:p w14:paraId="3D7A17EF">
      <w:pPr>
        <w:pStyle w:val="4"/>
        <w:spacing w:before="0" w:after="0" w:line="400" w:lineRule="exact"/>
        <w:rPr>
          <w:rFonts w:hint="eastAsia" w:ascii="宋体" w:hAnsi="宋体" w:eastAsia="宋体" w:cs="宋体"/>
          <w:sz w:val="24"/>
          <w:szCs w:val="24"/>
        </w:rPr>
      </w:pPr>
      <w:bookmarkStart w:id="118" w:name="_Toc19417"/>
      <w:bookmarkStart w:id="119" w:name="_Toc30734"/>
      <w:r>
        <w:rPr>
          <w:rFonts w:hint="eastAsia" w:ascii="宋体" w:hAnsi="宋体" w:eastAsia="宋体" w:cs="宋体"/>
          <w:sz w:val="24"/>
          <w:szCs w:val="24"/>
        </w:rPr>
        <w:t>一、竞采程序及方法</w:t>
      </w:r>
      <w:bookmarkEnd w:id="118"/>
      <w:bookmarkEnd w:id="119"/>
    </w:p>
    <w:p w14:paraId="645946C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（一）按网上竞采文件规定的时间进行，由本项目的评审小组对各供应商的响应文件进行评审。</w:t>
      </w:r>
    </w:p>
    <w:p w14:paraId="5C079A7F">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（二）评审小组对各供应商的资格条件、符合性进行审查。</w:t>
      </w:r>
    </w:p>
    <w:p w14:paraId="18AA2B3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1.资格审查。依据法律法规和竞采文件的规定，对响应文件中的资格证明等进行审查，以确定供应商是否具备响应资格。资格审查资料表如下：</w:t>
      </w:r>
    </w:p>
    <w:tbl>
      <w:tblPr>
        <w:tblStyle w:val="2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3968"/>
        <w:gridCol w:w="4111"/>
      </w:tblGrid>
      <w:tr w14:paraId="546D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8" w:type="dxa"/>
            <w:vAlign w:val="center"/>
          </w:tcPr>
          <w:p w14:paraId="34DF610E">
            <w:pPr>
              <w:snapToGrid w:val="0"/>
              <w:spacing w:line="312" w:lineRule="auto"/>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677" w:type="dxa"/>
            <w:gridSpan w:val="2"/>
            <w:vAlign w:val="center"/>
          </w:tcPr>
          <w:p w14:paraId="007F4083">
            <w:pPr>
              <w:snapToGrid w:val="0"/>
              <w:spacing w:line="312" w:lineRule="auto"/>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111" w:type="dxa"/>
            <w:vAlign w:val="center"/>
          </w:tcPr>
          <w:p w14:paraId="353A9E11">
            <w:pPr>
              <w:snapToGrid w:val="0"/>
              <w:spacing w:line="312" w:lineRule="auto"/>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604C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14:paraId="533D620F">
            <w:pPr>
              <w:snapToGrid w:val="0"/>
              <w:spacing w:line="312" w:lineRule="auto"/>
              <w:jc w:val="center"/>
              <w:rPr>
                <w:rFonts w:hint="eastAsia" w:ascii="宋体" w:hAnsi="宋体" w:cs="宋体"/>
                <w:color w:val="000000"/>
                <w:sz w:val="21"/>
                <w:szCs w:val="21"/>
              </w:rPr>
            </w:pPr>
            <w:r>
              <w:rPr>
                <w:rFonts w:hint="eastAsia" w:ascii="宋体" w:hAnsi="宋体" w:cs="宋体"/>
                <w:color w:val="000000"/>
                <w:sz w:val="21"/>
                <w:szCs w:val="21"/>
              </w:rPr>
              <w:t>1</w:t>
            </w:r>
          </w:p>
        </w:tc>
        <w:tc>
          <w:tcPr>
            <w:tcW w:w="709" w:type="dxa"/>
            <w:vMerge w:val="restart"/>
            <w:vAlign w:val="center"/>
          </w:tcPr>
          <w:p w14:paraId="0573A0A4">
            <w:pPr>
              <w:snapToGrid w:val="0"/>
              <w:spacing w:line="312" w:lineRule="auto"/>
              <w:rPr>
                <w:rFonts w:hint="eastAsia" w:ascii="宋体" w:hAnsi="宋体" w:cs="宋体"/>
                <w:color w:val="000000"/>
                <w:sz w:val="21"/>
                <w:szCs w:val="21"/>
                <w:lang w:val="zh-CN"/>
              </w:rPr>
            </w:pPr>
            <w:r>
              <w:rPr>
                <w:rFonts w:hint="eastAsia" w:ascii="宋体" w:hAnsi="宋体" w:cs="宋体"/>
                <w:color w:val="000000"/>
                <w:sz w:val="21"/>
                <w:szCs w:val="21"/>
              </w:rPr>
              <w:t>供应商</w:t>
            </w:r>
            <w:r>
              <w:rPr>
                <w:rFonts w:hint="eastAsia" w:ascii="宋体" w:hAnsi="宋体" w:cs="宋体"/>
                <w:color w:val="000000"/>
                <w:sz w:val="21"/>
                <w:szCs w:val="21"/>
                <w:lang w:val="zh-CN"/>
              </w:rPr>
              <w:t>应符合的基本资格条件</w:t>
            </w:r>
          </w:p>
        </w:tc>
        <w:tc>
          <w:tcPr>
            <w:tcW w:w="3968" w:type="dxa"/>
            <w:vAlign w:val="center"/>
          </w:tcPr>
          <w:p w14:paraId="1E35441B">
            <w:pPr>
              <w:snapToGrid w:val="0"/>
              <w:spacing w:line="312" w:lineRule="auto"/>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tc>
        <w:tc>
          <w:tcPr>
            <w:tcW w:w="4111" w:type="dxa"/>
            <w:vAlign w:val="center"/>
          </w:tcPr>
          <w:p w14:paraId="3AD89696">
            <w:pPr>
              <w:snapToGrid w:val="0"/>
              <w:spacing w:line="312" w:lineRule="auto"/>
              <w:rPr>
                <w:rFonts w:hint="eastAsia" w:ascii="宋体" w:hAnsi="宋体" w:cs="宋体"/>
                <w:color w:val="000000"/>
                <w:sz w:val="21"/>
                <w:szCs w:val="21"/>
              </w:rPr>
            </w:pPr>
            <w:r>
              <w:rPr>
                <w:rFonts w:hint="eastAsia" w:ascii="宋体" w:hAnsi="宋体" w:cs="宋体"/>
                <w:color w:val="000000"/>
                <w:sz w:val="21"/>
                <w:szCs w:val="21"/>
              </w:rPr>
              <w:t xml:space="preserve">1.供应商法人营业执照（副本）或事业单位法人证书（副本）或个体工商户营业执照或有效的自然人身份证明或社会团体法人登记证书（提供复印件）。 </w:t>
            </w:r>
          </w:p>
          <w:p w14:paraId="691ACF44">
            <w:pPr>
              <w:snapToGrid w:val="0"/>
              <w:spacing w:line="312" w:lineRule="auto"/>
              <w:rPr>
                <w:rFonts w:hint="eastAsia" w:ascii="宋体" w:hAnsi="宋体" w:cs="宋体"/>
                <w:color w:val="000000"/>
                <w:sz w:val="21"/>
                <w:szCs w:val="21"/>
              </w:rPr>
            </w:pPr>
            <w:r>
              <w:rPr>
                <w:rFonts w:hint="eastAsia" w:ascii="宋体" w:hAnsi="宋体" w:cs="宋体"/>
                <w:color w:val="000000"/>
                <w:sz w:val="21"/>
                <w:szCs w:val="21"/>
              </w:rPr>
              <w:t>2.供应商法定代表人身份证明和法定代表人授权代表委托书。</w:t>
            </w:r>
          </w:p>
        </w:tc>
      </w:tr>
      <w:tr w14:paraId="614B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5C91C876">
            <w:pPr>
              <w:rPr>
                <w:rFonts w:hint="eastAsia" w:ascii="宋体" w:hAnsi="宋体"/>
              </w:rPr>
            </w:pPr>
          </w:p>
        </w:tc>
        <w:tc>
          <w:tcPr>
            <w:tcW w:w="709" w:type="dxa"/>
            <w:vMerge w:val="continue"/>
            <w:vAlign w:val="center"/>
          </w:tcPr>
          <w:p w14:paraId="3537C791">
            <w:pPr>
              <w:rPr>
                <w:rFonts w:hint="eastAsia" w:ascii="宋体" w:hAnsi="宋体"/>
              </w:rPr>
            </w:pPr>
          </w:p>
        </w:tc>
        <w:tc>
          <w:tcPr>
            <w:tcW w:w="3968" w:type="dxa"/>
            <w:vAlign w:val="center"/>
          </w:tcPr>
          <w:p w14:paraId="5BB54941">
            <w:pPr>
              <w:snapToGrid w:val="0"/>
              <w:spacing w:line="312" w:lineRule="auto"/>
              <w:rPr>
                <w:rFonts w:hint="eastAsia"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111" w:type="dxa"/>
            <w:vMerge w:val="restart"/>
            <w:vAlign w:val="center"/>
          </w:tcPr>
          <w:p w14:paraId="15B1F1DD">
            <w:pPr>
              <w:snapToGrid w:val="0"/>
              <w:spacing w:line="312" w:lineRule="auto"/>
              <w:rPr>
                <w:rFonts w:hint="eastAsia" w:ascii="宋体" w:hAnsi="宋体" w:cs="宋体"/>
                <w:color w:val="000000"/>
                <w:sz w:val="21"/>
                <w:szCs w:val="21"/>
              </w:rPr>
            </w:pPr>
            <w:r>
              <w:rPr>
                <w:rFonts w:hint="eastAsia" w:ascii="宋体" w:hAnsi="宋体" w:cs="宋体"/>
                <w:color w:val="000000"/>
                <w:sz w:val="21"/>
                <w:szCs w:val="21"/>
                <w:lang w:val="zh-CN"/>
              </w:rPr>
              <w:t>提供《基本资格条件承诺函》（见格式文件）。</w:t>
            </w:r>
          </w:p>
        </w:tc>
      </w:tr>
      <w:tr w14:paraId="3FD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394C6506">
            <w:pPr>
              <w:rPr>
                <w:rFonts w:hint="eastAsia" w:ascii="宋体" w:hAnsi="宋体"/>
              </w:rPr>
            </w:pPr>
          </w:p>
        </w:tc>
        <w:tc>
          <w:tcPr>
            <w:tcW w:w="709" w:type="dxa"/>
            <w:vMerge w:val="continue"/>
            <w:vAlign w:val="center"/>
          </w:tcPr>
          <w:p w14:paraId="560BE420">
            <w:pPr>
              <w:rPr>
                <w:rFonts w:hint="eastAsia" w:ascii="宋体" w:hAnsi="宋体"/>
              </w:rPr>
            </w:pPr>
          </w:p>
        </w:tc>
        <w:tc>
          <w:tcPr>
            <w:tcW w:w="3968" w:type="dxa"/>
            <w:vAlign w:val="center"/>
          </w:tcPr>
          <w:p w14:paraId="2B6325DF">
            <w:pPr>
              <w:snapToGrid w:val="0"/>
              <w:spacing w:line="312" w:lineRule="auto"/>
              <w:rPr>
                <w:rFonts w:hint="eastAsia"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111" w:type="dxa"/>
            <w:vMerge w:val="continue"/>
            <w:vAlign w:val="center"/>
          </w:tcPr>
          <w:p w14:paraId="7EF44F07">
            <w:pPr>
              <w:rPr>
                <w:rFonts w:hint="eastAsia" w:ascii="宋体" w:hAnsi="宋体"/>
              </w:rPr>
            </w:pPr>
          </w:p>
        </w:tc>
      </w:tr>
      <w:tr w14:paraId="7AF8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68" w:type="dxa"/>
            <w:vMerge w:val="continue"/>
            <w:vAlign w:val="center"/>
          </w:tcPr>
          <w:p w14:paraId="0E85AAB5">
            <w:pPr>
              <w:rPr>
                <w:rFonts w:hint="eastAsia" w:ascii="宋体" w:hAnsi="宋体"/>
              </w:rPr>
            </w:pPr>
          </w:p>
        </w:tc>
        <w:tc>
          <w:tcPr>
            <w:tcW w:w="709" w:type="dxa"/>
            <w:vMerge w:val="continue"/>
            <w:vAlign w:val="center"/>
          </w:tcPr>
          <w:p w14:paraId="500658FB">
            <w:pPr>
              <w:rPr>
                <w:rFonts w:hint="eastAsia" w:ascii="宋体" w:hAnsi="宋体"/>
              </w:rPr>
            </w:pPr>
          </w:p>
        </w:tc>
        <w:tc>
          <w:tcPr>
            <w:tcW w:w="3968" w:type="dxa"/>
            <w:vAlign w:val="center"/>
          </w:tcPr>
          <w:p w14:paraId="5A52D091">
            <w:pPr>
              <w:snapToGrid w:val="0"/>
              <w:spacing w:line="312" w:lineRule="auto"/>
              <w:rPr>
                <w:rFonts w:hint="eastAsia" w:ascii="宋体" w:hAnsi="宋体" w:cs="宋体"/>
                <w:color w:val="000000"/>
                <w:sz w:val="21"/>
                <w:szCs w:val="21"/>
                <w:lang w:val="zh-CN"/>
              </w:rPr>
            </w:pPr>
            <w:r>
              <w:rPr>
                <w:rFonts w:hint="eastAsia" w:ascii="宋体" w:hAnsi="宋体" w:cs="宋体"/>
                <w:color w:val="000000"/>
                <w:sz w:val="21"/>
                <w:szCs w:val="21"/>
                <w:lang w:val="zh-CN"/>
              </w:rPr>
              <w:t>（4）有依法缴纳税收和社会保障金的良好记录</w:t>
            </w:r>
          </w:p>
        </w:tc>
        <w:tc>
          <w:tcPr>
            <w:tcW w:w="4111" w:type="dxa"/>
            <w:vMerge w:val="continue"/>
            <w:vAlign w:val="center"/>
          </w:tcPr>
          <w:p w14:paraId="20948042">
            <w:pPr>
              <w:rPr>
                <w:rFonts w:hint="eastAsia" w:ascii="宋体" w:hAnsi="宋体"/>
              </w:rPr>
            </w:pPr>
          </w:p>
        </w:tc>
      </w:tr>
      <w:tr w14:paraId="7D1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8" w:type="dxa"/>
            <w:vMerge w:val="continue"/>
            <w:vAlign w:val="center"/>
          </w:tcPr>
          <w:p w14:paraId="22C2C6E0">
            <w:pPr>
              <w:rPr>
                <w:rFonts w:hint="eastAsia" w:ascii="宋体" w:hAnsi="宋体"/>
              </w:rPr>
            </w:pPr>
          </w:p>
        </w:tc>
        <w:tc>
          <w:tcPr>
            <w:tcW w:w="709" w:type="dxa"/>
            <w:vMerge w:val="continue"/>
            <w:vAlign w:val="center"/>
          </w:tcPr>
          <w:p w14:paraId="43ECFD37">
            <w:pPr>
              <w:rPr>
                <w:rFonts w:hint="eastAsia" w:ascii="宋体" w:hAnsi="宋体"/>
              </w:rPr>
            </w:pPr>
          </w:p>
        </w:tc>
        <w:tc>
          <w:tcPr>
            <w:tcW w:w="3968" w:type="dxa"/>
            <w:vAlign w:val="center"/>
          </w:tcPr>
          <w:p w14:paraId="5D15C8A1">
            <w:pPr>
              <w:snapToGrid w:val="0"/>
              <w:spacing w:line="312" w:lineRule="auto"/>
              <w:rPr>
                <w:rFonts w:hint="eastAsia" w:ascii="宋体" w:hAnsi="宋体" w:cs="宋体"/>
                <w:color w:val="000000"/>
                <w:sz w:val="21"/>
                <w:szCs w:val="21"/>
                <w:lang w:val="zh-CN"/>
              </w:rPr>
            </w:pPr>
            <w:r>
              <w:rPr>
                <w:rFonts w:hint="eastAsia" w:ascii="宋体" w:hAnsi="宋体" w:cs="宋体"/>
                <w:color w:val="000000"/>
                <w:sz w:val="21"/>
                <w:szCs w:val="21"/>
              </w:rPr>
              <w:t>（5）参加政府竞采活动前三年内，在经营活动中没有重大违法记录</w:t>
            </w:r>
          </w:p>
        </w:tc>
        <w:tc>
          <w:tcPr>
            <w:tcW w:w="4111" w:type="dxa"/>
            <w:vMerge w:val="continue"/>
            <w:vAlign w:val="center"/>
          </w:tcPr>
          <w:p w14:paraId="3B5A439C">
            <w:pPr>
              <w:rPr>
                <w:rFonts w:hint="eastAsia" w:ascii="宋体" w:hAnsi="宋体"/>
              </w:rPr>
            </w:pPr>
          </w:p>
        </w:tc>
      </w:tr>
      <w:tr w14:paraId="7F1C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8" w:type="dxa"/>
            <w:vAlign w:val="center"/>
          </w:tcPr>
          <w:p w14:paraId="5D3ABA95">
            <w:pPr>
              <w:snapToGrid w:val="0"/>
              <w:spacing w:line="312" w:lineRule="auto"/>
              <w:jc w:val="center"/>
              <w:rPr>
                <w:rFonts w:hint="eastAsia" w:ascii="宋体" w:hAnsi="宋体" w:cs="宋体"/>
                <w:color w:val="000000"/>
                <w:sz w:val="21"/>
                <w:szCs w:val="21"/>
              </w:rPr>
            </w:pPr>
            <w:r>
              <w:rPr>
                <w:rFonts w:hint="eastAsia" w:ascii="宋体" w:hAnsi="宋体" w:cs="宋体"/>
                <w:color w:val="000000"/>
                <w:sz w:val="21"/>
                <w:szCs w:val="21"/>
              </w:rPr>
              <w:t>2</w:t>
            </w:r>
          </w:p>
        </w:tc>
        <w:tc>
          <w:tcPr>
            <w:tcW w:w="4677" w:type="dxa"/>
            <w:gridSpan w:val="2"/>
            <w:vAlign w:val="center"/>
          </w:tcPr>
          <w:p w14:paraId="043DBE25">
            <w:pPr>
              <w:spacing w:line="240" w:lineRule="exact"/>
              <w:rPr>
                <w:rFonts w:hint="eastAsia" w:ascii="宋体" w:hAnsi="宋体" w:cs="宋体"/>
                <w:color w:val="000000"/>
                <w:sz w:val="21"/>
                <w:szCs w:val="21"/>
              </w:rPr>
            </w:pPr>
            <w:r>
              <w:rPr>
                <w:rFonts w:hint="eastAsia" w:ascii="宋体" w:hAnsi="宋体" w:cs="宋体"/>
                <w:color w:val="000000"/>
                <w:sz w:val="21"/>
                <w:szCs w:val="21"/>
              </w:rPr>
              <w:t>本项目的特定资格要求</w:t>
            </w:r>
          </w:p>
        </w:tc>
        <w:tc>
          <w:tcPr>
            <w:tcW w:w="4111" w:type="dxa"/>
            <w:vAlign w:val="center"/>
          </w:tcPr>
          <w:p w14:paraId="3087CC42">
            <w:pPr>
              <w:snapToGrid w:val="0"/>
              <w:spacing w:line="360" w:lineRule="auto"/>
              <w:rPr>
                <w:rFonts w:hint="eastAsia" w:ascii="宋体" w:hAnsi="宋体" w:cs="宋体"/>
                <w:color w:val="000000"/>
                <w:sz w:val="21"/>
                <w:szCs w:val="21"/>
              </w:rPr>
            </w:pPr>
            <w:r>
              <w:rPr>
                <w:rFonts w:hint="eastAsia" w:ascii="宋体" w:hAnsi="宋体" w:cs="宋体"/>
                <w:bCs/>
                <w:color w:val="000000"/>
                <w:sz w:val="21"/>
                <w:szCs w:val="21"/>
              </w:rPr>
              <w:t>按第一篇“三、供应商资格要求（二）本项目的特定资格要求”的要求提交。</w:t>
            </w:r>
          </w:p>
        </w:tc>
      </w:tr>
      <w:tr w14:paraId="15B4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8" w:type="dxa"/>
            <w:vAlign w:val="center"/>
          </w:tcPr>
          <w:p w14:paraId="13EEA9AB">
            <w:pPr>
              <w:snapToGrid w:val="0"/>
              <w:spacing w:line="312" w:lineRule="auto"/>
              <w:jc w:val="center"/>
              <w:rPr>
                <w:rFonts w:hint="eastAsia" w:ascii="宋体" w:hAnsi="宋体" w:cs="宋体"/>
                <w:color w:val="000000"/>
                <w:sz w:val="21"/>
                <w:szCs w:val="21"/>
              </w:rPr>
            </w:pPr>
            <w:r>
              <w:rPr>
                <w:rFonts w:hint="eastAsia" w:ascii="宋体" w:hAnsi="宋体" w:cs="宋体"/>
                <w:color w:val="000000"/>
                <w:sz w:val="21"/>
                <w:szCs w:val="21"/>
              </w:rPr>
              <w:t>3</w:t>
            </w:r>
          </w:p>
        </w:tc>
        <w:tc>
          <w:tcPr>
            <w:tcW w:w="4677" w:type="dxa"/>
            <w:gridSpan w:val="2"/>
            <w:vAlign w:val="center"/>
          </w:tcPr>
          <w:p w14:paraId="2201432A">
            <w:pPr>
              <w:snapToGrid w:val="0"/>
              <w:textAlignment w:val="baseline"/>
              <w:rPr>
                <w:rFonts w:hint="eastAsia" w:ascii="宋体" w:hAnsi="宋体" w:cs="宋体"/>
                <w:color w:val="000000"/>
                <w:sz w:val="21"/>
                <w:szCs w:val="21"/>
              </w:rPr>
            </w:pPr>
            <w:r>
              <w:rPr>
                <w:rFonts w:hint="eastAsia" w:ascii="宋体" w:hAnsi="宋体"/>
                <w:color w:val="000000" w:themeColor="text1"/>
                <w:sz w:val="21"/>
                <w:szCs w:val="21"/>
                <w14:textFill>
                  <w14:solidFill>
                    <w14:schemeClr w14:val="tx1"/>
                  </w14:solidFill>
                </w14:textFill>
              </w:rPr>
              <w:t>竞采保证金</w:t>
            </w:r>
          </w:p>
        </w:tc>
        <w:tc>
          <w:tcPr>
            <w:tcW w:w="4111" w:type="dxa"/>
            <w:vAlign w:val="center"/>
          </w:tcPr>
          <w:p w14:paraId="0B2F09E2">
            <w:pPr>
              <w:snapToGrid w:val="0"/>
              <w:textAlignment w:val="baseline"/>
              <w:rPr>
                <w:rFonts w:hint="eastAsia" w:ascii="宋体" w:hAnsi="宋体" w:cs="宋体"/>
                <w:bCs/>
                <w:color w:val="000000"/>
                <w:sz w:val="21"/>
                <w:szCs w:val="21"/>
              </w:rPr>
            </w:pPr>
            <w:r>
              <w:rPr>
                <w:rFonts w:hint="eastAsia" w:ascii="宋体" w:hAnsi="宋体"/>
                <w:color w:val="000000" w:themeColor="text1"/>
                <w:sz w:val="21"/>
                <w:szCs w:val="21"/>
                <w14:textFill>
                  <w14:solidFill>
                    <w14:schemeClr w14:val="tx1"/>
                  </w14:solidFill>
                </w14:textFill>
              </w:rPr>
              <w:t>按“第一篇五、竞采保证金”的要求提交。</w:t>
            </w:r>
          </w:p>
        </w:tc>
      </w:tr>
    </w:tbl>
    <w:p w14:paraId="1EC89355">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注：①供应商按“多证合一”登记制度办理营业执照的，组织机构代码证和税务登记证（副本）以供应商所提供的营业执照（副本）复印件为准。</w:t>
      </w:r>
    </w:p>
    <w:p w14:paraId="3E831BD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②根据《中华人民共和国政府竞采法实施条例》第十九条“参加政府竞采活动前三年内，在经营活动中没有重大违法记录”中“重大违法记录”，是指响应人因违法经营受到刑事处罚或者责令停产停业、吊销许可证或者执照、较大数额罚款等行政处罚。行政处罚中“较大数额”的认定标准按照“财政部关于《中华人民共和国政府竞采法实施条例》第十九条第一款“较大数额罚款”具体适用问题的意见（财库〔2022〕3 号）”执行。</w:t>
      </w:r>
    </w:p>
    <w:p w14:paraId="5C0F37E1">
      <w:pPr>
        <w:spacing w:line="400" w:lineRule="exac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符合性检查</w:t>
      </w:r>
      <w:r>
        <w:rPr>
          <w:rFonts w:hint="eastAsia" w:ascii="微软雅黑" w:hAnsi="微软雅黑" w:eastAsia="微软雅黑" w:cs="微软雅黑"/>
          <w:color w:val="000000"/>
          <w:sz w:val="24"/>
        </w:rPr>
        <w:t>｡</w:t>
      </w:r>
      <w:r>
        <w:rPr>
          <w:rFonts w:hint="eastAsia" w:ascii="宋体" w:hAnsi="宋体" w:cs="宋体"/>
          <w:color w:val="000000"/>
          <w:sz w:val="24"/>
        </w:rPr>
        <w:t>依据网上竞采文件的规定</w:t>
      </w:r>
      <w:r>
        <w:rPr>
          <w:rFonts w:ascii="宋体" w:hAnsi="宋体" w:cs="宋体"/>
          <w:color w:val="000000"/>
          <w:sz w:val="24"/>
        </w:rPr>
        <w:t>,</w:t>
      </w:r>
      <w:r>
        <w:rPr>
          <w:rFonts w:hint="eastAsia" w:ascii="宋体" w:hAnsi="宋体" w:cs="宋体"/>
          <w:color w:val="000000"/>
          <w:sz w:val="24"/>
        </w:rPr>
        <w:t>从响应文件的有效性</w:t>
      </w:r>
      <w:r>
        <w:rPr>
          <w:rFonts w:hint="eastAsia" w:ascii="微软雅黑" w:hAnsi="微软雅黑" w:eastAsia="微软雅黑" w:cs="微软雅黑"/>
          <w:color w:val="000000"/>
          <w:sz w:val="24"/>
        </w:rPr>
        <w:t>､</w:t>
      </w:r>
      <w:r>
        <w:rPr>
          <w:rFonts w:hint="eastAsia" w:ascii="宋体" w:hAnsi="宋体" w:cs="宋体"/>
          <w:color w:val="000000"/>
          <w:sz w:val="24"/>
        </w:rPr>
        <w:t>完整性和对网上竞采文件的响应程度进行审查</w:t>
      </w:r>
      <w:r>
        <w:rPr>
          <w:rFonts w:ascii="宋体" w:hAnsi="宋体" w:cs="宋体"/>
          <w:color w:val="000000"/>
          <w:sz w:val="24"/>
        </w:rPr>
        <w:t>,</w:t>
      </w:r>
      <w:r>
        <w:rPr>
          <w:rFonts w:hint="eastAsia" w:ascii="宋体" w:hAnsi="宋体" w:cs="宋体"/>
          <w:color w:val="000000"/>
          <w:sz w:val="24"/>
        </w:rPr>
        <w:t>以确定是否对网上竞采文件的实质性要求作出响应</w:t>
      </w:r>
      <w:r>
        <w:rPr>
          <w:rFonts w:hint="eastAsia" w:ascii="微软雅黑" w:hAnsi="微软雅黑" w:eastAsia="微软雅黑" w:cs="微软雅黑"/>
          <w:color w:val="000000"/>
          <w:sz w:val="24"/>
        </w:rPr>
        <w:t>｡</w:t>
      </w:r>
    </w:p>
    <w:p w14:paraId="6D889FB2">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符合性检查资料表如下：</w:t>
      </w:r>
    </w:p>
    <w:tbl>
      <w:tblPr>
        <w:tblStyle w:val="2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984"/>
        <w:gridCol w:w="5245"/>
      </w:tblGrid>
      <w:tr w14:paraId="5B7D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4B2F8DBF">
            <w:pPr>
              <w:spacing w:line="400" w:lineRule="exact"/>
              <w:rPr>
                <w:rFonts w:hint="eastAsia" w:ascii="宋体" w:hAnsi="宋体" w:cs="宋体"/>
                <w:b/>
                <w:color w:val="000000"/>
                <w:sz w:val="21"/>
                <w:szCs w:val="21"/>
              </w:rPr>
            </w:pPr>
            <w:r>
              <w:rPr>
                <w:rFonts w:hint="eastAsia" w:ascii="宋体" w:hAnsi="宋体" w:cs="宋体"/>
                <w:b/>
                <w:color w:val="000000"/>
                <w:sz w:val="21"/>
                <w:szCs w:val="21"/>
              </w:rPr>
              <w:t>序号</w:t>
            </w:r>
          </w:p>
        </w:tc>
        <w:tc>
          <w:tcPr>
            <w:tcW w:w="3402" w:type="dxa"/>
            <w:gridSpan w:val="2"/>
            <w:vAlign w:val="center"/>
          </w:tcPr>
          <w:p w14:paraId="78DE4AE7">
            <w:pPr>
              <w:spacing w:line="40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评审因素</w:t>
            </w:r>
          </w:p>
        </w:tc>
        <w:tc>
          <w:tcPr>
            <w:tcW w:w="5245" w:type="dxa"/>
            <w:vAlign w:val="center"/>
          </w:tcPr>
          <w:p w14:paraId="568313BE">
            <w:pPr>
              <w:spacing w:line="40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评审标准</w:t>
            </w:r>
          </w:p>
        </w:tc>
      </w:tr>
      <w:tr w14:paraId="6CE1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Merge w:val="restart"/>
            <w:vAlign w:val="center"/>
          </w:tcPr>
          <w:p w14:paraId="73A7CFF7">
            <w:pPr>
              <w:spacing w:line="400" w:lineRule="exact"/>
              <w:rPr>
                <w:rFonts w:hint="eastAsia" w:ascii="宋体" w:hAnsi="宋体" w:cs="宋体"/>
                <w:color w:val="000000"/>
                <w:sz w:val="21"/>
                <w:szCs w:val="21"/>
              </w:rPr>
            </w:pPr>
            <w:r>
              <w:rPr>
                <w:rFonts w:hint="eastAsia" w:ascii="宋体" w:hAnsi="宋体" w:cs="宋体"/>
                <w:color w:val="000000"/>
                <w:sz w:val="21"/>
                <w:szCs w:val="21"/>
              </w:rPr>
              <w:t>1</w:t>
            </w:r>
          </w:p>
        </w:tc>
        <w:tc>
          <w:tcPr>
            <w:tcW w:w="1418" w:type="dxa"/>
            <w:vMerge w:val="restart"/>
            <w:vAlign w:val="center"/>
          </w:tcPr>
          <w:p w14:paraId="2F731CB6">
            <w:pPr>
              <w:spacing w:line="400" w:lineRule="exact"/>
              <w:rPr>
                <w:rFonts w:hint="eastAsia" w:ascii="宋体" w:hAnsi="宋体" w:cs="宋体"/>
                <w:color w:val="000000"/>
                <w:sz w:val="21"/>
                <w:szCs w:val="21"/>
              </w:rPr>
            </w:pPr>
            <w:r>
              <w:rPr>
                <w:rFonts w:hint="eastAsia" w:ascii="宋体" w:hAnsi="宋体" w:cs="宋体"/>
                <w:color w:val="000000"/>
                <w:sz w:val="21"/>
                <w:szCs w:val="21"/>
              </w:rPr>
              <w:t>有效性审查</w:t>
            </w:r>
          </w:p>
        </w:tc>
        <w:tc>
          <w:tcPr>
            <w:tcW w:w="1984" w:type="dxa"/>
            <w:vAlign w:val="center"/>
          </w:tcPr>
          <w:p w14:paraId="57315B9B">
            <w:pPr>
              <w:spacing w:line="400" w:lineRule="exact"/>
              <w:rPr>
                <w:rFonts w:hint="eastAsia" w:ascii="宋体" w:hAnsi="宋体" w:cs="宋体"/>
                <w:color w:val="000000"/>
                <w:sz w:val="21"/>
                <w:szCs w:val="21"/>
              </w:rPr>
            </w:pPr>
            <w:r>
              <w:rPr>
                <w:rFonts w:hint="eastAsia" w:ascii="宋体" w:hAnsi="宋体" w:cs="宋体"/>
                <w:color w:val="000000"/>
                <w:sz w:val="21"/>
                <w:szCs w:val="21"/>
              </w:rPr>
              <w:t>响应文件签署</w:t>
            </w:r>
          </w:p>
        </w:tc>
        <w:tc>
          <w:tcPr>
            <w:tcW w:w="5245" w:type="dxa"/>
            <w:vAlign w:val="center"/>
          </w:tcPr>
          <w:p w14:paraId="30677879">
            <w:pPr>
              <w:spacing w:line="400" w:lineRule="exact"/>
              <w:rPr>
                <w:rFonts w:hint="eastAsia" w:ascii="宋体" w:hAnsi="宋体" w:cs="宋体"/>
                <w:color w:val="000000"/>
                <w:sz w:val="21"/>
                <w:szCs w:val="21"/>
              </w:rPr>
            </w:pPr>
            <w:r>
              <w:rPr>
                <w:rFonts w:hint="eastAsia" w:ascii="宋体" w:hAnsi="宋体" w:cs="宋体"/>
                <w:color w:val="000000"/>
                <w:sz w:val="21"/>
                <w:szCs w:val="21"/>
              </w:rPr>
              <w:t>响应文件上法定代表人（或其授权代表）或自然人（响应人为自然人）的签署或盖章齐全。</w:t>
            </w:r>
          </w:p>
        </w:tc>
      </w:tr>
      <w:tr w14:paraId="312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04C24D85">
            <w:pPr>
              <w:spacing w:line="400" w:lineRule="exact"/>
              <w:ind w:firstLine="420" w:firstLineChars="200"/>
              <w:rPr>
                <w:rFonts w:hint="eastAsia" w:ascii="宋体" w:hAnsi="宋体" w:cs="宋体"/>
                <w:color w:val="000000"/>
                <w:sz w:val="21"/>
                <w:szCs w:val="21"/>
              </w:rPr>
            </w:pPr>
          </w:p>
        </w:tc>
        <w:tc>
          <w:tcPr>
            <w:tcW w:w="1418" w:type="dxa"/>
            <w:vMerge w:val="continue"/>
            <w:vAlign w:val="center"/>
          </w:tcPr>
          <w:p w14:paraId="392241BC">
            <w:pPr>
              <w:spacing w:line="400" w:lineRule="exact"/>
              <w:ind w:firstLine="420" w:firstLineChars="200"/>
              <w:rPr>
                <w:rFonts w:hint="eastAsia" w:ascii="宋体" w:hAnsi="宋体" w:cs="宋体"/>
                <w:color w:val="000000"/>
                <w:sz w:val="21"/>
                <w:szCs w:val="21"/>
              </w:rPr>
            </w:pPr>
          </w:p>
        </w:tc>
        <w:tc>
          <w:tcPr>
            <w:tcW w:w="1984" w:type="dxa"/>
            <w:vAlign w:val="center"/>
          </w:tcPr>
          <w:p w14:paraId="2B4279D1">
            <w:pPr>
              <w:spacing w:line="400" w:lineRule="exact"/>
              <w:rPr>
                <w:rFonts w:hint="eastAsia" w:ascii="宋体" w:hAnsi="宋体" w:cs="宋体"/>
                <w:color w:val="000000"/>
                <w:sz w:val="21"/>
                <w:szCs w:val="21"/>
              </w:rPr>
            </w:pPr>
            <w:r>
              <w:rPr>
                <w:rFonts w:hint="eastAsia" w:ascii="宋体" w:hAnsi="宋体" w:cs="宋体"/>
                <w:color w:val="000000"/>
                <w:sz w:val="21"/>
                <w:szCs w:val="21"/>
              </w:rPr>
              <w:t>响应方案</w:t>
            </w:r>
          </w:p>
        </w:tc>
        <w:tc>
          <w:tcPr>
            <w:tcW w:w="5245" w:type="dxa"/>
            <w:vAlign w:val="center"/>
          </w:tcPr>
          <w:p w14:paraId="6C6BBFE1">
            <w:pPr>
              <w:spacing w:line="400" w:lineRule="exact"/>
              <w:rPr>
                <w:rFonts w:hint="eastAsia" w:ascii="宋体" w:hAnsi="宋体" w:cs="宋体"/>
                <w:color w:val="000000"/>
                <w:sz w:val="21"/>
                <w:szCs w:val="21"/>
              </w:rPr>
            </w:pPr>
            <w:r>
              <w:rPr>
                <w:rFonts w:hint="eastAsia" w:ascii="宋体" w:hAnsi="宋体" w:cs="宋体"/>
                <w:color w:val="000000"/>
                <w:sz w:val="21"/>
                <w:szCs w:val="21"/>
              </w:rPr>
              <w:t>每个分包只能有一个响应方案。</w:t>
            </w:r>
          </w:p>
        </w:tc>
      </w:tr>
      <w:tr w14:paraId="706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4022C6D0">
            <w:pPr>
              <w:spacing w:line="400" w:lineRule="exact"/>
              <w:ind w:firstLine="420" w:firstLineChars="200"/>
              <w:rPr>
                <w:rFonts w:hint="eastAsia" w:ascii="宋体" w:hAnsi="宋体" w:cs="宋体"/>
                <w:color w:val="000000"/>
                <w:sz w:val="21"/>
                <w:szCs w:val="21"/>
              </w:rPr>
            </w:pPr>
          </w:p>
        </w:tc>
        <w:tc>
          <w:tcPr>
            <w:tcW w:w="1418" w:type="dxa"/>
            <w:vMerge w:val="continue"/>
            <w:vAlign w:val="center"/>
          </w:tcPr>
          <w:p w14:paraId="59E193EC">
            <w:pPr>
              <w:spacing w:line="400" w:lineRule="exact"/>
              <w:ind w:firstLine="420" w:firstLineChars="200"/>
              <w:rPr>
                <w:rFonts w:hint="eastAsia" w:ascii="宋体" w:hAnsi="宋体" w:cs="宋体"/>
                <w:color w:val="000000"/>
                <w:sz w:val="21"/>
                <w:szCs w:val="21"/>
              </w:rPr>
            </w:pPr>
          </w:p>
        </w:tc>
        <w:tc>
          <w:tcPr>
            <w:tcW w:w="1984" w:type="dxa"/>
            <w:vAlign w:val="center"/>
          </w:tcPr>
          <w:p w14:paraId="37EC2C48">
            <w:pPr>
              <w:spacing w:line="400" w:lineRule="exact"/>
              <w:rPr>
                <w:rFonts w:hint="eastAsia" w:ascii="宋体" w:hAnsi="宋体" w:cs="宋体"/>
                <w:color w:val="000000"/>
                <w:sz w:val="21"/>
                <w:szCs w:val="21"/>
              </w:rPr>
            </w:pPr>
            <w:r>
              <w:rPr>
                <w:rFonts w:hint="eastAsia" w:ascii="宋体" w:hAnsi="宋体" w:cs="宋体"/>
                <w:color w:val="000000"/>
                <w:sz w:val="21"/>
                <w:szCs w:val="21"/>
              </w:rPr>
              <w:t>报价唯一</w:t>
            </w:r>
          </w:p>
        </w:tc>
        <w:tc>
          <w:tcPr>
            <w:tcW w:w="5245" w:type="dxa"/>
            <w:vAlign w:val="center"/>
          </w:tcPr>
          <w:p w14:paraId="6CF83665">
            <w:pPr>
              <w:spacing w:line="400" w:lineRule="exact"/>
              <w:rPr>
                <w:rFonts w:hint="eastAsia" w:ascii="宋体" w:hAnsi="宋体" w:cs="宋体"/>
                <w:color w:val="000000"/>
                <w:sz w:val="21"/>
                <w:szCs w:val="21"/>
              </w:rPr>
            </w:pPr>
            <w:r>
              <w:rPr>
                <w:rFonts w:hint="eastAsia" w:ascii="宋体" w:hAnsi="宋体" w:cs="宋体"/>
                <w:color w:val="000000"/>
                <w:sz w:val="21"/>
                <w:szCs w:val="21"/>
              </w:rPr>
              <w:t>只能在最高限价范围内报价，只能有一个有效报价，不得提交选择性报价。</w:t>
            </w:r>
          </w:p>
        </w:tc>
      </w:tr>
      <w:tr w14:paraId="2CE8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9" w:type="dxa"/>
            <w:vAlign w:val="center"/>
          </w:tcPr>
          <w:p w14:paraId="5A0713A1">
            <w:pPr>
              <w:spacing w:line="400" w:lineRule="exact"/>
              <w:rPr>
                <w:rFonts w:hint="eastAsia" w:ascii="宋体" w:hAnsi="宋体" w:cs="宋体"/>
                <w:color w:val="000000"/>
                <w:sz w:val="21"/>
                <w:szCs w:val="21"/>
              </w:rPr>
            </w:pPr>
            <w:r>
              <w:rPr>
                <w:rFonts w:hint="eastAsia" w:ascii="宋体" w:hAnsi="宋体" w:cs="宋体"/>
                <w:color w:val="000000"/>
                <w:sz w:val="21"/>
                <w:szCs w:val="21"/>
              </w:rPr>
              <w:t>2</w:t>
            </w:r>
          </w:p>
        </w:tc>
        <w:tc>
          <w:tcPr>
            <w:tcW w:w="1418" w:type="dxa"/>
            <w:vAlign w:val="center"/>
          </w:tcPr>
          <w:p w14:paraId="1DC4B671">
            <w:pPr>
              <w:spacing w:line="400" w:lineRule="exact"/>
              <w:rPr>
                <w:rFonts w:hint="eastAsia" w:ascii="宋体" w:hAnsi="宋体" w:cs="宋体"/>
                <w:color w:val="000000"/>
                <w:sz w:val="21"/>
                <w:szCs w:val="21"/>
              </w:rPr>
            </w:pPr>
            <w:r>
              <w:rPr>
                <w:rFonts w:hint="eastAsia" w:ascii="宋体" w:hAnsi="宋体" w:cs="宋体"/>
                <w:color w:val="000000"/>
                <w:sz w:val="21"/>
                <w:szCs w:val="21"/>
              </w:rPr>
              <w:t>完整性审查</w:t>
            </w:r>
          </w:p>
        </w:tc>
        <w:tc>
          <w:tcPr>
            <w:tcW w:w="1984" w:type="dxa"/>
            <w:vAlign w:val="center"/>
          </w:tcPr>
          <w:p w14:paraId="41718CCB">
            <w:pPr>
              <w:spacing w:line="400" w:lineRule="exact"/>
              <w:rPr>
                <w:rFonts w:hint="eastAsia" w:ascii="宋体" w:hAnsi="宋体" w:cs="宋体"/>
                <w:color w:val="000000"/>
                <w:sz w:val="21"/>
                <w:szCs w:val="21"/>
              </w:rPr>
            </w:pPr>
            <w:r>
              <w:rPr>
                <w:rFonts w:hint="eastAsia" w:ascii="宋体" w:hAnsi="宋体" w:cs="宋体"/>
                <w:color w:val="000000"/>
                <w:sz w:val="21"/>
                <w:szCs w:val="21"/>
              </w:rPr>
              <w:t>响应文件份数</w:t>
            </w:r>
          </w:p>
        </w:tc>
        <w:tc>
          <w:tcPr>
            <w:tcW w:w="5245" w:type="dxa"/>
            <w:vAlign w:val="center"/>
          </w:tcPr>
          <w:p w14:paraId="72855969">
            <w:pPr>
              <w:spacing w:line="400" w:lineRule="exact"/>
              <w:rPr>
                <w:rFonts w:hint="eastAsia" w:ascii="宋体" w:hAnsi="宋体" w:cs="宋体"/>
                <w:color w:val="000000"/>
                <w:sz w:val="21"/>
                <w:szCs w:val="21"/>
              </w:rPr>
            </w:pPr>
            <w:r>
              <w:rPr>
                <w:rFonts w:hint="eastAsia" w:ascii="宋体" w:hAnsi="宋体" w:cs="宋体"/>
                <w:color w:val="000000"/>
                <w:sz w:val="21"/>
                <w:szCs w:val="21"/>
              </w:rPr>
              <w:t>响应文件符合竞采文件要求。</w:t>
            </w:r>
          </w:p>
        </w:tc>
      </w:tr>
      <w:tr w14:paraId="5542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9" w:type="dxa"/>
            <w:vAlign w:val="center"/>
          </w:tcPr>
          <w:p w14:paraId="434F3441">
            <w:pPr>
              <w:spacing w:line="400" w:lineRule="exact"/>
              <w:rPr>
                <w:rFonts w:hint="eastAsia" w:ascii="宋体" w:hAnsi="宋体" w:cs="宋体"/>
                <w:color w:val="000000"/>
                <w:sz w:val="21"/>
                <w:szCs w:val="21"/>
              </w:rPr>
            </w:pPr>
            <w:r>
              <w:rPr>
                <w:rFonts w:hint="eastAsia" w:ascii="宋体" w:hAnsi="宋体" w:cs="宋体"/>
                <w:color w:val="000000"/>
                <w:sz w:val="21"/>
                <w:szCs w:val="21"/>
              </w:rPr>
              <w:t>3</w:t>
            </w:r>
          </w:p>
        </w:tc>
        <w:tc>
          <w:tcPr>
            <w:tcW w:w="1418" w:type="dxa"/>
            <w:vAlign w:val="center"/>
          </w:tcPr>
          <w:p w14:paraId="1C3A5265">
            <w:pPr>
              <w:spacing w:line="400" w:lineRule="exact"/>
              <w:rPr>
                <w:rFonts w:hint="eastAsia" w:ascii="宋体" w:hAnsi="宋体" w:cs="宋体"/>
                <w:color w:val="000000"/>
                <w:sz w:val="21"/>
                <w:szCs w:val="21"/>
              </w:rPr>
            </w:pPr>
            <w:r>
              <w:rPr>
                <w:rFonts w:hint="eastAsia" w:ascii="宋体" w:hAnsi="宋体" w:cs="宋体"/>
                <w:color w:val="000000"/>
                <w:sz w:val="21"/>
                <w:szCs w:val="21"/>
              </w:rPr>
              <w:t>商务技术部分</w:t>
            </w:r>
          </w:p>
        </w:tc>
        <w:tc>
          <w:tcPr>
            <w:tcW w:w="1984" w:type="dxa"/>
            <w:vAlign w:val="center"/>
          </w:tcPr>
          <w:p w14:paraId="0E008E57">
            <w:pPr>
              <w:spacing w:line="400" w:lineRule="exact"/>
              <w:rPr>
                <w:rFonts w:hint="eastAsia" w:ascii="宋体" w:hAnsi="宋体" w:cs="宋体"/>
                <w:color w:val="000000"/>
                <w:sz w:val="21"/>
                <w:szCs w:val="21"/>
              </w:rPr>
            </w:pPr>
            <w:r>
              <w:rPr>
                <w:rFonts w:hint="eastAsia" w:ascii="宋体" w:hAnsi="宋体" w:cs="宋体"/>
                <w:color w:val="000000"/>
                <w:sz w:val="21"/>
                <w:szCs w:val="21"/>
              </w:rPr>
              <w:t>响应文件内容</w:t>
            </w:r>
          </w:p>
        </w:tc>
        <w:tc>
          <w:tcPr>
            <w:tcW w:w="5245" w:type="dxa"/>
            <w:vAlign w:val="center"/>
          </w:tcPr>
          <w:p w14:paraId="742ACAD7">
            <w:pPr>
              <w:spacing w:line="400" w:lineRule="exact"/>
              <w:rPr>
                <w:rFonts w:hint="eastAsia" w:ascii="宋体" w:hAnsi="宋体" w:cs="宋体"/>
                <w:color w:val="000000"/>
                <w:sz w:val="21"/>
                <w:szCs w:val="21"/>
              </w:rPr>
            </w:pPr>
            <w:r>
              <w:rPr>
                <w:rFonts w:hint="eastAsia" w:ascii="宋体" w:hAnsi="宋体" w:cs="宋体"/>
                <w:color w:val="000000"/>
                <w:sz w:val="21"/>
                <w:szCs w:val="21"/>
              </w:rPr>
              <w:t>对网上竞采文件第二篇、第三篇规定的竞采内容作出响应并完全满足。</w:t>
            </w:r>
          </w:p>
        </w:tc>
      </w:tr>
      <w:tr w14:paraId="1372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9" w:type="dxa"/>
            <w:vAlign w:val="center"/>
          </w:tcPr>
          <w:p w14:paraId="10CAE8EB">
            <w:pPr>
              <w:spacing w:line="400" w:lineRule="exact"/>
              <w:rPr>
                <w:rFonts w:hint="eastAsia" w:ascii="宋体" w:hAnsi="宋体" w:cs="宋体"/>
                <w:color w:val="000000"/>
                <w:sz w:val="21"/>
                <w:szCs w:val="21"/>
              </w:rPr>
            </w:pPr>
            <w:r>
              <w:rPr>
                <w:rFonts w:hint="eastAsia" w:ascii="宋体" w:hAnsi="宋体" w:cs="宋体"/>
                <w:color w:val="000000"/>
                <w:sz w:val="21"/>
                <w:szCs w:val="21"/>
              </w:rPr>
              <w:t>4</w:t>
            </w:r>
          </w:p>
        </w:tc>
        <w:tc>
          <w:tcPr>
            <w:tcW w:w="1418" w:type="dxa"/>
            <w:vAlign w:val="center"/>
          </w:tcPr>
          <w:p w14:paraId="55F78BB5">
            <w:pPr>
              <w:spacing w:line="400" w:lineRule="exact"/>
              <w:rPr>
                <w:rFonts w:hint="eastAsia" w:ascii="宋体" w:hAnsi="宋体" w:cs="宋体"/>
                <w:color w:val="000000"/>
                <w:sz w:val="21"/>
                <w:szCs w:val="21"/>
              </w:rPr>
            </w:pPr>
            <w:r>
              <w:rPr>
                <w:rFonts w:hint="eastAsia" w:ascii="宋体" w:hAnsi="宋体" w:cs="宋体"/>
                <w:color w:val="000000"/>
                <w:sz w:val="21"/>
                <w:szCs w:val="21"/>
              </w:rPr>
              <w:t>竞采有效期</w:t>
            </w:r>
          </w:p>
        </w:tc>
        <w:tc>
          <w:tcPr>
            <w:tcW w:w="1984" w:type="dxa"/>
            <w:vAlign w:val="center"/>
          </w:tcPr>
          <w:p w14:paraId="7938036C">
            <w:pPr>
              <w:spacing w:line="400" w:lineRule="exact"/>
              <w:rPr>
                <w:rFonts w:hint="eastAsia" w:ascii="宋体" w:hAnsi="宋体" w:cs="宋体"/>
                <w:color w:val="000000"/>
                <w:sz w:val="21"/>
                <w:szCs w:val="21"/>
              </w:rPr>
            </w:pPr>
            <w:r>
              <w:rPr>
                <w:rFonts w:hint="eastAsia" w:ascii="宋体" w:hAnsi="宋体" w:cs="宋体"/>
                <w:color w:val="000000"/>
                <w:sz w:val="21"/>
                <w:szCs w:val="21"/>
              </w:rPr>
              <w:t>响应有效期</w:t>
            </w:r>
          </w:p>
        </w:tc>
        <w:tc>
          <w:tcPr>
            <w:tcW w:w="5245" w:type="dxa"/>
            <w:vAlign w:val="center"/>
          </w:tcPr>
          <w:p w14:paraId="357A3247">
            <w:pPr>
              <w:spacing w:line="400" w:lineRule="exact"/>
              <w:rPr>
                <w:rFonts w:hint="eastAsia" w:ascii="宋体" w:hAnsi="宋体" w:cs="宋体"/>
                <w:color w:val="000000"/>
                <w:sz w:val="21"/>
                <w:szCs w:val="21"/>
              </w:rPr>
            </w:pPr>
            <w:r>
              <w:rPr>
                <w:rFonts w:hint="eastAsia" w:ascii="宋体" w:hAnsi="宋体" w:cs="宋体"/>
                <w:color w:val="000000"/>
                <w:sz w:val="21"/>
                <w:szCs w:val="21"/>
              </w:rPr>
              <w:t>竞采有效期为响应截止时间起90天。</w:t>
            </w:r>
          </w:p>
        </w:tc>
      </w:tr>
    </w:tbl>
    <w:p w14:paraId="17409DB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A2D81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（四）评审小组要求供应商澄清、说明或者更正响应文件应当以书面形式作出。供应商的澄清、说明或者更正应当由法定代表人或其授权代表签字或者加盖公章。由授权代表签字的，应当附法定代表人授权书。</w:t>
      </w:r>
    </w:p>
    <w:p w14:paraId="44249E1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五）评审小组采用综合评分法对通过资格、符合性审查的的应商进行综合评分。综合评分法，是指响应文件满足竞采文件全部实质性要求且按照评审因素的量化指标评审得分最高的供应商为成交候选供应商的评审方法。供应商总得分为价格、服务、商务等评定因素分别按照相应权重值计算分项得分后相加，满分为100分。</w:t>
      </w:r>
    </w:p>
    <w:p w14:paraId="24C15B92">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（六）</w:t>
      </w:r>
      <w:bookmarkStart w:id="120" w:name="_Toc24351"/>
      <w:r>
        <w:rPr>
          <w:rFonts w:hint="eastAsia" w:ascii="宋体" w:hAnsi="宋体" w:cs="宋体"/>
          <w:color w:val="000000"/>
          <w:sz w:val="24"/>
        </w:rPr>
        <w:t>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部分得分高低顺序排列推荐。以上都相同的，按商务部分得分高低顺序排列推荐。</w:t>
      </w:r>
    </w:p>
    <w:p w14:paraId="1DEA7BDA">
      <w:pPr>
        <w:pStyle w:val="4"/>
        <w:spacing w:before="0" w:after="0" w:line="400" w:lineRule="exact"/>
        <w:rPr>
          <w:rFonts w:hint="eastAsia" w:ascii="宋体" w:hAnsi="宋体" w:cs="宋体"/>
          <w:color w:val="000000"/>
          <w:sz w:val="24"/>
        </w:rPr>
      </w:pPr>
      <w:bookmarkStart w:id="121" w:name="_Toc17673"/>
      <w:r>
        <w:rPr>
          <w:rFonts w:hint="eastAsia" w:ascii="宋体" w:hAnsi="宋体" w:eastAsia="宋体" w:cs="宋体"/>
          <w:sz w:val="24"/>
          <w:szCs w:val="24"/>
        </w:rPr>
        <w:t>二、</w:t>
      </w:r>
      <w:bookmarkStart w:id="122" w:name="_Toc102227320"/>
      <w:bookmarkStart w:id="123" w:name="_Toc342913394"/>
      <w:r>
        <w:rPr>
          <w:rFonts w:hint="eastAsia" w:ascii="宋体" w:hAnsi="宋体" w:eastAsia="宋体" w:cs="宋体"/>
          <w:sz w:val="24"/>
          <w:szCs w:val="24"/>
        </w:rPr>
        <w:t>评审标准</w:t>
      </w:r>
      <w:bookmarkEnd w:id="120"/>
      <w:bookmarkEnd w:id="121"/>
      <w:bookmarkEnd w:id="122"/>
      <w:bookmarkEnd w:id="123"/>
      <w:r>
        <w:rPr>
          <w:rFonts w:hint="eastAsia" w:ascii="宋体" w:hAnsi="宋体" w:cs="宋体"/>
          <w:color w:val="000000"/>
          <w:sz w:val="24"/>
        </w:rPr>
        <w:t xml:space="preserve"> </w:t>
      </w:r>
    </w:p>
    <w:p w14:paraId="572F39FE">
      <w:pPr>
        <w:rPr>
          <w:rFonts w:hint="eastAsia" w:ascii="宋体" w:hAnsi="宋体" w:cs="宋体"/>
          <w:color w:val="000000" w:themeColor="text1"/>
          <w:sz w:val="24"/>
          <w14:textFill>
            <w14:solidFill>
              <w14:schemeClr w14:val="tx1"/>
            </w14:solidFill>
          </w14:textFill>
        </w:rPr>
      </w:pPr>
    </w:p>
    <w:tbl>
      <w:tblPr>
        <w:tblStyle w:val="28"/>
        <w:tblW w:w="1027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10"/>
        <w:gridCol w:w="5180"/>
        <w:gridCol w:w="2500"/>
      </w:tblGrid>
      <w:tr w14:paraId="6888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80" w:type="dxa"/>
            <w:vAlign w:val="center"/>
          </w:tcPr>
          <w:p w14:paraId="04F60461">
            <w:pPr>
              <w:tabs>
                <w:tab w:val="left" w:pos="1255"/>
                <w:tab w:val="left" w:pos="1506"/>
              </w:tabs>
              <w:snapToGrid w:val="0"/>
              <w:spacing w:line="276" w:lineRule="auto"/>
              <w:jc w:val="center"/>
              <w:rPr>
                <w:rFonts w:ascii="宋体" w:hAnsi="宋体" w:cs="宋体"/>
                <w:b/>
                <w:sz w:val="24"/>
                <w:szCs w:val="24"/>
              </w:rPr>
            </w:pPr>
            <w:r>
              <w:rPr>
                <w:rFonts w:hint="eastAsia" w:ascii="宋体" w:hAnsi="宋体" w:cs="宋体"/>
                <w:b/>
                <w:sz w:val="24"/>
                <w:szCs w:val="24"/>
              </w:rPr>
              <w:t>评分因素</w:t>
            </w:r>
          </w:p>
        </w:tc>
        <w:tc>
          <w:tcPr>
            <w:tcW w:w="1410" w:type="dxa"/>
            <w:vAlign w:val="center"/>
          </w:tcPr>
          <w:p w14:paraId="13EEDF70">
            <w:pPr>
              <w:tabs>
                <w:tab w:val="left" w:pos="1255"/>
                <w:tab w:val="left" w:pos="1506"/>
              </w:tabs>
              <w:snapToGrid w:val="0"/>
              <w:spacing w:line="276" w:lineRule="auto"/>
              <w:jc w:val="center"/>
              <w:rPr>
                <w:rFonts w:ascii="宋体" w:hAnsi="宋体" w:cs="宋体"/>
                <w:b/>
                <w:sz w:val="24"/>
                <w:szCs w:val="24"/>
              </w:rPr>
            </w:pPr>
            <w:r>
              <w:rPr>
                <w:rFonts w:hint="eastAsia" w:ascii="宋体" w:hAnsi="宋体" w:cs="宋体"/>
                <w:b/>
                <w:sz w:val="24"/>
                <w:szCs w:val="24"/>
              </w:rPr>
              <w:t>分值</w:t>
            </w:r>
          </w:p>
        </w:tc>
        <w:tc>
          <w:tcPr>
            <w:tcW w:w="5180" w:type="dxa"/>
            <w:vAlign w:val="center"/>
          </w:tcPr>
          <w:p w14:paraId="73532991">
            <w:pPr>
              <w:tabs>
                <w:tab w:val="left" w:pos="1255"/>
                <w:tab w:val="left" w:pos="1506"/>
              </w:tabs>
              <w:snapToGrid w:val="0"/>
              <w:spacing w:line="276" w:lineRule="auto"/>
              <w:jc w:val="center"/>
              <w:rPr>
                <w:rFonts w:ascii="宋体" w:hAnsi="宋体" w:cs="宋体"/>
                <w:b/>
                <w:sz w:val="24"/>
                <w:szCs w:val="24"/>
              </w:rPr>
            </w:pPr>
            <w:r>
              <w:rPr>
                <w:rFonts w:hint="eastAsia" w:ascii="宋体" w:hAnsi="宋体" w:cs="宋体"/>
                <w:b/>
                <w:sz w:val="24"/>
                <w:szCs w:val="24"/>
              </w:rPr>
              <w:t>评分标准</w:t>
            </w:r>
          </w:p>
        </w:tc>
        <w:tc>
          <w:tcPr>
            <w:tcW w:w="2500" w:type="dxa"/>
            <w:vAlign w:val="center"/>
          </w:tcPr>
          <w:p w14:paraId="73AC31A5">
            <w:pPr>
              <w:tabs>
                <w:tab w:val="left" w:pos="1255"/>
                <w:tab w:val="left" w:pos="1506"/>
              </w:tabs>
              <w:snapToGrid w:val="0"/>
              <w:spacing w:line="276" w:lineRule="auto"/>
              <w:jc w:val="center"/>
              <w:rPr>
                <w:rFonts w:ascii="宋体" w:hAnsi="宋体" w:cs="宋体"/>
                <w:b/>
                <w:sz w:val="24"/>
                <w:szCs w:val="24"/>
              </w:rPr>
            </w:pPr>
            <w:r>
              <w:rPr>
                <w:rFonts w:hint="eastAsia" w:ascii="宋体" w:hAnsi="宋体" w:cs="宋体"/>
                <w:b/>
                <w:sz w:val="24"/>
                <w:szCs w:val="24"/>
              </w:rPr>
              <w:t>说明</w:t>
            </w:r>
          </w:p>
        </w:tc>
      </w:tr>
      <w:tr w14:paraId="2F53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180" w:type="dxa"/>
            <w:vAlign w:val="center"/>
          </w:tcPr>
          <w:p w14:paraId="67F89FE2">
            <w:pPr>
              <w:tabs>
                <w:tab w:val="left" w:pos="1255"/>
                <w:tab w:val="left" w:pos="1506"/>
              </w:tabs>
              <w:snapToGrid w:val="0"/>
              <w:spacing w:line="276" w:lineRule="auto"/>
              <w:jc w:val="center"/>
              <w:rPr>
                <w:rFonts w:ascii="宋体" w:hAnsi="宋体" w:cs="宋体"/>
                <w:kern w:val="0"/>
                <w:sz w:val="21"/>
                <w:szCs w:val="21"/>
              </w:rPr>
            </w:pPr>
            <w:r>
              <w:rPr>
                <w:rFonts w:hint="eastAsia" w:ascii="宋体" w:hAnsi="宋体" w:cs="宋体"/>
                <w:kern w:val="0"/>
                <w:sz w:val="21"/>
                <w:szCs w:val="21"/>
              </w:rPr>
              <w:t>经济部分（10%）</w:t>
            </w:r>
          </w:p>
        </w:tc>
        <w:tc>
          <w:tcPr>
            <w:tcW w:w="1410" w:type="dxa"/>
            <w:vAlign w:val="center"/>
          </w:tcPr>
          <w:p w14:paraId="64472E97">
            <w:pPr>
              <w:tabs>
                <w:tab w:val="left" w:pos="1255"/>
                <w:tab w:val="left" w:pos="1506"/>
              </w:tabs>
              <w:snapToGrid w:val="0"/>
              <w:spacing w:line="276" w:lineRule="auto"/>
              <w:jc w:val="center"/>
              <w:rPr>
                <w:rFonts w:hint="eastAsia" w:ascii="宋体" w:hAnsi="宋体" w:cs="宋体"/>
                <w:kern w:val="0"/>
                <w:sz w:val="21"/>
                <w:szCs w:val="21"/>
              </w:rPr>
            </w:pPr>
            <w:r>
              <w:rPr>
                <w:rFonts w:hint="eastAsia" w:ascii="宋体" w:hAnsi="宋体" w:cs="宋体"/>
                <w:kern w:val="0"/>
                <w:sz w:val="21"/>
                <w:szCs w:val="21"/>
              </w:rPr>
              <w:t>竞采报价</w:t>
            </w:r>
          </w:p>
          <w:p w14:paraId="3DCC2DF0">
            <w:pPr>
              <w:tabs>
                <w:tab w:val="left" w:pos="1255"/>
                <w:tab w:val="left" w:pos="1506"/>
              </w:tabs>
              <w:snapToGrid w:val="0"/>
              <w:spacing w:line="276" w:lineRule="auto"/>
              <w:jc w:val="center"/>
              <w:rPr>
                <w:rFonts w:ascii="宋体" w:hAnsi="宋体" w:cs="宋体"/>
                <w:kern w:val="0"/>
                <w:sz w:val="21"/>
                <w:szCs w:val="21"/>
              </w:rPr>
            </w:pPr>
            <w:r>
              <w:rPr>
                <w:rFonts w:hint="eastAsia" w:ascii="宋体" w:hAnsi="宋体" w:cs="宋体"/>
                <w:kern w:val="0"/>
                <w:sz w:val="21"/>
                <w:szCs w:val="21"/>
              </w:rPr>
              <w:t>（10分）</w:t>
            </w:r>
          </w:p>
        </w:tc>
        <w:tc>
          <w:tcPr>
            <w:tcW w:w="5180" w:type="dxa"/>
            <w:vAlign w:val="center"/>
          </w:tcPr>
          <w:p w14:paraId="1C54D17D">
            <w:pPr>
              <w:tabs>
                <w:tab w:val="left" w:pos="1255"/>
                <w:tab w:val="left" w:pos="1506"/>
              </w:tabs>
              <w:snapToGrid w:val="0"/>
              <w:spacing w:line="276" w:lineRule="auto"/>
              <w:rPr>
                <w:rFonts w:ascii="宋体" w:hAnsi="宋体" w:cs="宋体"/>
                <w:kern w:val="0"/>
                <w:sz w:val="21"/>
                <w:szCs w:val="21"/>
              </w:rPr>
            </w:pPr>
            <w:r>
              <w:rPr>
                <w:rFonts w:hint="eastAsia" w:ascii="宋体" w:hAnsi="宋体" w:cs="宋体"/>
                <w:kern w:val="0"/>
                <w:sz w:val="21"/>
                <w:szCs w:val="21"/>
              </w:rPr>
              <w:t>有效响应报价中的最低报价为此项评审基准值。按照下列公式计算每个供应商的报价得分。</w:t>
            </w:r>
          </w:p>
          <w:p w14:paraId="2AD524EE">
            <w:pPr>
              <w:tabs>
                <w:tab w:val="left" w:pos="1255"/>
                <w:tab w:val="left" w:pos="1506"/>
              </w:tabs>
              <w:snapToGrid w:val="0"/>
              <w:spacing w:line="276" w:lineRule="auto"/>
              <w:rPr>
                <w:rFonts w:ascii="宋体" w:hAnsi="宋体" w:cs="宋体"/>
                <w:kern w:val="0"/>
                <w:sz w:val="21"/>
                <w:szCs w:val="21"/>
              </w:rPr>
            </w:pPr>
            <w:r>
              <w:rPr>
                <w:rFonts w:hint="eastAsia" w:ascii="宋体" w:hAnsi="宋体" w:cs="宋体"/>
                <w:kern w:val="0"/>
                <w:sz w:val="21"/>
                <w:szCs w:val="21"/>
              </w:rPr>
              <w:t>=报价得分＝（评审基准值/竞采报价）×价格分权重×100。</w:t>
            </w:r>
          </w:p>
        </w:tc>
        <w:tc>
          <w:tcPr>
            <w:tcW w:w="2500" w:type="dxa"/>
            <w:vAlign w:val="center"/>
          </w:tcPr>
          <w:p w14:paraId="6892AA2A">
            <w:pPr>
              <w:tabs>
                <w:tab w:val="left" w:pos="1255"/>
                <w:tab w:val="left" w:pos="1506"/>
              </w:tabs>
              <w:snapToGrid w:val="0"/>
              <w:spacing w:line="276" w:lineRule="auto"/>
              <w:rPr>
                <w:rFonts w:ascii="宋体" w:hAnsi="宋体" w:cs="宋体"/>
                <w:kern w:val="0"/>
                <w:sz w:val="21"/>
                <w:szCs w:val="21"/>
              </w:rPr>
            </w:pPr>
            <w:r>
              <w:rPr>
                <w:rFonts w:hint="eastAsia" w:ascii="宋体" w:hAnsi="宋体" w:cs="宋体"/>
                <w:kern w:val="0"/>
                <w:sz w:val="21"/>
                <w:szCs w:val="21"/>
              </w:rPr>
              <w:t>对小微企业的价格用扣除后的价格参与评审，详见“注：关于小微企业报价扣除比例说明”</w:t>
            </w:r>
          </w:p>
        </w:tc>
      </w:tr>
      <w:tr w14:paraId="2E51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80" w:type="dxa"/>
            <w:vMerge w:val="restart"/>
            <w:vAlign w:val="center"/>
          </w:tcPr>
          <w:p w14:paraId="5DD465D9">
            <w:pPr>
              <w:tabs>
                <w:tab w:val="left" w:pos="1255"/>
                <w:tab w:val="left" w:pos="1506"/>
              </w:tabs>
              <w:snapToGrid w:val="0"/>
              <w:spacing w:line="276" w:lineRule="auto"/>
              <w:jc w:val="center"/>
              <w:rPr>
                <w:rFonts w:ascii="宋体" w:hAnsi="宋体" w:cs="宋体"/>
                <w:kern w:val="0"/>
                <w:sz w:val="21"/>
                <w:szCs w:val="21"/>
              </w:rPr>
            </w:pPr>
            <w:r>
              <w:rPr>
                <w:rFonts w:hint="eastAsia" w:ascii="宋体" w:hAnsi="宋体" w:cs="宋体"/>
                <w:kern w:val="0"/>
                <w:sz w:val="21"/>
                <w:szCs w:val="21"/>
              </w:rPr>
              <w:t>服务部分（55%）</w:t>
            </w:r>
          </w:p>
        </w:tc>
        <w:tc>
          <w:tcPr>
            <w:tcW w:w="1410" w:type="dxa"/>
            <w:vAlign w:val="center"/>
          </w:tcPr>
          <w:p w14:paraId="7CA816C2">
            <w:pPr>
              <w:tabs>
                <w:tab w:val="left" w:pos="1506"/>
              </w:tabs>
              <w:snapToGrid w:val="0"/>
              <w:spacing w:line="276" w:lineRule="auto"/>
              <w:jc w:val="center"/>
              <w:rPr>
                <w:rFonts w:ascii="宋体" w:hAnsi="宋体" w:cs="宋体"/>
                <w:kern w:val="0"/>
                <w:sz w:val="21"/>
                <w:szCs w:val="21"/>
              </w:rPr>
            </w:pPr>
            <w:r>
              <w:rPr>
                <w:rFonts w:hint="eastAsia" w:ascii="宋体" w:hAnsi="宋体" w:cs="宋体"/>
                <w:kern w:val="0"/>
                <w:sz w:val="21"/>
                <w:szCs w:val="21"/>
              </w:rPr>
              <w:t>内容理解和分析（</w:t>
            </w:r>
            <w:r>
              <w:rPr>
                <w:rFonts w:ascii="宋体" w:hAnsi="宋体" w:cs="宋体"/>
                <w:kern w:val="0"/>
                <w:sz w:val="21"/>
                <w:szCs w:val="21"/>
              </w:rPr>
              <w:t>15</w:t>
            </w:r>
            <w:r>
              <w:rPr>
                <w:rFonts w:hint="eastAsia" w:ascii="宋体" w:hAnsi="宋体" w:cs="宋体"/>
                <w:kern w:val="0"/>
                <w:sz w:val="21"/>
                <w:szCs w:val="21"/>
              </w:rPr>
              <w:t>分）</w:t>
            </w:r>
          </w:p>
        </w:tc>
        <w:tc>
          <w:tcPr>
            <w:tcW w:w="5180" w:type="dxa"/>
            <w:vAlign w:val="center"/>
          </w:tcPr>
          <w:p w14:paraId="3E5E0434">
            <w:pPr>
              <w:spacing w:line="276" w:lineRule="auto"/>
              <w:rPr>
                <w:rFonts w:ascii="宋体" w:hAnsi="宋体" w:cs="宋体"/>
                <w:kern w:val="0"/>
                <w:sz w:val="21"/>
                <w:szCs w:val="21"/>
              </w:rPr>
            </w:pPr>
            <w:r>
              <w:rPr>
                <w:rFonts w:hint="eastAsia" w:ascii="宋体" w:hAnsi="宋体" w:cs="宋体"/>
                <w:sz w:val="21"/>
                <w:szCs w:val="21"/>
              </w:rPr>
              <w:t>根据供应商对项目需求、熟悉程度、项目目标的理解进行评审： 1.能够全面理解项目需求，且准确地阐述项目建设环境、建设目标、建设内容及业主需求的，得</w:t>
            </w:r>
            <w:r>
              <w:rPr>
                <w:rFonts w:ascii="宋体" w:hAnsi="宋体" w:cs="宋体"/>
                <w:sz w:val="21"/>
                <w:szCs w:val="21"/>
              </w:rPr>
              <w:t>15</w:t>
            </w:r>
            <w:r>
              <w:rPr>
                <w:rFonts w:hint="eastAsia" w:ascii="宋体" w:hAnsi="宋体" w:cs="宋体"/>
                <w:sz w:val="21"/>
                <w:szCs w:val="21"/>
              </w:rPr>
              <w:t>分； 2.对项目需求理解、熟悉程度或建设目标有较好理解的，得</w:t>
            </w:r>
            <w:r>
              <w:rPr>
                <w:rFonts w:ascii="宋体" w:hAnsi="宋体" w:cs="宋体"/>
                <w:sz w:val="21"/>
                <w:szCs w:val="21"/>
              </w:rPr>
              <w:t>8</w:t>
            </w:r>
            <w:r>
              <w:rPr>
                <w:rFonts w:hint="eastAsia" w:ascii="宋体" w:hAnsi="宋体" w:cs="宋体"/>
                <w:sz w:val="21"/>
                <w:szCs w:val="21"/>
              </w:rPr>
              <w:t>分；  3.对项目需求理解有欠缺、不熟悉，不能明确建设目标的，得</w:t>
            </w:r>
            <w:r>
              <w:rPr>
                <w:rFonts w:ascii="宋体" w:hAnsi="宋体" w:cs="宋体"/>
                <w:sz w:val="21"/>
                <w:szCs w:val="21"/>
              </w:rPr>
              <w:t>0</w:t>
            </w:r>
            <w:r>
              <w:rPr>
                <w:rFonts w:hint="eastAsia" w:ascii="宋体" w:hAnsi="宋体" w:cs="宋体"/>
                <w:sz w:val="21"/>
                <w:szCs w:val="21"/>
              </w:rPr>
              <w:t>分。  注：不提供不得分。</w:t>
            </w:r>
          </w:p>
        </w:tc>
        <w:tc>
          <w:tcPr>
            <w:tcW w:w="2500" w:type="dxa"/>
            <w:vMerge w:val="restart"/>
            <w:vAlign w:val="center"/>
          </w:tcPr>
          <w:p w14:paraId="2737AADB">
            <w:pPr>
              <w:tabs>
                <w:tab w:val="left" w:pos="1255"/>
                <w:tab w:val="left" w:pos="1506"/>
              </w:tabs>
              <w:snapToGrid w:val="0"/>
              <w:spacing w:line="276" w:lineRule="auto"/>
              <w:rPr>
                <w:rFonts w:ascii="宋体" w:hAnsi="宋体" w:cs="宋体"/>
                <w:kern w:val="0"/>
                <w:sz w:val="21"/>
                <w:szCs w:val="21"/>
              </w:rPr>
            </w:pPr>
            <w:r>
              <w:rPr>
                <w:rFonts w:hint="eastAsia" w:ascii="宋体" w:hAnsi="宋体" w:cs="宋体"/>
                <w:kern w:val="0"/>
                <w:sz w:val="21"/>
                <w:szCs w:val="21"/>
              </w:rPr>
              <w:t>提供相应的方案，格式自拟。</w:t>
            </w:r>
          </w:p>
        </w:tc>
      </w:tr>
      <w:tr w14:paraId="5411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180" w:type="dxa"/>
            <w:vMerge w:val="continue"/>
            <w:vAlign w:val="center"/>
          </w:tcPr>
          <w:p w14:paraId="7722A449">
            <w:pPr>
              <w:tabs>
                <w:tab w:val="left" w:pos="1255"/>
                <w:tab w:val="left" w:pos="1506"/>
              </w:tabs>
              <w:snapToGrid w:val="0"/>
              <w:spacing w:line="276" w:lineRule="auto"/>
              <w:jc w:val="center"/>
              <w:rPr>
                <w:rFonts w:ascii="宋体" w:hAnsi="宋体" w:cs="宋体"/>
                <w:kern w:val="0"/>
                <w:sz w:val="21"/>
                <w:szCs w:val="21"/>
              </w:rPr>
            </w:pPr>
          </w:p>
        </w:tc>
        <w:tc>
          <w:tcPr>
            <w:tcW w:w="1410" w:type="dxa"/>
            <w:vAlign w:val="center"/>
          </w:tcPr>
          <w:p w14:paraId="508D8418">
            <w:pPr>
              <w:tabs>
                <w:tab w:val="left" w:pos="1255"/>
                <w:tab w:val="left" w:pos="1506"/>
              </w:tabs>
              <w:snapToGrid w:val="0"/>
              <w:spacing w:line="276" w:lineRule="auto"/>
              <w:jc w:val="center"/>
              <w:rPr>
                <w:rFonts w:hint="eastAsia" w:ascii="宋体" w:hAnsi="宋体" w:cs="宋体"/>
                <w:sz w:val="21"/>
                <w:szCs w:val="21"/>
              </w:rPr>
            </w:pPr>
            <w:r>
              <w:rPr>
                <w:rFonts w:hint="eastAsia" w:ascii="宋体" w:hAnsi="宋体" w:cs="宋体"/>
                <w:sz w:val="21"/>
                <w:szCs w:val="21"/>
              </w:rPr>
              <w:t>对本项目编制依据及大纲的把握方案 (</w:t>
            </w:r>
            <w:r>
              <w:rPr>
                <w:rFonts w:ascii="宋体" w:hAnsi="宋体" w:cs="宋体"/>
                <w:sz w:val="21"/>
                <w:szCs w:val="21"/>
              </w:rPr>
              <w:t>10</w:t>
            </w:r>
            <w:r>
              <w:rPr>
                <w:rFonts w:hint="eastAsia" w:ascii="宋体" w:hAnsi="宋体" w:cs="宋体"/>
                <w:sz w:val="21"/>
                <w:szCs w:val="21"/>
              </w:rPr>
              <w:t>分)</w:t>
            </w:r>
          </w:p>
        </w:tc>
        <w:tc>
          <w:tcPr>
            <w:tcW w:w="5180" w:type="dxa"/>
            <w:vAlign w:val="center"/>
          </w:tcPr>
          <w:p w14:paraId="3888C0DB">
            <w:pPr>
              <w:spacing w:line="276" w:lineRule="auto"/>
              <w:rPr>
                <w:rFonts w:hint="eastAsia" w:ascii="宋体" w:hAnsi="宋体" w:cs="宋体"/>
                <w:sz w:val="21"/>
                <w:szCs w:val="21"/>
              </w:rPr>
            </w:pPr>
            <w:r>
              <w:rPr>
                <w:rFonts w:hint="eastAsia" w:ascii="宋体" w:hAnsi="宋体" w:cs="宋体"/>
                <w:sz w:val="21"/>
                <w:szCs w:val="21"/>
              </w:rPr>
              <w:t>根据供应商对项目编制依据及编制大纲的把握是否全面、深入、清晰、准确等情况进行评审：   1、对项目需求的理解完整准确，研究深入，提出合理、切实可行的总体思路，得</w:t>
            </w:r>
            <w:r>
              <w:rPr>
                <w:rFonts w:ascii="宋体" w:hAnsi="宋体" w:cs="宋体"/>
                <w:sz w:val="21"/>
                <w:szCs w:val="21"/>
              </w:rPr>
              <w:t>10</w:t>
            </w:r>
            <w:r>
              <w:rPr>
                <w:rFonts w:hint="eastAsia" w:ascii="宋体" w:hAnsi="宋体" w:cs="宋体"/>
                <w:sz w:val="21"/>
                <w:szCs w:val="21"/>
              </w:rPr>
              <w:t>分；   2、对项目需求的理解比较准确，无深入研究，提出总体思路基本符合任务书要求，但针对性不够的，得5分；   3、对项目需求的理解不太充分，无研究，提出的总体思路内容粗糙、简单，得1分。   注：不提供不得分。</w:t>
            </w:r>
          </w:p>
        </w:tc>
        <w:tc>
          <w:tcPr>
            <w:tcW w:w="2500" w:type="dxa"/>
            <w:vMerge w:val="continue"/>
            <w:vAlign w:val="center"/>
          </w:tcPr>
          <w:p w14:paraId="6B86FDCA">
            <w:pPr>
              <w:tabs>
                <w:tab w:val="left" w:pos="1255"/>
                <w:tab w:val="left" w:pos="1506"/>
              </w:tabs>
              <w:snapToGrid w:val="0"/>
              <w:spacing w:line="276" w:lineRule="auto"/>
              <w:rPr>
                <w:rFonts w:ascii="宋体" w:hAnsi="宋体" w:cs="宋体"/>
                <w:kern w:val="0"/>
                <w:sz w:val="21"/>
                <w:szCs w:val="21"/>
              </w:rPr>
            </w:pPr>
          </w:p>
        </w:tc>
      </w:tr>
      <w:tr w14:paraId="2B17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180" w:type="dxa"/>
            <w:vMerge w:val="continue"/>
            <w:vAlign w:val="center"/>
          </w:tcPr>
          <w:p w14:paraId="60589C42">
            <w:pPr>
              <w:tabs>
                <w:tab w:val="left" w:pos="1255"/>
                <w:tab w:val="left" w:pos="1506"/>
              </w:tabs>
              <w:snapToGrid w:val="0"/>
              <w:spacing w:line="276" w:lineRule="auto"/>
              <w:jc w:val="center"/>
              <w:rPr>
                <w:rFonts w:ascii="宋体" w:hAnsi="宋体" w:cs="宋体"/>
                <w:kern w:val="0"/>
                <w:sz w:val="21"/>
                <w:szCs w:val="21"/>
              </w:rPr>
            </w:pPr>
          </w:p>
        </w:tc>
        <w:tc>
          <w:tcPr>
            <w:tcW w:w="1410" w:type="dxa"/>
            <w:vAlign w:val="center"/>
          </w:tcPr>
          <w:p w14:paraId="74587F23">
            <w:pPr>
              <w:tabs>
                <w:tab w:val="left" w:pos="1255"/>
                <w:tab w:val="left" w:pos="1506"/>
              </w:tabs>
              <w:snapToGrid w:val="0"/>
              <w:spacing w:line="276" w:lineRule="auto"/>
              <w:jc w:val="center"/>
              <w:rPr>
                <w:rFonts w:hint="eastAsia" w:ascii="宋体" w:hAnsi="宋体" w:cs="宋体"/>
                <w:sz w:val="21"/>
                <w:szCs w:val="21"/>
              </w:rPr>
            </w:pPr>
            <w:r>
              <w:rPr>
                <w:rFonts w:hint="eastAsia" w:ascii="宋体" w:hAnsi="宋体" w:cs="宋体"/>
                <w:sz w:val="21"/>
                <w:szCs w:val="21"/>
              </w:rPr>
              <w:t>本项目人员配置及管理制度方案 (</w:t>
            </w:r>
            <w:r>
              <w:rPr>
                <w:rFonts w:ascii="宋体" w:hAnsi="宋体" w:cs="宋体"/>
                <w:sz w:val="21"/>
                <w:szCs w:val="21"/>
              </w:rPr>
              <w:t>10</w:t>
            </w:r>
            <w:r>
              <w:rPr>
                <w:rFonts w:hint="eastAsia" w:ascii="宋体" w:hAnsi="宋体" w:cs="宋体"/>
                <w:sz w:val="21"/>
                <w:szCs w:val="21"/>
              </w:rPr>
              <w:t>分)</w:t>
            </w:r>
          </w:p>
        </w:tc>
        <w:tc>
          <w:tcPr>
            <w:tcW w:w="5180" w:type="dxa"/>
            <w:vAlign w:val="center"/>
          </w:tcPr>
          <w:p w14:paraId="51CB9565">
            <w:pPr>
              <w:spacing w:line="276" w:lineRule="auto"/>
              <w:rPr>
                <w:rFonts w:hint="eastAsia" w:ascii="宋体" w:hAnsi="宋体" w:cs="宋体"/>
                <w:sz w:val="21"/>
                <w:szCs w:val="21"/>
              </w:rPr>
            </w:pPr>
            <w:r>
              <w:rPr>
                <w:rFonts w:hint="eastAsia" w:ascii="宋体" w:hAnsi="宋体" w:cs="宋体"/>
                <w:sz w:val="21"/>
                <w:szCs w:val="21"/>
              </w:rPr>
              <w:t>根据供应商对项目人员配置是否专业，管理制度是否健全、合理等情况进行评审：  1、对项目人员配置专业性强，管理制度完善、合理，得</w:t>
            </w:r>
            <w:r>
              <w:rPr>
                <w:rFonts w:ascii="宋体" w:hAnsi="宋体" w:cs="宋体"/>
                <w:sz w:val="21"/>
                <w:szCs w:val="21"/>
              </w:rPr>
              <w:t>10</w:t>
            </w:r>
            <w:r>
              <w:rPr>
                <w:rFonts w:hint="eastAsia" w:ascii="宋体" w:hAnsi="宋体" w:cs="宋体"/>
                <w:sz w:val="21"/>
                <w:szCs w:val="21"/>
              </w:rPr>
              <w:t>分；  2、对项目人员配置专业性较好，管理制度健全、合理，得</w:t>
            </w:r>
            <w:r>
              <w:rPr>
                <w:rFonts w:ascii="宋体" w:hAnsi="宋体" w:cs="宋体"/>
                <w:sz w:val="21"/>
                <w:szCs w:val="21"/>
              </w:rPr>
              <w:t>5</w:t>
            </w:r>
            <w:r>
              <w:rPr>
                <w:rFonts w:hint="eastAsia" w:ascii="宋体" w:hAnsi="宋体" w:cs="宋体"/>
                <w:sz w:val="21"/>
                <w:szCs w:val="21"/>
              </w:rPr>
              <w:t>分；   3、对项目人员配置专业性低于其他档次供应商，管理制度基本合理，得1分。   注：不提供不得分。</w:t>
            </w:r>
          </w:p>
        </w:tc>
        <w:tc>
          <w:tcPr>
            <w:tcW w:w="2500" w:type="dxa"/>
            <w:vMerge w:val="continue"/>
            <w:vAlign w:val="center"/>
          </w:tcPr>
          <w:p w14:paraId="34F41679">
            <w:pPr>
              <w:tabs>
                <w:tab w:val="left" w:pos="1255"/>
                <w:tab w:val="left" w:pos="1506"/>
              </w:tabs>
              <w:snapToGrid w:val="0"/>
              <w:spacing w:line="276" w:lineRule="auto"/>
              <w:rPr>
                <w:rFonts w:ascii="宋体" w:hAnsi="宋体" w:cs="宋体"/>
                <w:kern w:val="0"/>
                <w:sz w:val="21"/>
                <w:szCs w:val="21"/>
              </w:rPr>
            </w:pPr>
          </w:p>
        </w:tc>
      </w:tr>
      <w:tr w14:paraId="536F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1180" w:type="dxa"/>
            <w:vMerge w:val="continue"/>
            <w:vAlign w:val="center"/>
          </w:tcPr>
          <w:p w14:paraId="1AE4816A">
            <w:pPr>
              <w:tabs>
                <w:tab w:val="left" w:pos="1255"/>
                <w:tab w:val="left" w:pos="1506"/>
              </w:tabs>
              <w:snapToGrid w:val="0"/>
              <w:spacing w:line="276" w:lineRule="auto"/>
              <w:jc w:val="center"/>
              <w:rPr>
                <w:rFonts w:ascii="宋体" w:hAnsi="宋体" w:cs="宋体"/>
                <w:kern w:val="0"/>
                <w:sz w:val="21"/>
                <w:szCs w:val="21"/>
              </w:rPr>
            </w:pPr>
          </w:p>
        </w:tc>
        <w:tc>
          <w:tcPr>
            <w:tcW w:w="1410" w:type="dxa"/>
            <w:vAlign w:val="center"/>
          </w:tcPr>
          <w:p w14:paraId="7406C5F2">
            <w:pPr>
              <w:tabs>
                <w:tab w:val="left" w:pos="1255"/>
                <w:tab w:val="left" w:pos="1506"/>
              </w:tabs>
              <w:snapToGrid w:val="0"/>
              <w:spacing w:line="276" w:lineRule="auto"/>
              <w:jc w:val="center"/>
              <w:rPr>
                <w:rFonts w:hint="eastAsia" w:ascii="宋体" w:hAnsi="宋体" w:cs="宋体"/>
                <w:sz w:val="21"/>
                <w:szCs w:val="21"/>
              </w:rPr>
            </w:pPr>
            <w:r>
              <w:rPr>
                <w:rFonts w:hint="eastAsia" w:ascii="宋体" w:hAnsi="宋体" w:cs="宋体"/>
                <w:sz w:val="21"/>
                <w:szCs w:val="21"/>
              </w:rPr>
              <w:t>配合措施方案 (</w:t>
            </w:r>
            <w:r>
              <w:rPr>
                <w:rFonts w:ascii="宋体" w:hAnsi="宋体" w:cs="宋体"/>
                <w:sz w:val="21"/>
                <w:szCs w:val="21"/>
              </w:rPr>
              <w:t>10</w:t>
            </w:r>
            <w:r>
              <w:rPr>
                <w:rFonts w:hint="eastAsia" w:ascii="宋体" w:hAnsi="宋体" w:cs="宋体"/>
                <w:sz w:val="21"/>
                <w:szCs w:val="21"/>
              </w:rPr>
              <w:t>分)</w:t>
            </w:r>
          </w:p>
        </w:tc>
        <w:tc>
          <w:tcPr>
            <w:tcW w:w="5180" w:type="dxa"/>
            <w:vAlign w:val="center"/>
          </w:tcPr>
          <w:p w14:paraId="4B7DB597">
            <w:pPr>
              <w:spacing w:line="276" w:lineRule="auto"/>
              <w:rPr>
                <w:rFonts w:hint="eastAsia" w:ascii="宋体" w:hAnsi="宋体" w:cs="宋体"/>
                <w:sz w:val="21"/>
                <w:szCs w:val="21"/>
              </w:rPr>
            </w:pPr>
            <w:r>
              <w:rPr>
                <w:rFonts w:hint="eastAsia" w:ascii="宋体" w:hAnsi="宋体" w:cs="宋体"/>
                <w:sz w:val="21"/>
                <w:szCs w:val="21"/>
              </w:rPr>
              <w:t>根据供应商提供项目工作具体配合措施方案、响应采购人的要求等进行评审：1、各项配合措施方案阐述详细，针对性强，能有效保障项目的整体进展，得</w:t>
            </w:r>
            <w:r>
              <w:rPr>
                <w:rFonts w:ascii="宋体" w:hAnsi="宋体" w:cs="宋体"/>
                <w:sz w:val="21"/>
                <w:szCs w:val="21"/>
              </w:rPr>
              <w:t>10</w:t>
            </w:r>
            <w:r>
              <w:rPr>
                <w:rFonts w:hint="eastAsia" w:ascii="宋体" w:hAnsi="宋体" w:cs="宋体"/>
                <w:sz w:val="21"/>
                <w:szCs w:val="21"/>
              </w:rPr>
              <w:t>分； 2、各项配合措施方案阐述简单，针对性一般，能有效保障项目的整体进展，得</w:t>
            </w:r>
            <w:r>
              <w:rPr>
                <w:rFonts w:ascii="宋体" w:hAnsi="宋体" w:cs="宋体"/>
                <w:sz w:val="21"/>
                <w:szCs w:val="21"/>
              </w:rPr>
              <w:t>5</w:t>
            </w:r>
            <w:r>
              <w:rPr>
                <w:rFonts w:hint="eastAsia" w:ascii="宋体" w:hAnsi="宋体" w:cs="宋体"/>
                <w:sz w:val="21"/>
                <w:szCs w:val="21"/>
              </w:rPr>
              <w:t>分； 3、各项配合措施方案阐述粗糙，不能有效保障项目的整体进展，得1分。   注：不提供不得分。</w:t>
            </w:r>
          </w:p>
        </w:tc>
        <w:tc>
          <w:tcPr>
            <w:tcW w:w="2500" w:type="dxa"/>
            <w:vMerge w:val="continue"/>
            <w:vAlign w:val="center"/>
          </w:tcPr>
          <w:p w14:paraId="53F8C456">
            <w:pPr>
              <w:tabs>
                <w:tab w:val="left" w:pos="1255"/>
                <w:tab w:val="left" w:pos="1506"/>
              </w:tabs>
              <w:snapToGrid w:val="0"/>
              <w:spacing w:line="276" w:lineRule="auto"/>
              <w:rPr>
                <w:rFonts w:ascii="宋体" w:hAnsi="宋体" w:cs="宋体"/>
                <w:kern w:val="0"/>
                <w:sz w:val="21"/>
                <w:szCs w:val="21"/>
              </w:rPr>
            </w:pPr>
          </w:p>
        </w:tc>
      </w:tr>
      <w:tr w14:paraId="2D81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80" w:type="dxa"/>
            <w:vMerge w:val="continue"/>
            <w:vAlign w:val="center"/>
          </w:tcPr>
          <w:p w14:paraId="7F41195E">
            <w:pPr>
              <w:tabs>
                <w:tab w:val="left" w:pos="1255"/>
                <w:tab w:val="left" w:pos="1506"/>
              </w:tabs>
              <w:snapToGrid w:val="0"/>
              <w:spacing w:line="276" w:lineRule="auto"/>
              <w:jc w:val="center"/>
              <w:rPr>
                <w:rFonts w:ascii="宋体" w:hAnsi="宋体" w:cs="宋体"/>
                <w:kern w:val="0"/>
                <w:sz w:val="21"/>
                <w:szCs w:val="21"/>
              </w:rPr>
            </w:pPr>
          </w:p>
        </w:tc>
        <w:tc>
          <w:tcPr>
            <w:tcW w:w="1410" w:type="dxa"/>
            <w:vAlign w:val="center"/>
          </w:tcPr>
          <w:p w14:paraId="0291EF74">
            <w:pPr>
              <w:tabs>
                <w:tab w:val="left" w:pos="1255"/>
                <w:tab w:val="left" w:pos="1506"/>
              </w:tabs>
              <w:snapToGrid w:val="0"/>
              <w:spacing w:line="276" w:lineRule="auto"/>
              <w:jc w:val="center"/>
              <w:rPr>
                <w:rFonts w:ascii="宋体" w:hAnsi="宋体" w:cs="宋体"/>
                <w:kern w:val="0"/>
                <w:sz w:val="21"/>
                <w:szCs w:val="21"/>
              </w:rPr>
            </w:pPr>
            <w:r>
              <w:rPr>
                <w:rFonts w:hint="eastAsia" w:ascii="宋体" w:hAnsi="宋体" w:cs="宋体"/>
                <w:sz w:val="21"/>
                <w:szCs w:val="21"/>
              </w:rPr>
              <w:t>应急预案 (</w:t>
            </w:r>
            <w:r>
              <w:rPr>
                <w:rFonts w:ascii="宋体" w:hAnsi="宋体" w:cs="宋体"/>
                <w:sz w:val="21"/>
                <w:szCs w:val="21"/>
              </w:rPr>
              <w:t>10</w:t>
            </w:r>
            <w:r>
              <w:rPr>
                <w:rFonts w:hint="eastAsia" w:ascii="宋体" w:hAnsi="宋体" w:cs="宋体"/>
                <w:sz w:val="21"/>
                <w:szCs w:val="21"/>
              </w:rPr>
              <w:t>分)</w:t>
            </w:r>
          </w:p>
        </w:tc>
        <w:tc>
          <w:tcPr>
            <w:tcW w:w="5180" w:type="dxa"/>
            <w:vAlign w:val="center"/>
          </w:tcPr>
          <w:p w14:paraId="39462C69">
            <w:pPr>
              <w:spacing w:line="276" w:lineRule="auto"/>
              <w:rPr>
                <w:rFonts w:ascii="宋体" w:hAnsi="宋体" w:cs="宋体"/>
                <w:kern w:val="0"/>
                <w:sz w:val="21"/>
                <w:szCs w:val="21"/>
              </w:rPr>
            </w:pPr>
            <w:r>
              <w:rPr>
                <w:rFonts w:hint="eastAsia" w:ascii="宋体" w:hAnsi="宋体" w:cs="宋体"/>
                <w:sz w:val="21"/>
                <w:szCs w:val="21"/>
              </w:rPr>
              <w:t>根据供应商提供本项工作应急预案等进行评审：  1、各项应急预案阐述详细，针对性强，能有效保障项目安全及生产秩序，得</w:t>
            </w:r>
            <w:r>
              <w:rPr>
                <w:rFonts w:ascii="宋体" w:hAnsi="宋体" w:cs="宋体"/>
                <w:sz w:val="21"/>
                <w:szCs w:val="21"/>
              </w:rPr>
              <w:t>10</w:t>
            </w:r>
            <w:r>
              <w:rPr>
                <w:rFonts w:hint="eastAsia" w:ascii="宋体" w:hAnsi="宋体" w:cs="宋体"/>
                <w:sz w:val="21"/>
                <w:szCs w:val="21"/>
              </w:rPr>
              <w:t>分；   2、各项应急预案阐述简单，针对性一般，能有效保障项目的安全和生产秩序，得</w:t>
            </w:r>
            <w:r>
              <w:rPr>
                <w:rFonts w:ascii="宋体" w:hAnsi="宋体" w:cs="宋体"/>
                <w:sz w:val="21"/>
                <w:szCs w:val="21"/>
              </w:rPr>
              <w:t>5</w:t>
            </w:r>
            <w:r>
              <w:rPr>
                <w:rFonts w:hint="eastAsia" w:ascii="宋体" w:hAnsi="宋体" w:cs="宋体"/>
                <w:sz w:val="21"/>
                <w:szCs w:val="21"/>
              </w:rPr>
              <w:t>分；  3、各项应急预案阐述粗糙，不能有效保障项目的安全和生产秩序，得1分。   注：不提供不得分。</w:t>
            </w:r>
          </w:p>
        </w:tc>
        <w:tc>
          <w:tcPr>
            <w:tcW w:w="2500" w:type="dxa"/>
            <w:vMerge w:val="continue"/>
            <w:vAlign w:val="center"/>
          </w:tcPr>
          <w:p w14:paraId="7C9BA663">
            <w:pPr>
              <w:tabs>
                <w:tab w:val="left" w:pos="1255"/>
                <w:tab w:val="left" w:pos="1506"/>
              </w:tabs>
              <w:snapToGrid w:val="0"/>
              <w:spacing w:line="276" w:lineRule="auto"/>
              <w:rPr>
                <w:rFonts w:ascii="宋体" w:hAnsi="宋体" w:cs="宋体"/>
                <w:kern w:val="0"/>
                <w:sz w:val="21"/>
                <w:szCs w:val="21"/>
              </w:rPr>
            </w:pPr>
          </w:p>
        </w:tc>
      </w:tr>
      <w:tr w14:paraId="42A1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80" w:type="dxa"/>
            <w:vMerge w:val="restart"/>
            <w:vAlign w:val="center"/>
          </w:tcPr>
          <w:p w14:paraId="1CD7C296">
            <w:pPr>
              <w:tabs>
                <w:tab w:val="left" w:pos="1255"/>
                <w:tab w:val="left" w:pos="1506"/>
              </w:tabs>
              <w:snapToGrid w:val="0"/>
              <w:spacing w:line="276" w:lineRule="auto"/>
              <w:jc w:val="center"/>
              <w:rPr>
                <w:rFonts w:ascii="宋体" w:hAnsi="宋体" w:cs="宋体"/>
                <w:kern w:val="0"/>
                <w:sz w:val="21"/>
                <w:szCs w:val="21"/>
              </w:rPr>
            </w:pPr>
            <w:r>
              <w:rPr>
                <w:rFonts w:hint="eastAsia" w:ascii="宋体" w:hAnsi="宋体" w:cs="宋体"/>
                <w:kern w:val="0"/>
                <w:sz w:val="21"/>
                <w:szCs w:val="21"/>
              </w:rPr>
              <w:t>商务部分（35%）</w:t>
            </w:r>
          </w:p>
        </w:tc>
        <w:tc>
          <w:tcPr>
            <w:tcW w:w="1410" w:type="dxa"/>
            <w:vAlign w:val="center"/>
          </w:tcPr>
          <w:p w14:paraId="1262EADA">
            <w:pPr>
              <w:tabs>
                <w:tab w:val="left" w:pos="1255"/>
                <w:tab w:val="left" w:pos="1506"/>
              </w:tabs>
              <w:snapToGrid w:val="0"/>
              <w:spacing w:line="276" w:lineRule="auto"/>
              <w:jc w:val="center"/>
              <w:rPr>
                <w:rFonts w:ascii="宋体" w:hAnsi="宋体" w:cs="宋体"/>
                <w:sz w:val="21"/>
                <w:szCs w:val="21"/>
              </w:rPr>
            </w:pPr>
            <w:r>
              <w:rPr>
                <w:rFonts w:hint="eastAsia" w:ascii="宋体" w:hAnsi="宋体" w:cs="宋体"/>
                <w:sz w:val="21"/>
                <w:szCs w:val="21"/>
              </w:rPr>
              <w:t>快速服务响应能力</w:t>
            </w:r>
          </w:p>
          <w:p w14:paraId="0B8A64B0">
            <w:pPr>
              <w:tabs>
                <w:tab w:val="left" w:pos="1255"/>
                <w:tab w:val="left" w:pos="1506"/>
              </w:tabs>
              <w:snapToGrid w:val="0"/>
              <w:spacing w:line="276" w:lineRule="auto"/>
              <w:jc w:val="center"/>
              <w:rPr>
                <w:rFonts w:ascii="宋体" w:hAnsi="宋体" w:cs="宋体"/>
                <w:sz w:val="21"/>
                <w:szCs w:val="21"/>
              </w:rPr>
            </w:pPr>
            <w:r>
              <w:rPr>
                <w:rFonts w:hint="eastAsia" w:ascii="宋体" w:hAnsi="宋体" w:cs="宋体"/>
                <w:sz w:val="21"/>
                <w:szCs w:val="21"/>
              </w:rPr>
              <w:t>（5分）</w:t>
            </w:r>
          </w:p>
        </w:tc>
        <w:tc>
          <w:tcPr>
            <w:tcW w:w="5180" w:type="dxa"/>
            <w:vAlign w:val="center"/>
          </w:tcPr>
          <w:p w14:paraId="602979F3">
            <w:pPr>
              <w:spacing w:line="276" w:lineRule="auto"/>
              <w:rPr>
                <w:rFonts w:ascii="宋体" w:hAnsi="宋体" w:cs="宋体"/>
                <w:sz w:val="21"/>
                <w:szCs w:val="21"/>
              </w:rPr>
            </w:pPr>
            <w:r>
              <w:rPr>
                <w:rFonts w:hint="eastAsia" w:ascii="宋体" w:hAnsi="宋体" w:cs="宋体"/>
                <w:sz w:val="21"/>
                <w:szCs w:val="21"/>
              </w:rPr>
              <w:t>书面承诺如果成交，在接到采购人通知后，公司技术人员1小时内</w:t>
            </w:r>
            <w:r>
              <w:rPr>
                <w:rFonts w:hint="eastAsia" w:ascii="宋体" w:hAnsi="宋体" w:cs="宋体"/>
                <w:sz w:val="21"/>
                <w:szCs w:val="21"/>
                <w:lang w:val="en-US" w:eastAsia="zh-CN"/>
              </w:rPr>
              <w:t>做出回应</w:t>
            </w:r>
            <w:r>
              <w:rPr>
                <w:rFonts w:hint="eastAsia" w:ascii="宋体" w:hAnsi="宋体" w:cs="宋体"/>
                <w:sz w:val="21"/>
                <w:szCs w:val="21"/>
              </w:rPr>
              <w:t>的得5分；2小时内</w:t>
            </w:r>
            <w:r>
              <w:rPr>
                <w:rFonts w:hint="eastAsia" w:ascii="宋体" w:hAnsi="宋体" w:cs="宋体"/>
                <w:sz w:val="21"/>
                <w:szCs w:val="21"/>
                <w:lang w:val="en-US" w:eastAsia="zh-CN"/>
              </w:rPr>
              <w:t>做出回应</w:t>
            </w:r>
            <w:r>
              <w:rPr>
                <w:rFonts w:hint="eastAsia" w:ascii="宋体" w:hAnsi="宋体" w:cs="宋体"/>
                <w:sz w:val="21"/>
                <w:szCs w:val="21"/>
              </w:rPr>
              <w:t>的得3分；3小时内</w:t>
            </w:r>
            <w:r>
              <w:rPr>
                <w:rFonts w:hint="eastAsia" w:ascii="宋体" w:hAnsi="宋体" w:cs="宋体"/>
                <w:sz w:val="21"/>
                <w:szCs w:val="21"/>
                <w:lang w:val="en-US" w:eastAsia="zh-CN"/>
              </w:rPr>
              <w:t>做出回应</w:t>
            </w:r>
            <w:r>
              <w:rPr>
                <w:rFonts w:hint="eastAsia" w:ascii="宋体" w:hAnsi="宋体" w:cs="宋体"/>
                <w:sz w:val="21"/>
                <w:szCs w:val="21"/>
              </w:rPr>
              <w:t>的得1分；否则不得分。</w:t>
            </w:r>
          </w:p>
        </w:tc>
        <w:tc>
          <w:tcPr>
            <w:tcW w:w="2500" w:type="dxa"/>
            <w:vAlign w:val="center"/>
          </w:tcPr>
          <w:p w14:paraId="32D2EC7D">
            <w:pPr>
              <w:tabs>
                <w:tab w:val="left" w:pos="1255"/>
                <w:tab w:val="left" w:pos="1506"/>
              </w:tabs>
              <w:snapToGrid w:val="0"/>
              <w:spacing w:line="276" w:lineRule="auto"/>
              <w:rPr>
                <w:rFonts w:ascii="宋体" w:hAnsi="宋体" w:cs="宋体"/>
                <w:kern w:val="0"/>
                <w:sz w:val="21"/>
                <w:szCs w:val="21"/>
              </w:rPr>
            </w:pPr>
            <w:r>
              <w:rPr>
                <w:rFonts w:hint="eastAsia" w:ascii="宋体" w:hAnsi="宋体" w:cs="宋体"/>
                <w:sz w:val="21"/>
                <w:szCs w:val="21"/>
              </w:rPr>
              <w:t>承诺须法定代表人签名或盖章并加盖供应商公章。</w:t>
            </w:r>
          </w:p>
        </w:tc>
      </w:tr>
      <w:tr w14:paraId="4CAB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vMerge w:val="continue"/>
            <w:vAlign w:val="center"/>
          </w:tcPr>
          <w:p w14:paraId="54133AE6">
            <w:pPr>
              <w:tabs>
                <w:tab w:val="left" w:pos="1255"/>
                <w:tab w:val="left" w:pos="1506"/>
              </w:tabs>
              <w:snapToGrid w:val="0"/>
              <w:spacing w:line="276" w:lineRule="auto"/>
              <w:rPr>
                <w:rFonts w:ascii="宋体" w:hAnsi="宋体" w:cs="宋体"/>
                <w:kern w:val="0"/>
                <w:sz w:val="21"/>
                <w:szCs w:val="21"/>
              </w:rPr>
            </w:pPr>
          </w:p>
        </w:tc>
        <w:tc>
          <w:tcPr>
            <w:tcW w:w="1410" w:type="dxa"/>
            <w:vAlign w:val="center"/>
          </w:tcPr>
          <w:p w14:paraId="372DD0A7">
            <w:pPr>
              <w:widowControl/>
              <w:snapToGrid w:val="0"/>
              <w:spacing w:line="240" w:lineRule="atLeast"/>
              <w:ind w:firstLine="28"/>
              <w:jc w:val="center"/>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团队人员</w:t>
            </w:r>
          </w:p>
          <w:p w14:paraId="7DACBA59">
            <w:pPr>
              <w:widowControl/>
              <w:snapToGrid w:val="0"/>
              <w:spacing w:line="240" w:lineRule="atLeast"/>
              <w:ind w:firstLine="28"/>
              <w:jc w:val="center"/>
              <w:textAlignment w:val="baseline"/>
              <w:rPr>
                <w:rFonts w:hint="eastAsia" w:ascii="宋体" w:hAnsi="宋体" w:cs="宋体"/>
                <w:sz w:val="21"/>
                <w:szCs w:val="21"/>
              </w:rPr>
            </w:pPr>
            <w:r>
              <w:rPr>
                <w:rFonts w:hint="eastAsia" w:ascii="宋体" w:hAnsi="宋体" w:cs="宋体"/>
                <w:sz w:val="21"/>
                <w:szCs w:val="21"/>
                <w:lang w:val="en-US" w:eastAsia="zh-CN"/>
              </w:rPr>
              <w:t>（12分）</w:t>
            </w:r>
          </w:p>
        </w:tc>
        <w:tc>
          <w:tcPr>
            <w:tcW w:w="5180" w:type="dxa"/>
            <w:vAlign w:val="center"/>
          </w:tcPr>
          <w:p w14:paraId="3788C7AE">
            <w:pPr>
              <w:widowControl/>
              <w:numPr>
                <w:ilvl w:val="0"/>
                <w:numId w:val="0"/>
              </w:numPr>
              <w:snapToGrid w:val="0"/>
              <w:spacing w:line="240" w:lineRule="atLeast"/>
              <w:ind w:firstLine="28" w:firstLineChars="0"/>
              <w:textAlignment w:val="baseline"/>
              <w:rPr>
                <w:rFonts w:hint="eastAsia" w:ascii="宋体" w:hAnsi="宋体" w:cs="宋体"/>
                <w:sz w:val="21"/>
                <w:szCs w:val="21"/>
              </w:rPr>
            </w:pPr>
            <w:r>
              <w:rPr>
                <w:rFonts w:hint="eastAsia" w:ascii="宋体" w:hAnsi="宋体" w:eastAsia="宋体" w:cs="宋体"/>
                <w:kern w:val="2"/>
                <w:sz w:val="21"/>
                <w:szCs w:val="21"/>
                <w:lang w:val="en-US" w:eastAsia="zh-CN" w:bidi="ar-SA"/>
              </w:rPr>
              <w:t>1.</w:t>
            </w:r>
            <w:r>
              <w:rPr>
                <w:rFonts w:hint="eastAsia" w:ascii="宋体" w:hAnsi="宋体" w:cs="宋体"/>
                <w:sz w:val="21"/>
                <w:szCs w:val="21"/>
              </w:rPr>
              <w:t>项目负责人具有林业相关专业</w:t>
            </w:r>
            <w:r>
              <w:rPr>
                <w:rFonts w:hint="eastAsia" w:ascii="宋体" w:hAnsi="宋体" w:cs="宋体"/>
                <w:sz w:val="21"/>
                <w:szCs w:val="21"/>
                <w:lang w:val="en-US" w:eastAsia="zh-CN"/>
              </w:rPr>
              <w:t>高级</w:t>
            </w:r>
            <w:r>
              <w:rPr>
                <w:rFonts w:hint="eastAsia" w:ascii="宋体" w:hAnsi="宋体" w:cs="宋体"/>
                <w:sz w:val="21"/>
                <w:szCs w:val="21"/>
              </w:rPr>
              <w:t>及以上职称的得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eastAsia="宋体" w:cs="宋体"/>
                <w:kern w:val="2"/>
                <w:sz w:val="21"/>
                <w:szCs w:val="21"/>
                <w:lang w:val="en-US" w:eastAsia="zh-CN" w:bidi="ar-SA"/>
              </w:rPr>
              <w:t>2.</w:t>
            </w:r>
            <w:r>
              <w:rPr>
                <w:rFonts w:hint="eastAsia" w:ascii="宋体" w:hAnsi="宋体" w:cs="宋体"/>
                <w:sz w:val="21"/>
                <w:szCs w:val="21"/>
              </w:rPr>
              <w:t>技术负责人具有林业相关专业</w:t>
            </w:r>
            <w:r>
              <w:rPr>
                <w:rFonts w:hint="eastAsia" w:ascii="宋体" w:hAnsi="宋体" w:cs="宋体"/>
                <w:sz w:val="21"/>
                <w:szCs w:val="21"/>
                <w:lang w:val="en-US" w:eastAsia="zh-CN"/>
              </w:rPr>
              <w:t>高级</w:t>
            </w:r>
            <w:r>
              <w:rPr>
                <w:rFonts w:hint="eastAsia" w:ascii="宋体" w:hAnsi="宋体" w:cs="宋体"/>
                <w:sz w:val="21"/>
                <w:szCs w:val="21"/>
              </w:rPr>
              <w:t>及以上职称的得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eastAsia="宋体" w:cs="宋体"/>
                <w:kern w:val="2"/>
                <w:sz w:val="21"/>
                <w:szCs w:val="21"/>
                <w:lang w:val="zh-CN" w:eastAsia="zh-CN" w:bidi="ar-SA"/>
              </w:rPr>
              <w:t>3.</w:t>
            </w:r>
            <w:r>
              <w:rPr>
                <w:rFonts w:hint="eastAsia" w:ascii="宋体" w:hAnsi="宋体" w:cs="宋体"/>
                <w:sz w:val="21"/>
                <w:szCs w:val="21"/>
              </w:rPr>
              <w:t>团队成员中</w:t>
            </w:r>
            <w:r>
              <w:rPr>
                <w:rFonts w:hint="eastAsia" w:ascii="宋体" w:hAnsi="宋体" w:cs="宋体"/>
                <w:sz w:val="21"/>
                <w:szCs w:val="21"/>
                <w:lang w:val="zh-CN"/>
              </w:rPr>
              <w:t>具有</w:t>
            </w:r>
            <w:r>
              <w:rPr>
                <w:rFonts w:hint="eastAsia" w:ascii="宋体" w:hAnsi="宋体" w:cs="宋体"/>
                <w:sz w:val="21"/>
                <w:szCs w:val="21"/>
              </w:rPr>
              <w:t>林业相关专业职称</w:t>
            </w:r>
            <w:r>
              <w:rPr>
                <w:rFonts w:hint="eastAsia" w:ascii="宋体" w:hAnsi="宋体" w:cs="宋体"/>
                <w:sz w:val="21"/>
                <w:szCs w:val="21"/>
                <w:lang w:val="en-US" w:eastAsia="zh-CN"/>
              </w:rPr>
              <w:t>高级</w:t>
            </w:r>
            <w:r>
              <w:rPr>
                <w:rFonts w:hint="eastAsia" w:ascii="宋体" w:hAnsi="宋体" w:cs="宋体"/>
                <w:sz w:val="21"/>
                <w:szCs w:val="21"/>
              </w:rPr>
              <w:t>一个得2分、</w:t>
            </w:r>
            <w:r>
              <w:rPr>
                <w:rFonts w:hint="eastAsia" w:ascii="宋体" w:hAnsi="宋体" w:cs="宋体"/>
                <w:sz w:val="21"/>
                <w:szCs w:val="21"/>
                <w:lang w:val="en-US" w:eastAsia="zh-CN"/>
              </w:rPr>
              <w:t>中级</w:t>
            </w:r>
            <w:r>
              <w:rPr>
                <w:rFonts w:hint="eastAsia" w:ascii="宋体" w:hAnsi="宋体" w:cs="宋体"/>
                <w:sz w:val="21"/>
                <w:szCs w:val="21"/>
              </w:rPr>
              <w:t>一个得1分。最多</w:t>
            </w:r>
            <w:r>
              <w:rPr>
                <w:rFonts w:hint="eastAsia" w:ascii="宋体" w:hAnsi="宋体" w:cs="宋体"/>
                <w:sz w:val="21"/>
                <w:szCs w:val="21"/>
                <w:lang w:val="zh-CN"/>
              </w:rPr>
              <w:t>得</w:t>
            </w:r>
            <w:r>
              <w:rPr>
                <w:rFonts w:hint="eastAsia" w:ascii="宋体" w:hAnsi="宋体" w:cs="宋体"/>
                <w:sz w:val="21"/>
                <w:szCs w:val="21"/>
                <w:lang w:val="en-US" w:eastAsia="zh-CN"/>
              </w:rPr>
              <w:t>6</w:t>
            </w:r>
            <w:r>
              <w:rPr>
                <w:rFonts w:hint="eastAsia" w:ascii="宋体" w:hAnsi="宋体" w:cs="宋体"/>
                <w:sz w:val="21"/>
                <w:szCs w:val="21"/>
                <w:lang w:val="zh-CN"/>
              </w:rPr>
              <w:t>分；</w:t>
            </w:r>
            <w:r>
              <w:rPr>
                <w:rFonts w:hint="eastAsia" w:ascii="宋体" w:hAnsi="宋体" w:cs="宋体"/>
                <w:sz w:val="21"/>
                <w:szCs w:val="21"/>
              </w:rPr>
              <w:t>4.本项最高得分1</w:t>
            </w:r>
            <w:r>
              <w:rPr>
                <w:rFonts w:hint="eastAsia" w:ascii="宋体" w:hAnsi="宋体" w:cs="宋体"/>
                <w:sz w:val="21"/>
                <w:szCs w:val="21"/>
                <w:lang w:val="en-US" w:eastAsia="zh-CN"/>
              </w:rPr>
              <w:t>2</w:t>
            </w:r>
            <w:r>
              <w:rPr>
                <w:rFonts w:hint="eastAsia" w:ascii="宋体" w:hAnsi="宋体" w:cs="宋体"/>
                <w:sz w:val="21"/>
                <w:szCs w:val="21"/>
              </w:rPr>
              <w:t>分。</w:t>
            </w:r>
          </w:p>
        </w:tc>
        <w:tc>
          <w:tcPr>
            <w:tcW w:w="2500" w:type="dxa"/>
            <w:vAlign w:val="center"/>
          </w:tcPr>
          <w:p w14:paraId="56A8F14D">
            <w:pPr>
              <w:widowControl/>
              <w:snapToGrid w:val="0"/>
              <w:spacing w:line="240" w:lineRule="atLeast"/>
              <w:ind w:firstLine="28"/>
              <w:textAlignment w:val="baseline"/>
              <w:rPr>
                <w:rFonts w:hint="eastAsia" w:ascii="宋体" w:hAnsi="宋体" w:cs="宋体"/>
                <w:sz w:val="21"/>
                <w:szCs w:val="21"/>
              </w:rPr>
            </w:pPr>
            <w:r>
              <w:rPr>
                <w:rFonts w:hint="eastAsia" w:ascii="宋体" w:hAnsi="宋体" w:cs="宋体"/>
                <w:sz w:val="21"/>
                <w:szCs w:val="21"/>
              </w:rPr>
              <w:t>提供人员</w:t>
            </w:r>
            <w:r>
              <w:rPr>
                <w:rFonts w:hint="eastAsia" w:ascii="宋体" w:hAnsi="宋体" w:cs="宋体"/>
                <w:sz w:val="21"/>
                <w:szCs w:val="21"/>
                <w:lang w:val="en-US" w:eastAsia="zh-CN"/>
              </w:rPr>
              <w:t>相关证明材料</w:t>
            </w:r>
            <w:r>
              <w:rPr>
                <w:rFonts w:hint="eastAsia" w:ascii="宋体" w:hAnsi="宋体" w:cs="宋体"/>
                <w:sz w:val="21"/>
                <w:szCs w:val="21"/>
              </w:rPr>
              <w:t>。</w:t>
            </w:r>
          </w:p>
        </w:tc>
      </w:tr>
      <w:tr w14:paraId="4A4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80" w:type="dxa"/>
            <w:vMerge w:val="continue"/>
            <w:vAlign w:val="center"/>
          </w:tcPr>
          <w:p w14:paraId="53D3A3BC">
            <w:pPr>
              <w:tabs>
                <w:tab w:val="left" w:pos="1255"/>
                <w:tab w:val="left" w:pos="1506"/>
              </w:tabs>
              <w:snapToGrid w:val="0"/>
              <w:spacing w:line="276" w:lineRule="auto"/>
              <w:rPr>
                <w:rFonts w:ascii="宋体" w:hAnsi="宋体" w:cs="宋体"/>
                <w:kern w:val="0"/>
                <w:sz w:val="21"/>
                <w:szCs w:val="21"/>
              </w:rPr>
            </w:pPr>
          </w:p>
        </w:tc>
        <w:tc>
          <w:tcPr>
            <w:tcW w:w="1410" w:type="dxa"/>
            <w:vAlign w:val="center"/>
          </w:tcPr>
          <w:p w14:paraId="38FF2994">
            <w:pPr>
              <w:widowControl/>
              <w:snapToGrid w:val="0"/>
              <w:spacing w:line="240" w:lineRule="atLeast"/>
              <w:ind w:firstLine="28"/>
              <w:jc w:val="center"/>
              <w:textAlignment w:val="baseline"/>
              <w:rPr>
                <w:rFonts w:hint="eastAsia" w:ascii="宋体" w:hAnsi="宋体" w:cs="宋体"/>
                <w:sz w:val="21"/>
                <w:szCs w:val="21"/>
              </w:rPr>
            </w:pPr>
            <w:r>
              <w:rPr>
                <w:rFonts w:hint="eastAsia" w:ascii="宋体" w:hAnsi="宋体" w:cs="宋体"/>
                <w:sz w:val="21"/>
                <w:szCs w:val="21"/>
              </w:rPr>
              <w:t>业绩（</w:t>
            </w:r>
            <w:r>
              <w:rPr>
                <w:rFonts w:hint="eastAsia" w:ascii="宋体" w:hAnsi="宋体" w:cs="宋体"/>
                <w:sz w:val="21"/>
                <w:szCs w:val="21"/>
                <w:lang w:val="en-US" w:eastAsia="zh-CN"/>
              </w:rPr>
              <w:t>12</w:t>
            </w:r>
            <w:r>
              <w:rPr>
                <w:rFonts w:hint="eastAsia" w:ascii="宋体" w:hAnsi="宋体" w:cs="宋体"/>
                <w:sz w:val="21"/>
                <w:szCs w:val="21"/>
              </w:rPr>
              <w:t>分）</w:t>
            </w:r>
          </w:p>
        </w:tc>
        <w:tc>
          <w:tcPr>
            <w:tcW w:w="5180" w:type="dxa"/>
            <w:vAlign w:val="center"/>
          </w:tcPr>
          <w:p w14:paraId="320F9A2E">
            <w:pPr>
              <w:widowControl/>
              <w:snapToGrid w:val="0"/>
              <w:spacing w:line="240" w:lineRule="atLeast"/>
              <w:ind w:firstLine="28"/>
              <w:textAlignment w:val="baseline"/>
              <w:rPr>
                <w:rFonts w:hint="eastAsia" w:ascii="宋体" w:hAnsi="宋体" w:cs="宋体"/>
                <w:sz w:val="21"/>
                <w:szCs w:val="21"/>
              </w:rPr>
            </w:pPr>
            <w:r>
              <w:rPr>
                <w:rFonts w:hint="eastAsia" w:ascii="宋体" w:hAnsi="宋体" w:cs="宋体"/>
                <w:sz w:val="21"/>
                <w:szCs w:val="21"/>
              </w:rPr>
              <w:t>供应商自2021年1月1日至今有类似服务项目合同，每提供1份合同得</w:t>
            </w:r>
            <w:r>
              <w:rPr>
                <w:rFonts w:hint="eastAsia" w:ascii="宋体" w:hAnsi="宋体" w:cs="宋体"/>
                <w:sz w:val="21"/>
                <w:szCs w:val="21"/>
                <w:lang w:val="en-US" w:eastAsia="zh-CN"/>
              </w:rPr>
              <w:t>4</w:t>
            </w:r>
            <w:r>
              <w:rPr>
                <w:rFonts w:hint="eastAsia" w:ascii="宋体" w:hAnsi="宋体" w:cs="宋体"/>
                <w:sz w:val="21"/>
                <w:szCs w:val="21"/>
              </w:rPr>
              <w:t>分，最高得</w:t>
            </w:r>
            <w:r>
              <w:rPr>
                <w:rFonts w:hint="eastAsia" w:ascii="宋体" w:hAnsi="宋体" w:cs="宋体"/>
                <w:sz w:val="21"/>
                <w:szCs w:val="21"/>
                <w:lang w:val="en-US" w:eastAsia="zh-CN"/>
              </w:rPr>
              <w:t>12</w:t>
            </w:r>
            <w:r>
              <w:rPr>
                <w:rFonts w:hint="eastAsia" w:ascii="宋体" w:hAnsi="宋体" w:cs="宋体"/>
                <w:sz w:val="21"/>
                <w:szCs w:val="21"/>
              </w:rPr>
              <w:t>分。</w:t>
            </w:r>
          </w:p>
        </w:tc>
        <w:tc>
          <w:tcPr>
            <w:tcW w:w="2500" w:type="dxa"/>
            <w:vAlign w:val="center"/>
          </w:tcPr>
          <w:p w14:paraId="5F57FE40">
            <w:pPr>
              <w:widowControl/>
              <w:snapToGrid w:val="0"/>
              <w:spacing w:line="240" w:lineRule="atLeast"/>
              <w:ind w:firstLine="28"/>
              <w:textAlignment w:val="baseline"/>
              <w:rPr>
                <w:rFonts w:hint="eastAsia" w:ascii="宋体" w:hAnsi="宋体" w:cs="宋体"/>
                <w:sz w:val="21"/>
                <w:szCs w:val="21"/>
              </w:rPr>
            </w:pPr>
            <w:r>
              <w:rPr>
                <w:rFonts w:hint="eastAsia" w:ascii="宋体" w:hAnsi="宋体" w:cs="宋体"/>
                <w:sz w:val="21"/>
                <w:szCs w:val="21"/>
              </w:rPr>
              <w:t>提供合同复印件或中标通知书复印件作为佐证，加盖供应商公章。未提供证明材料的不得分</w:t>
            </w:r>
          </w:p>
        </w:tc>
      </w:tr>
      <w:tr w14:paraId="132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180" w:type="dxa"/>
            <w:vMerge w:val="continue"/>
            <w:vAlign w:val="center"/>
          </w:tcPr>
          <w:p w14:paraId="2BF2E2F7">
            <w:pPr>
              <w:tabs>
                <w:tab w:val="left" w:pos="1255"/>
                <w:tab w:val="left" w:pos="1506"/>
              </w:tabs>
              <w:snapToGrid w:val="0"/>
              <w:spacing w:line="276" w:lineRule="auto"/>
              <w:rPr>
                <w:rFonts w:ascii="宋体" w:hAnsi="宋体" w:cs="宋体"/>
                <w:kern w:val="0"/>
                <w:sz w:val="21"/>
                <w:szCs w:val="21"/>
              </w:rPr>
            </w:pPr>
          </w:p>
        </w:tc>
        <w:tc>
          <w:tcPr>
            <w:tcW w:w="1410" w:type="dxa"/>
            <w:vAlign w:val="center"/>
          </w:tcPr>
          <w:p w14:paraId="113FAFBC">
            <w:pPr>
              <w:widowControl/>
              <w:snapToGrid w:val="0"/>
              <w:spacing w:line="240" w:lineRule="atLeast"/>
              <w:ind w:firstLine="28"/>
              <w:jc w:val="center"/>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资格条件</w:t>
            </w:r>
          </w:p>
          <w:p w14:paraId="69E0AB3A">
            <w:pPr>
              <w:widowControl/>
              <w:snapToGrid w:val="0"/>
              <w:spacing w:line="240" w:lineRule="atLeast"/>
              <w:ind w:firstLine="28"/>
              <w:jc w:val="center"/>
              <w:textAlignment w:val="baseline"/>
              <w:rPr>
                <w:rFonts w:hint="default" w:ascii="宋体" w:hAnsi="宋体" w:cs="宋体"/>
                <w:sz w:val="21"/>
                <w:szCs w:val="21"/>
                <w:lang w:val="en-US" w:eastAsia="zh-CN"/>
              </w:rPr>
            </w:pPr>
            <w:r>
              <w:rPr>
                <w:rFonts w:hint="eastAsia" w:ascii="宋体" w:hAnsi="宋体" w:cs="宋体"/>
                <w:sz w:val="21"/>
                <w:szCs w:val="21"/>
                <w:lang w:val="en-US" w:eastAsia="zh-CN"/>
              </w:rPr>
              <w:t>（6分）</w:t>
            </w:r>
          </w:p>
        </w:tc>
        <w:tc>
          <w:tcPr>
            <w:tcW w:w="5180" w:type="dxa"/>
            <w:vAlign w:val="center"/>
          </w:tcPr>
          <w:p w14:paraId="0EEC252A">
            <w:pPr>
              <w:widowControl/>
              <w:snapToGrid w:val="0"/>
              <w:spacing w:line="240" w:lineRule="atLeast"/>
              <w:ind w:firstLine="28"/>
              <w:textAlignment w:val="baseline"/>
              <w:rPr>
                <w:rFonts w:hint="eastAsia" w:ascii="宋体" w:hAnsi="宋体" w:cs="宋体"/>
                <w:sz w:val="21"/>
                <w:szCs w:val="21"/>
                <w:lang w:val="zh-TW" w:eastAsia="zh-CN"/>
              </w:rPr>
            </w:pPr>
            <w:r>
              <w:rPr>
                <w:rFonts w:hint="eastAsia" w:ascii="宋体" w:hAnsi="宋体" w:cs="宋体"/>
                <w:sz w:val="21"/>
                <w:szCs w:val="21"/>
                <w:lang w:val="zh-TW"/>
              </w:rPr>
              <w:t>供应商需具备林业调查规划设计丙级及以上资质</w:t>
            </w:r>
            <w:r>
              <w:rPr>
                <w:rFonts w:hint="eastAsia" w:ascii="宋体" w:hAnsi="宋体" w:cs="宋体"/>
                <w:sz w:val="21"/>
                <w:szCs w:val="21"/>
                <w:lang w:val="zh-TW" w:eastAsia="zh-CN"/>
              </w:rPr>
              <w:t>：</w:t>
            </w:r>
          </w:p>
          <w:p w14:paraId="4228CCA0">
            <w:pPr>
              <w:widowControl/>
              <w:snapToGrid w:val="0"/>
              <w:spacing w:line="240" w:lineRule="atLeast"/>
              <w:ind w:firstLine="28"/>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甲</w:t>
            </w:r>
            <w:r>
              <w:rPr>
                <w:rFonts w:hint="eastAsia" w:ascii="宋体" w:hAnsi="宋体" w:cs="宋体"/>
                <w:sz w:val="21"/>
                <w:szCs w:val="21"/>
                <w:lang w:val="zh-TW"/>
              </w:rPr>
              <w:t>级资质</w:t>
            </w:r>
            <w:r>
              <w:rPr>
                <w:rFonts w:hint="eastAsia" w:ascii="宋体" w:hAnsi="宋体" w:cs="宋体"/>
                <w:sz w:val="21"/>
                <w:szCs w:val="21"/>
                <w:lang w:val="en-US" w:eastAsia="zh-CN"/>
              </w:rPr>
              <w:t>得6分；</w:t>
            </w:r>
          </w:p>
          <w:p w14:paraId="6AFE06C1">
            <w:pPr>
              <w:widowControl/>
              <w:snapToGrid w:val="0"/>
              <w:spacing w:line="240" w:lineRule="atLeast"/>
              <w:ind w:firstLine="28"/>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乙</w:t>
            </w:r>
            <w:r>
              <w:rPr>
                <w:rFonts w:hint="eastAsia" w:ascii="宋体" w:hAnsi="宋体" w:cs="宋体"/>
                <w:sz w:val="21"/>
                <w:szCs w:val="21"/>
                <w:lang w:val="zh-TW"/>
              </w:rPr>
              <w:t>级资质</w:t>
            </w:r>
            <w:r>
              <w:rPr>
                <w:rFonts w:hint="eastAsia" w:ascii="宋体" w:hAnsi="宋体" w:cs="宋体"/>
                <w:sz w:val="21"/>
                <w:szCs w:val="21"/>
                <w:lang w:val="en-US" w:eastAsia="zh-CN"/>
              </w:rPr>
              <w:t>得4分；</w:t>
            </w:r>
          </w:p>
          <w:p w14:paraId="218F2B42">
            <w:pPr>
              <w:widowControl/>
              <w:snapToGrid w:val="0"/>
              <w:spacing w:line="240" w:lineRule="atLeast"/>
              <w:ind w:firstLine="28"/>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丙</w:t>
            </w:r>
            <w:r>
              <w:rPr>
                <w:rFonts w:hint="eastAsia" w:ascii="宋体" w:hAnsi="宋体" w:cs="宋体"/>
                <w:sz w:val="21"/>
                <w:szCs w:val="21"/>
                <w:lang w:val="zh-TW"/>
              </w:rPr>
              <w:t>级资质</w:t>
            </w:r>
            <w:r>
              <w:rPr>
                <w:rFonts w:hint="eastAsia" w:ascii="宋体" w:hAnsi="宋体" w:cs="宋体"/>
                <w:sz w:val="21"/>
                <w:szCs w:val="21"/>
                <w:lang w:val="en-US" w:eastAsia="zh-CN"/>
              </w:rPr>
              <w:t>得2分；</w:t>
            </w:r>
          </w:p>
          <w:p w14:paraId="0156E26F">
            <w:pPr>
              <w:widowControl/>
              <w:snapToGrid w:val="0"/>
              <w:spacing w:line="240" w:lineRule="atLeast"/>
              <w:ind w:firstLine="28"/>
              <w:textAlignment w:val="baseline"/>
              <w:rPr>
                <w:rFonts w:hint="default" w:ascii="宋体" w:hAnsi="宋体" w:cs="宋体"/>
                <w:sz w:val="21"/>
                <w:szCs w:val="21"/>
                <w:lang w:val="en-US" w:eastAsia="zh-CN"/>
              </w:rPr>
            </w:pPr>
            <w:r>
              <w:rPr>
                <w:rFonts w:hint="eastAsia" w:ascii="宋体" w:hAnsi="宋体" w:cs="宋体"/>
                <w:sz w:val="21"/>
                <w:szCs w:val="21"/>
                <w:lang w:val="en-US" w:eastAsia="zh-CN"/>
              </w:rPr>
              <w:t>本项最高得分6分。</w:t>
            </w:r>
          </w:p>
        </w:tc>
        <w:tc>
          <w:tcPr>
            <w:tcW w:w="2500" w:type="dxa"/>
            <w:vAlign w:val="center"/>
          </w:tcPr>
          <w:p w14:paraId="753BE92D">
            <w:pPr>
              <w:widowControl/>
              <w:snapToGrid w:val="0"/>
              <w:spacing w:line="240" w:lineRule="atLeast"/>
              <w:ind w:firstLine="28"/>
              <w:textAlignment w:val="baseline"/>
              <w:rPr>
                <w:rFonts w:hint="eastAsia" w:ascii="宋体" w:hAnsi="宋体" w:cs="宋体"/>
                <w:sz w:val="21"/>
                <w:szCs w:val="21"/>
                <w:lang w:eastAsia="zh-CN"/>
              </w:rPr>
            </w:pPr>
            <w:r>
              <w:rPr>
                <w:rFonts w:hint="eastAsia" w:ascii="宋体" w:hAnsi="宋体" w:cs="宋体"/>
                <w:sz w:val="21"/>
                <w:szCs w:val="21"/>
                <w:lang w:val="zh-TW"/>
              </w:rPr>
              <w:t>提供资质证书复印件并加盖供应商公章</w:t>
            </w:r>
            <w:r>
              <w:rPr>
                <w:rFonts w:hint="eastAsia" w:ascii="宋体" w:hAnsi="宋体" w:cs="宋体"/>
                <w:sz w:val="21"/>
                <w:szCs w:val="21"/>
                <w:lang w:val="zh-TW" w:eastAsia="zh-CN"/>
              </w:rPr>
              <w:t>。</w:t>
            </w:r>
          </w:p>
        </w:tc>
      </w:tr>
    </w:tbl>
    <w:p w14:paraId="095BADA6">
      <w:pPr>
        <w:spacing w:line="400" w:lineRule="exact"/>
        <w:ind w:firstLine="480" w:firstLineChars="200"/>
        <w:rPr>
          <w:rFonts w:ascii="宋体" w:hAnsi="宋体" w:cs="宋体"/>
          <w:color w:val="000000"/>
          <w:sz w:val="24"/>
        </w:rPr>
      </w:pPr>
      <w:r>
        <w:rPr>
          <w:rFonts w:hint="eastAsia" w:ascii="宋体" w:hAnsi="宋体" w:cs="宋体"/>
          <w:color w:val="000000"/>
          <w:sz w:val="24"/>
        </w:rPr>
        <w:t>注：关于小微企业报价扣除比例说明</w:t>
      </w:r>
    </w:p>
    <w:p w14:paraId="58CF17A8">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1.供应商为非联合体参与竞采的，对小微型企业给予</w:t>
      </w:r>
      <w:r>
        <w:rPr>
          <w:rFonts w:hint="eastAsia" w:ascii="宋体" w:hAnsi="宋体" w:cs="宋体"/>
          <w:color w:val="000000"/>
          <w:sz w:val="24"/>
          <w:u w:val="single"/>
        </w:rPr>
        <w:t xml:space="preserve"> 10% </w:t>
      </w:r>
      <w:r>
        <w:rPr>
          <w:rFonts w:hint="eastAsia" w:ascii="宋体" w:hAnsi="宋体" w:cs="宋体"/>
          <w:color w:val="000000"/>
          <w:sz w:val="24"/>
        </w:rPr>
        <w:t>的扣除，以扣除后的报价参与评审。</w:t>
      </w:r>
    </w:p>
    <w:p w14:paraId="240AA3B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2.监狱企业、残疾人福利性单位视同小型、微型企业。</w:t>
      </w:r>
    </w:p>
    <w:p w14:paraId="34BE1BBA">
      <w:pPr>
        <w:pStyle w:val="4"/>
        <w:spacing w:before="0" w:after="0" w:line="440" w:lineRule="exact"/>
        <w:rPr>
          <w:rFonts w:hint="eastAsia" w:ascii="宋体" w:hAnsi="宋体" w:eastAsia="宋体" w:cs="宋体"/>
          <w:sz w:val="24"/>
          <w:szCs w:val="24"/>
        </w:rPr>
      </w:pPr>
      <w:bookmarkStart w:id="124" w:name="_Toc30166"/>
      <w:r>
        <w:rPr>
          <w:rFonts w:hint="eastAsia" w:ascii="宋体" w:hAnsi="宋体" w:eastAsia="宋体" w:cs="宋体"/>
          <w:sz w:val="24"/>
          <w:szCs w:val="24"/>
        </w:rPr>
        <w:t>三、无效响应</w:t>
      </w:r>
      <w:bookmarkEnd w:id="124"/>
    </w:p>
    <w:p w14:paraId="132DF778">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供应商发生以下条款情况之一者，其响应文件作废标处理：</w:t>
      </w:r>
    </w:p>
    <w:p w14:paraId="2CC5AC3F">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（一）供应商不符合规定的基本资格条件或特定资格条件的；</w:t>
      </w:r>
    </w:p>
    <w:p w14:paraId="73B01399">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（二）供应商未按竞采文件规定购买竞采文件的；</w:t>
      </w:r>
    </w:p>
    <w:p w14:paraId="6116044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（三）供应商所提交的响应文件不按规定签字、盖章；</w:t>
      </w:r>
    </w:p>
    <w:p w14:paraId="320E9D7D">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（四）供应商的响应报价超过竞采预算或最高限价的；</w:t>
      </w:r>
    </w:p>
    <w:p w14:paraId="691248CC">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（五）法定代表人为同一个人的两个及两个以上法人，母公司、全资子公司及其控股公司，在同一分包竞采中同时参与竞采；</w:t>
      </w:r>
    </w:p>
    <w:p w14:paraId="334BDAB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（六）单位负责人为同一人或者存在直接控股、管理关系的不同供应商，参加同一合同项下的政府竞采活动的；</w:t>
      </w:r>
    </w:p>
    <w:p w14:paraId="0B71B4F6">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（七）为竞采项目提供整体设计、规范编制或者项目管理、监理、检测等服务的供应商，再参加该竞采项目的其他竞采活动；</w:t>
      </w:r>
    </w:p>
    <w:p w14:paraId="2135B84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（八）供应商的交付期及竞采有效期不满足竞采文件要求的；</w:t>
      </w:r>
    </w:p>
    <w:p w14:paraId="24E5083B">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（九）供应商响应文件内容有与国家现行法律法规相违背的内容，或附有采购人无法接受的条件；</w:t>
      </w:r>
    </w:p>
    <w:p w14:paraId="455F030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（十）供应商以联合体形式参与竞采的；</w:t>
      </w:r>
    </w:p>
    <w:p w14:paraId="5F0F961C">
      <w:pPr>
        <w:spacing w:line="400" w:lineRule="exact"/>
        <w:ind w:firstLine="480" w:firstLineChars="200"/>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）法律、法规和竞采文件中规定的其他无效响应情形；</w:t>
      </w:r>
    </w:p>
    <w:p w14:paraId="219453F6">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二</w:t>
      </w:r>
      <w:r>
        <w:rPr>
          <w:rFonts w:hint="eastAsia" w:ascii="宋体" w:hAnsi="宋体" w:cs="宋体"/>
          <w:color w:val="000000"/>
          <w:sz w:val="24"/>
        </w:rPr>
        <w:t>）供应商被列入失信被执行人、重大税收违法案件当事人名单、政府竞采严重违法失信行为记录名单及其他不符合《中华人民共和国政府竞采法》第二十二条规定条件的。</w:t>
      </w:r>
    </w:p>
    <w:p w14:paraId="306AEB75">
      <w:pPr>
        <w:pStyle w:val="4"/>
        <w:spacing w:before="0" w:after="0" w:line="440" w:lineRule="exact"/>
        <w:rPr>
          <w:rFonts w:hint="eastAsia" w:ascii="宋体" w:hAnsi="宋体" w:eastAsia="宋体" w:cs="宋体"/>
          <w:sz w:val="24"/>
          <w:szCs w:val="24"/>
        </w:rPr>
      </w:pPr>
      <w:bookmarkStart w:id="125" w:name="_Toc25841"/>
      <w:bookmarkStart w:id="126" w:name="_Toc2675"/>
      <w:bookmarkStart w:id="127" w:name="_Toc30355"/>
      <w:bookmarkStart w:id="128" w:name="_Toc20577"/>
      <w:r>
        <w:rPr>
          <w:rFonts w:hint="eastAsia" w:ascii="宋体" w:hAnsi="宋体" w:eastAsia="宋体" w:cs="宋体"/>
          <w:sz w:val="24"/>
          <w:szCs w:val="24"/>
        </w:rPr>
        <w:t>四、竞采终止</w:t>
      </w:r>
      <w:bookmarkEnd w:id="125"/>
      <w:bookmarkEnd w:id="126"/>
      <w:bookmarkEnd w:id="127"/>
      <w:bookmarkEnd w:id="128"/>
    </w:p>
    <w:p w14:paraId="07049D8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出现下列情形之一的，采购人应当终止竞采活动，发布项目终止公告并说明原因，重新开展竞采活动：</w:t>
      </w:r>
    </w:p>
    <w:p w14:paraId="4D820C22">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（一）因情况变化，不再符合规定的竞采方式适用情形的；</w:t>
      </w:r>
    </w:p>
    <w:p w14:paraId="32F86CC8">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（二）出现影响竞采公正的违法、违规行为的；</w:t>
      </w:r>
    </w:p>
    <w:p w14:paraId="2EC8A08D">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（三） 在竞采过程中符合要求的供应商或者报价未超过竞采预算（最高限价）的供应商不足3家的。 </w:t>
      </w:r>
    </w:p>
    <w:p w14:paraId="584736DE">
      <w:pPr>
        <w:rPr>
          <w:rFonts w:hint="eastAsia" w:ascii="宋体" w:hAnsi="宋体" w:cs="宋体"/>
          <w:color w:val="000000"/>
        </w:rPr>
      </w:pPr>
    </w:p>
    <w:p w14:paraId="3BE79D50">
      <w:pPr>
        <w:widowControl/>
        <w:jc w:val="left"/>
        <w:rPr>
          <w:rStyle w:val="39"/>
          <w:rFonts w:hint="eastAsia" w:ascii="宋体" w:hAnsi="宋体" w:eastAsia="宋体" w:cs="宋体"/>
          <w:b w:val="0"/>
          <w:bCs w:val="0"/>
          <w:color w:val="000000"/>
        </w:rPr>
      </w:pPr>
      <w:bookmarkStart w:id="129" w:name="_Toc27361"/>
      <w:r>
        <w:rPr>
          <w:rStyle w:val="39"/>
          <w:rFonts w:ascii="宋体" w:hAnsi="宋体" w:eastAsia="宋体" w:cs="宋体"/>
          <w:color w:val="000000"/>
        </w:rPr>
        <w:br w:type="page"/>
      </w:r>
    </w:p>
    <w:bookmarkEnd w:id="82"/>
    <w:bookmarkEnd w:id="83"/>
    <w:bookmarkEnd w:id="129"/>
    <w:p w14:paraId="67FCCA5C">
      <w:pPr>
        <w:pStyle w:val="3"/>
        <w:spacing w:line="360" w:lineRule="auto"/>
        <w:jc w:val="center"/>
        <w:rPr>
          <w:rFonts w:hint="eastAsia" w:hAnsi="宋体"/>
          <w:b/>
        </w:rPr>
      </w:pPr>
      <w:bookmarkStart w:id="130" w:name="_Toc7513"/>
      <w:r>
        <w:rPr>
          <w:rFonts w:hint="eastAsia" w:hAnsi="宋体"/>
          <w:b/>
        </w:rPr>
        <w:t>第五篇  供应商须知</w:t>
      </w:r>
      <w:bookmarkEnd w:id="130"/>
    </w:p>
    <w:p w14:paraId="38F90A07">
      <w:pPr>
        <w:pStyle w:val="4"/>
        <w:spacing w:before="0" w:after="0" w:line="440" w:lineRule="exact"/>
        <w:rPr>
          <w:rFonts w:hint="eastAsia" w:ascii="宋体" w:hAnsi="宋体" w:eastAsia="宋体" w:cs="宋体"/>
          <w:sz w:val="24"/>
          <w:szCs w:val="24"/>
        </w:rPr>
      </w:pPr>
      <w:bookmarkStart w:id="131" w:name="_Toc11713"/>
      <w:bookmarkStart w:id="132" w:name="_Toc342913389"/>
      <w:bookmarkStart w:id="133" w:name="_Toc9687"/>
      <w:bookmarkStart w:id="134" w:name="_Toc16221"/>
      <w:bookmarkStart w:id="135" w:name="_Toc11086"/>
      <w:bookmarkStart w:id="136" w:name="_Toc10167"/>
      <w:bookmarkStart w:id="137" w:name="_Toc10945"/>
      <w:bookmarkStart w:id="138" w:name="_Toc32346"/>
      <w:bookmarkStart w:id="139" w:name="_Toc22843"/>
      <w:bookmarkStart w:id="140" w:name="_Toc20891"/>
      <w:bookmarkStart w:id="141" w:name="_Toc25615"/>
      <w:bookmarkStart w:id="142" w:name="_Toc6699"/>
      <w:bookmarkStart w:id="143" w:name="_Toc29373"/>
      <w:bookmarkStart w:id="144" w:name="_Toc30292"/>
      <w:r>
        <w:rPr>
          <w:rFonts w:hint="eastAsia" w:ascii="宋体" w:hAnsi="宋体" w:eastAsia="宋体" w:cs="宋体"/>
          <w:sz w:val="24"/>
          <w:szCs w:val="24"/>
        </w:rPr>
        <w:t>一、</w:t>
      </w:r>
      <w:bookmarkEnd w:id="131"/>
      <w:bookmarkEnd w:id="132"/>
      <w:bookmarkEnd w:id="133"/>
      <w:bookmarkEnd w:id="134"/>
      <w:bookmarkEnd w:id="135"/>
      <w:bookmarkEnd w:id="136"/>
      <w:bookmarkEnd w:id="137"/>
      <w:bookmarkStart w:id="145" w:name="_Toc318159160"/>
      <w:bookmarkStart w:id="146" w:name="_Toc318166429"/>
      <w:bookmarkStart w:id="147" w:name="_Toc318159349"/>
      <w:bookmarkStart w:id="148" w:name="_Toc318159780"/>
      <w:r>
        <w:rPr>
          <w:rFonts w:hint="eastAsia" w:ascii="宋体" w:hAnsi="宋体" w:eastAsia="宋体" w:cs="宋体"/>
          <w:sz w:val="24"/>
          <w:szCs w:val="24"/>
        </w:rPr>
        <w:t>网上竞采费用</w:t>
      </w:r>
      <w:bookmarkEnd w:id="138"/>
      <w:bookmarkEnd w:id="139"/>
      <w:bookmarkEnd w:id="140"/>
      <w:bookmarkEnd w:id="141"/>
      <w:bookmarkEnd w:id="142"/>
      <w:bookmarkEnd w:id="143"/>
      <w:bookmarkEnd w:id="144"/>
    </w:p>
    <w:p w14:paraId="17EE3B9A">
      <w:pPr>
        <w:spacing w:line="400" w:lineRule="exact"/>
        <w:ind w:firstLine="480" w:firstLineChars="200"/>
        <w:rPr>
          <w:rFonts w:hint="eastAsia" w:ascii="宋体" w:hAnsi="宋体" w:cs="宋体"/>
          <w:sz w:val="24"/>
          <w:szCs w:val="24"/>
        </w:rPr>
      </w:pPr>
      <w:r>
        <w:rPr>
          <w:rFonts w:hint="eastAsia" w:ascii="宋体" w:hAnsi="宋体" w:cs="宋体"/>
          <w:sz w:val="24"/>
          <w:szCs w:val="24"/>
        </w:rPr>
        <w:t>参与网上竞采的供应商应承担其编制响应文件与递交响应文件所涉及的一切费用，不论网上竞采结果如何，采购人和代理机构在任何情况下无义务也无责任承担这些费用。</w:t>
      </w:r>
    </w:p>
    <w:p w14:paraId="08DAE208">
      <w:pPr>
        <w:pStyle w:val="4"/>
        <w:spacing w:before="0" w:after="0" w:line="440" w:lineRule="exact"/>
        <w:rPr>
          <w:rFonts w:hint="eastAsia" w:ascii="宋体" w:hAnsi="宋体" w:eastAsia="宋体" w:cs="宋体"/>
          <w:sz w:val="24"/>
          <w:szCs w:val="24"/>
        </w:rPr>
      </w:pPr>
      <w:bookmarkStart w:id="149" w:name="_Toc6736"/>
      <w:bookmarkStart w:id="150" w:name="_Toc23402"/>
      <w:bookmarkStart w:id="151" w:name="_Toc1707"/>
      <w:bookmarkStart w:id="152" w:name="_Toc10504"/>
      <w:bookmarkStart w:id="153" w:name="_Toc22713"/>
      <w:bookmarkStart w:id="154" w:name="_Toc28987"/>
      <w:bookmarkStart w:id="155" w:name="_Toc27308"/>
      <w:r>
        <w:rPr>
          <w:rFonts w:hint="eastAsia" w:ascii="宋体" w:hAnsi="宋体" w:eastAsia="宋体" w:cs="宋体"/>
          <w:sz w:val="24"/>
          <w:szCs w:val="24"/>
        </w:rPr>
        <w:t>二、网上竞采文件</w:t>
      </w:r>
      <w:bookmarkEnd w:id="149"/>
      <w:bookmarkEnd w:id="150"/>
      <w:bookmarkEnd w:id="151"/>
      <w:bookmarkEnd w:id="152"/>
      <w:bookmarkEnd w:id="153"/>
      <w:bookmarkEnd w:id="154"/>
      <w:bookmarkEnd w:id="155"/>
    </w:p>
    <w:p w14:paraId="7B6FFE08">
      <w:pPr>
        <w:spacing w:line="400" w:lineRule="exact"/>
        <w:ind w:firstLine="480" w:firstLineChars="200"/>
        <w:rPr>
          <w:rFonts w:hint="eastAsia" w:ascii="宋体" w:hAnsi="宋体" w:cs="宋体"/>
          <w:sz w:val="24"/>
          <w:szCs w:val="24"/>
        </w:rPr>
      </w:pPr>
      <w:r>
        <w:rPr>
          <w:rFonts w:hint="eastAsia" w:ascii="宋体" w:hAnsi="宋体" w:cs="宋体"/>
          <w:sz w:val="24"/>
          <w:szCs w:val="24"/>
        </w:rPr>
        <w:t>（一）网上竞采文件由竞采邀请书、项目服务需求、 项目商务需求、竞采程序及方法、评审标准、无效响应条款和废标条款、供应商须知、 竞采合同、响应文件编制要求七部分组成。</w:t>
      </w:r>
    </w:p>
    <w:p w14:paraId="760A5365">
      <w:pPr>
        <w:spacing w:line="400" w:lineRule="exact"/>
        <w:ind w:firstLine="480" w:firstLineChars="200"/>
        <w:rPr>
          <w:rFonts w:hint="eastAsia" w:ascii="宋体" w:hAnsi="宋体" w:cs="宋体"/>
          <w:sz w:val="24"/>
          <w:szCs w:val="24"/>
        </w:rPr>
      </w:pPr>
      <w:r>
        <w:rPr>
          <w:rFonts w:hint="eastAsia" w:ascii="宋体" w:hAnsi="宋体" w:cs="宋体"/>
          <w:sz w:val="24"/>
          <w:szCs w:val="24"/>
        </w:rPr>
        <w:t>（二）采购人（或代理机构）所作的一切有效的书面通知、修改及补充，都是网上竞采文件不可分割的部分。</w:t>
      </w:r>
    </w:p>
    <w:p w14:paraId="0A7D4655">
      <w:pPr>
        <w:spacing w:line="400" w:lineRule="exact"/>
        <w:ind w:firstLine="480" w:firstLineChars="200"/>
        <w:rPr>
          <w:rFonts w:hint="eastAsia" w:ascii="宋体" w:hAnsi="宋体" w:cs="宋体"/>
          <w:sz w:val="24"/>
          <w:szCs w:val="24"/>
        </w:rPr>
      </w:pPr>
      <w:r>
        <w:rPr>
          <w:rFonts w:hint="eastAsia" w:ascii="宋体" w:hAnsi="宋体" w:cs="宋体"/>
          <w:sz w:val="24"/>
          <w:szCs w:val="24"/>
        </w:rPr>
        <w:t>（三）网上竞采文件的解释</w:t>
      </w:r>
    </w:p>
    <w:p w14:paraId="3AD5DCE5">
      <w:pPr>
        <w:spacing w:line="400" w:lineRule="exact"/>
        <w:ind w:firstLine="480" w:firstLineChars="200"/>
        <w:rPr>
          <w:rFonts w:hint="eastAsia" w:ascii="宋体" w:hAnsi="宋体" w:cs="宋体"/>
          <w:sz w:val="24"/>
          <w:szCs w:val="24"/>
        </w:rPr>
      </w:pPr>
      <w:r>
        <w:rPr>
          <w:rFonts w:hint="eastAsia" w:ascii="宋体" w:hAnsi="宋体" w:cs="宋体"/>
          <w:sz w:val="24"/>
          <w:szCs w:val="24"/>
        </w:rPr>
        <w:t>供应商如对网上竞采文件有疑问，必须以书面形式在提交响应文件截止时间2个工作日前向采购人（或代理机构）要求澄清，采购人（或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2CC7C53D">
      <w:pPr>
        <w:spacing w:line="400" w:lineRule="exact"/>
        <w:ind w:firstLine="480" w:firstLineChars="200"/>
        <w:rPr>
          <w:rFonts w:hint="eastAsia" w:ascii="宋体" w:hAnsi="宋体" w:cs="宋体"/>
          <w:sz w:val="24"/>
          <w:szCs w:val="24"/>
        </w:rPr>
      </w:pPr>
      <w:r>
        <w:rPr>
          <w:rFonts w:hint="eastAsia" w:ascii="宋体" w:hAnsi="宋体" w:cs="宋体"/>
          <w:sz w:val="24"/>
          <w:szCs w:val="24"/>
        </w:rPr>
        <w:t>（四）本网上竞采文件中，网上竞采小组根据与供应商进行网上竞采可能实质性变动的内容为网上竞采文件第二、三、四篇全部内容。</w:t>
      </w:r>
    </w:p>
    <w:p w14:paraId="6F6C83B4">
      <w:pPr>
        <w:spacing w:line="400" w:lineRule="exact"/>
        <w:ind w:firstLine="480" w:firstLineChars="200"/>
        <w:rPr>
          <w:rFonts w:hint="eastAsia" w:ascii="宋体" w:hAnsi="宋体" w:cs="宋体"/>
          <w:color w:val="000000"/>
          <w:sz w:val="24"/>
          <w:szCs w:val="24"/>
        </w:rPr>
      </w:pPr>
      <w:r>
        <w:rPr>
          <w:rFonts w:hint="eastAsia" w:ascii="宋体" w:hAnsi="宋体" w:cs="宋体"/>
          <w:sz w:val="24"/>
          <w:szCs w:val="24"/>
        </w:rPr>
        <w:t>（五）评审的依据为网上竞采文件和响应文件（含有效的书面承诺）。网上竞采小组判断响应文件对网上竞采文件的响应，仅基于响应文件本身而不靠外部证据</w:t>
      </w:r>
      <w:r>
        <w:rPr>
          <w:rFonts w:hint="eastAsia" w:ascii="宋体" w:hAnsi="宋体" w:cs="宋体"/>
          <w:color w:val="000000"/>
          <w:sz w:val="24"/>
          <w:szCs w:val="24"/>
        </w:rPr>
        <w:t>。</w:t>
      </w:r>
    </w:p>
    <w:bookmarkEnd w:id="145"/>
    <w:bookmarkEnd w:id="146"/>
    <w:bookmarkEnd w:id="147"/>
    <w:bookmarkEnd w:id="148"/>
    <w:p w14:paraId="7C94A009">
      <w:pPr>
        <w:pStyle w:val="4"/>
        <w:spacing w:before="0" w:after="0" w:line="440" w:lineRule="exact"/>
        <w:rPr>
          <w:rFonts w:hint="eastAsia" w:ascii="宋体" w:hAnsi="宋体" w:eastAsia="宋体" w:cs="宋体"/>
          <w:sz w:val="24"/>
          <w:szCs w:val="24"/>
        </w:rPr>
      </w:pPr>
      <w:bookmarkStart w:id="156" w:name="_Toc179714297"/>
      <w:bookmarkStart w:id="157" w:name="_Toc342913392"/>
      <w:bookmarkStart w:id="158" w:name="_Toc763"/>
      <w:bookmarkStart w:id="159" w:name="_Toc21897"/>
      <w:bookmarkStart w:id="160" w:name="_Toc20429"/>
      <w:bookmarkStart w:id="161" w:name="_Toc13981"/>
      <w:bookmarkStart w:id="162" w:name="_Toc102227318"/>
      <w:bookmarkStart w:id="163" w:name="_Toc29898"/>
      <w:bookmarkStart w:id="164" w:name="_Toc24753"/>
      <w:bookmarkStart w:id="165" w:name="_Toc29312"/>
      <w:bookmarkStart w:id="166" w:name="_Toc23493"/>
      <w:bookmarkStart w:id="167" w:name="_Toc30596"/>
      <w:bookmarkStart w:id="168" w:name="_Toc17331"/>
      <w:bookmarkStart w:id="169" w:name="_Toc20952"/>
      <w:bookmarkStart w:id="170" w:name="_Toc592"/>
      <w:bookmarkStart w:id="171" w:name="_Toc4862"/>
      <w:r>
        <w:rPr>
          <w:rFonts w:hint="eastAsia" w:ascii="宋体" w:hAnsi="宋体" w:eastAsia="宋体" w:cs="宋体"/>
          <w:sz w:val="24"/>
          <w:szCs w:val="24"/>
        </w:rPr>
        <w:t>三、</w:t>
      </w:r>
      <w:bookmarkEnd w:id="156"/>
      <w:bookmarkEnd w:id="157"/>
      <w:bookmarkEnd w:id="158"/>
      <w:bookmarkEnd w:id="159"/>
      <w:bookmarkEnd w:id="160"/>
      <w:bookmarkEnd w:id="161"/>
      <w:bookmarkEnd w:id="162"/>
      <w:bookmarkEnd w:id="163"/>
      <w:bookmarkEnd w:id="164"/>
      <w:r>
        <w:rPr>
          <w:rFonts w:hint="eastAsia" w:ascii="宋体" w:hAnsi="宋体" w:eastAsia="宋体" w:cs="宋体"/>
          <w:sz w:val="24"/>
          <w:szCs w:val="24"/>
        </w:rPr>
        <w:t>网上竞采要求</w:t>
      </w:r>
      <w:bookmarkEnd w:id="165"/>
      <w:bookmarkEnd w:id="166"/>
      <w:bookmarkEnd w:id="167"/>
      <w:bookmarkEnd w:id="168"/>
      <w:bookmarkEnd w:id="169"/>
      <w:bookmarkEnd w:id="170"/>
      <w:bookmarkEnd w:id="171"/>
    </w:p>
    <w:p w14:paraId="5AF57E16">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（一）响应文件</w:t>
      </w:r>
    </w:p>
    <w:p w14:paraId="190ADE67">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1.供应商应当按照网上竞采文件的要求编制响应文件，并对网上竞采文件提出的要求和条件作出实质性响应，响应文件为正本PDF扫描件，同时应编制完整的页码、目录。</w:t>
      </w:r>
    </w:p>
    <w:p w14:paraId="53668AA7">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2.响应文件组成</w:t>
      </w:r>
    </w:p>
    <w:p w14:paraId="077FC874">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F3C3515">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（二）联合体</w:t>
      </w:r>
    </w:p>
    <w:p w14:paraId="2B18C87B">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本项目不接受联合体竞标。</w:t>
      </w:r>
    </w:p>
    <w:p w14:paraId="258A310C">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（三）网上竞采有效期：响应文件及有关承诺文件有效期为提交响应文件截止时间起90天。</w:t>
      </w:r>
    </w:p>
    <w:p w14:paraId="56B5E781">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（四）修正错误</w:t>
      </w:r>
    </w:p>
    <w:p w14:paraId="53FF12E9">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1.若供应商所递交的响应文件或报价中的价格出现大写金额和小写金额不一致的错误，以大写金额修正为准。</w:t>
      </w:r>
    </w:p>
    <w:p w14:paraId="23B878BE">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2.网上竞采小组按上述修正错误的原则及方法修正供应商的报价，供应商同意并签字确认后，修正后的报价对供应商具有约束作用。如果供应商不接受修正后的价格，将失去成为供应商的资格。</w:t>
      </w:r>
    </w:p>
    <w:p w14:paraId="30709BB3">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（五）提交响应文件的份数和签署</w:t>
      </w:r>
    </w:p>
    <w:p w14:paraId="049C8138">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1.供应商须在平台报价并上传盖章后的响应文件正本PDF扫描件一份。 </w:t>
      </w:r>
    </w:p>
    <w:p w14:paraId="2B25A396">
      <w:pPr>
        <w:snapToGrid w:val="0"/>
        <w:spacing w:line="400" w:lineRule="exact"/>
        <w:ind w:firstLine="480"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sz w:val="24"/>
        </w:rPr>
        <w:t>2.在响应文件正本P</w:t>
      </w:r>
      <w:r>
        <w:rPr>
          <w:rFonts w:ascii="宋体" w:hAnsi="宋体" w:cs="宋体"/>
          <w:color w:val="000000"/>
          <w:sz w:val="24"/>
        </w:rPr>
        <w:t>DF</w:t>
      </w:r>
      <w:r>
        <w:rPr>
          <w:rFonts w:hint="eastAsia" w:ascii="宋体" w:hAnsi="宋体" w:cs="宋体"/>
          <w:color w:val="000000"/>
          <w:sz w:val="24"/>
        </w:rPr>
        <w:t>文档中，按照第七篇响应文件编制要求中规定签字、盖章的地方必须按其规定签字、盖章。</w:t>
      </w:r>
    </w:p>
    <w:p w14:paraId="65DA00AA">
      <w:pPr>
        <w:pStyle w:val="4"/>
        <w:spacing w:before="0" w:after="0" w:line="440" w:lineRule="exact"/>
        <w:rPr>
          <w:rFonts w:hint="eastAsia" w:ascii="宋体" w:hAnsi="宋体" w:eastAsia="宋体" w:cs="宋体"/>
          <w:sz w:val="24"/>
          <w:szCs w:val="24"/>
        </w:rPr>
      </w:pPr>
      <w:bookmarkStart w:id="172" w:name="_Toc17633"/>
      <w:bookmarkStart w:id="173" w:name="_Toc12149"/>
      <w:bookmarkStart w:id="174" w:name="_Toc29757"/>
      <w:bookmarkStart w:id="175" w:name="_Toc32177"/>
      <w:bookmarkStart w:id="176" w:name="_Toc30846"/>
      <w:bookmarkStart w:id="177" w:name="_Toc20888"/>
      <w:bookmarkStart w:id="178" w:name="_Toc20971"/>
      <w:bookmarkStart w:id="179" w:name="_Toc18951"/>
      <w:bookmarkStart w:id="180" w:name="_Toc23784"/>
      <w:bookmarkStart w:id="181" w:name="_Toc228"/>
      <w:bookmarkStart w:id="182" w:name="_Toc10431"/>
      <w:bookmarkStart w:id="183" w:name="_Toc4779"/>
      <w:bookmarkStart w:id="184" w:name="_Toc14074"/>
      <w:bookmarkStart w:id="185" w:name="_Toc28042"/>
      <w:bookmarkStart w:id="186" w:name="_Toc24181"/>
      <w:bookmarkStart w:id="187" w:name="_Toc1769"/>
      <w:bookmarkStart w:id="188" w:name="_Toc4702"/>
      <w:bookmarkStart w:id="189" w:name="_Toc21845"/>
      <w:bookmarkStart w:id="190" w:name="_Toc16489"/>
      <w:r>
        <w:rPr>
          <w:rFonts w:hint="eastAsia" w:ascii="宋体" w:hAnsi="宋体" w:eastAsia="宋体" w:cs="宋体"/>
          <w:sz w:val="24"/>
          <w:szCs w:val="24"/>
        </w:rPr>
        <w:t>四、成交供应商的确认和变更</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55A9845">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（一）成交供应商的确认</w:t>
      </w:r>
    </w:p>
    <w:p w14:paraId="43C26FCA">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代理机构应当在评审结束后2个工作日内将评审报告送采购人确认。采购人应当在收到评审报告后5个工作日内，从评审报告提出的成交候选供应商中，按照排序由高到低的原则确定成交供应商，也可以书面授权网上竞采小组直接确定成交供应商。采购人逾期未确定成交供应商且不提出异议的，视为确定评审报告提出的排序第一的供应商为成交供应商。</w:t>
      </w:r>
    </w:p>
    <w:p w14:paraId="74A739BD">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（二）成交供应商的变更</w:t>
      </w:r>
    </w:p>
    <w:p w14:paraId="3D5DE78C">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rPr>
        <w:t>成交供应商拒绝与采购人签订合同的，采购人可以按照评审报告推荐的成交候选供应商顺序，确定排名下一位的候选人为成交供应商，也可以重新开展竞采活动。</w:t>
      </w:r>
    </w:p>
    <w:p w14:paraId="56FF7BCE">
      <w:pPr>
        <w:pStyle w:val="4"/>
        <w:spacing w:before="0" w:after="0" w:line="440" w:lineRule="exact"/>
        <w:rPr>
          <w:rFonts w:hint="eastAsia" w:ascii="宋体" w:hAnsi="宋体" w:eastAsia="宋体" w:cs="宋体"/>
          <w:sz w:val="24"/>
          <w:szCs w:val="24"/>
        </w:rPr>
      </w:pPr>
      <w:bookmarkStart w:id="191" w:name="_Toc4906"/>
      <w:bookmarkStart w:id="192" w:name="_Toc13975"/>
      <w:bookmarkStart w:id="193" w:name="_Toc15355"/>
      <w:bookmarkStart w:id="194" w:name="_Toc8970"/>
      <w:bookmarkStart w:id="195" w:name="_Toc16002"/>
      <w:bookmarkStart w:id="196" w:name="_Toc9534"/>
      <w:bookmarkStart w:id="197" w:name="_Toc1255"/>
      <w:bookmarkStart w:id="198" w:name="_Toc17024"/>
      <w:bookmarkStart w:id="199" w:name="_Toc20154"/>
      <w:bookmarkStart w:id="200" w:name="_Toc29271"/>
      <w:bookmarkStart w:id="201" w:name="_Toc342913395"/>
      <w:bookmarkStart w:id="202" w:name="_Toc30610"/>
      <w:bookmarkStart w:id="203" w:name="_Toc2738"/>
      <w:bookmarkStart w:id="204" w:name="_Toc25988"/>
      <w:bookmarkStart w:id="205" w:name="_Toc102227321"/>
      <w:bookmarkStart w:id="206" w:name="_Toc15498"/>
      <w:bookmarkStart w:id="207" w:name="_Toc10260"/>
      <w:bookmarkStart w:id="208" w:name="_Toc23870"/>
      <w:bookmarkStart w:id="209" w:name="_Toc31906"/>
      <w:bookmarkStart w:id="210" w:name="_Toc25016"/>
      <w:r>
        <w:rPr>
          <w:rFonts w:hint="eastAsia" w:ascii="宋体" w:hAnsi="宋体" w:eastAsia="宋体" w:cs="宋体"/>
          <w:sz w:val="24"/>
          <w:szCs w:val="24"/>
        </w:rPr>
        <w:t>五、成交通知</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09D4E6D">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（一）成交供应商确定后，采购人或代理机构将在供应商在</w:t>
      </w:r>
      <w:r>
        <w:rPr>
          <w:rFonts w:hint="eastAsia" w:ascii="宋体" w:hAnsi="宋体" w:cs="宋体"/>
          <w:color w:val="000000"/>
          <w:sz w:val="24"/>
        </w:rPr>
        <w:t>行采家·电子竞采（https://www.gec123.com/）</w:t>
      </w:r>
      <w:r>
        <w:rPr>
          <w:rFonts w:hint="eastAsia" w:ascii="宋体" w:hAnsi="宋体" w:cs="宋体"/>
          <w:color w:val="000000"/>
          <w:sz w:val="24"/>
          <w:szCs w:val="24"/>
        </w:rPr>
        <w:t>上发布成交结果公告。</w:t>
      </w:r>
    </w:p>
    <w:p w14:paraId="3E232ED6">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（二）结果公告发出同时，代理机构将以书面形式发出《成交通知书》。《成交通知书》一经发出即发生法律效力。</w:t>
      </w:r>
    </w:p>
    <w:p w14:paraId="1E422B51">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（三）《成交通知书》将作为签订合同的依据。</w:t>
      </w:r>
    </w:p>
    <w:p w14:paraId="1D1CEB52">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22ACED80">
      <w:pPr>
        <w:pStyle w:val="4"/>
        <w:spacing w:before="0" w:after="0" w:line="440" w:lineRule="exact"/>
        <w:rPr>
          <w:rFonts w:hint="eastAsia" w:ascii="宋体" w:hAnsi="宋体" w:eastAsia="宋体" w:cs="宋体"/>
          <w:sz w:val="24"/>
          <w:szCs w:val="24"/>
          <w:highlight w:val="none"/>
        </w:rPr>
      </w:pPr>
      <w:bookmarkStart w:id="211" w:name="_Toc17817"/>
      <w:bookmarkStart w:id="212" w:name="_Toc3740"/>
      <w:bookmarkStart w:id="213" w:name="_Toc7551"/>
      <w:bookmarkStart w:id="214" w:name="_Toc997"/>
      <w:bookmarkStart w:id="215" w:name="_Toc8479"/>
      <w:bookmarkStart w:id="216" w:name="_Toc14329"/>
      <w:bookmarkStart w:id="217" w:name="_Toc15632"/>
      <w:bookmarkStart w:id="218" w:name="_Toc9881"/>
      <w:bookmarkStart w:id="219" w:name="_Toc17807"/>
      <w:bookmarkStart w:id="220" w:name="_Toc9784"/>
      <w:bookmarkStart w:id="221" w:name="_Toc13214"/>
      <w:bookmarkStart w:id="222" w:name="_Toc23257"/>
      <w:bookmarkStart w:id="223" w:name="_Toc12631"/>
      <w:bookmarkStart w:id="224" w:name="_Toc1786"/>
      <w:bookmarkStart w:id="225" w:name="_Toc14853"/>
      <w:bookmarkStart w:id="226" w:name="_Toc22300"/>
      <w:bookmarkStart w:id="227" w:name="_Toc20418"/>
      <w:bookmarkStart w:id="228" w:name="_Toc22867"/>
      <w:bookmarkStart w:id="229" w:name="_Toc27396"/>
      <w:r>
        <w:rPr>
          <w:rFonts w:hint="eastAsia" w:ascii="宋体" w:hAnsi="宋体" w:eastAsia="宋体" w:cs="宋体"/>
          <w:sz w:val="24"/>
          <w:szCs w:val="24"/>
          <w:highlight w:val="none"/>
        </w:rPr>
        <w:t>六、代理服务费</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A3A45CE">
      <w:pPr>
        <w:spacing w:line="400" w:lineRule="exact"/>
        <w:ind w:firstLine="480" w:firstLineChars="200"/>
        <w:rPr>
          <w:rFonts w:hint="eastAsia" w:ascii="宋体" w:hAnsi="宋体"/>
          <w:sz w:val="24"/>
          <w:highlight w:val="none"/>
          <w:lang w:val="en-US" w:eastAsia="zh-CN"/>
        </w:rPr>
      </w:pPr>
      <w:r>
        <w:rPr>
          <w:rFonts w:hint="eastAsia" w:ascii="宋体" w:hAnsi="宋体" w:cs="宋体"/>
          <w:color w:val="000000"/>
          <w:sz w:val="24"/>
          <w:szCs w:val="24"/>
          <w:highlight w:val="none"/>
        </w:rPr>
        <w:t>（一）供</w:t>
      </w:r>
      <w:r>
        <w:rPr>
          <w:rFonts w:hint="eastAsia" w:ascii="宋体" w:hAnsi="宋体"/>
          <w:sz w:val="24"/>
          <w:highlight w:val="none"/>
        </w:rPr>
        <w:t>应商成交后向采购代理机构缴纳</w:t>
      </w:r>
      <w:r>
        <w:rPr>
          <w:rFonts w:hint="eastAsia" w:ascii="宋体" w:hAnsi="宋体"/>
          <w:sz w:val="24"/>
          <w:szCs w:val="24"/>
          <w:highlight w:val="none"/>
        </w:rPr>
        <w:t>采购</w:t>
      </w:r>
      <w:r>
        <w:rPr>
          <w:rFonts w:hint="eastAsia" w:ascii="宋体" w:hAnsi="宋体"/>
          <w:sz w:val="24"/>
          <w:highlight w:val="none"/>
        </w:rPr>
        <w:t>代理服务费，</w:t>
      </w:r>
      <w:r>
        <w:rPr>
          <w:rFonts w:hint="eastAsia" w:ascii="宋体" w:hAnsi="宋体"/>
          <w:color w:val="000000" w:themeColor="text1"/>
          <w:sz w:val="24"/>
          <w:szCs w:val="24"/>
          <w:highlight w:val="none"/>
          <w14:textFill>
            <w14:solidFill>
              <w14:schemeClr w14:val="tx1"/>
            </w14:solidFill>
          </w14:textFill>
        </w:rPr>
        <w:t>（由成交供应商在领取成交通知书之前一次性支付给采购代理机构）</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auto"/>
          <w:sz w:val="24"/>
          <w:szCs w:val="24"/>
          <w:highlight w:val="none"/>
        </w:rPr>
        <w:t>采购</w:t>
      </w:r>
      <w:r>
        <w:rPr>
          <w:rFonts w:hint="eastAsia" w:ascii="宋体" w:hAnsi="宋体"/>
          <w:color w:val="auto"/>
          <w:sz w:val="24"/>
          <w:highlight w:val="none"/>
        </w:rPr>
        <w:t>代理服务费</w:t>
      </w:r>
      <w:r>
        <w:rPr>
          <w:rFonts w:hint="eastAsia" w:ascii="宋体" w:hAnsi="宋体"/>
          <w:color w:val="auto"/>
          <w:sz w:val="24"/>
          <w:highlight w:val="none"/>
          <w:lang w:val="en-US" w:eastAsia="zh-CN"/>
        </w:rPr>
        <w:t>为成交金额的1.5%收取</w:t>
      </w:r>
      <w:r>
        <w:rPr>
          <w:rFonts w:hint="eastAsia" w:ascii="宋体" w:hAnsi="宋体"/>
          <w:sz w:val="24"/>
          <w:highlight w:val="none"/>
          <w:lang w:val="en-US" w:eastAsia="zh-CN"/>
        </w:rPr>
        <w:t>。</w:t>
      </w:r>
    </w:p>
    <w:p w14:paraId="32219EF7">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（二）代理服务费缴纳账户信息：</w:t>
      </w:r>
    </w:p>
    <w:p w14:paraId="2003F7E4">
      <w:pPr>
        <w:spacing w:line="400" w:lineRule="exact"/>
        <w:ind w:firstLine="1205" w:firstLineChars="500"/>
        <w:rPr>
          <w:rFonts w:hint="eastAsia" w:ascii="宋体" w:hAnsi="宋体" w:cs="宋体"/>
          <w:b/>
          <w:bCs/>
          <w:color w:val="000000"/>
          <w:sz w:val="24"/>
          <w:szCs w:val="24"/>
        </w:rPr>
      </w:pPr>
      <w:r>
        <w:rPr>
          <w:rFonts w:hint="eastAsia" w:ascii="宋体" w:hAnsi="宋体" w:cs="宋体"/>
          <w:b/>
          <w:bCs/>
          <w:color w:val="000000"/>
          <w:sz w:val="24"/>
          <w:szCs w:val="24"/>
        </w:rPr>
        <w:t>户  名：重庆采家</w:t>
      </w:r>
      <w:r>
        <w:rPr>
          <w:rFonts w:hint="eastAsia" w:ascii="宋体" w:hAnsi="宋体" w:cs="宋体"/>
          <w:b/>
          <w:bCs/>
          <w:color w:val="000000"/>
          <w:sz w:val="24"/>
          <w:szCs w:val="24"/>
          <w:lang w:eastAsia="zh-CN"/>
        </w:rPr>
        <w:t>工程</w:t>
      </w:r>
      <w:r>
        <w:rPr>
          <w:rFonts w:hint="eastAsia" w:ascii="宋体" w:hAnsi="宋体" w:cs="宋体"/>
          <w:b/>
          <w:bCs/>
          <w:color w:val="000000"/>
          <w:sz w:val="24"/>
          <w:szCs w:val="24"/>
        </w:rPr>
        <w:t>管理有限公司</w:t>
      </w:r>
    </w:p>
    <w:p w14:paraId="0E41D0E1">
      <w:pPr>
        <w:spacing w:line="40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 xml:space="preserve">      开 户 行：中国工商银行重庆永川阳光尚城支行 </w:t>
      </w:r>
    </w:p>
    <w:p w14:paraId="1A9484F3">
      <w:pPr>
        <w:spacing w:line="400" w:lineRule="exact"/>
        <w:ind w:firstLine="1205" w:firstLineChars="500"/>
        <w:rPr>
          <w:rFonts w:hint="eastAsia" w:ascii="宋体" w:hAnsi="宋体" w:cs="宋体"/>
          <w:b/>
          <w:bCs/>
          <w:color w:val="000000"/>
          <w:sz w:val="24"/>
          <w:szCs w:val="24"/>
        </w:rPr>
      </w:pPr>
      <w:r>
        <w:rPr>
          <w:rFonts w:hint="eastAsia" w:ascii="宋体" w:hAnsi="宋体" w:cs="宋体"/>
          <w:b/>
          <w:bCs/>
          <w:color w:val="000000"/>
          <w:sz w:val="24"/>
          <w:szCs w:val="24"/>
        </w:rPr>
        <w:t xml:space="preserve">帐   号：3100 0917 0910 0068 958 </w:t>
      </w:r>
    </w:p>
    <w:p w14:paraId="0D57650B">
      <w:pPr>
        <w:pStyle w:val="4"/>
        <w:spacing w:before="0" w:after="0" w:line="440" w:lineRule="exact"/>
        <w:rPr>
          <w:rFonts w:hint="eastAsia" w:ascii="宋体" w:hAnsi="宋体" w:eastAsia="宋体" w:cs="宋体"/>
          <w:sz w:val="24"/>
          <w:szCs w:val="24"/>
        </w:rPr>
      </w:pPr>
      <w:bookmarkStart w:id="230" w:name="_Toc9002"/>
      <w:bookmarkStart w:id="231" w:name="_Toc31392"/>
      <w:bookmarkStart w:id="232" w:name="_Toc3458"/>
      <w:bookmarkStart w:id="233" w:name="_Toc6511"/>
      <w:bookmarkStart w:id="234" w:name="_Toc7419"/>
      <w:bookmarkStart w:id="235" w:name="_Toc25113"/>
      <w:bookmarkStart w:id="236" w:name="_Toc28350"/>
      <w:bookmarkStart w:id="237" w:name="_Toc21310"/>
      <w:bookmarkStart w:id="238" w:name="_Toc31547"/>
      <w:bookmarkStart w:id="239" w:name="_Toc15816"/>
      <w:bookmarkStart w:id="240" w:name="_Toc7880"/>
      <w:bookmarkStart w:id="241" w:name="_Toc14478"/>
      <w:bookmarkStart w:id="242" w:name="_Toc17534"/>
      <w:bookmarkStart w:id="243" w:name="_Toc30264"/>
      <w:bookmarkStart w:id="244" w:name="_Toc31641"/>
      <w:bookmarkStart w:id="245" w:name="_Toc16880"/>
      <w:bookmarkStart w:id="246" w:name="_Toc30591"/>
      <w:bookmarkStart w:id="247" w:name="_Toc2464"/>
      <w:r>
        <w:rPr>
          <w:rFonts w:hint="eastAsia" w:ascii="宋体" w:hAnsi="宋体" w:eastAsia="宋体" w:cs="宋体"/>
          <w:sz w:val="24"/>
          <w:szCs w:val="24"/>
        </w:rPr>
        <w:t>七、</w:t>
      </w:r>
      <w:bookmarkEnd w:id="230"/>
      <w:bookmarkEnd w:id="231"/>
      <w:bookmarkEnd w:id="232"/>
      <w:bookmarkEnd w:id="233"/>
      <w:bookmarkEnd w:id="234"/>
      <w:r>
        <w:rPr>
          <w:rFonts w:hint="eastAsia" w:ascii="宋体" w:hAnsi="宋体" w:eastAsia="宋体" w:cs="宋体"/>
          <w:sz w:val="24"/>
          <w:szCs w:val="24"/>
        </w:rPr>
        <w:t>签订合同</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699AF6CC">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（一）采购人应当自成交通知书发出之日起</w:t>
      </w:r>
      <w:r>
        <w:rPr>
          <w:rFonts w:hint="eastAsia" w:ascii="宋体" w:hAnsi="宋体" w:cs="宋体"/>
          <w:color w:val="000000"/>
          <w:sz w:val="24"/>
          <w:lang w:val="en-US" w:eastAsia="zh-CN"/>
        </w:rPr>
        <w:t>二</w:t>
      </w:r>
      <w:r>
        <w:rPr>
          <w:rFonts w:hint="eastAsia" w:ascii="宋体" w:hAnsi="宋体" w:cs="宋体"/>
          <w:color w:val="000000"/>
          <w:sz w:val="24"/>
        </w:rPr>
        <w:t>十日内，按照网上竞采文件和成交供应商响应文件的约定，与成交供应商签订书面合同。所签订的合同不得对网上竞采文件和供应商的响应文件作实质性修改。</w:t>
      </w:r>
    </w:p>
    <w:p w14:paraId="3D394126">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（二）网上竞采文件、供应商的响应文件及澄清文件等，均为签订竞采合同的依据。</w:t>
      </w:r>
    </w:p>
    <w:p w14:paraId="7A63A85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（三）合同生效条款由供需双方约定，法律、行政法规规定应当办理批准、登记等手续后生效的合同，依照其规定。</w:t>
      </w:r>
    </w:p>
    <w:p w14:paraId="1F9F014A">
      <w:pPr>
        <w:pStyle w:val="18"/>
        <w:rPr>
          <w:rFonts w:hint="eastAsia" w:ascii="宋体" w:hAnsi="宋体" w:eastAsia="宋体"/>
        </w:rPr>
      </w:pPr>
    </w:p>
    <w:bookmarkEnd w:id="84"/>
    <w:p w14:paraId="102BE7C7">
      <w:pPr>
        <w:widowControl/>
        <w:jc w:val="left"/>
        <w:rPr>
          <w:rFonts w:hint="eastAsia" w:ascii="宋体" w:hAnsi="宋体" w:cs="宋体"/>
          <w:b/>
          <w:bCs/>
          <w:sz w:val="32"/>
          <w:szCs w:val="32"/>
        </w:rPr>
      </w:pPr>
      <w:bookmarkStart w:id="248" w:name="_Toc1077"/>
      <w:bookmarkStart w:id="249" w:name="_Toc460"/>
      <w:bookmarkStart w:id="250" w:name="_Toc25204"/>
      <w:bookmarkStart w:id="251" w:name="_Toc18268"/>
      <w:bookmarkStart w:id="252" w:name="_Toc2190"/>
      <w:bookmarkStart w:id="253" w:name="_Toc16863"/>
      <w:bookmarkStart w:id="254" w:name="_Toc4453"/>
      <w:bookmarkStart w:id="255" w:name="_Toc18377"/>
      <w:bookmarkStart w:id="256" w:name="_Toc29466"/>
      <w:bookmarkStart w:id="257" w:name="_Toc23269"/>
      <w:bookmarkStart w:id="258" w:name="_Toc19774"/>
      <w:bookmarkStart w:id="259" w:name="_Toc5857"/>
      <w:r>
        <w:rPr>
          <w:rFonts w:ascii="宋体" w:hAnsi="宋体"/>
          <w:b/>
          <w:bCs/>
          <w:sz w:val="32"/>
          <w:szCs w:val="32"/>
        </w:rPr>
        <w:br w:type="page"/>
      </w:r>
    </w:p>
    <w:p w14:paraId="32F6B260">
      <w:pPr>
        <w:pStyle w:val="3"/>
        <w:spacing w:line="360" w:lineRule="auto"/>
        <w:jc w:val="center"/>
        <w:rPr>
          <w:rFonts w:hint="eastAsia" w:hAnsi="宋体"/>
          <w:b/>
          <w:bCs/>
          <w:sz w:val="32"/>
          <w:szCs w:val="32"/>
        </w:rPr>
      </w:pPr>
      <w:bookmarkStart w:id="260" w:name="_Toc14271"/>
      <w:r>
        <w:rPr>
          <w:rFonts w:hint="eastAsia" w:hAnsi="宋体"/>
          <w:b/>
          <w:bCs/>
          <w:sz w:val="32"/>
          <w:szCs w:val="32"/>
        </w:rPr>
        <w:t xml:space="preserve">第六篇  </w:t>
      </w:r>
      <w:bookmarkStart w:id="261" w:name="_Toc15371840"/>
      <w:r>
        <w:rPr>
          <w:rFonts w:hint="eastAsia" w:hAnsi="宋体"/>
          <w:b/>
          <w:bCs/>
          <w:sz w:val="32"/>
          <w:szCs w:val="32"/>
        </w:rPr>
        <w:t>合同</w:t>
      </w:r>
      <w:bookmarkEnd w:id="248"/>
      <w:bookmarkEnd w:id="249"/>
      <w:bookmarkEnd w:id="250"/>
      <w:bookmarkEnd w:id="251"/>
      <w:bookmarkEnd w:id="252"/>
      <w:bookmarkEnd w:id="253"/>
      <w:bookmarkEnd w:id="254"/>
      <w:bookmarkEnd w:id="255"/>
      <w:bookmarkEnd w:id="256"/>
      <w:bookmarkEnd w:id="257"/>
      <w:bookmarkEnd w:id="258"/>
      <w:bookmarkEnd w:id="259"/>
      <w:bookmarkEnd w:id="261"/>
      <w:r>
        <w:rPr>
          <w:rFonts w:hint="eastAsia" w:hAnsi="宋体"/>
          <w:b/>
          <w:bCs/>
          <w:sz w:val="32"/>
          <w:szCs w:val="32"/>
        </w:rPr>
        <w:t>草案条款</w:t>
      </w:r>
      <w:bookmarkEnd w:id="260"/>
    </w:p>
    <w:p w14:paraId="3E16C1A6">
      <w:pPr>
        <w:adjustRightInd w:val="0"/>
        <w:snapToGrid w:val="0"/>
        <w:spacing w:line="440" w:lineRule="exact"/>
        <w:ind w:firstLine="480" w:firstLineChars="200"/>
        <w:rPr>
          <w:rFonts w:hint="eastAsia" w:ascii="方正仿宋_GBK" w:hAnsi="方正仿宋_GBK" w:eastAsia="方正仿宋_GBK" w:cs="方正仿宋_GBK"/>
          <w:sz w:val="24"/>
        </w:rPr>
      </w:pPr>
      <w:bookmarkStart w:id="262" w:name="_Hlt41879464"/>
      <w:bookmarkEnd w:id="262"/>
      <w:bookmarkStart w:id="263" w:name="_Toc6107"/>
      <w:bookmarkStart w:id="264" w:name="_Toc10403"/>
      <w:bookmarkStart w:id="265" w:name="_Toc17047"/>
      <w:bookmarkStart w:id="266" w:name="_Toc12789072"/>
      <w:bookmarkStart w:id="267" w:name="_Toc1282"/>
      <w:bookmarkStart w:id="268" w:name="_Toc7138"/>
      <w:bookmarkStart w:id="269" w:name="_Toc4385"/>
      <w:bookmarkStart w:id="270" w:name="_Toc6615"/>
      <w:bookmarkStart w:id="271" w:name="_Toc9383"/>
      <w:bookmarkStart w:id="272" w:name="_Toc26462"/>
      <w:bookmarkStart w:id="273" w:name="_Toc29974"/>
      <w:bookmarkStart w:id="274" w:name="_Toc25180"/>
      <w:bookmarkStart w:id="275" w:name="_Toc22527"/>
      <w:bookmarkStart w:id="276" w:name="_Toc22876"/>
      <w:bookmarkStart w:id="277" w:name="_Toc31704"/>
      <w:bookmarkStart w:id="278" w:name="_Toc4905"/>
      <w:bookmarkStart w:id="279" w:name="_Toc29396"/>
      <w:bookmarkStart w:id="280" w:name="_Toc27586"/>
    </w:p>
    <w:p w14:paraId="0A0FD307">
      <w:pPr>
        <w:adjustRightInd w:val="0"/>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甲方（需方）：___________________________      计价单位：____________</w:t>
      </w:r>
    </w:p>
    <w:p w14:paraId="1C1F5F3B">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乙方（供方）：___________________________      计量单位：_____________</w:t>
      </w:r>
    </w:p>
    <w:p w14:paraId="7A9509EF">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B1C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2AB1C2C">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项目名称</w:t>
            </w:r>
          </w:p>
        </w:tc>
        <w:tc>
          <w:tcPr>
            <w:tcW w:w="984" w:type="dxa"/>
            <w:vAlign w:val="center"/>
          </w:tcPr>
          <w:p w14:paraId="396491B0">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数量</w:t>
            </w:r>
          </w:p>
        </w:tc>
        <w:tc>
          <w:tcPr>
            <w:tcW w:w="1298" w:type="dxa"/>
            <w:gridSpan w:val="2"/>
            <w:vAlign w:val="center"/>
          </w:tcPr>
          <w:p w14:paraId="6235CE46">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综合单价</w:t>
            </w:r>
          </w:p>
        </w:tc>
        <w:tc>
          <w:tcPr>
            <w:tcW w:w="1134" w:type="dxa"/>
            <w:vAlign w:val="center"/>
          </w:tcPr>
          <w:p w14:paraId="45373C41">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559" w:type="dxa"/>
            <w:vAlign w:val="center"/>
          </w:tcPr>
          <w:p w14:paraId="730F67DF">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vAlign w:val="center"/>
          </w:tcPr>
          <w:p w14:paraId="3110C32F">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2DA8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6228B3">
            <w:pPr>
              <w:spacing w:line="240" w:lineRule="atLeast"/>
              <w:jc w:val="center"/>
              <w:rPr>
                <w:rFonts w:hint="eastAsia" w:ascii="方正仿宋_GBK" w:hAnsi="方正仿宋_GBK" w:eastAsia="方正仿宋_GBK" w:cs="方正仿宋_GBK"/>
                <w:sz w:val="21"/>
                <w:szCs w:val="21"/>
              </w:rPr>
            </w:pPr>
          </w:p>
        </w:tc>
        <w:tc>
          <w:tcPr>
            <w:tcW w:w="984" w:type="dxa"/>
            <w:vAlign w:val="center"/>
          </w:tcPr>
          <w:p w14:paraId="3EC03910">
            <w:pPr>
              <w:spacing w:line="240" w:lineRule="atLeast"/>
              <w:jc w:val="center"/>
              <w:rPr>
                <w:rFonts w:hint="eastAsia" w:ascii="方正仿宋_GBK" w:hAnsi="方正仿宋_GBK" w:eastAsia="方正仿宋_GBK" w:cs="方正仿宋_GBK"/>
                <w:sz w:val="21"/>
                <w:szCs w:val="21"/>
              </w:rPr>
            </w:pPr>
          </w:p>
        </w:tc>
        <w:tc>
          <w:tcPr>
            <w:tcW w:w="1298" w:type="dxa"/>
            <w:gridSpan w:val="2"/>
            <w:vAlign w:val="center"/>
          </w:tcPr>
          <w:p w14:paraId="6F59F313">
            <w:pPr>
              <w:spacing w:line="240" w:lineRule="atLeast"/>
              <w:jc w:val="center"/>
              <w:rPr>
                <w:rFonts w:hint="eastAsia" w:ascii="方正仿宋_GBK" w:hAnsi="方正仿宋_GBK" w:eastAsia="方正仿宋_GBK" w:cs="方正仿宋_GBK"/>
                <w:sz w:val="21"/>
                <w:szCs w:val="21"/>
              </w:rPr>
            </w:pPr>
          </w:p>
        </w:tc>
        <w:tc>
          <w:tcPr>
            <w:tcW w:w="1134" w:type="dxa"/>
            <w:vAlign w:val="center"/>
          </w:tcPr>
          <w:p w14:paraId="68CF1F0E">
            <w:pPr>
              <w:spacing w:line="240" w:lineRule="atLeast"/>
              <w:jc w:val="center"/>
              <w:rPr>
                <w:rFonts w:hint="eastAsia" w:ascii="方正仿宋_GBK" w:hAnsi="方正仿宋_GBK" w:eastAsia="方正仿宋_GBK" w:cs="方正仿宋_GBK"/>
                <w:sz w:val="21"/>
                <w:szCs w:val="21"/>
              </w:rPr>
            </w:pPr>
          </w:p>
        </w:tc>
        <w:tc>
          <w:tcPr>
            <w:tcW w:w="1559" w:type="dxa"/>
            <w:vAlign w:val="center"/>
          </w:tcPr>
          <w:p w14:paraId="6CE73F5D">
            <w:pPr>
              <w:spacing w:line="240" w:lineRule="atLeast"/>
              <w:jc w:val="center"/>
              <w:rPr>
                <w:rFonts w:hint="eastAsia" w:ascii="方正仿宋_GBK" w:hAnsi="方正仿宋_GBK" w:eastAsia="方正仿宋_GBK" w:cs="方正仿宋_GBK"/>
                <w:sz w:val="21"/>
                <w:szCs w:val="21"/>
              </w:rPr>
            </w:pPr>
          </w:p>
        </w:tc>
        <w:tc>
          <w:tcPr>
            <w:tcW w:w="1567" w:type="dxa"/>
            <w:vAlign w:val="center"/>
          </w:tcPr>
          <w:p w14:paraId="7E76C679">
            <w:pPr>
              <w:spacing w:line="240" w:lineRule="atLeast"/>
              <w:jc w:val="center"/>
              <w:rPr>
                <w:rFonts w:hint="eastAsia" w:ascii="方正仿宋_GBK" w:hAnsi="方正仿宋_GBK" w:eastAsia="方正仿宋_GBK" w:cs="方正仿宋_GBK"/>
                <w:sz w:val="21"/>
                <w:szCs w:val="21"/>
              </w:rPr>
            </w:pPr>
          </w:p>
        </w:tc>
      </w:tr>
      <w:tr w14:paraId="4C3A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6B8EADA">
            <w:pPr>
              <w:spacing w:line="240" w:lineRule="atLeast"/>
              <w:jc w:val="center"/>
              <w:rPr>
                <w:rFonts w:hint="eastAsia" w:ascii="方正仿宋_GBK" w:hAnsi="方正仿宋_GBK" w:eastAsia="方正仿宋_GBK" w:cs="方正仿宋_GBK"/>
                <w:sz w:val="21"/>
                <w:szCs w:val="21"/>
              </w:rPr>
            </w:pPr>
          </w:p>
        </w:tc>
        <w:tc>
          <w:tcPr>
            <w:tcW w:w="984" w:type="dxa"/>
            <w:vAlign w:val="center"/>
          </w:tcPr>
          <w:p w14:paraId="3F16908D">
            <w:pPr>
              <w:spacing w:line="240" w:lineRule="atLeast"/>
              <w:jc w:val="center"/>
              <w:rPr>
                <w:rFonts w:hint="eastAsia" w:ascii="方正仿宋_GBK" w:hAnsi="方正仿宋_GBK" w:eastAsia="方正仿宋_GBK" w:cs="方正仿宋_GBK"/>
                <w:sz w:val="21"/>
                <w:szCs w:val="21"/>
              </w:rPr>
            </w:pPr>
          </w:p>
        </w:tc>
        <w:tc>
          <w:tcPr>
            <w:tcW w:w="1298" w:type="dxa"/>
            <w:gridSpan w:val="2"/>
            <w:vAlign w:val="center"/>
          </w:tcPr>
          <w:p w14:paraId="5FB44584">
            <w:pPr>
              <w:spacing w:line="240" w:lineRule="atLeast"/>
              <w:jc w:val="center"/>
              <w:rPr>
                <w:rFonts w:hint="eastAsia" w:ascii="方正仿宋_GBK" w:hAnsi="方正仿宋_GBK" w:eastAsia="方正仿宋_GBK" w:cs="方正仿宋_GBK"/>
                <w:sz w:val="21"/>
                <w:szCs w:val="21"/>
              </w:rPr>
            </w:pPr>
          </w:p>
        </w:tc>
        <w:tc>
          <w:tcPr>
            <w:tcW w:w="1134" w:type="dxa"/>
            <w:vAlign w:val="center"/>
          </w:tcPr>
          <w:p w14:paraId="21DBC00E">
            <w:pPr>
              <w:spacing w:line="240" w:lineRule="atLeast"/>
              <w:jc w:val="center"/>
              <w:rPr>
                <w:rFonts w:hint="eastAsia" w:ascii="方正仿宋_GBK" w:hAnsi="方正仿宋_GBK" w:eastAsia="方正仿宋_GBK" w:cs="方正仿宋_GBK"/>
                <w:sz w:val="21"/>
                <w:szCs w:val="21"/>
              </w:rPr>
            </w:pPr>
          </w:p>
        </w:tc>
        <w:tc>
          <w:tcPr>
            <w:tcW w:w="1559" w:type="dxa"/>
            <w:vAlign w:val="center"/>
          </w:tcPr>
          <w:p w14:paraId="0663B088">
            <w:pPr>
              <w:spacing w:line="240" w:lineRule="atLeast"/>
              <w:jc w:val="center"/>
              <w:rPr>
                <w:rFonts w:hint="eastAsia" w:ascii="方正仿宋_GBK" w:hAnsi="方正仿宋_GBK" w:eastAsia="方正仿宋_GBK" w:cs="方正仿宋_GBK"/>
                <w:sz w:val="21"/>
                <w:szCs w:val="21"/>
              </w:rPr>
            </w:pPr>
          </w:p>
        </w:tc>
        <w:tc>
          <w:tcPr>
            <w:tcW w:w="1567" w:type="dxa"/>
            <w:vAlign w:val="center"/>
          </w:tcPr>
          <w:p w14:paraId="397803E9">
            <w:pPr>
              <w:spacing w:line="240" w:lineRule="atLeast"/>
              <w:jc w:val="center"/>
              <w:rPr>
                <w:rFonts w:hint="eastAsia" w:ascii="方正仿宋_GBK" w:hAnsi="方正仿宋_GBK" w:eastAsia="方正仿宋_GBK" w:cs="方正仿宋_GBK"/>
                <w:sz w:val="21"/>
                <w:szCs w:val="21"/>
              </w:rPr>
            </w:pPr>
          </w:p>
        </w:tc>
      </w:tr>
      <w:tr w14:paraId="2CBB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B5DBBF">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3B79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C5C4969">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6D7E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DDF604F">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一、服务要求</w:t>
            </w:r>
          </w:p>
        </w:tc>
      </w:tr>
      <w:tr w14:paraId="5FA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A7EDB3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二、考核方式</w:t>
            </w:r>
          </w:p>
        </w:tc>
      </w:tr>
      <w:tr w14:paraId="4C52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521A0C31">
            <w:pPr>
              <w:spacing w:line="240" w:lineRule="atLeast"/>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三、付款方式：</w:t>
            </w:r>
          </w:p>
        </w:tc>
      </w:tr>
      <w:tr w14:paraId="0070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8EABD67">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X、履约保证金：</w:t>
            </w:r>
          </w:p>
        </w:tc>
      </w:tr>
      <w:tr w14:paraId="64BB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655B34F">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四、违约责任：</w:t>
            </w:r>
          </w:p>
          <w:p w14:paraId="20CC9D51">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按《中华人民共和国民法典》执行，或按双方约定。</w:t>
            </w:r>
          </w:p>
        </w:tc>
      </w:tr>
      <w:tr w14:paraId="21ED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97BD2A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五、其他约定事项：</w:t>
            </w:r>
          </w:p>
          <w:p w14:paraId="3E4C87F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1.采购文件及其澄清文件、响应文件和承诺是本合同不可分割的部分。</w:t>
            </w:r>
          </w:p>
          <w:p w14:paraId="1909C769">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2733BA19">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3.本合同一式__份， 需方__份，供方__份，具同等法律效力。</w:t>
            </w:r>
          </w:p>
          <w:p w14:paraId="0677185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343F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1F2E74A">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需方：</w:t>
            </w:r>
          </w:p>
          <w:p w14:paraId="4E9FBFEC">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6192A9DB">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528B30B1">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4984" w:type="dxa"/>
            <w:gridSpan w:val="5"/>
          </w:tcPr>
          <w:p w14:paraId="40D7D2F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供方：</w:t>
            </w:r>
          </w:p>
          <w:p w14:paraId="32C601D6">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714144FB">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70005401">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57A3B042">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3DADC49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4E5BD54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341211BC">
            <w:pPr>
              <w:widowControl/>
              <w:spacing w:line="240" w:lineRule="atLeas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tc>
      </w:tr>
      <w:tr w14:paraId="513C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5AE0D8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3148CF0D">
            <w:pPr>
              <w:spacing w:line="240" w:lineRule="atLeast"/>
              <w:rPr>
                <w:rFonts w:hint="eastAsia" w:ascii="方正仿宋_GBK" w:hAnsi="方正仿宋_GBK" w:eastAsia="方正仿宋_GBK" w:cs="方正仿宋_GBK"/>
                <w:sz w:val="21"/>
                <w:szCs w:val="21"/>
              </w:rPr>
            </w:pPr>
          </w:p>
        </w:tc>
      </w:tr>
    </w:tbl>
    <w:p w14:paraId="5CF423B1">
      <w:pPr>
        <w:rPr>
          <w:rFonts w:hint="eastAsia" w:hAnsi="宋体"/>
          <w:b/>
          <w:bCs/>
          <w:sz w:val="32"/>
          <w:szCs w:val="32"/>
        </w:rPr>
      </w:pPr>
      <w:r>
        <w:rPr>
          <w:rFonts w:hint="eastAsia" w:hAnsi="宋体"/>
          <w:b/>
          <w:bCs/>
          <w:sz w:val="32"/>
          <w:szCs w:val="32"/>
        </w:rPr>
        <w:br w:type="page"/>
      </w:r>
    </w:p>
    <w:p w14:paraId="37270368">
      <w:pPr>
        <w:pStyle w:val="3"/>
        <w:spacing w:line="360" w:lineRule="auto"/>
        <w:jc w:val="center"/>
        <w:rPr>
          <w:rFonts w:hint="eastAsia" w:hAnsi="宋体"/>
          <w:b/>
          <w:bCs/>
          <w:sz w:val="32"/>
          <w:szCs w:val="32"/>
        </w:rPr>
      </w:pPr>
      <w:bookmarkStart w:id="281" w:name="_Toc9024"/>
      <w:r>
        <w:rPr>
          <w:rFonts w:hint="eastAsia" w:hAnsi="宋体"/>
          <w:b/>
          <w:bCs/>
          <w:sz w:val="32"/>
          <w:szCs w:val="32"/>
        </w:rPr>
        <w:t>第七篇  响应文件格式要求</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6C9480E">
      <w:pPr>
        <w:spacing w:line="440" w:lineRule="exact"/>
        <w:ind w:firstLine="482" w:firstLineChars="200"/>
        <w:rPr>
          <w:rFonts w:hint="eastAsia" w:ascii="宋体" w:hAnsi="宋体" w:cs="宋体"/>
          <w:b/>
          <w:sz w:val="24"/>
          <w:szCs w:val="24"/>
        </w:rPr>
      </w:pPr>
      <w:r>
        <w:rPr>
          <w:rFonts w:hint="eastAsia" w:ascii="宋体" w:hAnsi="宋体" w:cs="宋体"/>
          <w:b/>
          <w:sz w:val="24"/>
          <w:szCs w:val="24"/>
        </w:rPr>
        <w:t>一、经济部分</w:t>
      </w:r>
    </w:p>
    <w:p w14:paraId="5A7C08C8">
      <w:pPr>
        <w:spacing w:line="440" w:lineRule="exact"/>
        <w:ind w:firstLine="480" w:firstLineChars="200"/>
        <w:rPr>
          <w:rFonts w:hint="eastAsia" w:ascii="宋体" w:hAnsi="宋体" w:cs="宋体"/>
          <w:sz w:val="24"/>
          <w:szCs w:val="24"/>
        </w:rPr>
      </w:pPr>
      <w:r>
        <w:rPr>
          <w:rFonts w:hint="eastAsia" w:ascii="宋体" w:hAnsi="宋体" w:cs="宋体"/>
          <w:sz w:val="24"/>
          <w:szCs w:val="24"/>
        </w:rPr>
        <w:t>（一）报价函</w:t>
      </w:r>
    </w:p>
    <w:p w14:paraId="150F6E9D">
      <w:pPr>
        <w:spacing w:line="40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14:paraId="08CF6DF4">
      <w:pPr>
        <w:spacing w:line="440" w:lineRule="exact"/>
        <w:ind w:firstLine="482" w:firstLineChars="200"/>
        <w:rPr>
          <w:rFonts w:hint="eastAsia" w:ascii="宋体" w:hAnsi="宋体" w:cs="宋体"/>
          <w:b/>
          <w:sz w:val="24"/>
          <w:szCs w:val="24"/>
        </w:rPr>
      </w:pPr>
      <w:r>
        <w:rPr>
          <w:rFonts w:hint="eastAsia" w:ascii="宋体" w:hAnsi="宋体" w:cs="宋体"/>
          <w:b/>
          <w:sz w:val="24"/>
          <w:szCs w:val="24"/>
        </w:rPr>
        <w:t>二、技术（质量）部分</w:t>
      </w:r>
    </w:p>
    <w:p w14:paraId="783A1734">
      <w:pPr>
        <w:spacing w:line="440" w:lineRule="exact"/>
        <w:ind w:firstLine="480" w:firstLineChars="200"/>
        <w:rPr>
          <w:rFonts w:hint="eastAsia" w:ascii="宋体" w:hAnsi="宋体" w:cs="宋体"/>
          <w:sz w:val="24"/>
          <w:szCs w:val="24"/>
        </w:rPr>
      </w:pPr>
      <w:r>
        <w:rPr>
          <w:rFonts w:hint="eastAsia" w:ascii="宋体" w:hAnsi="宋体" w:cs="宋体"/>
          <w:sz w:val="24"/>
          <w:szCs w:val="24"/>
        </w:rPr>
        <w:t>（一）技术（质量）响应偏离表</w:t>
      </w:r>
    </w:p>
    <w:p w14:paraId="691B0F89">
      <w:pPr>
        <w:spacing w:line="44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14:paraId="50DE1860">
      <w:pPr>
        <w:spacing w:line="440" w:lineRule="exact"/>
        <w:ind w:firstLine="482" w:firstLineChars="200"/>
        <w:rPr>
          <w:rFonts w:hint="eastAsia" w:ascii="宋体" w:hAnsi="宋体" w:cs="宋体"/>
          <w:b/>
          <w:sz w:val="24"/>
          <w:szCs w:val="24"/>
        </w:rPr>
      </w:pPr>
      <w:r>
        <w:rPr>
          <w:rFonts w:hint="eastAsia" w:ascii="宋体" w:hAnsi="宋体" w:cs="宋体"/>
          <w:b/>
          <w:sz w:val="24"/>
          <w:szCs w:val="24"/>
        </w:rPr>
        <w:t>三、商务部分</w:t>
      </w:r>
    </w:p>
    <w:p w14:paraId="4490CE5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（一）商务条款差异表</w:t>
      </w:r>
    </w:p>
    <w:p w14:paraId="79E94D9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（二）其他商务资料</w:t>
      </w:r>
    </w:p>
    <w:p w14:paraId="566F8F5E">
      <w:pPr>
        <w:spacing w:line="440" w:lineRule="exact"/>
        <w:ind w:firstLine="482" w:firstLineChars="200"/>
        <w:rPr>
          <w:rFonts w:hint="eastAsia" w:ascii="宋体" w:hAnsi="宋体" w:cs="宋体"/>
          <w:b/>
          <w:sz w:val="24"/>
          <w:szCs w:val="24"/>
        </w:rPr>
      </w:pPr>
      <w:r>
        <w:rPr>
          <w:rFonts w:hint="eastAsia" w:ascii="宋体" w:hAnsi="宋体" w:cs="宋体"/>
          <w:b/>
          <w:sz w:val="24"/>
          <w:szCs w:val="24"/>
        </w:rPr>
        <w:t>四、资格条件</w:t>
      </w:r>
    </w:p>
    <w:p w14:paraId="1CF0742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（一）营业执照（副本）或事业单位法人证书（副本）复印件</w:t>
      </w:r>
    </w:p>
    <w:p w14:paraId="32AAA35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（二）组织机构代码证复印件</w:t>
      </w:r>
    </w:p>
    <w:p w14:paraId="065B968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（三）法定代表人身份证明书（格式）</w:t>
      </w:r>
    </w:p>
    <w:p w14:paraId="0FBEDF1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（四）法定代表人授权委托书（格式）</w:t>
      </w:r>
    </w:p>
    <w:p w14:paraId="5E6F90F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（五）基本资格条件承诺函（格式）</w:t>
      </w:r>
    </w:p>
    <w:p w14:paraId="3DA96F9D">
      <w:pPr>
        <w:spacing w:line="440" w:lineRule="exact"/>
        <w:ind w:firstLine="480" w:firstLineChars="200"/>
        <w:rPr>
          <w:rFonts w:hint="eastAsia" w:ascii="宋体" w:hAnsi="宋体" w:cs="宋体"/>
          <w:sz w:val="24"/>
          <w:szCs w:val="24"/>
        </w:rPr>
      </w:pPr>
      <w:r>
        <w:rPr>
          <w:rFonts w:hint="eastAsia" w:ascii="宋体" w:hAnsi="宋体" w:cs="宋体"/>
          <w:sz w:val="24"/>
          <w:szCs w:val="24"/>
        </w:rPr>
        <w:t>说明：供应商按“多证合一”登记制度办理营业执照的，</w:t>
      </w:r>
      <w:r>
        <w:rPr>
          <w:rFonts w:hint="eastAsia" w:ascii="宋体" w:hAnsi="宋体" w:cs="宋体"/>
          <w:kern w:val="0"/>
          <w:sz w:val="24"/>
          <w:szCs w:val="24"/>
        </w:rPr>
        <w:t>组织机构代码证、税务登记</w:t>
      </w:r>
      <w:r>
        <w:rPr>
          <w:rFonts w:hint="eastAsia" w:ascii="宋体" w:hAnsi="宋体" w:cs="宋体"/>
          <w:sz w:val="24"/>
          <w:szCs w:val="24"/>
        </w:rPr>
        <w:t>证（副本）和社会保险登记证以供应商所提供的营业执照（副本）复印件为准。</w:t>
      </w:r>
    </w:p>
    <w:p w14:paraId="5051A174">
      <w:pPr>
        <w:spacing w:line="440" w:lineRule="exact"/>
        <w:ind w:firstLine="482" w:firstLineChars="200"/>
        <w:rPr>
          <w:rFonts w:hint="eastAsia" w:ascii="宋体" w:hAnsi="宋体" w:cs="宋体"/>
          <w:b/>
          <w:sz w:val="24"/>
          <w:szCs w:val="24"/>
        </w:rPr>
      </w:pPr>
      <w:r>
        <w:rPr>
          <w:rFonts w:hint="eastAsia" w:ascii="宋体" w:hAnsi="宋体" w:cs="宋体"/>
          <w:b/>
          <w:sz w:val="24"/>
          <w:szCs w:val="24"/>
        </w:rPr>
        <w:t xml:space="preserve">五、其他应提供的资料 </w:t>
      </w:r>
    </w:p>
    <w:p w14:paraId="3EDE0ABE">
      <w:pPr>
        <w:tabs>
          <w:tab w:val="left" w:pos="6300"/>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（一）其他与项目有关的资料（自附）</w:t>
      </w:r>
    </w:p>
    <w:p w14:paraId="6630C2B0">
      <w:pPr>
        <w:snapToGrid w:val="0"/>
        <w:spacing w:line="360" w:lineRule="auto"/>
        <w:rPr>
          <w:rFonts w:hint="eastAsia" w:ascii="宋体" w:hAnsi="宋体" w:cs="宋体"/>
          <w:sz w:val="24"/>
          <w:szCs w:val="24"/>
          <w:bdr w:val="single" w:color="auto" w:sz="4" w:space="0"/>
        </w:rPr>
      </w:pPr>
    </w:p>
    <w:p w14:paraId="384932AE">
      <w:pPr>
        <w:pStyle w:val="5"/>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p>
    <w:p w14:paraId="213F7319">
      <w:pPr>
        <w:pStyle w:val="4"/>
        <w:adjustRightInd w:val="0"/>
        <w:snapToGrid w:val="0"/>
        <w:spacing w:before="0" w:after="0" w:line="400" w:lineRule="exact"/>
        <w:ind w:firstLine="482" w:firstLineChars="200"/>
        <w:rPr>
          <w:rFonts w:hint="eastAsia" w:ascii="宋体" w:hAnsi="宋体" w:eastAsia="宋体" w:cs="宋体"/>
          <w:sz w:val="24"/>
        </w:rPr>
      </w:pPr>
      <w:bookmarkStart w:id="282" w:name="_Toc313008356"/>
      <w:bookmarkStart w:id="283" w:name="_Toc1047"/>
      <w:bookmarkStart w:id="284" w:name="_Toc342913419"/>
      <w:bookmarkStart w:id="285" w:name="_Toc313888360"/>
      <w:bookmarkStart w:id="286" w:name="_Toc12789073"/>
      <w:bookmarkStart w:id="287" w:name="_Toc283382454"/>
      <w:r>
        <w:rPr>
          <w:rFonts w:hint="eastAsia" w:ascii="宋体" w:hAnsi="宋体" w:eastAsia="宋体" w:cs="宋体"/>
          <w:sz w:val="24"/>
        </w:rPr>
        <w:t>一、经济部分</w:t>
      </w:r>
      <w:bookmarkEnd w:id="282"/>
      <w:bookmarkEnd w:id="283"/>
      <w:bookmarkEnd w:id="284"/>
      <w:bookmarkEnd w:id="285"/>
    </w:p>
    <w:bookmarkEnd w:id="286"/>
    <w:bookmarkEnd w:id="287"/>
    <w:p w14:paraId="6BB01E5C">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（一）报价函</w:t>
      </w:r>
    </w:p>
    <w:p w14:paraId="39E09ABA">
      <w:pPr>
        <w:tabs>
          <w:tab w:val="left" w:pos="6300"/>
        </w:tabs>
        <w:snapToGrid w:val="0"/>
        <w:spacing w:line="312" w:lineRule="auto"/>
        <w:jc w:val="center"/>
        <w:rPr>
          <w:rFonts w:hint="eastAsia" w:ascii="宋体" w:hAnsi="宋体" w:cs="宋体"/>
          <w:b/>
        </w:rPr>
      </w:pPr>
      <w:r>
        <w:rPr>
          <w:rFonts w:hint="eastAsia" w:ascii="宋体" w:hAnsi="宋体" w:cs="宋体"/>
          <w:b/>
        </w:rPr>
        <w:t>报价函</w:t>
      </w:r>
    </w:p>
    <w:p w14:paraId="0021CC1B">
      <w:pPr>
        <w:tabs>
          <w:tab w:val="left" w:pos="6300"/>
        </w:tabs>
        <w:snapToGrid w:val="0"/>
        <w:spacing w:line="312" w:lineRule="auto"/>
        <w:rPr>
          <w:rFonts w:hint="eastAsia" w:ascii="宋体" w:hAnsi="宋体" w:cs="宋体"/>
          <w:sz w:val="24"/>
          <w:szCs w:val="24"/>
        </w:rPr>
      </w:pPr>
      <w:r>
        <w:rPr>
          <w:rFonts w:hint="eastAsia" w:ascii="宋体" w:hAnsi="宋体" w:cs="宋体"/>
          <w:sz w:val="24"/>
          <w:szCs w:val="24"/>
          <w:u w:val="single"/>
        </w:rPr>
        <w:t>（竞采代理机构名称）</w:t>
      </w:r>
      <w:r>
        <w:rPr>
          <w:rFonts w:hint="eastAsia" w:ascii="宋体" w:hAnsi="宋体" w:cs="宋体"/>
          <w:sz w:val="24"/>
          <w:szCs w:val="24"/>
        </w:rPr>
        <w:t>：</w:t>
      </w:r>
    </w:p>
    <w:p w14:paraId="5BBD65B7">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我方收到____________________________（竞采项目名称）的竞采文件，经详细研究，决定参加该项目的竞采。</w:t>
      </w:r>
    </w:p>
    <w:p w14:paraId="4452DD14">
      <w:pPr>
        <w:tabs>
          <w:tab w:val="left" w:pos="6300"/>
        </w:tabs>
        <w:snapToGrid w:val="0"/>
        <w:spacing w:line="440" w:lineRule="exact"/>
        <w:ind w:firstLine="480" w:firstLineChars="200"/>
        <w:rPr>
          <w:rFonts w:hint="eastAsia" w:ascii="宋体" w:hAnsi="宋体" w:cs="宋体"/>
          <w:sz w:val="24"/>
          <w:szCs w:val="24"/>
          <w:lang w:bidi="ar"/>
        </w:rPr>
      </w:pPr>
      <w:r>
        <w:rPr>
          <w:rFonts w:hint="eastAsia" w:ascii="宋体" w:hAnsi="宋体" w:cs="宋体"/>
          <w:sz w:val="24"/>
          <w:szCs w:val="24"/>
        </w:rPr>
        <w:t>1.愿意按照竞采文件中的一切要求，提供本项目的交货及技术服务，项目报价（总价）为人民币大写：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w:t>
      </w:r>
    </w:p>
    <w:p w14:paraId="399E2673">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2.我方现提交的响应文件为：</w:t>
      </w:r>
      <w:r>
        <w:rPr>
          <w:rFonts w:hint="eastAsia" w:ascii="宋体" w:hAnsi="宋体"/>
          <w:b w:val="0"/>
          <w:bCs w:val="0"/>
          <w:color w:val="000000" w:themeColor="text1"/>
          <w:sz w:val="24"/>
          <w:szCs w:val="24"/>
          <w:lang w:val="en-US" w:eastAsia="zh-CN"/>
          <w14:textFill>
            <w14:solidFill>
              <w14:schemeClr w14:val="tx1"/>
            </w14:solidFill>
          </w14:textFill>
        </w:rPr>
        <w:t>线上</w:t>
      </w:r>
      <w:r>
        <w:rPr>
          <w:rFonts w:hint="eastAsia" w:ascii="宋体" w:hAnsi="宋体" w:cs="宋体"/>
          <w:sz w:val="24"/>
          <w:szCs w:val="24"/>
        </w:rPr>
        <w:t>上传</w:t>
      </w:r>
      <w:r>
        <w:rPr>
          <w:rFonts w:hint="eastAsia" w:ascii="宋体" w:hAnsi="宋体" w:cs="宋体"/>
          <w:color w:val="000000"/>
          <w:sz w:val="24"/>
        </w:rPr>
        <w:t>正本PDF扫描件1份</w:t>
      </w:r>
      <w:r>
        <w:rPr>
          <w:rFonts w:hint="eastAsia" w:ascii="宋体" w:hAnsi="宋体" w:cs="宋体"/>
          <w:sz w:val="24"/>
          <w:szCs w:val="24"/>
        </w:rPr>
        <w:t>。</w:t>
      </w:r>
    </w:p>
    <w:p w14:paraId="432A1794">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3.我方承诺：本次竞采的有效期为提交响应文件截止时间起90天。</w:t>
      </w:r>
    </w:p>
    <w:p w14:paraId="04AFE032">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4.我方完全理解和接受贵方竞采文件的一切规定和要求及竞采评审办法。</w:t>
      </w:r>
    </w:p>
    <w:p w14:paraId="4768D7A3">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5.在整个竞采过程中，我方若有违规行为，接受按照《中华人民共和国政府竞采法》和《竞采文件》之规定给予惩罚。</w:t>
      </w:r>
    </w:p>
    <w:p w14:paraId="440FCCDD">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6.我方若成为成交供应商，将按照最终竞采结果签订合同，并且严格履行合同义务。本承诺函将成为合同不可分割的一部分，与合同具有同等的法律效力。</w:t>
      </w:r>
    </w:p>
    <w:p w14:paraId="24F1DCC1">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7.如果我方成为成交供应商，保证在接到成交通知书后，向代理机构缴纳竞采文件规定的代理服务费。</w:t>
      </w:r>
    </w:p>
    <w:p w14:paraId="696FFE15">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rPr>
        <w:t>我方未</w:t>
      </w:r>
      <w:r>
        <w:rPr>
          <w:rFonts w:hint="eastAsia" w:ascii="宋体" w:hAnsi="宋体" w:cs="宋体"/>
          <w:sz w:val="24"/>
          <w:szCs w:val="24"/>
        </w:rPr>
        <w:t>为该项目提供整体设计、规范编制或者项目管理、监理、检测等服务。</w:t>
      </w:r>
    </w:p>
    <w:p w14:paraId="10147A18">
      <w:pPr>
        <w:tabs>
          <w:tab w:val="left" w:pos="6300"/>
        </w:tabs>
        <w:snapToGrid w:val="0"/>
        <w:spacing w:line="312" w:lineRule="auto"/>
        <w:ind w:firstLine="570"/>
        <w:rPr>
          <w:rFonts w:hint="eastAsia" w:ascii="宋体" w:hAnsi="宋体" w:cs="宋体"/>
          <w:sz w:val="24"/>
          <w:szCs w:val="24"/>
        </w:rPr>
      </w:pPr>
    </w:p>
    <w:p w14:paraId="6C068857">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供应商（公章）或自然人签署：</w:t>
      </w:r>
    </w:p>
    <w:p w14:paraId="14F20F2B">
      <w:pPr>
        <w:tabs>
          <w:tab w:val="left" w:pos="6300"/>
        </w:tabs>
        <w:snapToGrid w:val="0"/>
        <w:spacing w:line="312" w:lineRule="auto"/>
        <w:ind w:firstLine="570"/>
        <w:rPr>
          <w:rFonts w:hint="eastAsia" w:ascii="宋体" w:hAnsi="宋体" w:cs="宋体"/>
          <w:sz w:val="24"/>
          <w:szCs w:val="24"/>
        </w:rPr>
      </w:pPr>
    </w:p>
    <w:p w14:paraId="793ECA9B">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14:paraId="1EB549F2">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14:paraId="481A993E">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14:paraId="43D16E34">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14:paraId="7C0A319C">
      <w:pPr>
        <w:snapToGrid w:val="0"/>
        <w:spacing w:line="312" w:lineRule="auto"/>
        <w:ind w:firstLine="480" w:firstLineChars="200"/>
        <w:rPr>
          <w:rFonts w:hint="eastAsia"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3E4CE6D3">
      <w:pPr>
        <w:spacing w:line="40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14:paraId="17C61112">
      <w:pPr>
        <w:spacing w:line="44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项目编号：                              </w:t>
      </w:r>
    </w:p>
    <w:p w14:paraId="2489A84C">
      <w:pPr>
        <w:spacing w:line="44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项目名称：                                                  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901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500A2D65">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557" w:type="dxa"/>
            <w:vAlign w:val="center"/>
          </w:tcPr>
          <w:p w14:paraId="317C67F7">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127" w:type="dxa"/>
            <w:vAlign w:val="center"/>
          </w:tcPr>
          <w:p w14:paraId="0CAD3444">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235" w:type="dxa"/>
            <w:vAlign w:val="center"/>
          </w:tcPr>
          <w:p w14:paraId="6BBADDC2">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235" w:type="dxa"/>
            <w:vAlign w:val="center"/>
          </w:tcPr>
          <w:p w14:paraId="7ADA3922">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235" w:type="dxa"/>
            <w:vAlign w:val="center"/>
          </w:tcPr>
          <w:p w14:paraId="20CECFA7">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1C1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9E3C2C">
            <w:pPr>
              <w:pStyle w:val="10"/>
              <w:spacing w:line="360" w:lineRule="exact"/>
              <w:ind w:left="0"/>
              <w:jc w:val="center"/>
              <w:rPr>
                <w:rFonts w:hint="eastAsia" w:ascii="方正仿宋_GBK" w:hAnsi="方正仿宋_GBK" w:eastAsia="方正仿宋_GBK" w:cs="方正仿宋_GBK"/>
                <w:sz w:val="21"/>
                <w:szCs w:val="21"/>
              </w:rPr>
            </w:pPr>
            <w:bookmarkStart w:id="288" w:name="_Toc9739"/>
            <w:r>
              <w:rPr>
                <w:rFonts w:hint="eastAsia" w:ascii="方正仿宋_GBK" w:hAnsi="方正仿宋_GBK" w:eastAsia="方正仿宋_GBK" w:cs="方正仿宋_GBK"/>
                <w:sz w:val="21"/>
                <w:szCs w:val="21"/>
              </w:rPr>
              <w:t>1</w:t>
            </w:r>
            <w:bookmarkEnd w:id="288"/>
          </w:p>
        </w:tc>
        <w:tc>
          <w:tcPr>
            <w:tcW w:w="1557" w:type="dxa"/>
            <w:vAlign w:val="center"/>
          </w:tcPr>
          <w:p w14:paraId="69775EF1">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2382203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521B9216">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06C02C3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156DD643">
            <w:pPr>
              <w:spacing w:line="360" w:lineRule="exact"/>
              <w:jc w:val="center"/>
              <w:rPr>
                <w:rFonts w:hint="eastAsia" w:ascii="方正仿宋_GBK" w:hAnsi="方正仿宋_GBK" w:eastAsia="方正仿宋_GBK" w:cs="方正仿宋_GBK"/>
                <w:sz w:val="21"/>
                <w:szCs w:val="21"/>
              </w:rPr>
            </w:pPr>
          </w:p>
        </w:tc>
      </w:tr>
      <w:tr w14:paraId="380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78C8907">
            <w:pPr>
              <w:pStyle w:val="10"/>
              <w:spacing w:line="360" w:lineRule="exact"/>
              <w:ind w:left="0"/>
              <w:jc w:val="center"/>
              <w:rPr>
                <w:rFonts w:hint="eastAsia" w:ascii="方正仿宋_GBK" w:hAnsi="方正仿宋_GBK" w:eastAsia="方正仿宋_GBK" w:cs="方正仿宋_GBK"/>
                <w:sz w:val="21"/>
                <w:szCs w:val="21"/>
              </w:rPr>
            </w:pPr>
            <w:bookmarkStart w:id="289" w:name="_Toc31854"/>
            <w:r>
              <w:rPr>
                <w:rFonts w:hint="eastAsia" w:ascii="方正仿宋_GBK" w:hAnsi="方正仿宋_GBK" w:eastAsia="方正仿宋_GBK" w:cs="方正仿宋_GBK"/>
                <w:sz w:val="21"/>
                <w:szCs w:val="21"/>
              </w:rPr>
              <w:t>2</w:t>
            </w:r>
            <w:bookmarkEnd w:id="289"/>
          </w:p>
        </w:tc>
        <w:tc>
          <w:tcPr>
            <w:tcW w:w="1557" w:type="dxa"/>
            <w:vAlign w:val="center"/>
          </w:tcPr>
          <w:p w14:paraId="1571ACE2">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45021DB0">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7D39BCA1">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B066892">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FE67B16">
            <w:pPr>
              <w:spacing w:line="360" w:lineRule="exact"/>
              <w:jc w:val="center"/>
              <w:rPr>
                <w:rFonts w:hint="eastAsia" w:ascii="方正仿宋_GBK" w:hAnsi="方正仿宋_GBK" w:eastAsia="方正仿宋_GBK" w:cs="方正仿宋_GBK"/>
                <w:sz w:val="21"/>
                <w:szCs w:val="21"/>
              </w:rPr>
            </w:pPr>
          </w:p>
        </w:tc>
      </w:tr>
      <w:tr w14:paraId="6938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B567E7">
            <w:pPr>
              <w:pStyle w:val="10"/>
              <w:spacing w:line="360" w:lineRule="exact"/>
              <w:ind w:left="0"/>
              <w:jc w:val="center"/>
              <w:rPr>
                <w:rFonts w:hint="eastAsia" w:ascii="方正仿宋_GBK" w:hAnsi="方正仿宋_GBK" w:eastAsia="方正仿宋_GBK" w:cs="方正仿宋_GBK"/>
                <w:sz w:val="21"/>
                <w:szCs w:val="21"/>
              </w:rPr>
            </w:pPr>
            <w:bookmarkStart w:id="290" w:name="_Toc10942"/>
            <w:r>
              <w:rPr>
                <w:rFonts w:hint="eastAsia" w:ascii="方正仿宋_GBK" w:hAnsi="方正仿宋_GBK" w:eastAsia="方正仿宋_GBK" w:cs="方正仿宋_GBK"/>
                <w:sz w:val="21"/>
                <w:szCs w:val="21"/>
              </w:rPr>
              <w:t>3</w:t>
            </w:r>
            <w:bookmarkEnd w:id="290"/>
          </w:p>
        </w:tc>
        <w:tc>
          <w:tcPr>
            <w:tcW w:w="1557" w:type="dxa"/>
            <w:vAlign w:val="center"/>
          </w:tcPr>
          <w:p w14:paraId="705FFCE8">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2D763104">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A432D1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6E267006">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53A482C0">
            <w:pPr>
              <w:spacing w:line="360" w:lineRule="exact"/>
              <w:jc w:val="center"/>
              <w:rPr>
                <w:rFonts w:hint="eastAsia" w:ascii="方正仿宋_GBK" w:hAnsi="方正仿宋_GBK" w:eastAsia="方正仿宋_GBK" w:cs="方正仿宋_GBK"/>
                <w:sz w:val="21"/>
                <w:szCs w:val="21"/>
              </w:rPr>
            </w:pPr>
          </w:p>
        </w:tc>
      </w:tr>
      <w:tr w14:paraId="697E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257A56">
            <w:pPr>
              <w:pStyle w:val="10"/>
              <w:spacing w:line="360" w:lineRule="exact"/>
              <w:ind w:left="0"/>
              <w:jc w:val="center"/>
              <w:rPr>
                <w:rFonts w:hint="eastAsia" w:ascii="方正仿宋_GBK" w:hAnsi="方正仿宋_GBK" w:eastAsia="方正仿宋_GBK" w:cs="方正仿宋_GBK"/>
                <w:sz w:val="21"/>
                <w:szCs w:val="21"/>
              </w:rPr>
            </w:pPr>
            <w:bookmarkStart w:id="291" w:name="_Toc728"/>
            <w:r>
              <w:rPr>
                <w:rFonts w:hint="eastAsia" w:ascii="方正仿宋_GBK" w:hAnsi="方正仿宋_GBK" w:eastAsia="方正仿宋_GBK" w:cs="方正仿宋_GBK"/>
                <w:sz w:val="21"/>
                <w:szCs w:val="21"/>
              </w:rPr>
              <w:t>4</w:t>
            </w:r>
            <w:bookmarkEnd w:id="291"/>
          </w:p>
        </w:tc>
        <w:tc>
          <w:tcPr>
            <w:tcW w:w="1557" w:type="dxa"/>
            <w:vAlign w:val="center"/>
          </w:tcPr>
          <w:p w14:paraId="26D31048">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0A24683C">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31BF839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1B28F242">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0CE287C0">
            <w:pPr>
              <w:spacing w:line="360" w:lineRule="exact"/>
              <w:jc w:val="center"/>
              <w:rPr>
                <w:rFonts w:hint="eastAsia" w:ascii="方正仿宋_GBK" w:hAnsi="方正仿宋_GBK" w:eastAsia="方正仿宋_GBK" w:cs="方正仿宋_GBK"/>
                <w:sz w:val="21"/>
                <w:szCs w:val="21"/>
              </w:rPr>
            </w:pPr>
          </w:p>
        </w:tc>
      </w:tr>
      <w:tr w14:paraId="3187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5E593C5">
            <w:pPr>
              <w:pStyle w:val="10"/>
              <w:spacing w:line="360" w:lineRule="exact"/>
              <w:ind w:left="0"/>
              <w:jc w:val="center"/>
              <w:rPr>
                <w:rFonts w:hint="eastAsia" w:ascii="方正仿宋_GBK" w:hAnsi="方正仿宋_GBK" w:eastAsia="方正仿宋_GBK" w:cs="方正仿宋_GBK"/>
                <w:sz w:val="21"/>
                <w:szCs w:val="21"/>
              </w:rPr>
            </w:pPr>
            <w:bookmarkStart w:id="292" w:name="_Toc11033"/>
            <w:r>
              <w:rPr>
                <w:rFonts w:hint="eastAsia" w:ascii="方正仿宋_GBK" w:hAnsi="方正仿宋_GBK" w:eastAsia="方正仿宋_GBK" w:cs="方正仿宋_GBK"/>
                <w:sz w:val="21"/>
                <w:szCs w:val="21"/>
              </w:rPr>
              <w:t>5</w:t>
            </w:r>
            <w:bookmarkEnd w:id="292"/>
          </w:p>
        </w:tc>
        <w:tc>
          <w:tcPr>
            <w:tcW w:w="1557" w:type="dxa"/>
            <w:vAlign w:val="center"/>
          </w:tcPr>
          <w:p w14:paraId="4362B3E6">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3C9C5566">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5484F189">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0B32F98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3D9C5576">
            <w:pPr>
              <w:spacing w:line="360" w:lineRule="exact"/>
              <w:jc w:val="center"/>
              <w:rPr>
                <w:rFonts w:hint="eastAsia" w:ascii="方正仿宋_GBK" w:hAnsi="方正仿宋_GBK" w:eastAsia="方正仿宋_GBK" w:cs="方正仿宋_GBK"/>
                <w:sz w:val="21"/>
                <w:szCs w:val="21"/>
              </w:rPr>
            </w:pPr>
          </w:p>
        </w:tc>
      </w:tr>
      <w:tr w14:paraId="48B8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AF8240">
            <w:pPr>
              <w:pStyle w:val="10"/>
              <w:spacing w:line="360" w:lineRule="exact"/>
              <w:ind w:left="0"/>
              <w:jc w:val="center"/>
              <w:rPr>
                <w:rFonts w:hint="eastAsia" w:ascii="方正仿宋_GBK" w:hAnsi="方正仿宋_GBK" w:eastAsia="方正仿宋_GBK" w:cs="方正仿宋_GBK"/>
                <w:sz w:val="21"/>
                <w:szCs w:val="21"/>
              </w:rPr>
            </w:pPr>
            <w:bookmarkStart w:id="293" w:name="_Toc21400"/>
            <w:r>
              <w:rPr>
                <w:rFonts w:hint="eastAsia" w:ascii="方正仿宋_GBK" w:hAnsi="方正仿宋_GBK" w:eastAsia="方正仿宋_GBK" w:cs="方正仿宋_GBK"/>
                <w:sz w:val="21"/>
                <w:szCs w:val="21"/>
              </w:rPr>
              <w:t>6</w:t>
            </w:r>
            <w:bookmarkEnd w:id="293"/>
          </w:p>
        </w:tc>
        <w:tc>
          <w:tcPr>
            <w:tcW w:w="1557" w:type="dxa"/>
            <w:vAlign w:val="center"/>
          </w:tcPr>
          <w:p w14:paraId="4C24B3EE">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371793C5">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1E8CAC08">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15B082FB">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F9D8305">
            <w:pPr>
              <w:spacing w:line="360" w:lineRule="exact"/>
              <w:jc w:val="center"/>
              <w:rPr>
                <w:rFonts w:hint="eastAsia" w:ascii="方正仿宋_GBK" w:hAnsi="方正仿宋_GBK" w:eastAsia="方正仿宋_GBK" w:cs="方正仿宋_GBK"/>
                <w:sz w:val="21"/>
                <w:szCs w:val="21"/>
              </w:rPr>
            </w:pPr>
          </w:p>
        </w:tc>
      </w:tr>
      <w:tr w14:paraId="43DD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8EDFFB7">
            <w:pPr>
              <w:pStyle w:val="10"/>
              <w:spacing w:line="360" w:lineRule="exact"/>
              <w:ind w:left="0"/>
              <w:jc w:val="center"/>
              <w:rPr>
                <w:rFonts w:hint="eastAsia" w:ascii="方正仿宋_GBK" w:hAnsi="方正仿宋_GBK" w:eastAsia="方正仿宋_GBK" w:cs="方正仿宋_GBK"/>
                <w:sz w:val="21"/>
                <w:szCs w:val="21"/>
              </w:rPr>
            </w:pPr>
            <w:bookmarkStart w:id="294" w:name="_Toc7563"/>
            <w:r>
              <w:rPr>
                <w:rFonts w:hint="eastAsia" w:ascii="方正仿宋_GBK" w:hAnsi="方正仿宋_GBK" w:eastAsia="方正仿宋_GBK" w:cs="方正仿宋_GBK"/>
                <w:sz w:val="21"/>
                <w:szCs w:val="21"/>
              </w:rPr>
              <w:t>7</w:t>
            </w:r>
            <w:bookmarkEnd w:id="294"/>
          </w:p>
        </w:tc>
        <w:tc>
          <w:tcPr>
            <w:tcW w:w="1557" w:type="dxa"/>
            <w:vAlign w:val="center"/>
          </w:tcPr>
          <w:p w14:paraId="3D780438">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4046B209">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7328C700">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7E6752FE">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5CE7CE30">
            <w:pPr>
              <w:spacing w:line="360" w:lineRule="exact"/>
              <w:jc w:val="center"/>
              <w:rPr>
                <w:rFonts w:hint="eastAsia" w:ascii="方正仿宋_GBK" w:hAnsi="方正仿宋_GBK" w:eastAsia="方正仿宋_GBK" w:cs="方正仿宋_GBK"/>
                <w:sz w:val="21"/>
                <w:szCs w:val="21"/>
              </w:rPr>
            </w:pPr>
          </w:p>
        </w:tc>
      </w:tr>
      <w:tr w14:paraId="699B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2183277">
            <w:pPr>
              <w:pStyle w:val="10"/>
              <w:spacing w:line="360" w:lineRule="exact"/>
              <w:ind w:left="0"/>
              <w:jc w:val="center"/>
              <w:rPr>
                <w:rFonts w:hint="eastAsia" w:ascii="方正仿宋_GBK" w:hAnsi="方正仿宋_GBK" w:eastAsia="方正仿宋_GBK" w:cs="方正仿宋_GBK"/>
                <w:sz w:val="21"/>
                <w:szCs w:val="21"/>
              </w:rPr>
            </w:pPr>
            <w:bookmarkStart w:id="295" w:name="_Toc16338"/>
            <w:r>
              <w:rPr>
                <w:rFonts w:hint="eastAsia" w:ascii="方正仿宋_GBK" w:hAnsi="方正仿宋_GBK" w:eastAsia="方正仿宋_GBK" w:cs="方正仿宋_GBK"/>
                <w:sz w:val="21"/>
                <w:szCs w:val="21"/>
              </w:rPr>
              <w:t>8</w:t>
            </w:r>
            <w:bookmarkEnd w:id="295"/>
          </w:p>
        </w:tc>
        <w:tc>
          <w:tcPr>
            <w:tcW w:w="1557" w:type="dxa"/>
            <w:vAlign w:val="center"/>
          </w:tcPr>
          <w:p w14:paraId="6554D89E">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030719FE">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427CCAAA">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4877A7BD">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316ACF2F">
            <w:pPr>
              <w:spacing w:line="360" w:lineRule="exact"/>
              <w:jc w:val="center"/>
              <w:rPr>
                <w:rFonts w:hint="eastAsia" w:ascii="方正仿宋_GBK" w:hAnsi="方正仿宋_GBK" w:eastAsia="方正仿宋_GBK" w:cs="方正仿宋_GBK"/>
                <w:sz w:val="21"/>
                <w:szCs w:val="21"/>
              </w:rPr>
            </w:pPr>
          </w:p>
        </w:tc>
      </w:tr>
      <w:tr w14:paraId="0D35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BC95682">
            <w:pPr>
              <w:pStyle w:val="10"/>
              <w:spacing w:line="360" w:lineRule="exact"/>
              <w:ind w:left="0"/>
              <w:jc w:val="center"/>
              <w:rPr>
                <w:rFonts w:hint="eastAsia" w:ascii="方正仿宋_GBK" w:hAnsi="方正仿宋_GBK" w:eastAsia="方正仿宋_GBK" w:cs="方正仿宋_GBK"/>
                <w:sz w:val="21"/>
                <w:szCs w:val="21"/>
              </w:rPr>
            </w:pPr>
            <w:bookmarkStart w:id="296" w:name="_Toc14665"/>
            <w:r>
              <w:rPr>
                <w:rFonts w:hint="eastAsia" w:ascii="方正仿宋_GBK" w:hAnsi="方正仿宋_GBK" w:eastAsia="方正仿宋_GBK" w:cs="方正仿宋_GBK"/>
                <w:sz w:val="21"/>
                <w:szCs w:val="21"/>
              </w:rPr>
              <w:t>9</w:t>
            </w:r>
            <w:bookmarkEnd w:id="296"/>
          </w:p>
        </w:tc>
        <w:tc>
          <w:tcPr>
            <w:tcW w:w="1557" w:type="dxa"/>
            <w:vAlign w:val="center"/>
          </w:tcPr>
          <w:p w14:paraId="7608AA97">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45855C50">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83353D6">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54240C5C">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05FB1A8A">
            <w:pPr>
              <w:spacing w:line="360" w:lineRule="exact"/>
              <w:jc w:val="center"/>
              <w:rPr>
                <w:rFonts w:hint="eastAsia" w:ascii="方正仿宋_GBK" w:hAnsi="方正仿宋_GBK" w:eastAsia="方正仿宋_GBK" w:cs="方正仿宋_GBK"/>
                <w:sz w:val="21"/>
                <w:szCs w:val="21"/>
              </w:rPr>
            </w:pPr>
          </w:p>
        </w:tc>
      </w:tr>
      <w:tr w14:paraId="77A7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76FFAE">
            <w:pPr>
              <w:pStyle w:val="10"/>
              <w:spacing w:line="360" w:lineRule="exact"/>
              <w:ind w:left="0"/>
              <w:jc w:val="center"/>
              <w:rPr>
                <w:rFonts w:hint="eastAsia" w:ascii="方正仿宋_GBK" w:hAnsi="方正仿宋_GBK" w:eastAsia="方正仿宋_GBK" w:cs="方正仿宋_GBK"/>
                <w:sz w:val="21"/>
                <w:szCs w:val="21"/>
              </w:rPr>
            </w:pPr>
            <w:bookmarkStart w:id="297" w:name="_Toc18920"/>
            <w:r>
              <w:rPr>
                <w:rFonts w:hint="eastAsia" w:ascii="方正仿宋_GBK" w:hAnsi="方正仿宋_GBK" w:eastAsia="方正仿宋_GBK" w:cs="方正仿宋_GBK"/>
                <w:sz w:val="21"/>
                <w:szCs w:val="21"/>
              </w:rPr>
              <w:t>10</w:t>
            </w:r>
            <w:bookmarkEnd w:id="297"/>
          </w:p>
        </w:tc>
        <w:tc>
          <w:tcPr>
            <w:tcW w:w="1557" w:type="dxa"/>
            <w:vAlign w:val="center"/>
          </w:tcPr>
          <w:p w14:paraId="443B99B7">
            <w:pPr>
              <w:spacing w:line="360" w:lineRule="exact"/>
              <w:jc w:val="center"/>
              <w:rPr>
                <w:rFonts w:hint="eastAsia" w:ascii="方正仿宋_GBK" w:hAnsi="方正仿宋_GBK" w:eastAsia="方正仿宋_GBK" w:cs="方正仿宋_GBK"/>
                <w:sz w:val="21"/>
                <w:szCs w:val="21"/>
              </w:rPr>
            </w:pPr>
          </w:p>
        </w:tc>
        <w:tc>
          <w:tcPr>
            <w:tcW w:w="3127" w:type="dxa"/>
            <w:vAlign w:val="center"/>
          </w:tcPr>
          <w:p w14:paraId="3D84E3B6">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2E209BFA">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340C9E03">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6316AAE9">
            <w:pPr>
              <w:spacing w:line="360" w:lineRule="exact"/>
              <w:jc w:val="center"/>
              <w:rPr>
                <w:rFonts w:hint="eastAsia" w:ascii="方正仿宋_GBK" w:hAnsi="方正仿宋_GBK" w:eastAsia="方正仿宋_GBK" w:cs="方正仿宋_GBK"/>
                <w:sz w:val="21"/>
                <w:szCs w:val="21"/>
              </w:rPr>
            </w:pPr>
          </w:p>
        </w:tc>
      </w:tr>
      <w:tr w14:paraId="55A1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2E47D70">
            <w:pPr>
              <w:pStyle w:val="10"/>
              <w:spacing w:line="360" w:lineRule="exact"/>
              <w:ind w:left="0"/>
              <w:jc w:val="center"/>
              <w:rPr>
                <w:rFonts w:hint="eastAsia" w:ascii="方正仿宋_GBK" w:hAnsi="方正仿宋_GBK" w:eastAsia="方正仿宋_GBK" w:cs="方正仿宋_GBK"/>
                <w:sz w:val="21"/>
                <w:szCs w:val="21"/>
              </w:rPr>
            </w:pPr>
            <w:bookmarkStart w:id="298" w:name="_Toc1840"/>
            <w:r>
              <w:rPr>
                <w:rFonts w:hint="eastAsia" w:ascii="方正仿宋_GBK" w:hAnsi="方正仿宋_GBK" w:eastAsia="方正仿宋_GBK" w:cs="方正仿宋_GBK"/>
                <w:sz w:val="21"/>
                <w:szCs w:val="21"/>
              </w:rPr>
              <w:t>11</w:t>
            </w:r>
            <w:bookmarkEnd w:id="298"/>
          </w:p>
        </w:tc>
        <w:tc>
          <w:tcPr>
            <w:tcW w:w="1557" w:type="dxa"/>
            <w:vAlign w:val="center"/>
          </w:tcPr>
          <w:p w14:paraId="42AD24B4">
            <w:pPr>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127" w:type="dxa"/>
            <w:vAlign w:val="center"/>
          </w:tcPr>
          <w:p w14:paraId="0765E057">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6A5C2000">
            <w:pPr>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235" w:type="dxa"/>
            <w:vAlign w:val="center"/>
          </w:tcPr>
          <w:p w14:paraId="6B449B41">
            <w:pPr>
              <w:spacing w:line="360" w:lineRule="exact"/>
              <w:jc w:val="center"/>
              <w:rPr>
                <w:rFonts w:hint="eastAsia" w:ascii="方正仿宋_GBK" w:hAnsi="方正仿宋_GBK" w:eastAsia="方正仿宋_GBK" w:cs="方正仿宋_GBK"/>
                <w:sz w:val="21"/>
                <w:szCs w:val="21"/>
              </w:rPr>
            </w:pPr>
          </w:p>
        </w:tc>
        <w:tc>
          <w:tcPr>
            <w:tcW w:w="1235" w:type="dxa"/>
            <w:vAlign w:val="center"/>
          </w:tcPr>
          <w:p w14:paraId="42050519">
            <w:pPr>
              <w:spacing w:line="360" w:lineRule="exact"/>
              <w:jc w:val="center"/>
              <w:rPr>
                <w:rFonts w:hint="eastAsia" w:ascii="方正仿宋_GBK" w:hAnsi="方正仿宋_GBK" w:eastAsia="方正仿宋_GBK" w:cs="方正仿宋_GBK"/>
                <w:sz w:val="21"/>
                <w:szCs w:val="21"/>
              </w:rPr>
            </w:pPr>
          </w:p>
        </w:tc>
      </w:tr>
      <w:tr w14:paraId="575B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CDC4F3C">
            <w:pPr>
              <w:pStyle w:val="10"/>
              <w:spacing w:line="360" w:lineRule="exact"/>
              <w:ind w:left="0"/>
              <w:jc w:val="center"/>
              <w:rPr>
                <w:rFonts w:hint="eastAsia" w:ascii="方正仿宋_GBK" w:hAnsi="方正仿宋_GBK" w:eastAsia="方正仿宋_GBK" w:cs="方正仿宋_GBK"/>
                <w:sz w:val="21"/>
                <w:szCs w:val="21"/>
              </w:rPr>
            </w:pPr>
            <w:bookmarkStart w:id="299" w:name="_Toc3931"/>
            <w:r>
              <w:rPr>
                <w:rFonts w:hint="eastAsia" w:ascii="方正仿宋_GBK" w:hAnsi="方正仿宋_GBK" w:eastAsia="方正仿宋_GBK" w:cs="方正仿宋_GBK"/>
                <w:sz w:val="21"/>
                <w:szCs w:val="21"/>
              </w:rPr>
              <w:t>12</w:t>
            </w:r>
            <w:bookmarkEnd w:id="299"/>
          </w:p>
        </w:tc>
        <w:tc>
          <w:tcPr>
            <w:tcW w:w="1557" w:type="dxa"/>
            <w:vAlign w:val="center"/>
          </w:tcPr>
          <w:p w14:paraId="1AD87ECD">
            <w:pPr>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6832" w:type="dxa"/>
            <w:gridSpan w:val="4"/>
            <w:vAlign w:val="center"/>
          </w:tcPr>
          <w:p w14:paraId="7E853551">
            <w:pPr>
              <w:spacing w:line="360" w:lineRule="exact"/>
              <w:rPr>
                <w:rFonts w:hint="eastAsia" w:ascii="方正仿宋_GBK" w:hAnsi="方正仿宋_GBK" w:eastAsia="方正仿宋_GBK" w:cs="方正仿宋_GBK"/>
                <w:sz w:val="21"/>
                <w:szCs w:val="21"/>
              </w:rPr>
            </w:pPr>
          </w:p>
        </w:tc>
      </w:tr>
    </w:tbl>
    <w:p w14:paraId="67F6C8D2">
      <w:pPr>
        <w:snapToGrid w:val="0"/>
        <w:spacing w:line="4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注：1.供应商应完整填写本表。</w:t>
      </w:r>
    </w:p>
    <w:p w14:paraId="01830658">
      <w:pPr>
        <w:snapToGrid w:val="0"/>
        <w:spacing w:line="4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2.该表可扩展</w:t>
      </w:r>
      <w:bookmarkStart w:id="300" w:name="OLE_LINK2"/>
      <w:bookmarkStart w:id="301" w:name="OLE_LINK1"/>
      <w:r>
        <w:rPr>
          <w:rFonts w:hint="eastAsia" w:ascii="方正仿宋_GBK" w:hAnsi="方正仿宋_GBK" w:eastAsia="方正仿宋_GBK" w:cs="方正仿宋_GBK"/>
          <w:sz w:val="21"/>
          <w:szCs w:val="21"/>
        </w:rPr>
        <w:t>。</w:t>
      </w:r>
      <w:bookmarkEnd w:id="300"/>
      <w:bookmarkEnd w:id="301"/>
    </w:p>
    <w:p w14:paraId="1A972095">
      <w:pPr>
        <w:snapToGrid w:val="0"/>
        <w:spacing w:line="440" w:lineRule="exact"/>
        <w:ind w:firstLine="4620" w:firstLineChars="2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14:paraId="32C9B9F7">
      <w:pPr>
        <w:snapToGrid w:val="0"/>
        <w:spacing w:line="440" w:lineRule="exact"/>
        <w:ind w:left="5460" w:leftChars="1950" w:firstLine="1470" w:firstLineChars="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供应商名称（公章）</w:t>
      </w:r>
    </w:p>
    <w:p w14:paraId="7FF002CB">
      <w:pPr>
        <w:snapToGrid w:val="0"/>
        <w:spacing w:line="440" w:lineRule="exact"/>
        <w:ind w:firstLine="5880" w:firstLineChars="28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14:paraId="057F9B86">
      <w:pPr>
        <w:spacing w:line="400" w:lineRule="exact"/>
        <w:rPr>
          <w:rFonts w:hint="eastAsia" w:ascii="宋体" w:hAnsi="宋体" w:cs="宋体"/>
          <w:sz w:val="24"/>
          <w:szCs w:val="24"/>
        </w:rPr>
      </w:pPr>
    </w:p>
    <w:p w14:paraId="4F9F8A6C">
      <w:pPr>
        <w:spacing w:line="400" w:lineRule="exact"/>
        <w:ind w:firstLine="480" w:firstLineChars="200"/>
        <w:rPr>
          <w:rFonts w:hint="eastAsia" w:ascii="宋体" w:hAnsi="宋体" w:cs="宋体"/>
          <w:sz w:val="24"/>
          <w:szCs w:val="24"/>
        </w:rPr>
      </w:pPr>
      <w:r>
        <w:rPr>
          <w:rFonts w:hint="eastAsia" w:ascii="宋体" w:hAnsi="宋体" w:cs="宋体"/>
          <w:sz w:val="24"/>
          <w:szCs w:val="24"/>
        </w:rPr>
        <w:t>注：1.供应商应严格按照采购人给出的项目量清单进行填报，不得增减项，不得修改项目量。</w:t>
      </w:r>
    </w:p>
    <w:p w14:paraId="6F3818E9">
      <w:pPr>
        <w:spacing w:line="400" w:lineRule="exact"/>
        <w:ind w:firstLine="480" w:firstLineChars="200"/>
        <w:rPr>
          <w:rFonts w:hint="eastAsia" w:ascii="宋体" w:hAnsi="宋体" w:cs="宋体"/>
          <w:sz w:val="24"/>
          <w:szCs w:val="24"/>
          <w:u w:val="single"/>
        </w:rPr>
      </w:pPr>
      <w:r>
        <w:rPr>
          <w:rFonts w:hint="eastAsia" w:ascii="宋体" w:hAnsi="宋体" w:cs="宋体"/>
          <w:sz w:val="24"/>
          <w:szCs w:val="24"/>
        </w:rPr>
        <w:t xml:space="preserve">    2.总价超出采购人给出的限价的，其响应文件按无效处理。</w:t>
      </w:r>
    </w:p>
    <w:p w14:paraId="41A750E0">
      <w:pPr>
        <w:rPr>
          <w:rFonts w:hint="eastAsia" w:ascii="宋体" w:hAnsi="宋体" w:cs="宋体"/>
        </w:rPr>
      </w:pPr>
    </w:p>
    <w:p w14:paraId="1956DA3E">
      <w:pPr>
        <w:snapToGrid w:val="0"/>
        <w:spacing w:line="360" w:lineRule="auto"/>
        <w:ind w:firstLine="480" w:firstLineChars="200"/>
        <w:rPr>
          <w:rFonts w:hint="eastAsia" w:ascii="宋体" w:hAnsi="宋体" w:cs="宋体"/>
          <w:sz w:val="24"/>
          <w:szCs w:val="24"/>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p>
    <w:p w14:paraId="67B2D80B">
      <w:pPr>
        <w:pStyle w:val="4"/>
        <w:adjustRightInd w:val="0"/>
        <w:snapToGrid w:val="0"/>
        <w:spacing w:before="0" w:after="0" w:line="400" w:lineRule="exact"/>
        <w:ind w:firstLine="482" w:firstLineChars="200"/>
        <w:rPr>
          <w:rFonts w:hint="eastAsia" w:ascii="宋体" w:hAnsi="宋体" w:eastAsia="宋体" w:cs="宋体"/>
          <w:sz w:val="24"/>
        </w:rPr>
      </w:pPr>
      <w:bookmarkStart w:id="302" w:name="_Toc342913420"/>
      <w:bookmarkStart w:id="303" w:name="_Toc313888361"/>
      <w:bookmarkStart w:id="304" w:name="_Toc313008357"/>
      <w:bookmarkStart w:id="305" w:name="_Toc14073"/>
      <w:bookmarkStart w:id="306" w:name="_Toc10418"/>
      <w:bookmarkStart w:id="307" w:name="_Toc8317"/>
      <w:bookmarkStart w:id="308" w:name="_Toc65660380"/>
      <w:bookmarkStart w:id="309" w:name="_Toc22655"/>
      <w:r>
        <w:rPr>
          <w:rFonts w:hint="eastAsia" w:ascii="宋体" w:hAnsi="宋体" w:eastAsia="宋体" w:cs="宋体"/>
          <w:sz w:val="24"/>
        </w:rPr>
        <w:t>二、技术（质量）部分</w:t>
      </w:r>
      <w:bookmarkEnd w:id="302"/>
      <w:bookmarkEnd w:id="303"/>
      <w:bookmarkEnd w:id="304"/>
      <w:bookmarkEnd w:id="305"/>
      <w:bookmarkEnd w:id="306"/>
      <w:bookmarkEnd w:id="307"/>
      <w:bookmarkEnd w:id="308"/>
      <w:bookmarkEnd w:id="309"/>
    </w:p>
    <w:p w14:paraId="24A0DCFB">
      <w:pPr>
        <w:spacing w:line="400" w:lineRule="exact"/>
        <w:ind w:firstLine="480" w:firstLineChars="200"/>
        <w:rPr>
          <w:rFonts w:hint="eastAsia" w:ascii="宋体" w:hAnsi="宋体" w:cs="宋体"/>
          <w:sz w:val="24"/>
          <w:szCs w:val="24"/>
        </w:rPr>
      </w:pPr>
      <w:r>
        <w:rPr>
          <w:rFonts w:hint="eastAsia" w:ascii="宋体" w:hAnsi="宋体" w:cs="宋体"/>
          <w:sz w:val="24"/>
          <w:szCs w:val="24"/>
        </w:rPr>
        <w:t>（一）技术（质量）响应偏离表</w:t>
      </w:r>
    </w:p>
    <w:p w14:paraId="48DF621C">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项目号：                               </w:t>
      </w:r>
    </w:p>
    <w:p w14:paraId="431A5A60">
      <w:pPr>
        <w:spacing w:line="400" w:lineRule="exact"/>
        <w:ind w:firstLine="480" w:firstLineChars="200"/>
        <w:rPr>
          <w:rFonts w:hint="eastAsia" w:ascii="宋体" w:hAnsi="宋体" w:cs="宋体"/>
          <w:sz w:val="24"/>
          <w:szCs w:val="24"/>
        </w:rPr>
      </w:pPr>
      <w:r>
        <w:rPr>
          <w:rFonts w:hint="eastAsia" w:ascii="宋体" w:hAnsi="宋体" w:cs="宋体"/>
          <w:sz w:val="24"/>
          <w:szCs w:val="24"/>
        </w:rPr>
        <w:t>竞采项目名称：</w:t>
      </w:r>
    </w:p>
    <w:tbl>
      <w:tblPr>
        <w:tblStyle w:val="2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CBA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E7F941F">
            <w:pPr>
              <w:spacing w:line="40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序号</w:t>
            </w:r>
          </w:p>
        </w:tc>
        <w:tc>
          <w:tcPr>
            <w:tcW w:w="2844" w:type="dxa"/>
            <w:vAlign w:val="center"/>
          </w:tcPr>
          <w:p w14:paraId="6B071AA6">
            <w:pPr>
              <w:spacing w:line="40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竞采需求</w:t>
            </w:r>
          </w:p>
        </w:tc>
        <w:tc>
          <w:tcPr>
            <w:tcW w:w="2952" w:type="dxa"/>
            <w:vAlign w:val="center"/>
          </w:tcPr>
          <w:p w14:paraId="71D9FE4A">
            <w:pPr>
              <w:spacing w:line="40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响应情况</w:t>
            </w:r>
          </w:p>
        </w:tc>
        <w:tc>
          <w:tcPr>
            <w:tcW w:w="2212" w:type="dxa"/>
            <w:vAlign w:val="center"/>
          </w:tcPr>
          <w:p w14:paraId="0296F74B">
            <w:pPr>
              <w:spacing w:line="40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差异说明</w:t>
            </w:r>
          </w:p>
        </w:tc>
      </w:tr>
      <w:tr w14:paraId="2537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06C300">
            <w:pPr>
              <w:tabs>
                <w:tab w:val="left" w:pos="6300"/>
              </w:tabs>
              <w:snapToGrid w:val="0"/>
              <w:jc w:val="center"/>
              <w:outlineLvl w:val="0"/>
              <w:rPr>
                <w:rFonts w:hint="eastAsia" w:ascii="宋体" w:hAnsi="宋体" w:cs="宋体"/>
                <w:sz w:val="21"/>
                <w:szCs w:val="21"/>
              </w:rPr>
            </w:pPr>
          </w:p>
        </w:tc>
        <w:tc>
          <w:tcPr>
            <w:tcW w:w="2844" w:type="dxa"/>
            <w:vAlign w:val="center"/>
          </w:tcPr>
          <w:p w14:paraId="6AC3D8D1">
            <w:pPr>
              <w:tabs>
                <w:tab w:val="left" w:pos="6300"/>
              </w:tabs>
              <w:snapToGrid w:val="0"/>
              <w:jc w:val="center"/>
              <w:outlineLvl w:val="0"/>
              <w:rPr>
                <w:rFonts w:hint="eastAsia" w:ascii="宋体" w:hAnsi="宋体" w:cs="宋体"/>
                <w:sz w:val="21"/>
                <w:szCs w:val="21"/>
              </w:rPr>
            </w:pPr>
          </w:p>
        </w:tc>
        <w:tc>
          <w:tcPr>
            <w:tcW w:w="2952" w:type="dxa"/>
            <w:vAlign w:val="center"/>
          </w:tcPr>
          <w:p w14:paraId="698F5484">
            <w:pPr>
              <w:rPr>
                <w:rFonts w:hint="eastAsia" w:ascii="宋体" w:hAnsi="宋体" w:cs="宋体"/>
                <w:szCs w:val="21"/>
              </w:rPr>
            </w:pPr>
          </w:p>
        </w:tc>
        <w:tc>
          <w:tcPr>
            <w:tcW w:w="2212" w:type="dxa"/>
            <w:vAlign w:val="center"/>
          </w:tcPr>
          <w:p w14:paraId="47ECBC75">
            <w:pPr>
              <w:tabs>
                <w:tab w:val="left" w:pos="6300"/>
              </w:tabs>
              <w:snapToGrid w:val="0"/>
              <w:jc w:val="center"/>
              <w:outlineLvl w:val="0"/>
              <w:rPr>
                <w:rFonts w:hint="eastAsia" w:ascii="宋体" w:hAnsi="宋体" w:cs="宋体"/>
                <w:sz w:val="21"/>
                <w:szCs w:val="21"/>
              </w:rPr>
            </w:pPr>
          </w:p>
        </w:tc>
      </w:tr>
      <w:tr w14:paraId="72ED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51B036">
            <w:pPr>
              <w:tabs>
                <w:tab w:val="left" w:pos="6300"/>
              </w:tabs>
              <w:snapToGrid w:val="0"/>
              <w:jc w:val="center"/>
              <w:outlineLvl w:val="0"/>
              <w:rPr>
                <w:rFonts w:hint="eastAsia" w:ascii="宋体" w:hAnsi="宋体" w:cs="宋体"/>
                <w:sz w:val="21"/>
                <w:szCs w:val="21"/>
              </w:rPr>
            </w:pPr>
          </w:p>
        </w:tc>
        <w:tc>
          <w:tcPr>
            <w:tcW w:w="2844" w:type="dxa"/>
            <w:vAlign w:val="center"/>
          </w:tcPr>
          <w:p w14:paraId="3E495DCA">
            <w:pPr>
              <w:tabs>
                <w:tab w:val="left" w:pos="6300"/>
              </w:tabs>
              <w:snapToGrid w:val="0"/>
              <w:jc w:val="center"/>
              <w:outlineLvl w:val="0"/>
              <w:rPr>
                <w:rFonts w:hint="eastAsia" w:ascii="宋体" w:hAnsi="宋体" w:cs="宋体"/>
                <w:sz w:val="21"/>
                <w:szCs w:val="21"/>
              </w:rPr>
            </w:pPr>
          </w:p>
        </w:tc>
        <w:tc>
          <w:tcPr>
            <w:tcW w:w="2952" w:type="dxa"/>
            <w:vAlign w:val="center"/>
          </w:tcPr>
          <w:p w14:paraId="2812EB54">
            <w:pPr>
              <w:tabs>
                <w:tab w:val="left" w:pos="6300"/>
              </w:tabs>
              <w:snapToGrid w:val="0"/>
              <w:jc w:val="center"/>
              <w:outlineLvl w:val="0"/>
              <w:rPr>
                <w:rFonts w:hint="eastAsia" w:ascii="宋体" w:hAnsi="宋体" w:cs="宋体"/>
                <w:sz w:val="21"/>
                <w:szCs w:val="21"/>
              </w:rPr>
            </w:pPr>
          </w:p>
        </w:tc>
        <w:tc>
          <w:tcPr>
            <w:tcW w:w="2212" w:type="dxa"/>
            <w:vAlign w:val="center"/>
          </w:tcPr>
          <w:p w14:paraId="6D39B300">
            <w:pPr>
              <w:tabs>
                <w:tab w:val="left" w:pos="6300"/>
              </w:tabs>
              <w:snapToGrid w:val="0"/>
              <w:jc w:val="center"/>
              <w:outlineLvl w:val="0"/>
              <w:rPr>
                <w:rFonts w:hint="eastAsia" w:ascii="宋体" w:hAnsi="宋体" w:cs="宋体"/>
                <w:sz w:val="21"/>
                <w:szCs w:val="21"/>
              </w:rPr>
            </w:pPr>
          </w:p>
        </w:tc>
      </w:tr>
      <w:tr w14:paraId="3FE2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D8F1AE">
            <w:pPr>
              <w:tabs>
                <w:tab w:val="left" w:pos="6300"/>
              </w:tabs>
              <w:snapToGrid w:val="0"/>
              <w:jc w:val="center"/>
              <w:outlineLvl w:val="0"/>
              <w:rPr>
                <w:rFonts w:hint="eastAsia" w:ascii="宋体" w:hAnsi="宋体" w:cs="宋体"/>
                <w:sz w:val="21"/>
                <w:szCs w:val="21"/>
              </w:rPr>
            </w:pPr>
          </w:p>
        </w:tc>
        <w:tc>
          <w:tcPr>
            <w:tcW w:w="2844" w:type="dxa"/>
            <w:vAlign w:val="center"/>
          </w:tcPr>
          <w:p w14:paraId="365157DD">
            <w:pPr>
              <w:tabs>
                <w:tab w:val="left" w:pos="6300"/>
              </w:tabs>
              <w:snapToGrid w:val="0"/>
              <w:jc w:val="center"/>
              <w:outlineLvl w:val="0"/>
              <w:rPr>
                <w:rFonts w:hint="eastAsia" w:ascii="宋体" w:hAnsi="宋体" w:cs="宋体"/>
                <w:sz w:val="21"/>
                <w:szCs w:val="21"/>
              </w:rPr>
            </w:pPr>
          </w:p>
        </w:tc>
        <w:tc>
          <w:tcPr>
            <w:tcW w:w="2952" w:type="dxa"/>
            <w:vAlign w:val="center"/>
          </w:tcPr>
          <w:p w14:paraId="2F1279DF">
            <w:pPr>
              <w:tabs>
                <w:tab w:val="left" w:pos="6300"/>
              </w:tabs>
              <w:snapToGrid w:val="0"/>
              <w:jc w:val="center"/>
              <w:outlineLvl w:val="0"/>
              <w:rPr>
                <w:rFonts w:hint="eastAsia" w:ascii="宋体" w:hAnsi="宋体" w:cs="宋体"/>
                <w:sz w:val="21"/>
                <w:szCs w:val="21"/>
              </w:rPr>
            </w:pPr>
          </w:p>
        </w:tc>
        <w:tc>
          <w:tcPr>
            <w:tcW w:w="2212" w:type="dxa"/>
            <w:vAlign w:val="center"/>
          </w:tcPr>
          <w:p w14:paraId="519A1DB4">
            <w:pPr>
              <w:tabs>
                <w:tab w:val="left" w:pos="6300"/>
              </w:tabs>
              <w:snapToGrid w:val="0"/>
              <w:jc w:val="center"/>
              <w:outlineLvl w:val="0"/>
              <w:rPr>
                <w:rFonts w:hint="eastAsia" w:ascii="宋体" w:hAnsi="宋体" w:cs="宋体"/>
                <w:sz w:val="21"/>
                <w:szCs w:val="21"/>
              </w:rPr>
            </w:pPr>
          </w:p>
        </w:tc>
      </w:tr>
      <w:tr w14:paraId="5B07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C822377">
            <w:pPr>
              <w:tabs>
                <w:tab w:val="left" w:pos="6300"/>
              </w:tabs>
              <w:snapToGrid w:val="0"/>
              <w:jc w:val="center"/>
              <w:outlineLvl w:val="0"/>
              <w:rPr>
                <w:rFonts w:hint="eastAsia" w:ascii="宋体" w:hAnsi="宋体" w:cs="宋体"/>
                <w:sz w:val="21"/>
                <w:szCs w:val="21"/>
              </w:rPr>
            </w:pPr>
          </w:p>
        </w:tc>
        <w:tc>
          <w:tcPr>
            <w:tcW w:w="2844" w:type="dxa"/>
            <w:vAlign w:val="center"/>
          </w:tcPr>
          <w:p w14:paraId="39227280">
            <w:pPr>
              <w:tabs>
                <w:tab w:val="left" w:pos="6300"/>
              </w:tabs>
              <w:snapToGrid w:val="0"/>
              <w:jc w:val="center"/>
              <w:outlineLvl w:val="0"/>
              <w:rPr>
                <w:rFonts w:hint="eastAsia" w:ascii="宋体" w:hAnsi="宋体" w:cs="宋体"/>
                <w:sz w:val="21"/>
                <w:szCs w:val="21"/>
              </w:rPr>
            </w:pPr>
          </w:p>
        </w:tc>
        <w:tc>
          <w:tcPr>
            <w:tcW w:w="2952" w:type="dxa"/>
            <w:vAlign w:val="center"/>
          </w:tcPr>
          <w:p w14:paraId="224F5518">
            <w:pPr>
              <w:tabs>
                <w:tab w:val="left" w:pos="6300"/>
              </w:tabs>
              <w:snapToGrid w:val="0"/>
              <w:jc w:val="center"/>
              <w:outlineLvl w:val="0"/>
              <w:rPr>
                <w:rFonts w:hint="eastAsia" w:ascii="宋体" w:hAnsi="宋体" w:cs="宋体"/>
                <w:sz w:val="21"/>
                <w:szCs w:val="21"/>
              </w:rPr>
            </w:pPr>
          </w:p>
        </w:tc>
        <w:tc>
          <w:tcPr>
            <w:tcW w:w="2212" w:type="dxa"/>
            <w:vAlign w:val="center"/>
          </w:tcPr>
          <w:p w14:paraId="0520A946">
            <w:pPr>
              <w:tabs>
                <w:tab w:val="left" w:pos="6300"/>
              </w:tabs>
              <w:snapToGrid w:val="0"/>
              <w:jc w:val="center"/>
              <w:outlineLvl w:val="0"/>
              <w:rPr>
                <w:rFonts w:hint="eastAsia" w:ascii="宋体" w:hAnsi="宋体" w:cs="宋体"/>
                <w:sz w:val="21"/>
                <w:szCs w:val="21"/>
              </w:rPr>
            </w:pPr>
          </w:p>
        </w:tc>
      </w:tr>
      <w:tr w14:paraId="5E56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3A4712E">
            <w:pPr>
              <w:tabs>
                <w:tab w:val="left" w:pos="6300"/>
              </w:tabs>
              <w:snapToGrid w:val="0"/>
              <w:jc w:val="center"/>
              <w:outlineLvl w:val="0"/>
              <w:rPr>
                <w:rFonts w:hint="eastAsia" w:ascii="宋体" w:hAnsi="宋体" w:cs="宋体"/>
                <w:sz w:val="21"/>
                <w:szCs w:val="21"/>
              </w:rPr>
            </w:pPr>
          </w:p>
        </w:tc>
        <w:tc>
          <w:tcPr>
            <w:tcW w:w="2844" w:type="dxa"/>
            <w:vAlign w:val="center"/>
          </w:tcPr>
          <w:p w14:paraId="5F9D0B1B">
            <w:pPr>
              <w:tabs>
                <w:tab w:val="left" w:pos="6300"/>
              </w:tabs>
              <w:snapToGrid w:val="0"/>
              <w:jc w:val="center"/>
              <w:outlineLvl w:val="0"/>
              <w:rPr>
                <w:rFonts w:hint="eastAsia" w:ascii="宋体" w:hAnsi="宋体" w:cs="宋体"/>
                <w:sz w:val="21"/>
                <w:szCs w:val="21"/>
              </w:rPr>
            </w:pPr>
          </w:p>
        </w:tc>
        <w:tc>
          <w:tcPr>
            <w:tcW w:w="2952" w:type="dxa"/>
            <w:vAlign w:val="center"/>
          </w:tcPr>
          <w:p w14:paraId="6FC32926">
            <w:pPr>
              <w:tabs>
                <w:tab w:val="left" w:pos="6300"/>
              </w:tabs>
              <w:snapToGrid w:val="0"/>
              <w:jc w:val="center"/>
              <w:outlineLvl w:val="0"/>
              <w:rPr>
                <w:rFonts w:hint="eastAsia" w:ascii="宋体" w:hAnsi="宋体" w:cs="宋体"/>
                <w:sz w:val="21"/>
                <w:szCs w:val="21"/>
              </w:rPr>
            </w:pPr>
          </w:p>
        </w:tc>
        <w:tc>
          <w:tcPr>
            <w:tcW w:w="2212" w:type="dxa"/>
            <w:vAlign w:val="center"/>
          </w:tcPr>
          <w:p w14:paraId="1A438113">
            <w:pPr>
              <w:tabs>
                <w:tab w:val="left" w:pos="6300"/>
              </w:tabs>
              <w:snapToGrid w:val="0"/>
              <w:jc w:val="center"/>
              <w:outlineLvl w:val="0"/>
              <w:rPr>
                <w:rFonts w:hint="eastAsia" w:ascii="宋体" w:hAnsi="宋体" w:cs="宋体"/>
                <w:sz w:val="21"/>
                <w:szCs w:val="21"/>
              </w:rPr>
            </w:pPr>
          </w:p>
        </w:tc>
      </w:tr>
      <w:tr w14:paraId="3207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EE4899E">
            <w:pPr>
              <w:tabs>
                <w:tab w:val="left" w:pos="6300"/>
              </w:tabs>
              <w:snapToGrid w:val="0"/>
              <w:jc w:val="center"/>
              <w:outlineLvl w:val="0"/>
              <w:rPr>
                <w:rFonts w:hint="eastAsia" w:ascii="宋体" w:hAnsi="宋体" w:cs="宋体"/>
                <w:sz w:val="21"/>
                <w:szCs w:val="21"/>
              </w:rPr>
            </w:pPr>
          </w:p>
        </w:tc>
        <w:tc>
          <w:tcPr>
            <w:tcW w:w="2844" w:type="dxa"/>
            <w:vAlign w:val="center"/>
          </w:tcPr>
          <w:p w14:paraId="606E50CB">
            <w:pPr>
              <w:tabs>
                <w:tab w:val="left" w:pos="6300"/>
              </w:tabs>
              <w:snapToGrid w:val="0"/>
              <w:jc w:val="center"/>
              <w:outlineLvl w:val="0"/>
              <w:rPr>
                <w:rFonts w:hint="eastAsia" w:ascii="宋体" w:hAnsi="宋体" w:cs="宋体"/>
                <w:sz w:val="21"/>
                <w:szCs w:val="21"/>
              </w:rPr>
            </w:pPr>
          </w:p>
        </w:tc>
        <w:tc>
          <w:tcPr>
            <w:tcW w:w="2952" w:type="dxa"/>
            <w:vAlign w:val="center"/>
          </w:tcPr>
          <w:p w14:paraId="4B6541CE">
            <w:pPr>
              <w:tabs>
                <w:tab w:val="left" w:pos="6300"/>
              </w:tabs>
              <w:snapToGrid w:val="0"/>
              <w:jc w:val="center"/>
              <w:outlineLvl w:val="0"/>
              <w:rPr>
                <w:rFonts w:hint="eastAsia" w:ascii="宋体" w:hAnsi="宋体" w:cs="宋体"/>
                <w:sz w:val="21"/>
                <w:szCs w:val="21"/>
              </w:rPr>
            </w:pPr>
          </w:p>
        </w:tc>
        <w:tc>
          <w:tcPr>
            <w:tcW w:w="2212" w:type="dxa"/>
            <w:vAlign w:val="center"/>
          </w:tcPr>
          <w:p w14:paraId="387A5089">
            <w:pPr>
              <w:tabs>
                <w:tab w:val="left" w:pos="6300"/>
              </w:tabs>
              <w:snapToGrid w:val="0"/>
              <w:jc w:val="center"/>
              <w:outlineLvl w:val="0"/>
              <w:rPr>
                <w:rFonts w:hint="eastAsia" w:ascii="宋体" w:hAnsi="宋体" w:cs="宋体"/>
                <w:sz w:val="21"/>
                <w:szCs w:val="21"/>
              </w:rPr>
            </w:pPr>
          </w:p>
        </w:tc>
      </w:tr>
      <w:tr w14:paraId="0028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4EC762">
            <w:pPr>
              <w:tabs>
                <w:tab w:val="left" w:pos="6300"/>
              </w:tabs>
              <w:snapToGrid w:val="0"/>
              <w:jc w:val="center"/>
              <w:outlineLvl w:val="0"/>
              <w:rPr>
                <w:rFonts w:hint="eastAsia" w:ascii="宋体" w:hAnsi="宋体" w:cs="宋体"/>
                <w:sz w:val="21"/>
                <w:szCs w:val="21"/>
              </w:rPr>
            </w:pPr>
          </w:p>
        </w:tc>
        <w:tc>
          <w:tcPr>
            <w:tcW w:w="2844" w:type="dxa"/>
            <w:vAlign w:val="center"/>
          </w:tcPr>
          <w:p w14:paraId="196C73D3">
            <w:pPr>
              <w:tabs>
                <w:tab w:val="left" w:pos="6300"/>
              </w:tabs>
              <w:snapToGrid w:val="0"/>
              <w:jc w:val="center"/>
              <w:outlineLvl w:val="0"/>
              <w:rPr>
                <w:rFonts w:hint="eastAsia" w:ascii="宋体" w:hAnsi="宋体" w:cs="宋体"/>
                <w:sz w:val="21"/>
                <w:szCs w:val="21"/>
              </w:rPr>
            </w:pPr>
          </w:p>
        </w:tc>
        <w:tc>
          <w:tcPr>
            <w:tcW w:w="2952" w:type="dxa"/>
            <w:vAlign w:val="center"/>
          </w:tcPr>
          <w:p w14:paraId="47A8FEEA">
            <w:pPr>
              <w:tabs>
                <w:tab w:val="left" w:pos="6300"/>
              </w:tabs>
              <w:snapToGrid w:val="0"/>
              <w:jc w:val="center"/>
              <w:outlineLvl w:val="0"/>
              <w:rPr>
                <w:rFonts w:hint="eastAsia" w:ascii="宋体" w:hAnsi="宋体" w:cs="宋体"/>
                <w:sz w:val="21"/>
                <w:szCs w:val="21"/>
              </w:rPr>
            </w:pPr>
          </w:p>
        </w:tc>
        <w:tc>
          <w:tcPr>
            <w:tcW w:w="2212" w:type="dxa"/>
            <w:vAlign w:val="center"/>
          </w:tcPr>
          <w:p w14:paraId="7449064C">
            <w:pPr>
              <w:tabs>
                <w:tab w:val="left" w:pos="6300"/>
              </w:tabs>
              <w:snapToGrid w:val="0"/>
              <w:jc w:val="center"/>
              <w:outlineLvl w:val="0"/>
              <w:rPr>
                <w:rFonts w:hint="eastAsia" w:ascii="宋体" w:hAnsi="宋体" w:cs="宋体"/>
                <w:sz w:val="21"/>
                <w:szCs w:val="21"/>
              </w:rPr>
            </w:pPr>
          </w:p>
        </w:tc>
      </w:tr>
      <w:tr w14:paraId="30DF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67E15D">
            <w:pPr>
              <w:tabs>
                <w:tab w:val="left" w:pos="6300"/>
              </w:tabs>
              <w:snapToGrid w:val="0"/>
              <w:jc w:val="center"/>
              <w:outlineLvl w:val="0"/>
              <w:rPr>
                <w:rFonts w:hint="eastAsia" w:ascii="宋体" w:hAnsi="宋体" w:cs="宋体"/>
                <w:sz w:val="21"/>
                <w:szCs w:val="21"/>
              </w:rPr>
            </w:pPr>
          </w:p>
        </w:tc>
        <w:tc>
          <w:tcPr>
            <w:tcW w:w="2844" w:type="dxa"/>
            <w:vAlign w:val="center"/>
          </w:tcPr>
          <w:p w14:paraId="17900D90">
            <w:pPr>
              <w:tabs>
                <w:tab w:val="left" w:pos="6300"/>
              </w:tabs>
              <w:snapToGrid w:val="0"/>
              <w:jc w:val="center"/>
              <w:outlineLvl w:val="0"/>
              <w:rPr>
                <w:rFonts w:hint="eastAsia" w:ascii="宋体" w:hAnsi="宋体" w:cs="宋体"/>
                <w:sz w:val="21"/>
                <w:szCs w:val="21"/>
              </w:rPr>
            </w:pPr>
          </w:p>
        </w:tc>
        <w:tc>
          <w:tcPr>
            <w:tcW w:w="2952" w:type="dxa"/>
            <w:vAlign w:val="center"/>
          </w:tcPr>
          <w:p w14:paraId="420BE18D">
            <w:pPr>
              <w:tabs>
                <w:tab w:val="left" w:pos="6300"/>
              </w:tabs>
              <w:snapToGrid w:val="0"/>
              <w:jc w:val="center"/>
              <w:outlineLvl w:val="0"/>
              <w:rPr>
                <w:rFonts w:hint="eastAsia" w:ascii="宋体" w:hAnsi="宋体" w:cs="宋体"/>
                <w:sz w:val="21"/>
                <w:szCs w:val="21"/>
              </w:rPr>
            </w:pPr>
          </w:p>
        </w:tc>
        <w:tc>
          <w:tcPr>
            <w:tcW w:w="2212" w:type="dxa"/>
            <w:vAlign w:val="center"/>
          </w:tcPr>
          <w:p w14:paraId="3A231C57">
            <w:pPr>
              <w:tabs>
                <w:tab w:val="left" w:pos="6300"/>
              </w:tabs>
              <w:snapToGrid w:val="0"/>
              <w:jc w:val="center"/>
              <w:outlineLvl w:val="0"/>
              <w:rPr>
                <w:rFonts w:hint="eastAsia" w:ascii="宋体" w:hAnsi="宋体" w:cs="宋体"/>
                <w:sz w:val="21"/>
                <w:szCs w:val="21"/>
              </w:rPr>
            </w:pPr>
          </w:p>
        </w:tc>
      </w:tr>
      <w:tr w14:paraId="34A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F1FA9D">
            <w:pPr>
              <w:tabs>
                <w:tab w:val="left" w:pos="6300"/>
              </w:tabs>
              <w:snapToGrid w:val="0"/>
              <w:jc w:val="center"/>
              <w:outlineLvl w:val="0"/>
              <w:rPr>
                <w:rFonts w:hint="eastAsia" w:ascii="宋体" w:hAnsi="宋体" w:cs="宋体"/>
                <w:sz w:val="21"/>
                <w:szCs w:val="21"/>
              </w:rPr>
            </w:pPr>
          </w:p>
        </w:tc>
        <w:tc>
          <w:tcPr>
            <w:tcW w:w="2844" w:type="dxa"/>
            <w:vAlign w:val="center"/>
          </w:tcPr>
          <w:p w14:paraId="4583571C">
            <w:pPr>
              <w:tabs>
                <w:tab w:val="left" w:pos="6300"/>
              </w:tabs>
              <w:snapToGrid w:val="0"/>
              <w:jc w:val="center"/>
              <w:outlineLvl w:val="0"/>
              <w:rPr>
                <w:rFonts w:hint="eastAsia" w:ascii="宋体" w:hAnsi="宋体" w:cs="宋体"/>
                <w:sz w:val="21"/>
                <w:szCs w:val="21"/>
              </w:rPr>
            </w:pPr>
          </w:p>
        </w:tc>
        <w:tc>
          <w:tcPr>
            <w:tcW w:w="2952" w:type="dxa"/>
            <w:vAlign w:val="center"/>
          </w:tcPr>
          <w:p w14:paraId="07E14267">
            <w:pPr>
              <w:tabs>
                <w:tab w:val="left" w:pos="6300"/>
              </w:tabs>
              <w:snapToGrid w:val="0"/>
              <w:jc w:val="center"/>
              <w:outlineLvl w:val="0"/>
              <w:rPr>
                <w:rFonts w:hint="eastAsia" w:ascii="宋体" w:hAnsi="宋体" w:cs="宋体"/>
                <w:sz w:val="21"/>
                <w:szCs w:val="21"/>
              </w:rPr>
            </w:pPr>
          </w:p>
        </w:tc>
        <w:tc>
          <w:tcPr>
            <w:tcW w:w="2212" w:type="dxa"/>
            <w:vAlign w:val="center"/>
          </w:tcPr>
          <w:p w14:paraId="45B9AF95">
            <w:pPr>
              <w:tabs>
                <w:tab w:val="left" w:pos="6300"/>
              </w:tabs>
              <w:snapToGrid w:val="0"/>
              <w:jc w:val="center"/>
              <w:outlineLvl w:val="0"/>
              <w:rPr>
                <w:rFonts w:hint="eastAsia" w:ascii="宋体" w:hAnsi="宋体" w:cs="宋体"/>
                <w:sz w:val="21"/>
                <w:szCs w:val="21"/>
              </w:rPr>
            </w:pPr>
          </w:p>
        </w:tc>
      </w:tr>
      <w:tr w14:paraId="5548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414F90">
            <w:pPr>
              <w:tabs>
                <w:tab w:val="left" w:pos="6300"/>
              </w:tabs>
              <w:snapToGrid w:val="0"/>
              <w:jc w:val="center"/>
              <w:outlineLvl w:val="0"/>
              <w:rPr>
                <w:rFonts w:hint="eastAsia" w:ascii="宋体" w:hAnsi="宋体" w:cs="宋体"/>
                <w:sz w:val="21"/>
                <w:szCs w:val="21"/>
              </w:rPr>
            </w:pPr>
          </w:p>
        </w:tc>
        <w:tc>
          <w:tcPr>
            <w:tcW w:w="2844" w:type="dxa"/>
            <w:vAlign w:val="center"/>
          </w:tcPr>
          <w:p w14:paraId="76573020">
            <w:pPr>
              <w:tabs>
                <w:tab w:val="left" w:pos="6300"/>
              </w:tabs>
              <w:snapToGrid w:val="0"/>
              <w:jc w:val="center"/>
              <w:outlineLvl w:val="0"/>
              <w:rPr>
                <w:rFonts w:hint="eastAsia" w:ascii="宋体" w:hAnsi="宋体" w:cs="宋体"/>
                <w:sz w:val="21"/>
                <w:szCs w:val="21"/>
              </w:rPr>
            </w:pPr>
          </w:p>
        </w:tc>
        <w:tc>
          <w:tcPr>
            <w:tcW w:w="2952" w:type="dxa"/>
            <w:vAlign w:val="center"/>
          </w:tcPr>
          <w:p w14:paraId="523C8FC6">
            <w:pPr>
              <w:tabs>
                <w:tab w:val="left" w:pos="6300"/>
              </w:tabs>
              <w:snapToGrid w:val="0"/>
              <w:jc w:val="center"/>
              <w:outlineLvl w:val="0"/>
              <w:rPr>
                <w:rFonts w:hint="eastAsia" w:ascii="宋体" w:hAnsi="宋体" w:cs="宋体"/>
                <w:sz w:val="21"/>
                <w:szCs w:val="21"/>
              </w:rPr>
            </w:pPr>
          </w:p>
        </w:tc>
        <w:tc>
          <w:tcPr>
            <w:tcW w:w="2212" w:type="dxa"/>
            <w:vAlign w:val="center"/>
          </w:tcPr>
          <w:p w14:paraId="01C3C100">
            <w:pPr>
              <w:tabs>
                <w:tab w:val="left" w:pos="6300"/>
              </w:tabs>
              <w:snapToGrid w:val="0"/>
              <w:jc w:val="center"/>
              <w:outlineLvl w:val="0"/>
              <w:rPr>
                <w:rFonts w:hint="eastAsia" w:ascii="宋体" w:hAnsi="宋体" w:cs="宋体"/>
                <w:sz w:val="21"/>
                <w:szCs w:val="21"/>
              </w:rPr>
            </w:pPr>
          </w:p>
        </w:tc>
      </w:tr>
    </w:tbl>
    <w:p w14:paraId="05D01B97">
      <w:pPr>
        <w:spacing w:line="500" w:lineRule="exact"/>
        <w:ind w:firstLine="600" w:firstLineChars="250"/>
        <w:rPr>
          <w:rFonts w:hint="eastAsia" w:ascii="宋体" w:hAnsi="宋体" w:cs="宋体"/>
          <w:sz w:val="24"/>
        </w:rPr>
      </w:pPr>
      <w:r>
        <w:rPr>
          <w:rFonts w:hint="eastAsia" w:ascii="宋体" w:hAnsi="宋体" w:cs="宋体"/>
          <w:sz w:val="24"/>
        </w:rPr>
        <w:t xml:space="preserve">供应商：                         </w:t>
      </w:r>
      <w:r>
        <w:rPr>
          <w:rFonts w:hint="eastAsia" w:ascii="宋体" w:hAnsi="宋体" w:cs="宋体"/>
          <w:sz w:val="24"/>
          <w:szCs w:val="24"/>
        </w:rPr>
        <w:t>法定代表人（或其授权代表）或自然人</w:t>
      </w:r>
      <w:r>
        <w:rPr>
          <w:rFonts w:hint="eastAsia" w:ascii="宋体" w:hAnsi="宋体" w:cs="宋体"/>
          <w:sz w:val="24"/>
        </w:rPr>
        <w:t>：</w:t>
      </w:r>
    </w:p>
    <w:p w14:paraId="4D69253B">
      <w:pPr>
        <w:spacing w:line="500" w:lineRule="exact"/>
        <w:rPr>
          <w:rFonts w:hint="eastAsia" w:ascii="宋体" w:hAnsi="宋体" w:cs="宋体"/>
          <w:sz w:val="24"/>
        </w:rPr>
      </w:pPr>
      <w:r>
        <w:rPr>
          <w:rFonts w:hint="eastAsia" w:ascii="宋体" w:hAnsi="宋体" w:cs="宋体"/>
          <w:sz w:val="24"/>
        </w:rPr>
        <w:t xml:space="preserve">    </w:t>
      </w:r>
    </w:p>
    <w:p w14:paraId="6FCF5683">
      <w:pPr>
        <w:spacing w:line="500" w:lineRule="exact"/>
        <w:ind w:firstLine="720" w:firstLineChars="300"/>
        <w:rPr>
          <w:rFonts w:hint="eastAsia" w:ascii="宋体" w:hAnsi="宋体" w:cs="宋体"/>
          <w:sz w:val="24"/>
        </w:rPr>
      </w:pPr>
      <w:r>
        <w:rPr>
          <w:rFonts w:hint="eastAsia" w:ascii="宋体" w:hAnsi="宋体" w:cs="宋体"/>
          <w:sz w:val="24"/>
        </w:rPr>
        <w:t>（供应商公章）                               （</w:t>
      </w:r>
      <w:r>
        <w:rPr>
          <w:rFonts w:hint="eastAsia" w:ascii="宋体" w:hAnsi="宋体" w:cs="宋体"/>
          <w:sz w:val="24"/>
          <w:szCs w:val="24"/>
        </w:rPr>
        <w:t>签署</w:t>
      </w:r>
      <w:r>
        <w:rPr>
          <w:rFonts w:hint="eastAsia" w:ascii="宋体" w:hAnsi="宋体" w:cs="宋体"/>
          <w:sz w:val="24"/>
        </w:rPr>
        <w:t>或盖章）</w:t>
      </w:r>
    </w:p>
    <w:p w14:paraId="1A8A3F7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0999DCA9">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63557652">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竞采项目技术（质量）需求”中所列条款进行比较和响应；</w:t>
      </w:r>
    </w:p>
    <w:p w14:paraId="1C3BD77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2.本表可扩展。</w:t>
      </w:r>
    </w:p>
    <w:p w14:paraId="786BB63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14:paraId="7571E2B1">
      <w:pPr>
        <w:tabs>
          <w:tab w:val="left" w:pos="6300"/>
        </w:tabs>
        <w:snapToGrid w:val="0"/>
        <w:spacing w:line="500" w:lineRule="exact"/>
        <w:ind w:firstLine="480" w:firstLineChars="200"/>
        <w:rPr>
          <w:rFonts w:hint="eastAsia" w:ascii="宋体" w:hAnsi="宋体" w:cs="宋体"/>
          <w:sz w:val="24"/>
          <w:szCs w:val="24"/>
        </w:rPr>
      </w:pPr>
    </w:p>
    <w:p w14:paraId="55D466C9">
      <w:pPr>
        <w:pStyle w:val="4"/>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310" w:name="_Toc12131"/>
      <w:bookmarkStart w:id="311" w:name="_Toc32158"/>
      <w:bookmarkStart w:id="312" w:name="_Toc32339"/>
      <w:bookmarkStart w:id="313" w:name="_Toc65660381"/>
      <w:bookmarkStart w:id="314" w:name="_Toc4592"/>
      <w:bookmarkStart w:id="315" w:name="_Toc313888362"/>
      <w:bookmarkStart w:id="316" w:name="_Toc313008358"/>
      <w:bookmarkStart w:id="317" w:name="_Toc342913421"/>
      <w:r>
        <w:rPr>
          <w:rFonts w:hint="eastAsia" w:ascii="宋体" w:hAnsi="宋体" w:eastAsia="宋体" w:cs="宋体"/>
          <w:sz w:val="24"/>
        </w:rPr>
        <w:t>三、商务部分</w:t>
      </w:r>
      <w:bookmarkEnd w:id="310"/>
      <w:bookmarkEnd w:id="311"/>
      <w:bookmarkEnd w:id="312"/>
      <w:bookmarkEnd w:id="313"/>
      <w:bookmarkEnd w:id="314"/>
    </w:p>
    <w:p w14:paraId="40EFB98D">
      <w:pPr>
        <w:spacing w:line="40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14:paraId="16762B44">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项目号：                               </w:t>
      </w:r>
    </w:p>
    <w:p w14:paraId="23996835">
      <w:pPr>
        <w:spacing w:line="400" w:lineRule="exact"/>
        <w:ind w:firstLine="480" w:firstLineChars="200"/>
        <w:rPr>
          <w:rFonts w:hint="eastAsia" w:ascii="宋体" w:hAnsi="宋体" w:cs="宋体"/>
          <w:sz w:val="24"/>
          <w:szCs w:val="24"/>
        </w:rPr>
      </w:pPr>
      <w:r>
        <w:rPr>
          <w:rFonts w:hint="eastAsia" w:ascii="宋体" w:hAnsi="宋体" w:cs="宋体"/>
          <w:sz w:val="24"/>
          <w:szCs w:val="24"/>
        </w:rPr>
        <w:t>竞采项目名称：</w:t>
      </w:r>
    </w:p>
    <w:tbl>
      <w:tblPr>
        <w:tblStyle w:val="2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5D5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2" w:type="dxa"/>
            <w:vAlign w:val="center"/>
          </w:tcPr>
          <w:p w14:paraId="4107A9F5">
            <w:pPr>
              <w:jc w:val="center"/>
              <w:rPr>
                <w:b/>
                <w:bCs/>
                <w:sz w:val="21"/>
                <w:szCs w:val="21"/>
              </w:rPr>
            </w:pPr>
            <w:r>
              <w:rPr>
                <w:rFonts w:hint="eastAsia"/>
                <w:b/>
                <w:bCs/>
                <w:sz w:val="21"/>
                <w:szCs w:val="21"/>
              </w:rPr>
              <w:t>序号</w:t>
            </w:r>
          </w:p>
        </w:tc>
        <w:tc>
          <w:tcPr>
            <w:tcW w:w="3184" w:type="dxa"/>
            <w:vAlign w:val="center"/>
          </w:tcPr>
          <w:p w14:paraId="3277D605">
            <w:pPr>
              <w:jc w:val="center"/>
              <w:rPr>
                <w:b/>
                <w:bCs/>
                <w:sz w:val="21"/>
                <w:szCs w:val="21"/>
              </w:rPr>
            </w:pPr>
            <w:r>
              <w:rPr>
                <w:rFonts w:hint="eastAsia"/>
                <w:b/>
                <w:bCs/>
                <w:sz w:val="21"/>
                <w:szCs w:val="21"/>
              </w:rPr>
              <w:t>竞采需求</w:t>
            </w:r>
          </w:p>
        </w:tc>
        <w:tc>
          <w:tcPr>
            <w:tcW w:w="2438" w:type="dxa"/>
            <w:vAlign w:val="center"/>
          </w:tcPr>
          <w:p w14:paraId="7A275B63">
            <w:pPr>
              <w:jc w:val="center"/>
              <w:rPr>
                <w:b/>
                <w:bCs/>
                <w:sz w:val="21"/>
                <w:szCs w:val="21"/>
              </w:rPr>
            </w:pPr>
            <w:r>
              <w:rPr>
                <w:rFonts w:hint="eastAsia"/>
                <w:b/>
                <w:bCs/>
                <w:sz w:val="21"/>
                <w:szCs w:val="21"/>
              </w:rPr>
              <w:t>响应情况</w:t>
            </w:r>
          </w:p>
        </w:tc>
        <w:tc>
          <w:tcPr>
            <w:tcW w:w="2359" w:type="dxa"/>
            <w:vAlign w:val="center"/>
          </w:tcPr>
          <w:p w14:paraId="465FBF04">
            <w:pPr>
              <w:jc w:val="center"/>
              <w:rPr>
                <w:b/>
                <w:bCs/>
                <w:sz w:val="21"/>
                <w:szCs w:val="21"/>
              </w:rPr>
            </w:pPr>
            <w:r>
              <w:rPr>
                <w:rFonts w:hint="eastAsia"/>
                <w:b/>
                <w:bCs/>
                <w:sz w:val="21"/>
                <w:szCs w:val="21"/>
              </w:rPr>
              <w:t>差异说明</w:t>
            </w:r>
          </w:p>
        </w:tc>
      </w:tr>
      <w:tr w14:paraId="2469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2841413">
            <w:pPr>
              <w:rPr>
                <w:sz w:val="21"/>
                <w:szCs w:val="21"/>
              </w:rPr>
            </w:pPr>
          </w:p>
        </w:tc>
        <w:tc>
          <w:tcPr>
            <w:tcW w:w="3184" w:type="dxa"/>
            <w:vAlign w:val="center"/>
          </w:tcPr>
          <w:p w14:paraId="78C1DD31">
            <w:pPr>
              <w:rPr>
                <w:sz w:val="21"/>
                <w:szCs w:val="21"/>
              </w:rPr>
            </w:pPr>
          </w:p>
        </w:tc>
        <w:tc>
          <w:tcPr>
            <w:tcW w:w="2438" w:type="dxa"/>
            <w:vAlign w:val="center"/>
          </w:tcPr>
          <w:p w14:paraId="4D111DDA">
            <w:pPr>
              <w:rPr>
                <w:sz w:val="21"/>
                <w:szCs w:val="21"/>
              </w:rPr>
            </w:pPr>
          </w:p>
        </w:tc>
        <w:tc>
          <w:tcPr>
            <w:tcW w:w="2359" w:type="dxa"/>
            <w:vAlign w:val="center"/>
          </w:tcPr>
          <w:p w14:paraId="452F35ED">
            <w:pPr>
              <w:rPr>
                <w:sz w:val="21"/>
                <w:szCs w:val="21"/>
              </w:rPr>
            </w:pPr>
          </w:p>
        </w:tc>
      </w:tr>
      <w:tr w14:paraId="5E37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C4B99DE">
            <w:pPr>
              <w:tabs>
                <w:tab w:val="left" w:pos="6300"/>
              </w:tabs>
              <w:snapToGrid w:val="0"/>
              <w:jc w:val="center"/>
              <w:outlineLvl w:val="0"/>
              <w:rPr>
                <w:rFonts w:hint="eastAsia" w:ascii="宋体" w:hAnsi="宋体" w:cs="宋体"/>
                <w:sz w:val="21"/>
                <w:szCs w:val="24"/>
              </w:rPr>
            </w:pPr>
          </w:p>
        </w:tc>
        <w:tc>
          <w:tcPr>
            <w:tcW w:w="3184" w:type="dxa"/>
            <w:vAlign w:val="center"/>
          </w:tcPr>
          <w:p w14:paraId="30A0A45D">
            <w:pPr>
              <w:tabs>
                <w:tab w:val="left" w:pos="6300"/>
              </w:tabs>
              <w:snapToGrid w:val="0"/>
              <w:jc w:val="center"/>
              <w:outlineLvl w:val="0"/>
              <w:rPr>
                <w:rFonts w:hint="eastAsia" w:ascii="宋体" w:hAnsi="宋体" w:cs="宋体"/>
                <w:sz w:val="21"/>
                <w:szCs w:val="24"/>
              </w:rPr>
            </w:pPr>
          </w:p>
        </w:tc>
        <w:tc>
          <w:tcPr>
            <w:tcW w:w="2438" w:type="dxa"/>
            <w:vAlign w:val="center"/>
          </w:tcPr>
          <w:p w14:paraId="0D4C535A">
            <w:pPr>
              <w:tabs>
                <w:tab w:val="left" w:pos="6300"/>
              </w:tabs>
              <w:snapToGrid w:val="0"/>
              <w:jc w:val="center"/>
              <w:outlineLvl w:val="0"/>
              <w:rPr>
                <w:rFonts w:hint="eastAsia" w:ascii="宋体" w:hAnsi="宋体" w:cs="宋体"/>
                <w:sz w:val="21"/>
                <w:szCs w:val="24"/>
              </w:rPr>
            </w:pPr>
          </w:p>
        </w:tc>
        <w:tc>
          <w:tcPr>
            <w:tcW w:w="2359" w:type="dxa"/>
            <w:vAlign w:val="center"/>
          </w:tcPr>
          <w:p w14:paraId="05B803B5">
            <w:pPr>
              <w:tabs>
                <w:tab w:val="left" w:pos="6300"/>
              </w:tabs>
              <w:snapToGrid w:val="0"/>
              <w:jc w:val="center"/>
              <w:outlineLvl w:val="0"/>
              <w:rPr>
                <w:rFonts w:hint="eastAsia" w:ascii="宋体" w:hAnsi="宋体" w:cs="宋体"/>
                <w:sz w:val="21"/>
                <w:szCs w:val="24"/>
              </w:rPr>
            </w:pPr>
          </w:p>
        </w:tc>
      </w:tr>
      <w:tr w14:paraId="76B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D46EB3">
            <w:pPr>
              <w:tabs>
                <w:tab w:val="left" w:pos="6300"/>
              </w:tabs>
              <w:snapToGrid w:val="0"/>
              <w:jc w:val="center"/>
              <w:outlineLvl w:val="0"/>
              <w:rPr>
                <w:rFonts w:hint="eastAsia" w:ascii="宋体" w:hAnsi="宋体" w:cs="宋体"/>
                <w:sz w:val="21"/>
                <w:szCs w:val="24"/>
              </w:rPr>
            </w:pPr>
          </w:p>
        </w:tc>
        <w:tc>
          <w:tcPr>
            <w:tcW w:w="3184" w:type="dxa"/>
            <w:vAlign w:val="center"/>
          </w:tcPr>
          <w:p w14:paraId="032FDD80">
            <w:pPr>
              <w:tabs>
                <w:tab w:val="left" w:pos="6300"/>
              </w:tabs>
              <w:snapToGrid w:val="0"/>
              <w:jc w:val="center"/>
              <w:outlineLvl w:val="0"/>
              <w:rPr>
                <w:rFonts w:hint="eastAsia" w:ascii="宋体" w:hAnsi="宋体" w:cs="宋体"/>
                <w:sz w:val="21"/>
                <w:szCs w:val="24"/>
              </w:rPr>
            </w:pPr>
          </w:p>
        </w:tc>
        <w:tc>
          <w:tcPr>
            <w:tcW w:w="2438" w:type="dxa"/>
            <w:vAlign w:val="center"/>
          </w:tcPr>
          <w:p w14:paraId="4210BA21">
            <w:pPr>
              <w:tabs>
                <w:tab w:val="left" w:pos="6300"/>
              </w:tabs>
              <w:snapToGrid w:val="0"/>
              <w:jc w:val="center"/>
              <w:outlineLvl w:val="0"/>
              <w:rPr>
                <w:rFonts w:hint="eastAsia" w:ascii="宋体" w:hAnsi="宋体" w:cs="宋体"/>
                <w:sz w:val="21"/>
                <w:szCs w:val="24"/>
              </w:rPr>
            </w:pPr>
          </w:p>
        </w:tc>
        <w:tc>
          <w:tcPr>
            <w:tcW w:w="2359" w:type="dxa"/>
            <w:vAlign w:val="center"/>
          </w:tcPr>
          <w:p w14:paraId="5233158D">
            <w:pPr>
              <w:tabs>
                <w:tab w:val="left" w:pos="6300"/>
              </w:tabs>
              <w:snapToGrid w:val="0"/>
              <w:jc w:val="center"/>
              <w:outlineLvl w:val="0"/>
              <w:rPr>
                <w:rFonts w:hint="eastAsia" w:ascii="宋体" w:hAnsi="宋体" w:cs="宋体"/>
                <w:sz w:val="21"/>
                <w:szCs w:val="24"/>
              </w:rPr>
            </w:pPr>
          </w:p>
        </w:tc>
      </w:tr>
      <w:tr w14:paraId="204F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B9D3F3F">
            <w:pPr>
              <w:tabs>
                <w:tab w:val="left" w:pos="6300"/>
              </w:tabs>
              <w:snapToGrid w:val="0"/>
              <w:jc w:val="center"/>
              <w:outlineLvl w:val="0"/>
              <w:rPr>
                <w:rFonts w:hint="eastAsia" w:ascii="宋体" w:hAnsi="宋体" w:cs="宋体"/>
                <w:sz w:val="21"/>
                <w:szCs w:val="24"/>
              </w:rPr>
            </w:pPr>
          </w:p>
        </w:tc>
        <w:tc>
          <w:tcPr>
            <w:tcW w:w="3184" w:type="dxa"/>
            <w:vAlign w:val="center"/>
          </w:tcPr>
          <w:p w14:paraId="493EB12F">
            <w:pPr>
              <w:tabs>
                <w:tab w:val="left" w:pos="6300"/>
              </w:tabs>
              <w:snapToGrid w:val="0"/>
              <w:jc w:val="center"/>
              <w:outlineLvl w:val="0"/>
              <w:rPr>
                <w:rFonts w:hint="eastAsia" w:ascii="宋体" w:hAnsi="宋体" w:cs="宋体"/>
                <w:sz w:val="21"/>
                <w:szCs w:val="24"/>
              </w:rPr>
            </w:pPr>
          </w:p>
        </w:tc>
        <w:tc>
          <w:tcPr>
            <w:tcW w:w="2438" w:type="dxa"/>
            <w:vAlign w:val="center"/>
          </w:tcPr>
          <w:p w14:paraId="54F0985F">
            <w:pPr>
              <w:tabs>
                <w:tab w:val="left" w:pos="6300"/>
              </w:tabs>
              <w:snapToGrid w:val="0"/>
              <w:jc w:val="center"/>
              <w:outlineLvl w:val="0"/>
              <w:rPr>
                <w:rFonts w:hint="eastAsia" w:ascii="宋体" w:hAnsi="宋体" w:cs="宋体"/>
                <w:sz w:val="21"/>
                <w:szCs w:val="24"/>
              </w:rPr>
            </w:pPr>
          </w:p>
        </w:tc>
        <w:tc>
          <w:tcPr>
            <w:tcW w:w="2359" w:type="dxa"/>
            <w:vAlign w:val="center"/>
          </w:tcPr>
          <w:p w14:paraId="0CD06078">
            <w:pPr>
              <w:tabs>
                <w:tab w:val="left" w:pos="6300"/>
              </w:tabs>
              <w:snapToGrid w:val="0"/>
              <w:jc w:val="center"/>
              <w:outlineLvl w:val="0"/>
              <w:rPr>
                <w:rFonts w:hint="eastAsia" w:ascii="宋体" w:hAnsi="宋体" w:cs="宋体"/>
                <w:sz w:val="21"/>
                <w:szCs w:val="24"/>
              </w:rPr>
            </w:pPr>
          </w:p>
        </w:tc>
      </w:tr>
      <w:tr w14:paraId="5E9F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73EC64F">
            <w:pPr>
              <w:tabs>
                <w:tab w:val="left" w:pos="6300"/>
              </w:tabs>
              <w:snapToGrid w:val="0"/>
              <w:jc w:val="center"/>
              <w:outlineLvl w:val="0"/>
              <w:rPr>
                <w:rFonts w:hint="eastAsia" w:ascii="宋体" w:hAnsi="宋体" w:cs="宋体"/>
                <w:sz w:val="21"/>
                <w:szCs w:val="24"/>
              </w:rPr>
            </w:pPr>
          </w:p>
        </w:tc>
        <w:tc>
          <w:tcPr>
            <w:tcW w:w="3184" w:type="dxa"/>
            <w:vAlign w:val="center"/>
          </w:tcPr>
          <w:p w14:paraId="50270282">
            <w:pPr>
              <w:tabs>
                <w:tab w:val="left" w:pos="6300"/>
              </w:tabs>
              <w:snapToGrid w:val="0"/>
              <w:jc w:val="center"/>
              <w:outlineLvl w:val="0"/>
              <w:rPr>
                <w:rFonts w:hint="eastAsia" w:ascii="宋体" w:hAnsi="宋体" w:cs="宋体"/>
                <w:sz w:val="21"/>
                <w:szCs w:val="24"/>
              </w:rPr>
            </w:pPr>
          </w:p>
        </w:tc>
        <w:tc>
          <w:tcPr>
            <w:tcW w:w="2438" w:type="dxa"/>
            <w:vAlign w:val="center"/>
          </w:tcPr>
          <w:p w14:paraId="0E87D7A2">
            <w:pPr>
              <w:tabs>
                <w:tab w:val="left" w:pos="6300"/>
              </w:tabs>
              <w:snapToGrid w:val="0"/>
              <w:jc w:val="center"/>
              <w:outlineLvl w:val="0"/>
              <w:rPr>
                <w:rFonts w:hint="eastAsia" w:ascii="宋体" w:hAnsi="宋体" w:cs="宋体"/>
                <w:sz w:val="21"/>
                <w:szCs w:val="24"/>
              </w:rPr>
            </w:pPr>
          </w:p>
        </w:tc>
        <w:tc>
          <w:tcPr>
            <w:tcW w:w="2359" w:type="dxa"/>
            <w:vAlign w:val="center"/>
          </w:tcPr>
          <w:p w14:paraId="4F368F3F">
            <w:pPr>
              <w:tabs>
                <w:tab w:val="left" w:pos="6300"/>
              </w:tabs>
              <w:snapToGrid w:val="0"/>
              <w:jc w:val="center"/>
              <w:outlineLvl w:val="0"/>
              <w:rPr>
                <w:rFonts w:hint="eastAsia" w:ascii="宋体" w:hAnsi="宋体" w:cs="宋体"/>
                <w:sz w:val="21"/>
                <w:szCs w:val="24"/>
              </w:rPr>
            </w:pPr>
          </w:p>
        </w:tc>
      </w:tr>
      <w:tr w14:paraId="4F8A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AE6B64F">
            <w:pPr>
              <w:tabs>
                <w:tab w:val="left" w:pos="6300"/>
              </w:tabs>
              <w:snapToGrid w:val="0"/>
              <w:jc w:val="center"/>
              <w:outlineLvl w:val="0"/>
              <w:rPr>
                <w:rFonts w:hint="eastAsia" w:ascii="宋体" w:hAnsi="宋体" w:cs="宋体"/>
                <w:sz w:val="21"/>
                <w:szCs w:val="24"/>
              </w:rPr>
            </w:pPr>
          </w:p>
        </w:tc>
        <w:tc>
          <w:tcPr>
            <w:tcW w:w="3184" w:type="dxa"/>
            <w:vAlign w:val="center"/>
          </w:tcPr>
          <w:p w14:paraId="34C1098E">
            <w:pPr>
              <w:tabs>
                <w:tab w:val="left" w:pos="6300"/>
              </w:tabs>
              <w:snapToGrid w:val="0"/>
              <w:jc w:val="center"/>
              <w:outlineLvl w:val="0"/>
              <w:rPr>
                <w:rFonts w:hint="eastAsia" w:ascii="宋体" w:hAnsi="宋体" w:cs="宋体"/>
                <w:sz w:val="21"/>
                <w:szCs w:val="24"/>
              </w:rPr>
            </w:pPr>
          </w:p>
        </w:tc>
        <w:tc>
          <w:tcPr>
            <w:tcW w:w="2438" w:type="dxa"/>
            <w:vAlign w:val="center"/>
          </w:tcPr>
          <w:p w14:paraId="40F08533">
            <w:pPr>
              <w:tabs>
                <w:tab w:val="left" w:pos="6300"/>
              </w:tabs>
              <w:snapToGrid w:val="0"/>
              <w:jc w:val="center"/>
              <w:outlineLvl w:val="0"/>
              <w:rPr>
                <w:rFonts w:hint="eastAsia" w:ascii="宋体" w:hAnsi="宋体" w:cs="宋体"/>
                <w:sz w:val="21"/>
                <w:szCs w:val="24"/>
              </w:rPr>
            </w:pPr>
          </w:p>
        </w:tc>
        <w:tc>
          <w:tcPr>
            <w:tcW w:w="2359" w:type="dxa"/>
            <w:vAlign w:val="center"/>
          </w:tcPr>
          <w:p w14:paraId="4BFE9D24">
            <w:pPr>
              <w:tabs>
                <w:tab w:val="left" w:pos="6300"/>
              </w:tabs>
              <w:snapToGrid w:val="0"/>
              <w:jc w:val="center"/>
              <w:outlineLvl w:val="0"/>
              <w:rPr>
                <w:rFonts w:hint="eastAsia" w:ascii="宋体" w:hAnsi="宋体" w:cs="宋体"/>
                <w:sz w:val="21"/>
                <w:szCs w:val="24"/>
              </w:rPr>
            </w:pPr>
          </w:p>
        </w:tc>
      </w:tr>
    </w:tbl>
    <w:p w14:paraId="72B4AC53">
      <w:pPr>
        <w:spacing w:line="500" w:lineRule="exact"/>
        <w:ind w:firstLine="600" w:firstLineChars="250"/>
        <w:rPr>
          <w:rFonts w:hint="eastAsia" w:ascii="宋体" w:hAnsi="宋体" w:cs="宋体"/>
          <w:sz w:val="24"/>
        </w:rPr>
      </w:pPr>
      <w:r>
        <w:rPr>
          <w:rFonts w:hint="eastAsia" w:ascii="宋体" w:hAnsi="宋体" w:cs="宋体"/>
          <w:sz w:val="24"/>
        </w:rPr>
        <w:t xml:space="preserve">供应商：                          </w:t>
      </w:r>
      <w:r>
        <w:rPr>
          <w:rFonts w:hint="eastAsia" w:ascii="宋体" w:hAnsi="宋体" w:cs="宋体"/>
          <w:sz w:val="24"/>
          <w:szCs w:val="24"/>
        </w:rPr>
        <w:t>法定代表人（或其授权代表）或自然人</w:t>
      </w:r>
      <w:r>
        <w:rPr>
          <w:rFonts w:hint="eastAsia" w:ascii="宋体" w:hAnsi="宋体" w:cs="宋体"/>
          <w:sz w:val="24"/>
        </w:rPr>
        <w:t>：</w:t>
      </w:r>
    </w:p>
    <w:p w14:paraId="68F9AE3F">
      <w:pPr>
        <w:spacing w:line="500" w:lineRule="exact"/>
        <w:rPr>
          <w:rFonts w:hint="eastAsia" w:ascii="宋体" w:hAnsi="宋体" w:cs="宋体"/>
          <w:sz w:val="24"/>
        </w:rPr>
      </w:pPr>
      <w:r>
        <w:rPr>
          <w:rFonts w:hint="eastAsia" w:ascii="宋体" w:hAnsi="宋体" w:cs="宋体"/>
          <w:sz w:val="24"/>
        </w:rPr>
        <w:t xml:space="preserve">    </w:t>
      </w:r>
    </w:p>
    <w:p w14:paraId="59BF1A9B">
      <w:pPr>
        <w:spacing w:line="500" w:lineRule="exact"/>
        <w:ind w:firstLine="360" w:firstLineChars="150"/>
        <w:rPr>
          <w:rFonts w:hint="eastAsia" w:ascii="宋体" w:hAnsi="宋体" w:cs="宋体"/>
          <w:sz w:val="24"/>
        </w:rPr>
      </w:pPr>
      <w:r>
        <w:rPr>
          <w:rFonts w:hint="eastAsia" w:ascii="宋体" w:hAnsi="宋体" w:cs="宋体"/>
          <w:sz w:val="24"/>
        </w:rPr>
        <w:t>（供应商公章）                                     （签署或盖章）</w:t>
      </w:r>
    </w:p>
    <w:p w14:paraId="7D41197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05AAB8CD">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0C9BCD06">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竞采项目商务需求”中所列条款进行比较和响应；</w:t>
      </w:r>
    </w:p>
    <w:p w14:paraId="243C7830">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14:paraId="0FA1E3DE">
      <w:pPr>
        <w:tabs>
          <w:tab w:val="left" w:pos="6300"/>
        </w:tabs>
        <w:snapToGrid w:val="0"/>
        <w:spacing w:line="480" w:lineRule="exact"/>
        <w:ind w:firstLine="480" w:firstLineChars="200"/>
        <w:rPr>
          <w:rFonts w:hint="eastAsia" w:ascii="宋体" w:hAnsi="宋体" w:cs="宋体"/>
          <w:sz w:val="24"/>
          <w:szCs w:val="24"/>
        </w:rPr>
      </w:pPr>
    </w:p>
    <w:p w14:paraId="5EF8420D">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14:paraId="13D9B98D">
      <w:pPr>
        <w:tabs>
          <w:tab w:val="left" w:pos="6300"/>
        </w:tabs>
        <w:snapToGrid w:val="0"/>
        <w:spacing w:line="480" w:lineRule="exact"/>
        <w:ind w:firstLine="480" w:firstLineChars="200"/>
        <w:rPr>
          <w:rFonts w:hint="eastAsia" w:ascii="宋体" w:hAnsi="宋体" w:cs="宋体"/>
          <w:sz w:val="24"/>
          <w:szCs w:val="24"/>
        </w:rPr>
      </w:pPr>
    </w:p>
    <w:p w14:paraId="6D1D57D3">
      <w:pPr>
        <w:pStyle w:val="4"/>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318" w:name="_Toc65660382"/>
      <w:bookmarkStart w:id="319" w:name="_Toc31295"/>
      <w:bookmarkStart w:id="320" w:name="_Toc20162"/>
      <w:bookmarkStart w:id="321" w:name="_Toc2082"/>
      <w:bookmarkStart w:id="322" w:name="_Toc2999"/>
      <w:r>
        <w:rPr>
          <w:rFonts w:hint="eastAsia" w:ascii="宋体" w:hAnsi="宋体" w:eastAsia="宋体" w:cs="宋体"/>
          <w:sz w:val="24"/>
        </w:rPr>
        <w:t>四、</w:t>
      </w:r>
      <w:bookmarkEnd w:id="315"/>
      <w:bookmarkEnd w:id="316"/>
      <w:bookmarkEnd w:id="317"/>
      <w:r>
        <w:rPr>
          <w:rFonts w:hint="eastAsia" w:ascii="宋体" w:hAnsi="宋体" w:eastAsia="宋体" w:cs="宋体"/>
          <w:sz w:val="24"/>
        </w:rPr>
        <w:t>资格条件及其他</w:t>
      </w:r>
      <w:bookmarkEnd w:id="318"/>
      <w:bookmarkEnd w:id="319"/>
      <w:bookmarkEnd w:id="320"/>
      <w:bookmarkEnd w:id="321"/>
      <w:bookmarkEnd w:id="322"/>
      <w:bookmarkStart w:id="323" w:name="_Toc313008359"/>
      <w:bookmarkStart w:id="324" w:name="_Toc342913422"/>
      <w:bookmarkStart w:id="325" w:name="_Toc313888363"/>
    </w:p>
    <w:p w14:paraId="04F899B3">
      <w:pPr>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3160F5A7">
      <w:pPr>
        <w:tabs>
          <w:tab w:val="left" w:pos="6300"/>
        </w:tabs>
        <w:snapToGrid w:val="0"/>
        <w:spacing w:line="500" w:lineRule="exact"/>
        <w:ind w:firstLine="570"/>
        <w:rPr>
          <w:rFonts w:hint="eastAsia" w:ascii="宋体" w:hAnsi="宋体" w:cs="宋体"/>
          <w:sz w:val="24"/>
          <w:szCs w:val="24"/>
        </w:rPr>
      </w:pPr>
    </w:p>
    <w:p w14:paraId="5D3CD9B7">
      <w:pPr>
        <w:tabs>
          <w:tab w:val="left" w:pos="6300"/>
        </w:tabs>
        <w:snapToGrid w:val="0"/>
        <w:spacing w:line="500" w:lineRule="exact"/>
        <w:ind w:firstLine="570"/>
        <w:rPr>
          <w:rFonts w:hint="eastAsia" w:ascii="宋体" w:hAnsi="宋体" w:cs="宋体"/>
        </w:rPr>
      </w:pPr>
    </w:p>
    <w:p w14:paraId="06C60F73">
      <w:pPr>
        <w:tabs>
          <w:tab w:val="left" w:pos="6300"/>
        </w:tabs>
        <w:snapToGrid w:val="0"/>
        <w:spacing w:line="500" w:lineRule="exact"/>
        <w:ind w:firstLine="570"/>
        <w:rPr>
          <w:rFonts w:hint="eastAsia" w:ascii="宋体" w:hAnsi="宋体" w:cs="宋体"/>
        </w:rPr>
      </w:pPr>
    </w:p>
    <w:p w14:paraId="389FFD91">
      <w:pPr>
        <w:tabs>
          <w:tab w:val="left" w:pos="6300"/>
        </w:tabs>
        <w:snapToGrid w:val="0"/>
        <w:spacing w:line="500" w:lineRule="exact"/>
        <w:ind w:firstLine="570"/>
        <w:rPr>
          <w:rFonts w:hint="eastAsia" w:ascii="宋体" w:hAnsi="宋体" w:cs="宋体"/>
        </w:rPr>
      </w:pPr>
    </w:p>
    <w:p w14:paraId="5BA2F03B">
      <w:pPr>
        <w:tabs>
          <w:tab w:val="left" w:pos="6300"/>
        </w:tabs>
        <w:snapToGrid w:val="0"/>
        <w:spacing w:line="500" w:lineRule="exact"/>
        <w:ind w:firstLine="570"/>
        <w:rPr>
          <w:rFonts w:hint="eastAsia" w:ascii="宋体" w:hAnsi="宋体" w:cs="宋体"/>
        </w:rPr>
      </w:pPr>
    </w:p>
    <w:p w14:paraId="35A489A5">
      <w:pPr>
        <w:widowControl/>
        <w:spacing w:line="400" w:lineRule="exact"/>
        <w:ind w:firstLine="560" w:firstLineChars="200"/>
        <w:jc w:val="left"/>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50342294">
      <w:pPr>
        <w:tabs>
          <w:tab w:val="left" w:pos="6300"/>
        </w:tabs>
        <w:snapToGrid w:val="0"/>
        <w:spacing w:line="500" w:lineRule="exact"/>
        <w:ind w:firstLine="570"/>
        <w:rPr>
          <w:rFonts w:hint="eastAsia" w:ascii="宋体" w:hAnsi="宋体" w:cs="宋体"/>
          <w:sz w:val="24"/>
        </w:rPr>
      </w:pPr>
    </w:p>
    <w:p w14:paraId="27BC65E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竞采项目名称：</w:t>
      </w:r>
      <w:r>
        <w:rPr>
          <w:rFonts w:hint="eastAsia" w:ascii="宋体" w:hAnsi="宋体" w:cs="宋体"/>
          <w:sz w:val="24"/>
          <w:u w:val="single"/>
        </w:rPr>
        <w:t xml:space="preserve">                                                </w:t>
      </w:r>
    </w:p>
    <w:p w14:paraId="39A02CDF">
      <w:pPr>
        <w:tabs>
          <w:tab w:val="left" w:pos="6300"/>
        </w:tabs>
        <w:snapToGrid w:val="0"/>
        <w:spacing w:line="500" w:lineRule="exact"/>
        <w:ind w:firstLine="570"/>
        <w:rPr>
          <w:rFonts w:hint="eastAsia" w:ascii="宋体" w:hAnsi="宋体" w:cs="宋体"/>
          <w:sz w:val="24"/>
        </w:rPr>
      </w:pPr>
    </w:p>
    <w:p w14:paraId="159F26D8">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（竞采代理机构名称）：</w:t>
      </w:r>
    </w:p>
    <w:p w14:paraId="5F86A781">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F18BA49">
      <w:pPr>
        <w:tabs>
          <w:tab w:val="left" w:pos="6300"/>
        </w:tabs>
        <w:snapToGrid w:val="0"/>
        <w:spacing w:line="500" w:lineRule="exact"/>
        <w:ind w:firstLine="570"/>
        <w:rPr>
          <w:rFonts w:hint="eastAsia" w:ascii="宋体" w:hAnsi="宋体" w:cs="宋体"/>
          <w:sz w:val="24"/>
        </w:rPr>
      </w:pPr>
    </w:p>
    <w:p w14:paraId="533EBF8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467366EF">
      <w:pPr>
        <w:tabs>
          <w:tab w:val="left" w:pos="6300"/>
        </w:tabs>
        <w:snapToGrid w:val="0"/>
        <w:spacing w:line="500" w:lineRule="exact"/>
        <w:ind w:firstLine="570"/>
        <w:rPr>
          <w:rFonts w:hint="eastAsia" w:ascii="宋体" w:hAnsi="宋体" w:cs="宋体"/>
          <w:sz w:val="24"/>
        </w:rPr>
      </w:pPr>
    </w:p>
    <w:p w14:paraId="0EDC29FB">
      <w:pPr>
        <w:tabs>
          <w:tab w:val="left" w:pos="6300"/>
        </w:tabs>
        <w:snapToGrid w:val="0"/>
        <w:spacing w:line="500" w:lineRule="exact"/>
        <w:ind w:firstLine="570"/>
        <w:rPr>
          <w:rFonts w:hint="eastAsia" w:ascii="宋体" w:hAnsi="宋体" w:cs="宋体"/>
          <w:sz w:val="24"/>
        </w:rPr>
      </w:pPr>
    </w:p>
    <w:p w14:paraId="1216705B">
      <w:pPr>
        <w:tabs>
          <w:tab w:val="left" w:pos="6300"/>
        </w:tabs>
        <w:snapToGrid w:val="0"/>
        <w:spacing w:line="500" w:lineRule="exact"/>
        <w:ind w:firstLine="570"/>
        <w:rPr>
          <w:rFonts w:hint="eastAsia" w:ascii="宋体" w:hAnsi="宋体" w:cs="宋体"/>
          <w:sz w:val="24"/>
        </w:rPr>
      </w:pPr>
    </w:p>
    <w:p w14:paraId="53FB040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16068384">
      <w:pPr>
        <w:tabs>
          <w:tab w:val="left" w:pos="6300"/>
        </w:tabs>
        <w:snapToGrid w:val="0"/>
        <w:spacing w:line="500" w:lineRule="exact"/>
        <w:ind w:firstLine="570"/>
        <w:rPr>
          <w:rFonts w:hint="eastAsia" w:ascii="宋体" w:hAnsi="宋体" w:cs="宋体"/>
          <w:sz w:val="24"/>
        </w:rPr>
      </w:pPr>
    </w:p>
    <w:p w14:paraId="76098B3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39CD4C7D">
      <w:pPr>
        <w:tabs>
          <w:tab w:val="left" w:pos="6300"/>
        </w:tabs>
        <w:snapToGrid w:val="0"/>
        <w:spacing w:line="500" w:lineRule="exact"/>
        <w:ind w:firstLine="570"/>
        <w:rPr>
          <w:rFonts w:hint="eastAsia" w:ascii="宋体" w:hAnsi="宋体" w:cs="宋体"/>
          <w:sz w:val="24"/>
        </w:rPr>
      </w:pPr>
    </w:p>
    <w:p w14:paraId="675D9787">
      <w:pPr>
        <w:tabs>
          <w:tab w:val="left" w:pos="6300"/>
        </w:tabs>
        <w:snapToGrid w:val="0"/>
        <w:spacing w:line="500" w:lineRule="exact"/>
        <w:ind w:firstLine="570"/>
        <w:rPr>
          <w:rFonts w:hint="eastAsia" w:ascii="宋体" w:hAnsi="宋体" w:cs="宋体"/>
          <w:sz w:val="24"/>
        </w:rPr>
      </w:pPr>
    </w:p>
    <w:p w14:paraId="0EA95B0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7A56AFA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1D081D40">
      <w:pPr>
        <w:tabs>
          <w:tab w:val="left" w:pos="6300"/>
        </w:tabs>
        <w:snapToGrid w:val="0"/>
        <w:spacing w:line="500" w:lineRule="exact"/>
        <w:ind w:firstLine="570"/>
        <w:rPr>
          <w:rFonts w:hint="eastAsia" w:ascii="宋体" w:hAnsi="宋体" w:cs="宋体"/>
          <w:sz w:val="24"/>
        </w:rPr>
      </w:pPr>
    </w:p>
    <w:p w14:paraId="4DF9C553">
      <w:pPr>
        <w:tabs>
          <w:tab w:val="left" w:pos="6300"/>
        </w:tabs>
        <w:snapToGrid w:val="0"/>
        <w:spacing w:line="500" w:lineRule="exact"/>
        <w:ind w:firstLine="570"/>
        <w:rPr>
          <w:rFonts w:hint="eastAsia" w:ascii="宋体" w:hAnsi="宋体" w:cs="宋体"/>
          <w:sz w:val="24"/>
        </w:rPr>
      </w:pPr>
    </w:p>
    <w:p w14:paraId="552B51D8">
      <w:pPr>
        <w:tabs>
          <w:tab w:val="left" w:pos="6300"/>
        </w:tabs>
        <w:snapToGrid w:val="0"/>
        <w:spacing w:line="500" w:lineRule="exact"/>
        <w:ind w:firstLine="570"/>
        <w:rPr>
          <w:rFonts w:hint="eastAsia" w:ascii="宋体" w:hAnsi="宋体" w:cs="宋体"/>
          <w:sz w:val="24"/>
        </w:rPr>
      </w:pPr>
    </w:p>
    <w:p w14:paraId="048C05DA">
      <w:pPr>
        <w:tabs>
          <w:tab w:val="left" w:pos="6300"/>
        </w:tabs>
        <w:snapToGrid w:val="0"/>
        <w:spacing w:line="500" w:lineRule="exact"/>
        <w:ind w:firstLine="570"/>
        <w:rPr>
          <w:rFonts w:hint="eastAsia" w:ascii="宋体" w:hAnsi="宋体" w:cs="宋体"/>
          <w:sz w:val="24"/>
        </w:rPr>
      </w:pPr>
    </w:p>
    <w:p w14:paraId="7F41C2E6">
      <w:pPr>
        <w:tabs>
          <w:tab w:val="left" w:pos="6300"/>
        </w:tabs>
        <w:snapToGrid w:val="0"/>
        <w:spacing w:line="500" w:lineRule="exact"/>
        <w:ind w:firstLine="570"/>
        <w:rPr>
          <w:rFonts w:hint="eastAsia" w:ascii="宋体" w:hAnsi="宋体" w:cs="宋体"/>
          <w:sz w:val="24"/>
        </w:rPr>
      </w:pPr>
    </w:p>
    <w:p w14:paraId="6B4AF0F1">
      <w:pPr>
        <w:tabs>
          <w:tab w:val="left" w:pos="6300"/>
        </w:tabs>
        <w:snapToGrid w:val="0"/>
        <w:spacing w:line="500" w:lineRule="exact"/>
        <w:ind w:firstLine="570"/>
        <w:rPr>
          <w:rFonts w:hint="eastAsia" w:ascii="宋体" w:hAnsi="宋体" w:cs="宋体"/>
          <w:sz w:val="24"/>
        </w:rPr>
      </w:pPr>
    </w:p>
    <w:p w14:paraId="5B70CCD8">
      <w:pPr>
        <w:widowControl/>
        <w:spacing w:line="400" w:lineRule="exact"/>
        <w:ind w:firstLine="560" w:firstLineChars="200"/>
        <w:jc w:val="left"/>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71763A3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7517175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竞采项目名称：</w:t>
      </w:r>
      <w:r>
        <w:rPr>
          <w:rFonts w:hint="eastAsia" w:ascii="宋体" w:hAnsi="宋体" w:cs="宋体"/>
          <w:sz w:val="24"/>
          <w:u w:val="single"/>
        </w:rPr>
        <w:t xml:space="preserve">                                                </w:t>
      </w:r>
    </w:p>
    <w:p w14:paraId="25645CEA">
      <w:pPr>
        <w:tabs>
          <w:tab w:val="left" w:pos="6300"/>
        </w:tabs>
        <w:snapToGrid w:val="0"/>
        <w:spacing w:line="500" w:lineRule="exact"/>
        <w:ind w:firstLine="570"/>
        <w:rPr>
          <w:rFonts w:hint="eastAsia" w:ascii="宋体" w:hAnsi="宋体" w:cs="宋体"/>
          <w:sz w:val="24"/>
        </w:rPr>
      </w:pPr>
    </w:p>
    <w:p w14:paraId="611BCEE8">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（竞采代理机构名称）：</w:t>
      </w:r>
    </w:p>
    <w:p w14:paraId="06D5325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（被授权人姓名及身份证代码）代表我单位全权办理上述项目的竞采、签约等具体工作，并签署全部有关文件、协议及合同。</w:t>
      </w:r>
    </w:p>
    <w:p w14:paraId="7E0B617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我单位对被授权人的签署负全部责任。</w:t>
      </w:r>
    </w:p>
    <w:p w14:paraId="580B8DEF">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46A55E70">
      <w:pPr>
        <w:tabs>
          <w:tab w:val="left" w:pos="6300"/>
        </w:tabs>
        <w:snapToGrid w:val="0"/>
        <w:spacing w:line="500" w:lineRule="exact"/>
        <w:ind w:firstLine="570"/>
        <w:rPr>
          <w:rFonts w:hint="eastAsia" w:ascii="宋体" w:hAnsi="宋体" w:cs="宋体"/>
          <w:sz w:val="24"/>
        </w:rPr>
      </w:pPr>
    </w:p>
    <w:p w14:paraId="5BEBBC35">
      <w:pPr>
        <w:tabs>
          <w:tab w:val="left" w:pos="6300"/>
        </w:tabs>
        <w:snapToGrid w:val="0"/>
        <w:spacing w:line="500" w:lineRule="exact"/>
        <w:ind w:firstLine="570"/>
        <w:rPr>
          <w:rFonts w:hint="eastAsia" w:ascii="宋体" w:hAnsi="宋体" w:cs="宋体"/>
          <w:sz w:val="24"/>
        </w:rPr>
      </w:pPr>
    </w:p>
    <w:p w14:paraId="7A1D8A6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4DABEAD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（签署或盖章）                                （签署或盖章）</w:t>
      </w:r>
    </w:p>
    <w:p w14:paraId="2661A274">
      <w:pPr>
        <w:tabs>
          <w:tab w:val="left" w:pos="6300"/>
        </w:tabs>
        <w:snapToGrid w:val="0"/>
        <w:spacing w:line="500" w:lineRule="exact"/>
        <w:ind w:firstLine="570"/>
        <w:rPr>
          <w:rFonts w:hint="eastAsia" w:ascii="宋体" w:hAnsi="宋体" w:cs="宋体"/>
          <w:sz w:val="24"/>
        </w:rPr>
      </w:pPr>
    </w:p>
    <w:p w14:paraId="4A8DB05B">
      <w:pPr>
        <w:tabs>
          <w:tab w:val="left" w:pos="6300"/>
        </w:tabs>
        <w:snapToGrid w:val="0"/>
        <w:spacing w:line="500" w:lineRule="exact"/>
        <w:ind w:firstLine="570"/>
        <w:rPr>
          <w:rFonts w:hint="eastAsia" w:ascii="宋体" w:hAnsi="宋体" w:cs="宋体"/>
          <w:sz w:val="24"/>
        </w:rPr>
      </w:pPr>
    </w:p>
    <w:p w14:paraId="5E4971E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7B2C863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23C4A551">
      <w:pPr>
        <w:tabs>
          <w:tab w:val="left" w:pos="6300"/>
        </w:tabs>
        <w:snapToGrid w:val="0"/>
        <w:spacing w:line="500" w:lineRule="exact"/>
        <w:ind w:firstLine="570"/>
        <w:rPr>
          <w:rFonts w:hint="eastAsia" w:ascii="宋体" w:hAnsi="宋体" w:cs="宋体"/>
          <w:sz w:val="24"/>
        </w:rPr>
      </w:pPr>
    </w:p>
    <w:p w14:paraId="5B5A537E">
      <w:pPr>
        <w:tabs>
          <w:tab w:val="left" w:pos="6300"/>
        </w:tabs>
        <w:snapToGrid w:val="0"/>
        <w:spacing w:line="500" w:lineRule="exact"/>
        <w:ind w:firstLine="570"/>
        <w:rPr>
          <w:rFonts w:hint="eastAsia" w:ascii="宋体" w:hAnsi="宋体" w:cs="宋体"/>
          <w:sz w:val="24"/>
        </w:rPr>
      </w:pPr>
    </w:p>
    <w:p w14:paraId="3B25EC1F">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63543B00">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5ECB800E">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022AC5FD">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267B7A2B">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5B41C16B">
      <w:pPr>
        <w:widowControl/>
        <w:spacing w:line="400" w:lineRule="exact"/>
        <w:ind w:firstLine="560" w:firstLineChars="200"/>
        <w:jc w:val="left"/>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14:paraId="294296A5">
      <w:pPr>
        <w:tabs>
          <w:tab w:val="left" w:pos="6300"/>
        </w:tabs>
        <w:snapToGrid w:val="0"/>
        <w:spacing w:line="500" w:lineRule="exact"/>
        <w:ind w:firstLine="643" w:firstLineChars="200"/>
        <w:jc w:val="center"/>
        <w:rPr>
          <w:rFonts w:hint="eastAsia" w:ascii="宋体" w:hAnsi="宋体" w:cs="宋体"/>
          <w:b/>
          <w:bCs/>
          <w:sz w:val="32"/>
          <w:szCs w:val="32"/>
        </w:rPr>
      </w:pPr>
      <w:r>
        <w:rPr>
          <w:rFonts w:hint="eastAsia" w:ascii="宋体" w:hAnsi="宋体" w:cs="宋体"/>
          <w:b/>
          <w:bCs/>
          <w:sz w:val="32"/>
          <w:szCs w:val="32"/>
        </w:rPr>
        <w:t>基本资格条件承诺函</w:t>
      </w:r>
    </w:p>
    <w:p w14:paraId="46FBD9DC">
      <w:pPr>
        <w:tabs>
          <w:tab w:val="left" w:pos="6300"/>
        </w:tabs>
        <w:snapToGrid w:val="0"/>
        <w:spacing w:line="530" w:lineRule="exact"/>
        <w:rPr>
          <w:rFonts w:hint="eastAsia" w:ascii="宋体" w:hAnsi="宋体" w:cs="宋体"/>
          <w:sz w:val="24"/>
        </w:rPr>
      </w:pPr>
    </w:p>
    <w:p w14:paraId="74AA79D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（竞采代理机构名称）：</w:t>
      </w:r>
    </w:p>
    <w:p w14:paraId="54FE0E3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0A38E9A4">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，参加本项目竞采活动前三年内无重大违法活动记录。</w:t>
      </w:r>
    </w:p>
    <w:p w14:paraId="7556974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2.我方未列入在信用中国网站（www.creditchina.gov.cn）“失信被执行人”、“重大税收违法案件当事人名单”中，也未列入中国政府竞采网（www.ccgp.gov.cn）“政府竞采严重违法失信行为记录名单”中。</w:t>
      </w:r>
    </w:p>
    <w:p w14:paraId="48C45C2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3.我方在竞采项目评审（评标）环节结束后，随时接受采购人、竞采代理机构的检查验证，配合提供相关证明材料，证明符合《中华人民共和国政府竞采法》规定的供应商基本资格条件。</w:t>
      </w:r>
    </w:p>
    <w:p w14:paraId="4B3928D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我方对以上承诺负全部法律责任。</w:t>
      </w:r>
    </w:p>
    <w:p w14:paraId="79151E5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特此承诺。</w:t>
      </w:r>
    </w:p>
    <w:p w14:paraId="51E507AE">
      <w:pPr>
        <w:tabs>
          <w:tab w:val="left" w:pos="6300"/>
        </w:tabs>
        <w:snapToGrid w:val="0"/>
        <w:spacing w:line="500" w:lineRule="exact"/>
        <w:ind w:firstLine="480" w:firstLineChars="200"/>
        <w:rPr>
          <w:rFonts w:hint="eastAsia" w:ascii="宋体" w:hAnsi="宋体" w:cs="宋体"/>
          <w:sz w:val="24"/>
        </w:rPr>
      </w:pPr>
    </w:p>
    <w:p w14:paraId="08CBD6C0">
      <w:pPr>
        <w:tabs>
          <w:tab w:val="left" w:pos="6300"/>
        </w:tabs>
        <w:snapToGrid w:val="0"/>
        <w:spacing w:line="500" w:lineRule="exact"/>
        <w:ind w:firstLine="480" w:firstLineChars="200"/>
        <w:jc w:val="right"/>
        <w:rPr>
          <w:rFonts w:hint="eastAsia" w:ascii="宋体" w:hAnsi="宋体" w:cs="宋体"/>
          <w:sz w:val="24"/>
        </w:rPr>
      </w:pPr>
      <w:r>
        <w:rPr>
          <w:rFonts w:hint="eastAsia" w:ascii="宋体" w:hAnsi="宋体" w:cs="宋体"/>
          <w:sz w:val="24"/>
        </w:rPr>
        <w:t>（供应商公章）</w:t>
      </w:r>
    </w:p>
    <w:p w14:paraId="6232D8E6">
      <w:pPr>
        <w:widowControl/>
        <w:spacing w:line="400" w:lineRule="exact"/>
        <w:ind w:firstLine="7920" w:firstLineChars="3300"/>
        <w:jc w:val="left"/>
        <w:rPr>
          <w:rFonts w:hint="eastAsia" w:ascii="宋体" w:hAnsi="宋体" w:cs="宋体"/>
          <w:sz w:val="24"/>
          <w:szCs w:val="24"/>
        </w:rPr>
      </w:pPr>
      <w:r>
        <w:rPr>
          <w:rFonts w:hint="eastAsia" w:ascii="宋体" w:hAnsi="宋体" w:cs="宋体"/>
          <w:sz w:val="24"/>
        </w:rPr>
        <w:t>年   月   日</w:t>
      </w:r>
    </w:p>
    <w:p w14:paraId="08A98497">
      <w:pPr>
        <w:widowControl/>
        <w:spacing w:line="400" w:lineRule="exact"/>
        <w:ind w:firstLine="560" w:firstLineChars="200"/>
        <w:jc w:val="left"/>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14:paraId="507D8FB0">
      <w:pPr>
        <w:widowControl/>
        <w:spacing w:line="400" w:lineRule="exact"/>
        <w:ind w:firstLine="480" w:firstLineChars="200"/>
        <w:jc w:val="left"/>
        <w:rPr>
          <w:rFonts w:hint="eastAsia" w:ascii="宋体" w:hAnsi="宋体" w:cs="宋体"/>
          <w:sz w:val="24"/>
          <w:szCs w:val="24"/>
        </w:rPr>
      </w:pPr>
    </w:p>
    <w:p w14:paraId="7A51D2EF">
      <w:pPr>
        <w:pStyle w:val="4"/>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326" w:name="_Toc65660383"/>
      <w:bookmarkStart w:id="327" w:name="_Toc17010"/>
      <w:bookmarkStart w:id="328" w:name="_Toc2080"/>
      <w:bookmarkStart w:id="329" w:name="_Toc28024"/>
      <w:bookmarkStart w:id="330" w:name="_Toc3528"/>
      <w:r>
        <w:rPr>
          <w:rFonts w:hint="eastAsia" w:ascii="宋体" w:hAnsi="宋体" w:eastAsia="宋体" w:cs="宋体"/>
          <w:sz w:val="24"/>
        </w:rPr>
        <w:t>五、</w:t>
      </w:r>
      <w:bookmarkEnd w:id="323"/>
      <w:bookmarkEnd w:id="324"/>
      <w:bookmarkEnd w:id="325"/>
      <w:bookmarkEnd w:id="326"/>
      <w:bookmarkEnd w:id="327"/>
      <w:bookmarkEnd w:id="328"/>
      <w:bookmarkStart w:id="331" w:name="_Toc76462354"/>
      <w:bookmarkStart w:id="332" w:name="_Toc106030910"/>
      <w:bookmarkStart w:id="333" w:name="_Toc28212"/>
      <w:r>
        <w:rPr>
          <w:rFonts w:hint="eastAsia" w:ascii="宋体" w:hAnsi="宋体" w:eastAsia="宋体" w:cs="宋体"/>
          <w:sz w:val="24"/>
        </w:rPr>
        <w:t>其他资料</w:t>
      </w:r>
      <w:bookmarkEnd w:id="329"/>
      <w:bookmarkEnd w:id="330"/>
      <w:bookmarkEnd w:id="331"/>
      <w:bookmarkEnd w:id="332"/>
      <w:bookmarkEnd w:id="333"/>
    </w:p>
    <w:p w14:paraId="57247FD7">
      <w:pPr>
        <w:ind w:firstLine="560" w:firstLineChars="200"/>
        <w:rPr>
          <w:rFonts w:hint="eastAsia"/>
        </w:rPr>
      </w:pPr>
      <w:bookmarkStart w:id="334" w:name="_Toc7582"/>
      <w:bookmarkStart w:id="335" w:name="_Toc29978"/>
      <w:r>
        <w:rPr>
          <w:rFonts w:hint="eastAsia"/>
        </w:rPr>
        <w:t>（一）中小企业声明函、监狱企业证明文件、残疾人福利性单位声明函</w:t>
      </w:r>
      <w:bookmarkEnd w:id="334"/>
      <w:bookmarkEnd w:id="335"/>
    </w:p>
    <w:p w14:paraId="34A77B35">
      <w:pPr>
        <w:tabs>
          <w:tab w:val="left" w:pos="6300"/>
        </w:tabs>
        <w:snapToGrid w:val="0"/>
        <w:spacing w:line="500" w:lineRule="exact"/>
        <w:ind w:firstLine="560" w:firstLineChars="200"/>
        <w:jc w:val="center"/>
        <w:rPr>
          <w:rFonts w:hint="eastAsia" w:ascii="宋体" w:hAnsi="宋体" w:cs="宋体"/>
        </w:rPr>
      </w:pPr>
      <w:r>
        <w:rPr>
          <w:rFonts w:hint="eastAsia" w:ascii="宋体" w:hAnsi="宋体" w:cs="宋体"/>
        </w:rPr>
        <w:t>中小企业声明函</w:t>
      </w:r>
    </w:p>
    <w:p w14:paraId="4C30F78F">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rPr>
        <w:t>）的规定，本公司（联合体）参加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DA38AD4">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i/>
          <w:sz w:val="24"/>
          <w:u w:val="single"/>
        </w:rPr>
        <w:t>（标的名称）</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；承接企业为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（中型企业、小型企业、微型企业）</w:t>
      </w:r>
      <w:r>
        <w:rPr>
          <w:rFonts w:hint="eastAsia" w:ascii="宋体" w:hAnsi="宋体" w:cs="宋体"/>
          <w:sz w:val="24"/>
        </w:rPr>
        <w:t>；</w:t>
      </w:r>
    </w:p>
    <w:p w14:paraId="2294AF6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i/>
          <w:sz w:val="24"/>
          <w:u w:val="single"/>
        </w:rPr>
        <w:t xml:space="preserve"> （标的名称）</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；承接企业为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（中型企业、小型企业、微型企业）</w:t>
      </w:r>
      <w:r>
        <w:rPr>
          <w:rFonts w:hint="eastAsia" w:ascii="宋体" w:hAnsi="宋体" w:cs="宋体"/>
          <w:sz w:val="24"/>
        </w:rPr>
        <w:t>；</w:t>
      </w:r>
    </w:p>
    <w:p w14:paraId="526FFB2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w:t>
      </w:r>
    </w:p>
    <w:p w14:paraId="2C62687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C31D6B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4D8165D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p>
    <w:p w14:paraId="112CD833">
      <w:pPr>
        <w:tabs>
          <w:tab w:val="left" w:pos="6300"/>
        </w:tabs>
        <w:snapToGrid w:val="0"/>
        <w:spacing w:line="500" w:lineRule="exact"/>
        <w:ind w:firstLine="6120" w:firstLineChars="2550"/>
        <w:rPr>
          <w:rFonts w:hint="eastAsia" w:ascii="宋体" w:hAnsi="宋体" w:cs="宋体"/>
          <w:sz w:val="24"/>
        </w:rPr>
      </w:pPr>
      <w:r>
        <w:rPr>
          <w:rFonts w:hint="eastAsia" w:ascii="宋体" w:hAnsi="宋体" w:cs="宋体"/>
          <w:sz w:val="24"/>
        </w:rPr>
        <w:t xml:space="preserve">企业名称（盖章）： </w:t>
      </w:r>
    </w:p>
    <w:p w14:paraId="41EF109F">
      <w:pPr>
        <w:tabs>
          <w:tab w:val="left" w:pos="6300"/>
        </w:tabs>
        <w:snapToGrid w:val="0"/>
        <w:spacing w:line="500" w:lineRule="exact"/>
        <w:ind w:right="784" w:firstLine="6120" w:firstLineChars="2550"/>
        <w:rPr>
          <w:rFonts w:hint="eastAsia" w:ascii="宋体" w:hAnsi="宋体" w:cs="宋体"/>
          <w:sz w:val="24"/>
        </w:rPr>
      </w:pPr>
      <w:r>
        <w:rPr>
          <w:rFonts w:hint="eastAsia" w:ascii="宋体" w:hAnsi="宋体" w:cs="宋体"/>
          <w:sz w:val="24"/>
        </w:rPr>
        <w:t>日期：</w:t>
      </w:r>
    </w:p>
    <w:p w14:paraId="735CE82C">
      <w:pPr>
        <w:tabs>
          <w:tab w:val="left" w:pos="6300"/>
        </w:tabs>
        <w:snapToGrid w:val="0"/>
        <w:spacing w:line="500" w:lineRule="exact"/>
        <w:ind w:right="784" w:firstLine="6120" w:firstLineChars="2550"/>
        <w:rPr>
          <w:rFonts w:hint="eastAsia" w:ascii="宋体" w:hAnsi="宋体" w:cs="宋体"/>
          <w:sz w:val="24"/>
        </w:rPr>
      </w:pPr>
    </w:p>
    <w:p w14:paraId="72D3575C">
      <w:pPr>
        <w:tabs>
          <w:tab w:val="left" w:pos="6300"/>
        </w:tabs>
        <w:snapToGrid w:val="0"/>
        <w:rPr>
          <w:rFonts w:hint="eastAsia" w:ascii="宋体" w:hAnsi="宋体" w:cs="宋体"/>
          <w:kern w:val="0"/>
          <w:sz w:val="21"/>
          <w:szCs w:val="21"/>
        </w:rPr>
      </w:pPr>
      <w:r>
        <w:rPr>
          <w:rFonts w:hint="eastAsia" w:ascii="宋体" w:hAnsi="宋体" w:cs="宋体"/>
          <w:kern w:val="0"/>
          <w:sz w:val="21"/>
          <w:szCs w:val="21"/>
        </w:rPr>
        <w:t>填写时应注意以下事项：</w:t>
      </w:r>
    </w:p>
    <w:p w14:paraId="57363E77">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0B2006E">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143FA170">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411500CB">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4.本声明函“企业名称（盖章）”处为供应商盖章。</w:t>
      </w:r>
    </w:p>
    <w:p w14:paraId="3AB84747">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注：各行业划型标准：</w:t>
      </w:r>
    </w:p>
    <w:p w14:paraId="0250ABB3">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098ED8E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908BCF">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EBB31F">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2A974">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A8C0BA">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0389A2">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C66D3E">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D16B2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6B8326">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4D602">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A62160">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4FC9AA">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CD887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D0C0D3">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A7F94F">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5AE16AB4">
      <w:pPr>
        <w:tabs>
          <w:tab w:val="left" w:pos="6300"/>
        </w:tabs>
        <w:snapToGrid w:val="0"/>
        <w:spacing w:line="500" w:lineRule="exact"/>
        <w:ind w:firstLine="560" w:firstLineChars="200"/>
        <w:jc w:val="center"/>
        <w:rPr>
          <w:rFonts w:hint="eastAsia" w:ascii="宋体" w:hAnsi="宋体" w:cs="宋体"/>
        </w:rPr>
      </w:pPr>
      <w:r>
        <w:rPr>
          <w:rFonts w:hint="eastAsia" w:ascii="宋体" w:hAnsi="宋体" w:cs="宋体"/>
        </w:rPr>
        <w:br w:type="page"/>
      </w:r>
      <w:r>
        <w:rPr>
          <w:rFonts w:hint="eastAsia" w:ascii="宋体" w:hAnsi="宋体" w:cs="宋体"/>
          <w:b/>
          <w:bCs/>
        </w:rPr>
        <w:t>监狱企业证明文件</w:t>
      </w:r>
    </w:p>
    <w:p w14:paraId="172B48E7">
      <w:pPr>
        <w:tabs>
          <w:tab w:val="left" w:pos="6300"/>
        </w:tabs>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0C89A913">
      <w:pPr>
        <w:tabs>
          <w:tab w:val="left" w:pos="6300"/>
        </w:tabs>
        <w:snapToGrid w:val="0"/>
        <w:spacing w:line="400" w:lineRule="exact"/>
        <w:ind w:firstLine="560" w:firstLineChars="200"/>
        <w:jc w:val="center"/>
        <w:rPr>
          <w:rFonts w:hint="eastAsia" w:ascii="宋体" w:hAnsi="宋体" w:cs="宋体"/>
        </w:rPr>
      </w:pPr>
      <w:r>
        <w:rPr>
          <w:rFonts w:hint="eastAsia" w:ascii="宋体" w:hAnsi="宋体" w:cs="宋体"/>
        </w:rPr>
        <w:br w:type="page"/>
      </w:r>
      <w:r>
        <w:rPr>
          <w:rFonts w:hint="eastAsia" w:ascii="宋体" w:hAnsi="宋体" w:cs="宋体"/>
          <w:b/>
          <w:bCs/>
        </w:rPr>
        <w:t>残疾人福利性单位声明函</w:t>
      </w:r>
    </w:p>
    <w:p w14:paraId="6DEF479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项目/提供服务），或者提供其他残疾人福利性单位制造的货物（不包括使用非残疾人福利性单位注册商标的货物）。</w:t>
      </w:r>
    </w:p>
    <w:p w14:paraId="122F8BA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9E17AB5">
      <w:pPr>
        <w:tabs>
          <w:tab w:val="left" w:pos="6300"/>
        </w:tabs>
        <w:snapToGrid w:val="0"/>
        <w:spacing w:line="500" w:lineRule="exact"/>
        <w:ind w:firstLine="480" w:firstLineChars="200"/>
        <w:rPr>
          <w:rFonts w:hint="eastAsia" w:ascii="宋体" w:hAnsi="宋体" w:cs="宋体"/>
          <w:sz w:val="24"/>
        </w:rPr>
      </w:pPr>
    </w:p>
    <w:p w14:paraId="24340F18">
      <w:pPr>
        <w:tabs>
          <w:tab w:val="left" w:pos="6300"/>
        </w:tabs>
        <w:snapToGrid w:val="0"/>
        <w:spacing w:line="500" w:lineRule="exact"/>
        <w:ind w:firstLine="480" w:firstLineChars="200"/>
        <w:rPr>
          <w:rFonts w:hint="eastAsia" w:ascii="宋体" w:hAnsi="宋体" w:cs="宋体"/>
          <w:sz w:val="24"/>
        </w:rPr>
      </w:pPr>
    </w:p>
    <w:p w14:paraId="3E050A20">
      <w:pPr>
        <w:tabs>
          <w:tab w:val="left" w:pos="6300"/>
        </w:tabs>
        <w:snapToGrid w:val="0"/>
        <w:spacing w:line="500" w:lineRule="exact"/>
        <w:ind w:firstLine="480" w:firstLineChars="200"/>
        <w:rPr>
          <w:rFonts w:hint="eastAsia" w:ascii="宋体" w:hAnsi="宋体" w:cs="宋体"/>
          <w:sz w:val="24"/>
        </w:rPr>
      </w:pPr>
    </w:p>
    <w:p w14:paraId="21F638A7">
      <w:pPr>
        <w:tabs>
          <w:tab w:val="left" w:pos="6300"/>
        </w:tabs>
        <w:snapToGrid w:val="0"/>
        <w:spacing w:line="500" w:lineRule="exact"/>
        <w:ind w:firstLine="480" w:firstLineChars="200"/>
        <w:rPr>
          <w:rFonts w:hint="eastAsia" w:ascii="宋体" w:hAnsi="宋体" w:cs="宋体"/>
          <w:sz w:val="24"/>
        </w:rPr>
      </w:pPr>
    </w:p>
    <w:p w14:paraId="0F09C34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43BD195F">
      <w:pPr>
        <w:tabs>
          <w:tab w:val="left" w:pos="6300"/>
        </w:tabs>
        <w:snapToGrid w:val="0"/>
        <w:spacing w:line="500" w:lineRule="exact"/>
        <w:ind w:firstLine="570"/>
        <w:jc w:val="left"/>
        <w:rPr>
          <w:rFonts w:hint="eastAsia" w:ascii="宋体" w:hAnsi="宋体" w:cs="宋体"/>
          <w:sz w:val="24"/>
        </w:rPr>
      </w:pPr>
      <w:r>
        <w:rPr>
          <w:rFonts w:hint="eastAsia" w:ascii="宋体" w:hAnsi="宋体" w:cs="宋体"/>
          <w:sz w:val="24"/>
        </w:rPr>
        <w:t xml:space="preserve">                                                  日  期：</w:t>
      </w:r>
    </w:p>
    <w:p w14:paraId="144C5F73">
      <w:pPr>
        <w:tabs>
          <w:tab w:val="left" w:pos="6300"/>
        </w:tabs>
        <w:snapToGrid w:val="0"/>
        <w:spacing w:line="500" w:lineRule="exact"/>
        <w:ind w:firstLine="570"/>
        <w:jc w:val="left"/>
        <w:rPr>
          <w:rFonts w:hint="eastAsia" w:ascii="宋体" w:hAnsi="宋体" w:cs="宋体"/>
          <w:sz w:val="24"/>
        </w:rPr>
      </w:pPr>
    </w:p>
    <w:p w14:paraId="30F9F690">
      <w:pPr>
        <w:tabs>
          <w:tab w:val="left" w:pos="6300"/>
        </w:tabs>
        <w:snapToGrid w:val="0"/>
        <w:spacing w:line="500" w:lineRule="exact"/>
        <w:ind w:firstLine="570"/>
        <w:jc w:val="left"/>
        <w:rPr>
          <w:rFonts w:hint="eastAsia" w:ascii="宋体" w:hAnsi="宋体" w:cs="宋体"/>
          <w:sz w:val="24"/>
        </w:rPr>
      </w:pPr>
    </w:p>
    <w:p w14:paraId="65146307">
      <w:pPr>
        <w:tabs>
          <w:tab w:val="left" w:pos="6300"/>
        </w:tabs>
        <w:snapToGrid w:val="0"/>
        <w:spacing w:line="500" w:lineRule="exact"/>
        <w:ind w:firstLine="570"/>
        <w:jc w:val="left"/>
        <w:rPr>
          <w:rFonts w:hint="eastAsia" w:ascii="宋体" w:hAnsi="宋体" w:cs="宋体"/>
          <w:sz w:val="24"/>
        </w:rPr>
      </w:pPr>
    </w:p>
    <w:p w14:paraId="3DE878F7">
      <w:pPr>
        <w:tabs>
          <w:tab w:val="left" w:pos="6300"/>
        </w:tabs>
        <w:snapToGrid w:val="0"/>
        <w:spacing w:line="500" w:lineRule="exact"/>
        <w:ind w:firstLine="570"/>
        <w:jc w:val="left"/>
        <w:rPr>
          <w:rFonts w:hint="eastAsia" w:ascii="宋体" w:hAnsi="宋体" w:cs="宋体"/>
          <w:sz w:val="24"/>
        </w:rPr>
      </w:pPr>
    </w:p>
    <w:p w14:paraId="1AE8C715">
      <w:pPr>
        <w:tabs>
          <w:tab w:val="left" w:pos="6300"/>
        </w:tabs>
        <w:snapToGrid w:val="0"/>
        <w:spacing w:line="500" w:lineRule="exact"/>
        <w:ind w:firstLine="570"/>
        <w:jc w:val="left"/>
        <w:rPr>
          <w:rFonts w:hint="eastAsia" w:ascii="宋体" w:hAnsi="宋体" w:cs="宋体"/>
          <w:sz w:val="24"/>
        </w:rPr>
      </w:pPr>
    </w:p>
    <w:p w14:paraId="3E6F1324">
      <w:pPr>
        <w:tabs>
          <w:tab w:val="left" w:pos="6300"/>
        </w:tabs>
        <w:snapToGrid w:val="0"/>
        <w:spacing w:line="500" w:lineRule="exact"/>
        <w:ind w:firstLine="570"/>
        <w:jc w:val="left"/>
        <w:rPr>
          <w:rFonts w:hint="eastAsia" w:ascii="宋体" w:hAnsi="宋体" w:cs="宋体"/>
          <w:sz w:val="24"/>
        </w:rPr>
      </w:pPr>
    </w:p>
    <w:p w14:paraId="740F582E">
      <w:pPr>
        <w:tabs>
          <w:tab w:val="left" w:pos="6300"/>
        </w:tabs>
        <w:snapToGrid w:val="0"/>
        <w:spacing w:line="500" w:lineRule="exact"/>
        <w:ind w:firstLine="570"/>
        <w:jc w:val="left"/>
        <w:rPr>
          <w:rFonts w:hint="eastAsia" w:ascii="宋体" w:hAnsi="宋体" w:cs="宋体"/>
          <w:sz w:val="24"/>
        </w:rPr>
      </w:pPr>
    </w:p>
    <w:p w14:paraId="5776C995">
      <w:pPr>
        <w:tabs>
          <w:tab w:val="left" w:pos="6300"/>
        </w:tabs>
        <w:snapToGrid w:val="0"/>
        <w:spacing w:line="500" w:lineRule="exact"/>
        <w:ind w:firstLine="570"/>
        <w:jc w:val="left"/>
        <w:rPr>
          <w:rFonts w:hint="eastAsia" w:ascii="宋体" w:hAnsi="宋体" w:cs="宋体"/>
          <w:sz w:val="24"/>
        </w:rPr>
      </w:pPr>
    </w:p>
    <w:p w14:paraId="1C68A982">
      <w:pPr>
        <w:tabs>
          <w:tab w:val="left" w:pos="6300"/>
        </w:tabs>
        <w:snapToGrid w:val="0"/>
        <w:spacing w:line="500" w:lineRule="exact"/>
        <w:ind w:firstLine="570"/>
        <w:jc w:val="left"/>
        <w:rPr>
          <w:rFonts w:hint="eastAsia" w:ascii="宋体" w:hAnsi="宋体" w:cs="宋体"/>
          <w:sz w:val="24"/>
        </w:rPr>
      </w:pPr>
    </w:p>
    <w:p w14:paraId="4F740C5C">
      <w:pPr>
        <w:tabs>
          <w:tab w:val="left" w:pos="6300"/>
        </w:tabs>
        <w:snapToGrid w:val="0"/>
        <w:spacing w:line="500" w:lineRule="exact"/>
        <w:ind w:firstLine="570"/>
        <w:jc w:val="left"/>
        <w:rPr>
          <w:rFonts w:hint="eastAsia" w:ascii="宋体" w:hAnsi="宋体" w:cs="宋体"/>
          <w:sz w:val="24"/>
        </w:rPr>
      </w:pPr>
    </w:p>
    <w:p w14:paraId="58BF25FA">
      <w:pPr>
        <w:tabs>
          <w:tab w:val="left" w:pos="6300"/>
        </w:tabs>
        <w:snapToGrid w:val="0"/>
        <w:spacing w:line="500" w:lineRule="exact"/>
        <w:ind w:firstLine="570"/>
        <w:jc w:val="left"/>
        <w:rPr>
          <w:rFonts w:hint="eastAsia" w:ascii="宋体" w:hAnsi="宋体" w:cs="宋体"/>
          <w:sz w:val="24"/>
        </w:rPr>
      </w:pPr>
    </w:p>
    <w:p w14:paraId="79AA2270">
      <w:pPr>
        <w:tabs>
          <w:tab w:val="left" w:pos="6300"/>
        </w:tabs>
        <w:snapToGrid w:val="0"/>
        <w:spacing w:line="500" w:lineRule="exact"/>
        <w:ind w:firstLine="570"/>
        <w:jc w:val="left"/>
        <w:rPr>
          <w:rFonts w:hint="eastAsia" w:ascii="宋体" w:hAnsi="宋体" w:cs="宋体"/>
        </w:rPr>
      </w:pPr>
      <w:r>
        <w:rPr>
          <w:rFonts w:hint="eastAsia" w:ascii="宋体" w:hAnsi="宋体" w:cs="宋体"/>
          <w:kern w:val="0"/>
          <w:sz w:val="24"/>
        </w:rPr>
        <w:t>若成交供应商为残疾人福利性单位的，将在结果公告时公告其《残疾人福利性单位声明函》。</w:t>
      </w:r>
    </w:p>
    <w:p w14:paraId="7BE07CA6">
      <w:pPr>
        <w:bidi w:val="0"/>
        <w:jc w:val="center"/>
        <w:rPr>
          <w:rFonts w:hint="eastAsia"/>
        </w:rPr>
      </w:pPr>
      <w:r>
        <w:rPr>
          <w:rFonts w:hint="eastAsia" w:ascii="宋体" w:hAnsi="宋体" w:cs="宋体"/>
        </w:rPr>
        <w:br w:type="page"/>
      </w:r>
      <w:bookmarkStart w:id="336" w:name="_Toc11802"/>
      <w:r>
        <w:rPr>
          <w:rFonts w:hint="eastAsia"/>
        </w:rPr>
        <w:t>（二）其他与项目有关的资料（自附）</w:t>
      </w:r>
      <w:bookmarkEnd w:id="336"/>
    </w:p>
    <w:p w14:paraId="2201D381">
      <w:pPr>
        <w:bidi w:val="0"/>
        <w:jc w:val="center"/>
        <w:rPr>
          <w:rFonts w:hint="eastAsia"/>
        </w:rPr>
      </w:pPr>
    </w:p>
    <w:p w14:paraId="31F3856A">
      <w:pPr>
        <w:bidi w:val="0"/>
        <w:jc w:val="center"/>
        <w:rPr>
          <w:rFonts w:hint="eastAsia"/>
        </w:rPr>
      </w:pPr>
    </w:p>
    <w:p w14:paraId="21D35779">
      <w:pPr>
        <w:bidi w:val="0"/>
        <w:jc w:val="center"/>
        <w:rPr>
          <w:rFonts w:hint="eastAsia"/>
        </w:rPr>
      </w:pPr>
    </w:p>
    <w:p w14:paraId="15D0C537">
      <w:pPr>
        <w:bidi w:val="0"/>
        <w:jc w:val="center"/>
        <w:rPr>
          <w:rFonts w:hint="eastAsia"/>
        </w:rPr>
      </w:pPr>
    </w:p>
    <w:p w14:paraId="66560C14">
      <w:pPr>
        <w:bidi w:val="0"/>
        <w:jc w:val="center"/>
        <w:rPr>
          <w:rFonts w:hint="eastAsia"/>
        </w:rPr>
      </w:pPr>
    </w:p>
    <w:p w14:paraId="01B44EF0">
      <w:pPr>
        <w:bidi w:val="0"/>
        <w:jc w:val="center"/>
        <w:rPr>
          <w:rFonts w:hint="eastAsia"/>
        </w:rPr>
      </w:pPr>
    </w:p>
    <w:p w14:paraId="23A80A22">
      <w:pPr>
        <w:bidi w:val="0"/>
        <w:jc w:val="center"/>
        <w:rPr>
          <w:rFonts w:hint="eastAsia"/>
        </w:rPr>
      </w:pPr>
    </w:p>
    <w:p w14:paraId="58CECE94">
      <w:pPr>
        <w:bidi w:val="0"/>
        <w:jc w:val="center"/>
        <w:rPr>
          <w:rFonts w:hint="eastAsia"/>
        </w:rPr>
      </w:pPr>
    </w:p>
    <w:p w14:paraId="7D943C8B">
      <w:pPr>
        <w:bidi w:val="0"/>
        <w:jc w:val="center"/>
        <w:rPr>
          <w:rFonts w:hint="eastAsia"/>
        </w:rPr>
      </w:pPr>
    </w:p>
    <w:p w14:paraId="4B24627F">
      <w:pPr>
        <w:bidi w:val="0"/>
        <w:jc w:val="center"/>
        <w:rPr>
          <w:rFonts w:hint="eastAsia"/>
        </w:rPr>
      </w:pPr>
    </w:p>
    <w:p w14:paraId="76420794">
      <w:pPr>
        <w:bidi w:val="0"/>
        <w:jc w:val="center"/>
        <w:rPr>
          <w:rFonts w:hint="eastAsia"/>
        </w:rPr>
      </w:pPr>
    </w:p>
    <w:p w14:paraId="5C187360">
      <w:pPr>
        <w:bidi w:val="0"/>
        <w:jc w:val="center"/>
        <w:rPr>
          <w:rFonts w:hint="eastAsia"/>
        </w:rPr>
      </w:pPr>
    </w:p>
    <w:p w14:paraId="56F59DB0">
      <w:pPr>
        <w:bidi w:val="0"/>
        <w:jc w:val="center"/>
        <w:rPr>
          <w:rFonts w:hint="eastAsia"/>
        </w:rPr>
      </w:pPr>
    </w:p>
    <w:p w14:paraId="79BA85BD">
      <w:pPr>
        <w:bidi w:val="0"/>
        <w:jc w:val="center"/>
        <w:rPr>
          <w:rFonts w:hint="eastAsia"/>
        </w:rPr>
      </w:pPr>
    </w:p>
    <w:p w14:paraId="62AC37BB">
      <w:pPr>
        <w:bidi w:val="0"/>
        <w:jc w:val="center"/>
        <w:rPr>
          <w:rFonts w:hint="eastAsia"/>
        </w:rPr>
      </w:pPr>
    </w:p>
    <w:p w14:paraId="56C489C7">
      <w:pPr>
        <w:bidi w:val="0"/>
        <w:jc w:val="center"/>
        <w:rPr>
          <w:rFonts w:hint="eastAsia"/>
        </w:rPr>
      </w:pPr>
    </w:p>
    <w:p w14:paraId="3F9D52D1">
      <w:pPr>
        <w:bidi w:val="0"/>
        <w:jc w:val="center"/>
        <w:rPr>
          <w:rFonts w:hint="eastAsia"/>
        </w:rPr>
      </w:pPr>
    </w:p>
    <w:p w14:paraId="11D4E013">
      <w:pPr>
        <w:bidi w:val="0"/>
        <w:jc w:val="center"/>
        <w:rPr>
          <w:rFonts w:hint="eastAsia"/>
        </w:rPr>
      </w:pPr>
    </w:p>
    <w:p w14:paraId="7ACAC699">
      <w:pPr>
        <w:bidi w:val="0"/>
        <w:jc w:val="center"/>
        <w:rPr>
          <w:rFonts w:hint="eastAsia"/>
        </w:rPr>
      </w:pPr>
    </w:p>
    <w:p w14:paraId="1C1ADFA2">
      <w:pPr>
        <w:bidi w:val="0"/>
        <w:jc w:val="center"/>
        <w:rPr>
          <w:rFonts w:hint="eastAsia"/>
        </w:rPr>
      </w:pPr>
    </w:p>
    <w:p w14:paraId="5EC59FE9">
      <w:pPr>
        <w:bidi w:val="0"/>
        <w:jc w:val="center"/>
        <w:rPr>
          <w:rFonts w:hint="eastAsia"/>
        </w:rPr>
      </w:pPr>
    </w:p>
    <w:p w14:paraId="631980C4">
      <w:pPr>
        <w:bidi w:val="0"/>
        <w:jc w:val="center"/>
        <w:rPr>
          <w:rFonts w:hint="eastAsia"/>
        </w:rPr>
      </w:pPr>
      <w:r>
        <w:rPr>
          <w:rFonts w:hint="eastAsia"/>
        </w:rPr>
        <w:t>（结束）</w:t>
      </w:r>
    </w:p>
    <w:p w14:paraId="6394D40D">
      <w:pPr>
        <w:tabs>
          <w:tab w:val="left" w:pos="9000"/>
        </w:tabs>
        <w:spacing w:line="276" w:lineRule="auto"/>
        <w:jc w:val="center"/>
        <w:rPr>
          <w:rFonts w:hint="eastAsia" w:ascii="宋体" w:hAnsi="宋体" w:cs="宋体"/>
          <w:color w:val="000000"/>
          <w:sz w:val="36"/>
          <w:szCs w:val="36"/>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6C38">
    <w:pPr>
      <w:pStyle w:val="16"/>
      <w:jc w:val="center"/>
      <w:rPr>
        <w:rFonts w:hint="eastAsia"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- 14 -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FA68">
    <w:pPr>
      <w:pStyle w:val="17"/>
      <w:jc w:val="both"/>
      <w:rPr>
        <w:rFonts w:hint="eastAsia" w:ascii="宋体" w:hAnsi="宋体" w:cs="宋体"/>
        <w:sz w:val="21"/>
        <w:szCs w:val="21"/>
      </w:rPr>
    </w:pPr>
    <w:r>
      <w:rPr>
        <w:rFonts w:hint="eastAsia" w:ascii="宋体" w:hAnsi="宋体" w:cs="宋体"/>
        <w:sz w:val="21"/>
        <w:szCs w:val="21"/>
      </w:rPr>
      <w:t>重庆采家</w:t>
    </w:r>
    <w:r>
      <w:rPr>
        <w:rFonts w:hint="eastAsia" w:ascii="宋体" w:hAnsi="宋体" w:cs="宋体"/>
        <w:sz w:val="21"/>
        <w:szCs w:val="21"/>
        <w:lang w:eastAsia="zh-CN"/>
      </w:rPr>
      <w:t>工程</w:t>
    </w:r>
    <w:r>
      <w:rPr>
        <w:rFonts w:hint="eastAsia" w:ascii="宋体" w:hAnsi="宋体" w:cs="宋体"/>
        <w:sz w:val="21"/>
        <w:szCs w:val="21"/>
      </w:rPr>
      <w:t>管理有限公司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E9F4">
    <w:pPr>
      <w:pStyle w:val="17"/>
      <w:jc w:val="both"/>
      <w:rPr>
        <w:rFonts w:hint="eastAsia" w:ascii="宋体" w:hAnsi="宋体" w:cs="宋体"/>
        <w:sz w:val="21"/>
        <w:szCs w:val="21"/>
      </w:rPr>
    </w:pPr>
    <w:r>
      <w:rPr>
        <w:rFonts w:hint="eastAsia" w:ascii="宋体" w:hAnsi="宋体" w:cs="宋体"/>
        <w:sz w:val="21"/>
        <w:szCs w:val="21"/>
      </w:rPr>
      <w:t>重庆采家</w:t>
    </w:r>
    <w:r>
      <w:rPr>
        <w:rFonts w:hint="eastAsia" w:ascii="宋体" w:hAnsi="宋体" w:cs="宋体"/>
        <w:sz w:val="21"/>
        <w:szCs w:val="21"/>
        <w:lang w:eastAsia="zh-CN"/>
      </w:rPr>
      <w:t>工程</w:t>
    </w:r>
    <w:r>
      <w:rPr>
        <w:rFonts w:hint="eastAsia" w:ascii="宋体" w:hAnsi="宋体" w:cs="宋体"/>
        <w:sz w:val="21"/>
        <w:szCs w:val="21"/>
      </w:rPr>
      <w:t>管理有限公司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39DD1"/>
    <w:multiLevelType w:val="multilevel"/>
    <w:tmpl w:val="F8139DD1"/>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0"/>
        </w:tabs>
        <w:ind w:left="0" w:firstLine="0"/>
      </w:pPr>
      <w:rPr>
        <w:rFonts w:cs="Times New Roman"/>
      </w:rPr>
    </w:lvl>
    <w:lvl w:ilvl="3" w:tentative="0">
      <w:start w:val="0"/>
      <w:numFmt w:val="none"/>
      <w:lvlText w:val=""/>
      <w:lvlJc w:val="left"/>
      <w:pPr>
        <w:tabs>
          <w:tab w:val="left" w:pos="0"/>
        </w:tabs>
        <w:ind w:left="0" w:firstLine="0"/>
      </w:pPr>
      <w:rPr>
        <w:rFonts w:cs="Times New Roman"/>
      </w:rPr>
    </w:lvl>
    <w:lvl w:ilvl="4" w:tentative="0">
      <w:start w:val="0"/>
      <w:numFmt w:val="decimal"/>
      <w:pStyle w:val="40"/>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YTI0NTEwNTMzOTI1NDMzZmJlNDVmN2QxMjkyYjAifQ=="/>
  </w:docVars>
  <w:rsids>
    <w:rsidRoot w:val="006540FC"/>
    <w:rsid w:val="00011904"/>
    <w:rsid w:val="000175C0"/>
    <w:rsid w:val="00030395"/>
    <w:rsid w:val="000356EA"/>
    <w:rsid w:val="00047064"/>
    <w:rsid w:val="00066F53"/>
    <w:rsid w:val="0009129A"/>
    <w:rsid w:val="000B6DD1"/>
    <w:rsid w:val="000C2F42"/>
    <w:rsid w:val="000C3008"/>
    <w:rsid w:val="000E6071"/>
    <w:rsid w:val="000F1CF5"/>
    <w:rsid w:val="0017602D"/>
    <w:rsid w:val="001C0D82"/>
    <w:rsid w:val="001F0687"/>
    <w:rsid w:val="0023133C"/>
    <w:rsid w:val="00231EF5"/>
    <w:rsid w:val="00242A52"/>
    <w:rsid w:val="00247A2D"/>
    <w:rsid w:val="00256F2F"/>
    <w:rsid w:val="002819CD"/>
    <w:rsid w:val="00291ABC"/>
    <w:rsid w:val="002A2552"/>
    <w:rsid w:val="002B0C48"/>
    <w:rsid w:val="002E51BB"/>
    <w:rsid w:val="0036020B"/>
    <w:rsid w:val="003A35D6"/>
    <w:rsid w:val="003D2B1C"/>
    <w:rsid w:val="003E2783"/>
    <w:rsid w:val="003F2030"/>
    <w:rsid w:val="004004B7"/>
    <w:rsid w:val="00420171"/>
    <w:rsid w:val="004347AE"/>
    <w:rsid w:val="0045514C"/>
    <w:rsid w:val="004770B2"/>
    <w:rsid w:val="004B41E7"/>
    <w:rsid w:val="004E3827"/>
    <w:rsid w:val="004F0BE4"/>
    <w:rsid w:val="004F69C5"/>
    <w:rsid w:val="0050203B"/>
    <w:rsid w:val="00502AC3"/>
    <w:rsid w:val="00506B8B"/>
    <w:rsid w:val="00516162"/>
    <w:rsid w:val="00533F70"/>
    <w:rsid w:val="005554FE"/>
    <w:rsid w:val="00555632"/>
    <w:rsid w:val="00562CE7"/>
    <w:rsid w:val="005A6C95"/>
    <w:rsid w:val="00603B0E"/>
    <w:rsid w:val="006501E4"/>
    <w:rsid w:val="006540FC"/>
    <w:rsid w:val="006D3156"/>
    <w:rsid w:val="006D7244"/>
    <w:rsid w:val="00720905"/>
    <w:rsid w:val="00746924"/>
    <w:rsid w:val="007866AC"/>
    <w:rsid w:val="007A0712"/>
    <w:rsid w:val="007A740A"/>
    <w:rsid w:val="007B25C5"/>
    <w:rsid w:val="007D38B6"/>
    <w:rsid w:val="007D4291"/>
    <w:rsid w:val="007E4F7C"/>
    <w:rsid w:val="007F690D"/>
    <w:rsid w:val="007F6AC3"/>
    <w:rsid w:val="00815F93"/>
    <w:rsid w:val="0081611B"/>
    <w:rsid w:val="00827A0D"/>
    <w:rsid w:val="00830338"/>
    <w:rsid w:val="00860549"/>
    <w:rsid w:val="00870DEC"/>
    <w:rsid w:val="008F5358"/>
    <w:rsid w:val="009023D3"/>
    <w:rsid w:val="00933465"/>
    <w:rsid w:val="0095560E"/>
    <w:rsid w:val="009C4681"/>
    <w:rsid w:val="009D0AC5"/>
    <w:rsid w:val="009E1F60"/>
    <w:rsid w:val="00A176A0"/>
    <w:rsid w:val="00A17931"/>
    <w:rsid w:val="00A34617"/>
    <w:rsid w:val="00A4111B"/>
    <w:rsid w:val="00A65339"/>
    <w:rsid w:val="00A729B7"/>
    <w:rsid w:val="00A81776"/>
    <w:rsid w:val="00AB5C65"/>
    <w:rsid w:val="00AC6D9D"/>
    <w:rsid w:val="00AE5C12"/>
    <w:rsid w:val="00B217F3"/>
    <w:rsid w:val="00B34C3F"/>
    <w:rsid w:val="00B94536"/>
    <w:rsid w:val="00BA5D81"/>
    <w:rsid w:val="00BA7363"/>
    <w:rsid w:val="00BB1E17"/>
    <w:rsid w:val="00C143C2"/>
    <w:rsid w:val="00C1697F"/>
    <w:rsid w:val="00C37DB7"/>
    <w:rsid w:val="00CA0C32"/>
    <w:rsid w:val="00CE4A5A"/>
    <w:rsid w:val="00CF44F3"/>
    <w:rsid w:val="00D04F2A"/>
    <w:rsid w:val="00D23618"/>
    <w:rsid w:val="00D620EA"/>
    <w:rsid w:val="00D8336F"/>
    <w:rsid w:val="00D86383"/>
    <w:rsid w:val="00D958C2"/>
    <w:rsid w:val="00DA28E8"/>
    <w:rsid w:val="00DA2E36"/>
    <w:rsid w:val="00DB2FDD"/>
    <w:rsid w:val="00DE22C6"/>
    <w:rsid w:val="00DE3719"/>
    <w:rsid w:val="00E102DE"/>
    <w:rsid w:val="00E11BAE"/>
    <w:rsid w:val="00E4340C"/>
    <w:rsid w:val="00E607AB"/>
    <w:rsid w:val="00E81641"/>
    <w:rsid w:val="00EF540E"/>
    <w:rsid w:val="00F418F0"/>
    <w:rsid w:val="00F4213C"/>
    <w:rsid w:val="00F6582A"/>
    <w:rsid w:val="00F7022B"/>
    <w:rsid w:val="00F83651"/>
    <w:rsid w:val="00FB002A"/>
    <w:rsid w:val="00FE5B1B"/>
    <w:rsid w:val="012703A6"/>
    <w:rsid w:val="013776E1"/>
    <w:rsid w:val="01620D27"/>
    <w:rsid w:val="02072C9E"/>
    <w:rsid w:val="021A09FD"/>
    <w:rsid w:val="04081C5F"/>
    <w:rsid w:val="043F475A"/>
    <w:rsid w:val="04AB2C20"/>
    <w:rsid w:val="057A317B"/>
    <w:rsid w:val="05C01D53"/>
    <w:rsid w:val="07542DDC"/>
    <w:rsid w:val="077C1812"/>
    <w:rsid w:val="08BD563C"/>
    <w:rsid w:val="08E04390"/>
    <w:rsid w:val="09B3440A"/>
    <w:rsid w:val="0C474AE5"/>
    <w:rsid w:val="0C8837B3"/>
    <w:rsid w:val="0CE617A1"/>
    <w:rsid w:val="0CEF6E50"/>
    <w:rsid w:val="0D6710AF"/>
    <w:rsid w:val="0D7D62E4"/>
    <w:rsid w:val="0DDA1B1E"/>
    <w:rsid w:val="0FBD6E6C"/>
    <w:rsid w:val="0FD91D08"/>
    <w:rsid w:val="10101BC5"/>
    <w:rsid w:val="11160F29"/>
    <w:rsid w:val="111F0750"/>
    <w:rsid w:val="11263022"/>
    <w:rsid w:val="11511EE8"/>
    <w:rsid w:val="115A6F5F"/>
    <w:rsid w:val="1171318E"/>
    <w:rsid w:val="119A3908"/>
    <w:rsid w:val="11FC55B2"/>
    <w:rsid w:val="120C7B98"/>
    <w:rsid w:val="12E90DF5"/>
    <w:rsid w:val="138B2B1C"/>
    <w:rsid w:val="13BA2040"/>
    <w:rsid w:val="147C3768"/>
    <w:rsid w:val="1684100F"/>
    <w:rsid w:val="16E71E9B"/>
    <w:rsid w:val="17632C80"/>
    <w:rsid w:val="17651D1C"/>
    <w:rsid w:val="17914D1F"/>
    <w:rsid w:val="17C579E8"/>
    <w:rsid w:val="18344274"/>
    <w:rsid w:val="187814DC"/>
    <w:rsid w:val="189C133B"/>
    <w:rsid w:val="1912647A"/>
    <w:rsid w:val="19F06971"/>
    <w:rsid w:val="1A6F6907"/>
    <w:rsid w:val="1B3723B2"/>
    <w:rsid w:val="1B8F6A42"/>
    <w:rsid w:val="1C487528"/>
    <w:rsid w:val="1C6E4409"/>
    <w:rsid w:val="1C7A23A5"/>
    <w:rsid w:val="1CC208FC"/>
    <w:rsid w:val="1CFD2770"/>
    <w:rsid w:val="1D407DA3"/>
    <w:rsid w:val="1D47322F"/>
    <w:rsid w:val="1D59231C"/>
    <w:rsid w:val="1ED72A30"/>
    <w:rsid w:val="1EDB10BC"/>
    <w:rsid w:val="1EDC0261"/>
    <w:rsid w:val="20710356"/>
    <w:rsid w:val="20DA5ACF"/>
    <w:rsid w:val="20F675CD"/>
    <w:rsid w:val="233E5523"/>
    <w:rsid w:val="23985A08"/>
    <w:rsid w:val="24005F2A"/>
    <w:rsid w:val="241D0191"/>
    <w:rsid w:val="247E3329"/>
    <w:rsid w:val="2507512E"/>
    <w:rsid w:val="25E665E2"/>
    <w:rsid w:val="25F0369F"/>
    <w:rsid w:val="26026F21"/>
    <w:rsid w:val="26727FA6"/>
    <w:rsid w:val="26896EC9"/>
    <w:rsid w:val="26B9428F"/>
    <w:rsid w:val="26BD67C8"/>
    <w:rsid w:val="27F65854"/>
    <w:rsid w:val="2830757F"/>
    <w:rsid w:val="28B57945"/>
    <w:rsid w:val="295E5881"/>
    <w:rsid w:val="29B328DF"/>
    <w:rsid w:val="2A5C1303"/>
    <w:rsid w:val="2A5D5BF7"/>
    <w:rsid w:val="2B0611F2"/>
    <w:rsid w:val="2B1B3C12"/>
    <w:rsid w:val="2B98295A"/>
    <w:rsid w:val="2BB275D3"/>
    <w:rsid w:val="2C8937F2"/>
    <w:rsid w:val="2CC64FE4"/>
    <w:rsid w:val="2D905B89"/>
    <w:rsid w:val="2DAA75E9"/>
    <w:rsid w:val="2EC71068"/>
    <w:rsid w:val="2FC70985"/>
    <w:rsid w:val="314825E1"/>
    <w:rsid w:val="317D163D"/>
    <w:rsid w:val="32B14479"/>
    <w:rsid w:val="334A64F5"/>
    <w:rsid w:val="34D83C7C"/>
    <w:rsid w:val="35842899"/>
    <w:rsid w:val="35A0201F"/>
    <w:rsid w:val="35D6556C"/>
    <w:rsid w:val="36D3294D"/>
    <w:rsid w:val="36D6068F"/>
    <w:rsid w:val="373741BF"/>
    <w:rsid w:val="37B110C2"/>
    <w:rsid w:val="381735A8"/>
    <w:rsid w:val="38351CF6"/>
    <w:rsid w:val="38AA3B82"/>
    <w:rsid w:val="390112E6"/>
    <w:rsid w:val="398A2255"/>
    <w:rsid w:val="39FF678E"/>
    <w:rsid w:val="3A1E0B19"/>
    <w:rsid w:val="3A874206"/>
    <w:rsid w:val="3A9E11C9"/>
    <w:rsid w:val="3B012F4C"/>
    <w:rsid w:val="3B6A25AD"/>
    <w:rsid w:val="3B7A2BA4"/>
    <w:rsid w:val="3BA76C1D"/>
    <w:rsid w:val="3BCF3AC5"/>
    <w:rsid w:val="3C875D07"/>
    <w:rsid w:val="3C9E6E50"/>
    <w:rsid w:val="3CCB014C"/>
    <w:rsid w:val="3D040FE4"/>
    <w:rsid w:val="3D9B1F3A"/>
    <w:rsid w:val="3E2C1AC2"/>
    <w:rsid w:val="3E385855"/>
    <w:rsid w:val="3FAF56A3"/>
    <w:rsid w:val="3FDB605A"/>
    <w:rsid w:val="400E0E9A"/>
    <w:rsid w:val="407C1745"/>
    <w:rsid w:val="408B24EB"/>
    <w:rsid w:val="40907550"/>
    <w:rsid w:val="41770059"/>
    <w:rsid w:val="418B381A"/>
    <w:rsid w:val="424D62B1"/>
    <w:rsid w:val="429F1F16"/>
    <w:rsid w:val="42C25CE0"/>
    <w:rsid w:val="42C271B4"/>
    <w:rsid w:val="42DA1FD4"/>
    <w:rsid w:val="433D3E8C"/>
    <w:rsid w:val="43497B64"/>
    <w:rsid w:val="43FE184F"/>
    <w:rsid w:val="441D1B75"/>
    <w:rsid w:val="441F73E2"/>
    <w:rsid w:val="442B1C7D"/>
    <w:rsid w:val="453C3DB3"/>
    <w:rsid w:val="454660FE"/>
    <w:rsid w:val="454A1BC6"/>
    <w:rsid w:val="45A2128C"/>
    <w:rsid w:val="46DD1482"/>
    <w:rsid w:val="472C50E1"/>
    <w:rsid w:val="476238C9"/>
    <w:rsid w:val="480A20F8"/>
    <w:rsid w:val="485A45F1"/>
    <w:rsid w:val="48627FD5"/>
    <w:rsid w:val="488F6867"/>
    <w:rsid w:val="489C0E51"/>
    <w:rsid w:val="48C132D9"/>
    <w:rsid w:val="490D6FC1"/>
    <w:rsid w:val="491A23F7"/>
    <w:rsid w:val="492E6227"/>
    <w:rsid w:val="493B2B5E"/>
    <w:rsid w:val="49436BE9"/>
    <w:rsid w:val="4A0A7DAC"/>
    <w:rsid w:val="4A14263B"/>
    <w:rsid w:val="4A262C8F"/>
    <w:rsid w:val="4A786951"/>
    <w:rsid w:val="4C1062DC"/>
    <w:rsid w:val="4CD07C03"/>
    <w:rsid w:val="4DB36B14"/>
    <w:rsid w:val="4E086DD0"/>
    <w:rsid w:val="4E7B3B9E"/>
    <w:rsid w:val="4EC25023"/>
    <w:rsid w:val="50942CA9"/>
    <w:rsid w:val="509B41F1"/>
    <w:rsid w:val="50D852D8"/>
    <w:rsid w:val="51503F07"/>
    <w:rsid w:val="52FA1295"/>
    <w:rsid w:val="537967AD"/>
    <w:rsid w:val="53901E9A"/>
    <w:rsid w:val="545517A2"/>
    <w:rsid w:val="55E42029"/>
    <w:rsid w:val="56644F18"/>
    <w:rsid w:val="571031F2"/>
    <w:rsid w:val="5737645D"/>
    <w:rsid w:val="58A11169"/>
    <w:rsid w:val="58B77E24"/>
    <w:rsid w:val="58BD6799"/>
    <w:rsid w:val="59C56EC9"/>
    <w:rsid w:val="5B0B3422"/>
    <w:rsid w:val="5BC2314F"/>
    <w:rsid w:val="5BC24076"/>
    <w:rsid w:val="5BC8419B"/>
    <w:rsid w:val="5BCA23F6"/>
    <w:rsid w:val="5CD47731"/>
    <w:rsid w:val="5CE329B7"/>
    <w:rsid w:val="5D2E31CC"/>
    <w:rsid w:val="5D4760D1"/>
    <w:rsid w:val="5E513C85"/>
    <w:rsid w:val="5EF03F4D"/>
    <w:rsid w:val="5FB36ADE"/>
    <w:rsid w:val="5FB70113"/>
    <w:rsid w:val="60132D53"/>
    <w:rsid w:val="604C53D9"/>
    <w:rsid w:val="61151989"/>
    <w:rsid w:val="61314591"/>
    <w:rsid w:val="62C21D6E"/>
    <w:rsid w:val="62D43425"/>
    <w:rsid w:val="644C546B"/>
    <w:rsid w:val="64A94258"/>
    <w:rsid w:val="65393A14"/>
    <w:rsid w:val="65826214"/>
    <w:rsid w:val="662A1DF1"/>
    <w:rsid w:val="6721419C"/>
    <w:rsid w:val="67314F58"/>
    <w:rsid w:val="674023FC"/>
    <w:rsid w:val="67681934"/>
    <w:rsid w:val="677B6565"/>
    <w:rsid w:val="67A90D03"/>
    <w:rsid w:val="67D52F54"/>
    <w:rsid w:val="68363531"/>
    <w:rsid w:val="68714CC8"/>
    <w:rsid w:val="68AD7BF9"/>
    <w:rsid w:val="694D10E7"/>
    <w:rsid w:val="6A7C1CC1"/>
    <w:rsid w:val="6A7D04D3"/>
    <w:rsid w:val="6AAB4A07"/>
    <w:rsid w:val="6AF12EC3"/>
    <w:rsid w:val="6BE93A01"/>
    <w:rsid w:val="6BF40694"/>
    <w:rsid w:val="6C565927"/>
    <w:rsid w:val="6DE17B51"/>
    <w:rsid w:val="6E900B48"/>
    <w:rsid w:val="6EE0654D"/>
    <w:rsid w:val="6F3214F0"/>
    <w:rsid w:val="6F523B46"/>
    <w:rsid w:val="6F5E0C47"/>
    <w:rsid w:val="70005CF1"/>
    <w:rsid w:val="70360624"/>
    <w:rsid w:val="706B361B"/>
    <w:rsid w:val="71F66F14"/>
    <w:rsid w:val="72532C9F"/>
    <w:rsid w:val="72C03C13"/>
    <w:rsid w:val="7386210B"/>
    <w:rsid w:val="73A33A00"/>
    <w:rsid w:val="750E7766"/>
    <w:rsid w:val="756B249B"/>
    <w:rsid w:val="75EC784C"/>
    <w:rsid w:val="76F31D1F"/>
    <w:rsid w:val="77100968"/>
    <w:rsid w:val="777A2396"/>
    <w:rsid w:val="77B44085"/>
    <w:rsid w:val="77BC0502"/>
    <w:rsid w:val="78006D3F"/>
    <w:rsid w:val="785901FD"/>
    <w:rsid w:val="789C2B85"/>
    <w:rsid w:val="7B311503"/>
    <w:rsid w:val="7BCB1412"/>
    <w:rsid w:val="7BDC5BFB"/>
    <w:rsid w:val="7BFA3E64"/>
    <w:rsid w:val="7C0C5A00"/>
    <w:rsid w:val="7C357264"/>
    <w:rsid w:val="7C7E6B89"/>
    <w:rsid w:val="7CED360A"/>
    <w:rsid w:val="7D0E44EC"/>
    <w:rsid w:val="7D770681"/>
    <w:rsid w:val="7F050A35"/>
    <w:rsid w:val="7F93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71"/>
    <w:qFormat/>
    <w:uiPriority w:val="0"/>
    <w:pPr>
      <w:keepNext/>
      <w:snapToGrid w:val="0"/>
      <w:spacing w:line="360" w:lineRule="atLeast"/>
      <w:outlineLvl w:val="0"/>
    </w:pPr>
    <w:rPr>
      <w:rFonts w:ascii="宋体" w:cs="宋体"/>
    </w:rPr>
  </w:style>
  <w:style w:type="paragraph" w:styleId="4">
    <w:name w:val="heading 2"/>
    <w:basedOn w:val="1"/>
    <w:next w:val="1"/>
    <w:link w:val="39"/>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2"/>
    <w:qFormat/>
    <w:uiPriority w:val="0"/>
    <w:pPr>
      <w:adjustRightInd w:val="0"/>
      <w:snapToGrid w:val="0"/>
      <w:spacing w:line="360" w:lineRule="auto"/>
      <w:ind w:firstLine="420"/>
    </w:pPr>
    <w:rPr>
      <w:sz w:val="24"/>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Indent"/>
    <w:basedOn w:val="1"/>
    <w:qFormat/>
    <w:uiPriority w:val="0"/>
    <w:pPr>
      <w:spacing w:line="700" w:lineRule="exact"/>
      <w:ind w:left="960"/>
    </w:pPr>
    <w:rPr>
      <w:sz w:val="44"/>
      <w:szCs w:val="44"/>
    </w:rPr>
  </w:style>
  <w:style w:type="paragraph" w:styleId="11">
    <w:name w:val="toc 3"/>
    <w:basedOn w:val="1"/>
    <w:next w:val="1"/>
    <w:qFormat/>
    <w:uiPriority w:val="39"/>
    <w:pPr>
      <w:tabs>
        <w:tab w:val="right" w:leader="dot" w:pos="8303"/>
      </w:tabs>
      <w:spacing w:line="540" w:lineRule="exact"/>
      <w:ind w:left="400" w:leftChars="400"/>
    </w:pPr>
    <w:rPr>
      <w:rFonts w:ascii="宋体" w:cs="宋体"/>
    </w:rPr>
  </w:style>
  <w:style w:type="paragraph" w:styleId="12">
    <w:name w:val="Plain Text"/>
    <w:basedOn w:val="1"/>
    <w:next w:val="1"/>
    <w:qFormat/>
    <w:uiPriority w:val="0"/>
    <w:rPr>
      <w:rFonts w:ascii="宋体" w:cs="宋体"/>
      <w:sz w:val="21"/>
      <w:szCs w:val="21"/>
    </w:rPr>
  </w:style>
  <w:style w:type="paragraph" w:styleId="13">
    <w:name w:val="Date"/>
    <w:basedOn w:val="1"/>
    <w:next w:val="1"/>
    <w:link w:val="67"/>
    <w:qFormat/>
    <w:uiPriority w:val="0"/>
    <w:rPr>
      <w:sz w:val="24"/>
      <w:szCs w:val="24"/>
    </w:rPr>
  </w:style>
  <w:style w:type="paragraph" w:styleId="14">
    <w:name w:val="Body Text Indent 2"/>
    <w:basedOn w:val="1"/>
    <w:qFormat/>
    <w:uiPriority w:val="0"/>
    <w:pPr>
      <w:spacing w:after="120" w:line="480" w:lineRule="auto"/>
      <w:ind w:left="200" w:leftChars="200"/>
    </w:pPr>
  </w:style>
  <w:style w:type="paragraph" w:styleId="15">
    <w:name w:val="Balloon Text"/>
    <w:basedOn w:val="1"/>
    <w:qFormat/>
    <w:uiPriority w:val="0"/>
    <w:rPr>
      <w:sz w:val="18"/>
      <w:szCs w:val="18"/>
    </w:rPr>
  </w:style>
  <w:style w:type="paragraph" w:styleId="16">
    <w:name w:val="footer"/>
    <w:basedOn w:val="1"/>
    <w:link w:val="68"/>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303"/>
      </w:tabs>
      <w:spacing w:line="300" w:lineRule="exact"/>
    </w:pPr>
    <w:rPr>
      <w:rFonts w:ascii="仿宋_GB2312" w:eastAsia="仿宋_GB2312" w:cs="仿宋_GB2312"/>
      <w:b/>
      <w:bCs/>
    </w:rPr>
  </w:style>
  <w:style w:type="paragraph" w:styleId="19">
    <w:name w:val="footnote text"/>
    <w:basedOn w:val="1"/>
    <w:qFormat/>
    <w:uiPriority w:val="0"/>
    <w:pPr>
      <w:spacing w:line="360" w:lineRule="auto"/>
    </w:pPr>
    <w:rPr>
      <w:sz w:val="18"/>
    </w:rPr>
  </w:style>
  <w:style w:type="paragraph" w:styleId="20">
    <w:name w:val="index 7"/>
    <w:basedOn w:val="1"/>
    <w:next w:val="1"/>
    <w:qFormat/>
    <w:uiPriority w:val="0"/>
    <w:pPr>
      <w:ind w:left="2520"/>
    </w:pPr>
    <w:rPr>
      <w:szCs w:val="20"/>
    </w:rPr>
  </w:style>
  <w:style w:type="paragraph" w:styleId="21">
    <w:name w:val="toc 2"/>
    <w:basedOn w:val="1"/>
    <w:next w:val="1"/>
    <w:qFormat/>
    <w:uiPriority w:val="39"/>
    <w:pPr>
      <w:tabs>
        <w:tab w:val="right" w:leader="dot" w:pos="8303"/>
      </w:tabs>
      <w:spacing w:line="360" w:lineRule="auto"/>
      <w:ind w:left="278"/>
      <w:jc w:val="left"/>
    </w:pPr>
    <w:rPr>
      <w:rFonts w:ascii="仿宋_GB2312" w:eastAsia="仿宋_GB2312" w:cs="仿宋_GB2312"/>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23">
    <w:name w:val="Normal (Web)"/>
    <w:basedOn w:val="1"/>
    <w:qFormat/>
    <w:uiPriority w:val="0"/>
    <w:pPr>
      <w:widowControl/>
      <w:spacing w:before="100" w:beforeAutospacing="1" w:after="100" w:afterAutospacing="1"/>
      <w:jc w:val="left"/>
    </w:pPr>
    <w:rPr>
      <w:rFonts w:ascii="宋体" w:cs="宋体"/>
      <w:color w:val="000000"/>
      <w:kern w:val="0"/>
      <w:sz w:val="24"/>
      <w:szCs w:val="24"/>
    </w:rPr>
  </w:style>
  <w:style w:type="paragraph" w:styleId="2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5">
    <w:name w:val="annotation subject"/>
    <w:basedOn w:val="9"/>
    <w:next w:val="9"/>
    <w:qFormat/>
    <w:uiPriority w:val="0"/>
    <w:rPr>
      <w:b/>
      <w:bCs/>
    </w:rPr>
  </w:style>
  <w:style w:type="paragraph" w:styleId="26">
    <w:name w:val="Body Text First Indent"/>
    <w:basedOn w:val="2"/>
    <w:next w:val="1"/>
    <w:qFormat/>
    <w:uiPriority w:val="0"/>
    <w:pPr>
      <w:ind w:firstLine="420"/>
    </w:pPr>
  </w:style>
  <w:style w:type="paragraph" w:styleId="27">
    <w:name w:val="Body Text First Indent 2"/>
    <w:basedOn w:val="10"/>
    <w:qFormat/>
    <w:uiPriority w:val="0"/>
    <w:pPr>
      <w:spacing w:after="120" w:line="240" w:lineRule="auto"/>
      <w:ind w:left="420" w:leftChars="200" w:firstLine="420" w:firstLineChars="200"/>
    </w:pPr>
  </w:style>
  <w:style w:type="character" w:styleId="30">
    <w:name w:val="Strong"/>
    <w:qFormat/>
    <w:uiPriority w:val="0"/>
    <w:rPr>
      <w:b/>
    </w:rPr>
  </w:style>
  <w:style w:type="character" w:styleId="31">
    <w:name w:val="page number"/>
    <w:basedOn w:val="29"/>
    <w:qFormat/>
    <w:uiPriority w:val="0"/>
    <w:rPr>
      <w:rFonts w:cs="Times New Roman"/>
    </w:rPr>
  </w:style>
  <w:style w:type="character" w:styleId="32">
    <w:name w:val="FollowedHyperlink"/>
    <w:basedOn w:val="29"/>
    <w:qFormat/>
    <w:uiPriority w:val="0"/>
    <w:rPr>
      <w:color w:val="800080"/>
      <w:u w:val="single"/>
    </w:rPr>
  </w:style>
  <w:style w:type="character" w:styleId="33">
    <w:name w:val="Emphasis"/>
    <w:basedOn w:val="29"/>
    <w:qFormat/>
    <w:uiPriority w:val="0"/>
    <w:rPr>
      <w:i/>
    </w:rPr>
  </w:style>
  <w:style w:type="character" w:styleId="34">
    <w:name w:val="Hyperlink"/>
    <w:qFormat/>
    <w:uiPriority w:val="99"/>
    <w:rPr>
      <w:rFonts w:cs="Times New Roman"/>
      <w:color w:val="0000FF"/>
      <w:u w:val="single"/>
    </w:rPr>
  </w:style>
  <w:style w:type="character" w:styleId="35">
    <w:name w:val="annotation reference"/>
    <w:qFormat/>
    <w:uiPriority w:val="0"/>
    <w:rPr>
      <w:sz w:val="21"/>
      <w:szCs w:val="21"/>
    </w:rPr>
  </w:style>
  <w:style w:type="paragraph" w:customStyle="1" w:styleId="36">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37">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38">
    <w:name w:val="Heading4"/>
    <w:next w:val="1"/>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39">
    <w:name w:val="标题 2 字符"/>
    <w:basedOn w:val="29"/>
    <w:link w:val="4"/>
    <w:qFormat/>
    <w:uiPriority w:val="0"/>
    <w:rPr>
      <w:rFonts w:ascii="Arial" w:hAnsi="Arial" w:eastAsia="黑体" w:cs="Arial"/>
      <w:b/>
      <w:bCs/>
      <w:kern w:val="2"/>
      <w:sz w:val="32"/>
      <w:szCs w:val="32"/>
      <w:lang w:val="en-US" w:eastAsia="zh-CN" w:bidi="ar-SA"/>
    </w:rPr>
  </w:style>
  <w:style w:type="paragraph" w:customStyle="1" w:styleId="40">
    <w:name w:val="标题 5（有编号）（绿盟科技）"/>
    <w:basedOn w:val="1"/>
    <w:next w:val="4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Default"/>
    <w:next w:val="4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明显引用1"/>
    <w:basedOn w:val="1"/>
    <w:next w:val="1"/>
    <w:qFormat/>
    <w:uiPriority w:val="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character" w:customStyle="1" w:styleId="44">
    <w:name w:val="font21"/>
    <w:qFormat/>
    <w:uiPriority w:val="0"/>
    <w:rPr>
      <w:rFonts w:ascii="宋体" w:eastAsia="宋体" w:cs="宋体"/>
      <w:color w:val="000000"/>
      <w:sz w:val="20"/>
      <w:szCs w:val="20"/>
      <w:u w:val="none"/>
    </w:rPr>
  </w:style>
  <w:style w:type="paragraph" w:customStyle="1" w:styleId="45">
    <w:name w:val="样式 (中文) 仿宋_GB2312 小四 行距: 固定值 22 磅"/>
    <w:basedOn w:val="1"/>
    <w:qFormat/>
    <w:uiPriority w:val="0"/>
    <w:pPr>
      <w:spacing w:line="400" w:lineRule="exact"/>
      <w:ind w:firstLine="150" w:firstLineChars="150"/>
    </w:pPr>
    <w:rPr>
      <w:rFonts w:eastAsia="仿宋_GB2312"/>
      <w:sz w:val="24"/>
      <w:szCs w:val="20"/>
    </w:rPr>
  </w:style>
  <w:style w:type="character" w:customStyle="1" w:styleId="46">
    <w:name w:val="apple-converted-space"/>
    <w:qFormat/>
    <w:uiPriority w:val="0"/>
    <w:rPr>
      <w:rFonts w:cs="Times New Roman"/>
    </w:rPr>
  </w:style>
  <w:style w:type="character" w:customStyle="1" w:styleId="47">
    <w:name w:val="emphasizedtitle1"/>
    <w:qFormat/>
    <w:uiPriority w:val="0"/>
    <w:rPr>
      <w:rFonts w:ascii="Arial" w:hAnsi="Arial"/>
      <w:b/>
      <w:sz w:val="27"/>
    </w:rPr>
  </w:style>
  <w:style w:type="character" w:customStyle="1" w:styleId="48">
    <w:name w:val="maincontenttable"/>
    <w:qFormat/>
    <w:uiPriority w:val="0"/>
    <w:rPr>
      <w:rFonts w:cs="Times New Roman"/>
    </w:rPr>
  </w:style>
  <w:style w:type="character" w:customStyle="1" w:styleId="49">
    <w:name w:val="active"/>
    <w:qFormat/>
    <w:uiPriority w:val="0"/>
    <w:rPr>
      <w:shd w:val="clear" w:color="auto" w:fill="EC3535"/>
    </w:rPr>
  </w:style>
  <w:style w:type="paragraph" w:customStyle="1" w:styleId="50">
    <w:name w:val="Char1 Char Char Char"/>
    <w:basedOn w:val="1"/>
    <w:qFormat/>
    <w:uiPriority w:val="0"/>
    <w:rPr>
      <w:rFonts w:ascii="Tahoma" w:hAnsi="Tahoma" w:cs="Tahoma"/>
      <w:sz w:val="30"/>
      <w:szCs w:val="30"/>
    </w:rPr>
  </w:style>
  <w:style w:type="paragraph" w:customStyle="1" w:styleId="51">
    <w:name w:val="op_exactqa_s_prop"/>
    <w:basedOn w:val="1"/>
    <w:qFormat/>
    <w:uiPriority w:val="0"/>
    <w:pPr>
      <w:widowControl/>
      <w:jc w:val="left"/>
    </w:pPr>
    <w:rPr>
      <w:rFonts w:ascii="宋体" w:cs="宋体"/>
      <w:kern w:val="0"/>
      <w:sz w:val="24"/>
      <w:szCs w:val="24"/>
    </w:rPr>
  </w:style>
  <w:style w:type="paragraph" w:customStyle="1" w:styleId="52">
    <w:name w:val="_Style 7"/>
    <w:basedOn w:val="1"/>
    <w:qFormat/>
    <w:uiPriority w:val="0"/>
    <w:pPr>
      <w:ind w:firstLine="200" w:firstLineChars="200"/>
    </w:pPr>
    <w:rPr>
      <w:rFonts w:ascii="等线" w:eastAsia="等线"/>
      <w:sz w:val="21"/>
      <w:szCs w:val="22"/>
    </w:rPr>
  </w:style>
  <w:style w:type="paragraph" w:customStyle="1" w:styleId="53">
    <w:name w:val="Char"/>
    <w:basedOn w:val="1"/>
    <w:qFormat/>
    <w:uiPriority w:val="0"/>
    <w:pPr>
      <w:widowControl/>
      <w:spacing w:after="160" w:line="240" w:lineRule="exact"/>
      <w:jc w:val="left"/>
    </w:pPr>
    <w:rPr>
      <w:rFonts w:ascii="Verdana" w:hAnsi="Verdana" w:eastAsia="仿宋_GB2312" w:cs="Verdana"/>
      <w:kern w:val="0"/>
      <w:sz w:val="24"/>
      <w:szCs w:val="24"/>
    </w:rPr>
  </w:style>
  <w:style w:type="paragraph" w:customStyle="1" w:styleId="54">
    <w:name w:val="图例"/>
    <w:basedOn w:val="1"/>
    <w:qFormat/>
    <w:uiPriority w:val="0"/>
    <w:pPr>
      <w:spacing w:before="120" w:after="120" w:line="360" w:lineRule="auto"/>
      <w:jc w:val="center"/>
    </w:pPr>
    <w:rPr>
      <w:rFonts w:eastAsia="仿宋_GB2312"/>
      <w:b/>
      <w:sz w:val="24"/>
    </w:rPr>
  </w:style>
  <w:style w:type="paragraph" w:customStyle="1" w:styleId="55">
    <w:name w:val="列出段落2"/>
    <w:basedOn w:val="1"/>
    <w:qFormat/>
    <w:uiPriority w:val="0"/>
    <w:pPr>
      <w:ind w:firstLine="200" w:firstLineChars="200"/>
    </w:pPr>
  </w:style>
  <w:style w:type="paragraph" w:customStyle="1" w:styleId="56">
    <w:name w:val="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5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8">
    <w:name w:val="Char Char Char Char Char Char Char Char Char Char"/>
    <w:basedOn w:val="1"/>
    <w:qFormat/>
    <w:uiPriority w:val="0"/>
    <w:pPr>
      <w:tabs>
        <w:tab w:val="left" w:pos="360"/>
      </w:tabs>
      <w:ind w:left="200" w:hanging="200" w:hangingChars="200"/>
    </w:pPr>
    <w:rPr>
      <w:sz w:val="24"/>
      <w:szCs w:val="24"/>
    </w:rPr>
  </w:style>
  <w:style w:type="paragraph" w:customStyle="1" w:styleId="59">
    <w:name w:val="列出段落1"/>
    <w:basedOn w:val="1"/>
    <w:qFormat/>
    <w:uiPriority w:val="0"/>
    <w:pPr>
      <w:ind w:firstLine="200" w:firstLineChars="200"/>
    </w:pPr>
    <w:rPr>
      <w:rFonts w:ascii="Calibri" w:hAnsi="Calibri"/>
      <w:sz w:val="21"/>
      <w:szCs w:val="22"/>
    </w:rPr>
  </w:style>
  <w:style w:type="paragraph" w:customStyle="1" w:styleId="60">
    <w:name w:val="1"/>
    <w:basedOn w:val="1"/>
    <w:next w:val="12"/>
    <w:qFormat/>
    <w:uiPriority w:val="0"/>
    <w:rPr>
      <w:rFonts w:ascii="宋体" w:cs="宋体"/>
      <w:sz w:val="21"/>
      <w:szCs w:val="21"/>
    </w:rPr>
  </w:style>
  <w:style w:type="paragraph" w:customStyle="1" w:styleId="6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6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列出段落3"/>
    <w:basedOn w:val="1"/>
    <w:qFormat/>
    <w:uiPriority w:val="0"/>
    <w:pPr>
      <w:ind w:firstLine="200" w:firstLineChars="200"/>
    </w:pPr>
  </w:style>
  <w:style w:type="paragraph" w:customStyle="1" w:styleId="6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65">
    <w:name w:val="NormalCharacter"/>
    <w:qFormat/>
    <w:uiPriority w:val="0"/>
  </w:style>
  <w:style w:type="paragraph" w:customStyle="1" w:styleId="66">
    <w:name w:val="列出段落4"/>
    <w:basedOn w:val="1"/>
    <w:qFormat/>
    <w:uiPriority w:val="99"/>
    <w:pPr>
      <w:ind w:firstLine="420" w:firstLineChars="200"/>
    </w:pPr>
  </w:style>
  <w:style w:type="character" w:customStyle="1" w:styleId="67">
    <w:name w:val="日期 字符"/>
    <w:link w:val="13"/>
    <w:qFormat/>
    <w:uiPriority w:val="0"/>
    <w:rPr>
      <w:kern w:val="2"/>
      <w:sz w:val="24"/>
      <w:szCs w:val="24"/>
    </w:rPr>
  </w:style>
  <w:style w:type="character" w:customStyle="1" w:styleId="68">
    <w:name w:val="页脚 字符"/>
    <w:link w:val="16"/>
    <w:qFormat/>
    <w:uiPriority w:val="0"/>
    <w:rPr>
      <w:kern w:val="2"/>
      <w:sz w:val="18"/>
      <w:szCs w:val="18"/>
    </w:rPr>
  </w:style>
  <w:style w:type="paragraph" w:customStyle="1" w:styleId="69">
    <w:name w:val="正文1"/>
    <w:next w:val="70"/>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70">
    <w:name w:val="正文文本1"/>
    <w:basedOn w:val="69"/>
    <w:next w:val="69"/>
    <w:qFormat/>
    <w:uiPriority w:val="0"/>
    <w:rPr>
      <w:rFonts w:ascii="仿宋_GB2312" w:hAnsi="仿宋_GB2312" w:eastAsia="仿宋_GB2312"/>
      <w:sz w:val="32"/>
    </w:rPr>
  </w:style>
  <w:style w:type="character" w:customStyle="1" w:styleId="71">
    <w:name w:val="标题 1 字符"/>
    <w:link w:val="3"/>
    <w:qFormat/>
    <w:uiPriority w:val="0"/>
    <w:rPr>
      <w:rFonts w:ascii="宋体" w:cs="宋体"/>
    </w:rPr>
  </w:style>
  <w:style w:type="paragraph" w:customStyle="1" w:styleId="7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36</Pages>
  <Words>14919</Words>
  <Characters>15836</Characters>
  <Lines>140</Lines>
  <Paragraphs>39</Paragraphs>
  <TotalTime>2</TotalTime>
  <ScaleCrop>false</ScaleCrop>
  <LinksUpToDate>false</LinksUpToDate>
  <CharactersWithSpaces>17276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2024-09-02T04:31:00Z</dcterms:created>
  <dc:creator>hp</dc:creator>
  <cp:lastModifiedBy>否极泰来</cp:lastModifiedBy>
  <cp:lastPrinted>2025-07-31T06:50:00Z</cp:lastPrinted>
  <dcterms:modified xsi:type="dcterms:W3CDTF">2025-08-12T07:26:44Z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97B94F703028418FBE121F24C7460EE1_13</vt:lpwstr>
  </property>
  <property fmtid="{D5CDD505-2E9C-101B-9397-08002B2CF9AE}" pid="4" name="KSOTemplateDocerSaveRecord">
    <vt:lpwstr>eyJoZGlkIjoiZTdhMjE4MzYzNDJiNDU0NjZmNjMxMWNlYWJjMzBmOGQiLCJ1c2VySWQiOiI1Mjg2MDYxNzYifQ==</vt:lpwstr>
  </property>
</Properties>
</file>