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4"/>
        <w:spacing w:line="443" w:lineRule="auto"/>
        <w:rPr>
          <w:color w:val="000000" w:themeColor="text1"/>
          <w:highlight w:val="none"/>
          <w14:textFill>
            <w14:solidFill>
              <w14:schemeClr w14:val="tx1"/>
            </w14:solidFill>
          </w14:textFill>
        </w:rPr>
      </w:pPr>
    </w:p>
    <w:p w14:paraId="1EA9E008">
      <w:pPr>
        <w:spacing w:before="165" w:line="219" w:lineRule="auto"/>
        <w:ind w:right="44"/>
        <w:jc w:val="center"/>
        <w:rPr>
          <w:rFonts w:hint="default" w:ascii="宋体" w:hAnsi="宋体" w:eastAsia="宋体" w:cs="宋体"/>
          <w:color w:val="000000" w:themeColor="text1"/>
          <w:sz w:val="27"/>
          <w:szCs w:val="27"/>
          <w:highlight w:val="none"/>
          <w:lang w:val="en-US" w:eastAsia="zh-CN"/>
          <w14:textFill>
            <w14:solidFill>
              <w14:schemeClr w14:val="tx1"/>
            </w14:solidFill>
          </w14:textFill>
        </w:rPr>
      </w:pPr>
      <w:r>
        <w:rPr>
          <w:rFonts w:ascii="宋体" w:hAnsi="宋体" w:eastAsia="宋体" w:cs="宋体"/>
          <w:color w:val="000000" w:themeColor="text1"/>
          <w:spacing w:val="15"/>
          <w:sz w:val="27"/>
          <w:szCs w:val="27"/>
          <w:highlight w:val="none"/>
          <w14:textFill>
            <w14:solidFill>
              <w14:schemeClr w14:val="tx1"/>
            </w14:solidFill>
          </w14:textFill>
        </w:rPr>
        <w:t>项目名称：</w:t>
      </w:r>
      <w:r>
        <w:rPr>
          <w:rFonts w:hint="eastAsia" w:ascii="宋体" w:hAnsi="宋体" w:eastAsia="宋体" w:cs="宋体"/>
          <w:color w:val="000000" w:themeColor="text1"/>
          <w:spacing w:val="15"/>
          <w:sz w:val="27"/>
          <w:szCs w:val="27"/>
          <w:highlight w:val="none"/>
          <w:lang w:eastAsia="zh-CN"/>
          <w14:textFill>
            <w14:solidFill>
              <w14:schemeClr w14:val="tx1"/>
            </w14:solidFill>
          </w14:textFill>
        </w:rPr>
        <w:t>重庆市天府中学消防系统维修整改项目</w:t>
      </w:r>
    </w:p>
    <w:p w14:paraId="7BE0C35D">
      <w:pPr>
        <w:pStyle w:val="4"/>
        <w:spacing w:line="257" w:lineRule="auto"/>
        <w:rPr>
          <w:color w:val="000000" w:themeColor="text1"/>
          <w:highlight w:val="none"/>
          <w14:textFill>
            <w14:solidFill>
              <w14:schemeClr w14:val="tx1"/>
            </w14:solidFill>
          </w14:textFill>
        </w:rPr>
      </w:pPr>
    </w:p>
    <w:p w14:paraId="74AD1545">
      <w:pPr>
        <w:pStyle w:val="4"/>
        <w:spacing w:line="257" w:lineRule="auto"/>
        <w:rPr>
          <w:color w:val="000000" w:themeColor="text1"/>
          <w:highlight w:val="none"/>
          <w14:textFill>
            <w14:solidFill>
              <w14:schemeClr w14:val="tx1"/>
            </w14:solidFill>
          </w14:textFill>
        </w:rPr>
      </w:pPr>
    </w:p>
    <w:p w14:paraId="408C27C6">
      <w:pPr>
        <w:pStyle w:val="4"/>
        <w:spacing w:line="257" w:lineRule="auto"/>
        <w:rPr>
          <w:color w:val="000000" w:themeColor="text1"/>
          <w:highlight w:val="none"/>
          <w14:textFill>
            <w14:solidFill>
              <w14:schemeClr w14:val="tx1"/>
            </w14:solidFill>
          </w14:textFill>
        </w:rPr>
      </w:pPr>
    </w:p>
    <w:p w14:paraId="62829EDD">
      <w:pPr>
        <w:pStyle w:val="4"/>
        <w:spacing w:line="257" w:lineRule="auto"/>
        <w:rPr>
          <w:color w:val="000000" w:themeColor="text1"/>
          <w:highlight w:val="none"/>
          <w14:textFill>
            <w14:solidFill>
              <w14:schemeClr w14:val="tx1"/>
            </w14:solidFill>
          </w14:textFill>
        </w:rPr>
      </w:pPr>
    </w:p>
    <w:p w14:paraId="7788739F">
      <w:pPr>
        <w:pStyle w:val="4"/>
        <w:spacing w:line="257" w:lineRule="auto"/>
        <w:rPr>
          <w:color w:val="000000" w:themeColor="text1"/>
          <w:highlight w:val="none"/>
          <w14:textFill>
            <w14:solidFill>
              <w14:schemeClr w14:val="tx1"/>
            </w14:solidFill>
          </w14:textFill>
        </w:rPr>
      </w:pPr>
    </w:p>
    <w:p w14:paraId="3D995015">
      <w:pPr>
        <w:pStyle w:val="4"/>
        <w:spacing w:line="257" w:lineRule="auto"/>
        <w:rPr>
          <w:color w:val="000000" w:themeColor="text1"/>
          <w:highlight w:val="none"/>
          <w14:textFill>
            <w14:solidFill>
              <w14:schemeClr w14:val="tx1"/>
            </w14:solidFill>
          </w14:textFill>
        </w:rPr>
      </w:pPr>
    </w:p>
    <w:p w14:paraId="38AEDE68">
      <w:pPr>
        <w:pStyle w:val="4"/>
        <w:spacing w:line="257" w:lineRule="auto"/>
        <w:rPr>
          <w:color w:val="000000" w:themeColor="text1"/>
          <w:highlight w:val="none"/>
          <w14:textFill>
            <w14:solidFill>
              <w14:schemeClr w14:val="tx1"/>
            </w14:solidFill>
          </w14:textFill>
        </w:rPr>
      </w:pPr>
    </w:p>
    <w:p w14:paraId="41FD8E85">
      <w:pPr>
        <w:pStyle w:val="4"/>
        <w:spacing w:line="257" w:lineRule="auto"/>
        <w:rPr>
          <w:color w:val="000000" w:themeColor="text1"/>
          <w:highlight w:val="none"/>
          <w14:textFill>
            <w14:solidFill>
              <w14:schemeClr w14:val="tx1"/>
            </w14:solidFill>
          </w14:textFill>
        </w:rPr>
      </w:pPr>
    </w:p>
    <w:p w14:paraId="175FB01D">
      <w:pPr>
        <w:pStyle w:val="4"/>
        <w:spacing w:line="257" w:lineRule="auto"/>
        <w:rPr>
          <w:color w:val="000000" w:themeColor="text1"/>
          <w:highlight w:val="none"/>
          <w14:textFill>
            <w14:solidFill>
              <w14:schemeClr w14:val="tx1"/>
            </w14:solidFill>
          </w14:textFill>
        </w:rPr>
      </w:pPr>
    </w:p>
    <w:p w14:paraId="61080894">
      <w:pPr>
        <w:pStyle w:val="4"/>
        <w:spacing w:line="257" w:lineRule="auto"/>
        <w:rPr>
          <w:color w:val="000000" w:themeColor="text1"/>
          <w:highlight w:val="none"/>
          <w14:textFill>
            <w14:solidFill>
              <w14:schemeClr w14:val="tx1"/>
            </w14:solidFill>
          </w14:textFill>
        </w:rPr>
      </w:pPr>
    </w:p>
    <w:p w14:paraId="4BDD013C">
      <w:pPr>
        <w:pStyle w:val="4"/>
        <w:spacing w:line="257" w:lineRule="auto"/>
        <w:rPr>
          <w:color w:val="000000" w:themeColor="text1"/>
          <w:highlight w:val="none"/>
          <w14:textFill>
            <w14:solidFill>
              <w14:schemeClr w14:val="tx1"/>
            </w14:solidFill>
          </w14:textFill>
        </w:rPr>
      </w:pPr>
    </w:p>
    <w:p w14:paraId="04407E61">
      <w:pPr>
        <w:pStyle w:val="4"/>
        <w:spacing w:line="257" w:lineRule="auto"/>
        <w:rPr>
          <w:color w:val="000000" w:themeColor="text1"/>
          <w:highlight w:val="none"/>
          <w14:textFill>
            <w14:solidFill>
              <w14:schemeClr w14:val="tx1"/>
            </w14:solidFill>
          </w14:textFill>
        </w:rPr>
      </w:pPr>
    </w:p>
    <w:p w14:paraId="27078E6A">
      <w:pPr>
        <w:pStyle w:val="4"/>
        <w:spacing w:line="257" w:lineRule="auto"/>
        <w:rPr>
          <w:color w:val="000000" w:themeColor="text1"/>
          <w:highlight w:val="none"/>
          <w14:textFill>
            <w14:solidFill>
              <w14:schemeClr w14:val="tx1"/>
            </w14:solidFill>
          </w14:textFill>
        </w:rPr>
      </w:pPr>
    </w:p>
    <w:p w14:paraId="5043BD69">
      <w:pPr>
        <w:spacing w:before="266" w:line="219" w:lineRule="auto"/>
        <w:ind w:left="1595"/>
        <w:rPr>
          <w:rFonts w:ascii="宋体" w:hAnsi="宋体" w:eastAsia="宋体" w:cs="宋体"/>
          <w:color w:val="000000" w:themeColor="text1"/>
          <w:sz w:val="82"/>
          <w:szCs w:val="82"/>
          <w:highlight w:val="none"/>
          <w14:textFill>
            <w14:solidFill>
              <w14:schemeClr w14:val="tx1"/>
            </w14:solidFill>
          </w14:textFill>
        </w:rPr>
      </w:pPr>
      <w:r>
        <w:rPr>
          <w:rFonts w:ascii="宋体" w:hAnsi="宋体" w:eastAsia="宋体" w:cs="宋体"/>
          <w:b/>
          <w:bCs/>
          <w:color w:val="000000" w:themeColor="text1"/>
          <w:spacing w:val="1"/>
          <w:sz w:val="82"/>
          <w:szCs w:val="82"/>
          <w:highlight w:val="none"/>
          <w14:textFill>
            <w14:solidFill>
              <w14:schemeClr w14:val="tx1"/>
            </w14:solidFill>
          </w14:textFill>
        </w:rPr>
        <w:t>竞争性比选文件</w:t>
      </w:r>
    </w:p>
    <w:p w14:paraId="4DF3B5D4">
      <w:pPr>
        <w:pStyle w:val="4"/>
        <w:spacing w:line="242" w:lineRule="auto"/>
        <w:rPr>
          <w:color w:val="000000" w:themeColor="text1"/>
          <w:highlight w:val="none"/>
          <w14:textFill>
            <w14:solidFill>
              <w14:schemeClr w14:val="tx1"/>
            </w14:solidFill>
          </w14:textFill>
        </w:rPr>
      </w:pPr>
    </w:p>
    <w:p w14:paraId="3C8EA6CB">
      <w:pPr>
        <w:pStyle w:val="4"/>
        <w:spacing w:line="242" w:lineRule="auto"/>
        <w:rPr>
          <w:color w:val="000000" w:themeColor="text1"/>
          <w:highlight w:val="none"/>
          <w14:textFill>
            <w14:solidFill>
              <w14:schemeClr w14:val="tx1"/>
            </w14:solidFill>
          </w14:textFill>
        </w:rPr>
      </w:pPr>
    </w:p>
    <w:p w14:paraId="2B148E60">
      <w:pPr>
        <w:pStyle w:val="4"/>
        <w:spacing w:line="242" w:lineRule="auto"/>
        <w:rPr>
          <w:color w:val="000000" w:themeColor="text1"/>
          <w:highlight w:val="none"/>
          <w14:textFill>
            <w14:solidFill>
              <w14:schemeClr w14:val="tx1"/>
            </w14:solidFill>
          </w14:textFill>
        </w:rPr>
      </w:pPr>
    </w:p>
    <w:p w14:paraId="4D9C0411">
      <w:pPr>
        <w:pStyle w:val="4"/>
        <w:spacing w:line="242" w:lineRule="auto"/>
        <w:rPr>
          <w:color w:val="000000" w:themeColor="text1"/>
          <w:highlight w:val="none"/>
          <w14:textFill>
            <w14:solidFill>
              <w14:schemeClr w14:val="tx1"/>
            </w14:solidFill>
          </w14:textFill>
        </w:rPr>
      </w:pPr>
    </w:p>
    <w:p w14:paraId="36B1412A">
      <w:pPr>
        <w:pStyle w:val="4"/>
        <w:spacing w:line="242" w:lineRule="auto"/>
        <w:rPr>
          <w:color w:val="000000" w:themeColor="text1"/>
          <w:highlight w:val="none"/>
          <w14:textFill>
            <w14:solidFill>
              <w14:schemeClr w14:val="tx1"/>
            </w14:solidFill>
          </w14:textFill>
        </w:rPr>
      </w:pPr>
    </w:p>
    <w:p w14:paraId="511AB6AC">
      <w:pPr>
        <w:pStyle w:val="4"/>
        <w:spacing w:line="242" w:lineRule="auto"/>
        <w:rPr>
          <w:color w:val="000000" w:themeColor="text1"/>
          <w:highlight w:val="none"/>
          <w14:textFill>
            <w14:solidFill>
              <w14:schemeClr w14:val="tx1"/>
            </w14:solidFill>
          </w14:textFill>
        </w:rPr>
      </w:pPr>
    </w:p>
    <w:p w14:paraId="6F097D41">
      <w:pPr>
        <w:pStyle w:val="4"/>
        <w:spacing w:line="242" w:lineRule="auto"/>
        <w:rPr>
          <w:color w:val="000000" w:themeColor="text1"/>
          <w:highlight w:val="none"/>
          <w14:textFill>
            <w14:solidFill>
              <w14:schemeClr w14:val="tx1"/>
            </w14:solidFill>
          </w14:textFill>
        </w:rPr>
      </w:pPr>
    </w:p>
    <w:p w14:paraId="534118A6">
      <w:pPr>
        <w:pStyle w:val="4"/>
        <w:spacing w:line="242" w:lineRule="auto"/>
        <w:rPr>
          <w:color w:val="000000" w:themeColor="text1"/>
          <w:highlight w:val="none"/>
          <w14:textFill>
            <w14:solidFill>
              <w14:schemeClr w14:val="tx1"/>
            </w14:solidFill>
          </w14:textFill>
        </w:rPr>
      </w:pPr>
    </w:p>
    <w:p w14:paraId="556430ED">
      <w:pPr>
        <w:pStyle w:val="4"/>
        <w:spacing w:line="242" w:lineRule="auto"/>
        <w:rPr>
          <w:color w:val="000000" w:themeColor="text1"/>
          <w:highlight w:val="none"/>
          <w14:textFill>
            <w14:solidFill>
              <w14:schemeClr w14:val="tx1"/>
            </w14:solidFill>
          </w14:textFill>
        </w:rPr>
      </w:pPr>
    </w:p>
    <w:p w14:paraId="7EFB0DD0">
      <w:pPr>
        <w:pStyle w:val="4"/>
        <w:spacing w:line="242" w:lineRule="auto"/>
        <w:rPr>
          <w:color w:val="000000" w:themeColor="text1"/>
          <w:highlight w:val="none"/>
          <w14:textFill>
            <w14:solidFill>
              <w14:schemeClr w14:val="tx1"/>
            </w14:solidFill>
          </w14:textFill>
        </w:rPr>
      </w:pPr>
    </w:p>
    <w:p w14:paraId="4FD3A764">
      <w:pPr>
        <w:pStyle w:val="4"/>
        <w:spacing w:line="242" w:lineRule="auto"/>
        <w:rPr>
          <w:color w:val="000000" w:themeColor="text1"/>
          <w:highlight w:val="none"/>
          <w14:textFill>
            <w14:solidFill>
              <w14:schemeClr w14:val="tx1"/>
            </w14:solidFill>
          </w14:textFill>
        </w:rPr>
      </w:pPr>
    </w:p>
    <w:p w14:paraId="37251F9D">
      <w:pPr>
        <w:pStyle w:val="4"/>
        <w:spacing w:line="242" w:lineRule="auto"/>
        <w:rPr>
          <w:color w:val="000000" w:themeColor="text1"/>
          <w:highlight w:val="none"/>
          <w14:textFill>
            <w14:solidFill>
              <w14:schemeClr w14:val="tx1"/>
            </w14:solidFill>
          </w14:textFill>
        </w:rPr>
      </w:pPr>
    </w:p>
    <w:p w14:paraId="456240A9">
      <w:pPr>
        <w:pStyle w:val="4"/>
        <w:spacing w:line="242" w:lineRule="auto"/>
        <w:rPr>
          <w:color w:val="000000" w:themeColor="text1"/>
          <w:highlight w:val="none"/>
          <w14:textFill>
            <w14:solidFill>
              <w14:schemeClr w14:val="tx1"/>
            </w14:solidFill>
          </w14:textFill>
        </w:rPr>
      </w:pPr>
    </w:p>
    <w:p w14:paraId="2C1288C4">
      <w:pPr>
        <w:pStyle w:val="4"/>
        <w:spacing w:line="242" w:lineRule="auto"/>
        <w:rPr>
          <w:color w:val="000000" w:themeColor="text1"/>
          <w:highlight w:val="none"/>
          <w14:textFill>
            <w14:solidFill>
              <w14:schemeClr w14:val="tx1"/>
            </w14:solidFill>
          </w14:textFill>
        </w:rPr>
      </w:pPr>
    </w:p>
    <w:p w14:paraId="7E14E415">
      <w:pPr>
        <w:pStyle w:val="4"/>
        <w:spacing w:line="242" w:lineRule="auto"/>
        <w:rPr>
          <w:color w:val="000000" w:themeColor="text1"/>
          <w:highlight w:val="none"/>
          <w14:textFill>
            <w14:solidFill>
              <w14:schemeClr w14:val="tx1"/>
            </w14:solidFill>
          </w14:textFill>
        </w:rPr>
      </w:pPr>
    </w:p>
    <w:p w14:paraId="00584B23">
      <w:pPr>
        <w:pStyle w:val="4"/>
        <w:spacing w:line="243" w:lineRule="auto"/>
        <w:rPr>
          <w:color w:val="000000" w:themeColor="text1"/>
          <w:highlight w:val="none"/>
          <w14:textFill>
            <w14:solidFill>
              <w14:schemeClr w14:val="tx1"/>
            </w14:solidFill>
          </w14:textFill>
        </w:rPr>
      </w:pPr>
    </w:p>
    <w:p w14:paraId="3B7D685E">
      <w:pPr>
        <w:pStyle w:val="4"/>
        <w:spacing w:line="243" w:lineRule="auto"/>
        <w:rPr>
          <w:color w:val="000000" w:themeColor="text1"/>
          <w:highlight w:val="none"/>
          <w14:textFill>
            <w14:solidFill>
              <w14:schemeClr w14:val="tx1"/>
            </w14:solidFill>
          </w14:textFill>
        </w:rPr>
      </w:pPr>
    </w:p>
    <w:p w14:paraId="45314D49">
      <w:pPr>
        <w:pStyle w:val="4"/>
        <w:spacing w:line="243" w:lineRule="auto"/>
        <w:rPr>
          <w:color w:val="000000" w:themeColor="text1"/>
          <w:highlight w:val="none"/>
          <w14:textFill>
            <w14:solidFill>
              <w14:schemeClr w14:val="tx1"/>
            </w14:solidFill>
          </w14:textFill>
        </w:rPr>
      </w:pPr>
    </w:p>
    <w:p w14:paraId="746980F5">
      <w:pPr>
        <w:spacing w:before="88" w:line="219" w:lineRule="auto"/>
        <w:ind w:left="85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采购人：重庆勉仁科技有限责任公司</w:t>
      </w:r>
    </w:p>
    <w:p w14:paraId="0C7E70B7">
      <w:pPr>
        <w:spacing w:before="210" w:line="219" w:lineRule="auto"/>
        <w:ind w:left="843"/>
        <w:rPr>
          <w:rFonts w:hint="eastAsia" w:ascii="宋体" w:hAnsi="宋体" w:eastAsia="宋体" w:cs="宋体"/>
          <w:color w:val="000000" w:themeColor="text1"/>
          <w:sz w:val="27"/>
          <w:szCs w:val="27"/>
          <w:highlight w:val="none"/>
          <w:lang w:eastAsia="zh-CN"/>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采购代理机构：</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重庆</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修为</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工程</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咨询</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有限公司</w:t>
      </w:r>
    </w:p>
    <w:p w14:paraId="4DEED0D4">
      <w:pPr>
        <w:spacing w:before="191" w:line="219" w:lineRule="auto"/>
        <w:ind w:left="277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6"/>
          <w:sz w:val="27"/>
          <w:szCs w:val="27"/>
          <w:highlight w:val="none"/>
          <w14:textFill>
            <w14:solidFill>
              <w14:schemeClr w14:val="tx1"/>
            </w14:solidFill>
          </w14:textFill>
        </w:rPr>
        <w:t>二○二五年</w:t>
      </w:r>
      <w:r>
        <w:rPr>
          <w:rFonts w:hint="eastAsia" w:ascii="宋体" w:hAnsi="宋体" w:eastAsia="宋体" w:cs="宋体"/>
          <w:color w:val="000000" w:themeColor="text1"/>
          <w:spacing w:val="6"/>
          <w:sz w:val="27"/>
          <w:szCs w:val="27"/>
          <w:highlight w:val="none"/>
          <w:lang w:val="en-US" w:eastAsia="zh-CN"/>
          <w14:textFill>
            <w14:solidFill>
              <w14:schemeClr w14:val="tx1"/>
            </w14:solidFill>
          </w14:textFill>
        </w:rPr>
        <w:t>八</w:t>
      </w:r>
      <w:r>
        <w:rPr>
          <w:rFonts w:ascii="宋体" w:hAnsi="宋体" w:eastAsia="宋体" w:cs="宋体"/>
          <w:color w:val="000000" w:themeColor="text1"/>
          <w:spacing w:val="6"/>
          <w:sz w:val="27"/>
          <w:szCs w:val="27"/>
          <w:highlight w:val="none"/>
          <w14:textFill>
            <w14:solidFill>
              <w14:schemeClr w14:val="tx1"/>
            </w14:solidFill>
          </w14:textFill>
        </w:rPr>
        <w:t>月</w:t>
      </w:r>
    </w:p>
    <w:p w14:paraId="335A83A8">
      <w:pPr>
        <w:spacing w:line="219" w:lineRule="auto"/>
        <w:rPr>
          <w:rFonts w:ascii="宋体" w:hAnsi="宋体" w:eastAsia="宋体" w:cs="宋体"/>
          <w:color w:val="000000" w:themeColor="text1"/>
          <w:sz w:val="27"/>
          <w:szCs w:val="27"/>
          <w:highlight w:val="none"/>
          <w14:textFill>
            <w14:solidFill>
              <w14:schemeClr w14:val="tx1"/>
            </w14:solidFill>
          </w14:textFill>
        </w:rPr>
        <w:sectPr>
          <w:pgSz w:w="11910" w:h="16840"/>
          <w:pgMar w:top="1431" w:right="1786" w:bottom="0" w:left="1786" w:header="0" w:footer="0" w:gutter="0"/>
          <w:cols w:space="720" w:num="1"/>
        </w:sectPr>
      </w:pPr>
    </w:p>
    <w:p w14:paraId="76BDEF7C">
      <w:pPr>
        <w:pStyle w:val="4"/>
        <w:spacing w:line="348" w:lineRule="auto"/>
        <w:rPr>
          <w:color w:val="000000" w:themeColor="text1"/>
          <w:highlight w:val="none"/>
          <w14:textFill>
            <w14:solidFill>
              <w14:schemeClr w14:val="tx1"/>
            </w14:solidFill>
          </w14:textFill>
        </w:r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64947"/>
        <w15:color w:val="DBDBDB"/>
        <w:docPartObj>
          <w:docPartGallery w:val="Table of Contents"/>
          <w:docPartUnique/>
        </w:docPartObj>
      </w:sdtPr>
      <w:sdtEndPr>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dtEndPr>
      <w:sdtContent>
        <w:p w14:paraId="5E63EE7D">
          <w:pPr>
            <w:spacing w:before="0" w:beforeLines="0" w:after="0" w:afterLines="0" w:line="240" w:lineRule="auto"/>
            <w:ind w:left="0" w:leftChars="0" w:right="0" w:rightChars="0" w:firstLine="0" w:firstLineChars="0"/>
            <w:jc w:val="center"/>
            <w:rPr>
              <w:b/>
              <w:bCs/>
              <w:color w:val="000000" w:themeColor="text1"/>
              <w:sz w:val="36"/>
              <w:szCs w:val="36"/>
              <w:highlight w:val="none"/>
              <w14:textFill>
                <w14:solidFill>
                  <w14:schemeClr w14:val="tx1"/>
                </w14:solidFill>
              </w14:textFill>
            </w:rPr>
          </w:pPr>
          <w:r>
            <w:rPr>
              <w:rFonts w:ascii="宋体" w:hAnsi="宋体" w:eastAsia="宋体"/>
              <w:b/>
              <w:bCs/>
              <w:color w:val="000000" w:themeColor="text1"/>
              <w:sz w:val="36"/>
              <w:szCs w:val="36"/>
              <w:highlight w:val="none"/>
              <w14:textFill>
                <w14:solidFill>
                  <w14:schemeClr w14:val="tx1"/>
                </w14:solidFill>
              </w14:textFill>
            </w:rPr>
            <w:t>目录</w:t>
          </w:r>
        </w:p>
        <w:p w14:paraId="07721A25">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 w:val="24"/>
              <w:szCs w:val="24"/>
              <w:highlight w:val="none"/>
              <w14:textFill>
                <w14:solidFill>
                  <w14:schemeClr w14:val="tx1"/>
                </w14:solidFill>
              </w14:textFill>
            </w:rPr>
            <w:instrText xml:space="preserve">TOC \o "1-3" \h \u </w:instrText>
          </w: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_Toc31508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2"/>
              <w:szCs w:val="31"/>
              <w:highlight w:val="none"/>
              <w14:textFill>
                <w14:solidFill>
                  <w14:schemeClr w14:val="tx1"/>
                </w14:solidFill>
              </w14:textFill>
            </w:rPr>
            <w:t>第一篇</w:t>
          </w:r>
          <w:r>
            <w:rPr>
              <w:rFonts w:ascii="宋体" w:hAnsi="宋体" w:eastAsia="宋体" w:cs="宋体"/>
              <w:color w:val="000000" w:themeColor="text1"/>
              <w:spacing w:val="2"/>
              <w:szCs w:val="31"/>
              <w:highlight w:val="none"/>
              <w14:textFill>
                <w14:solidFill>
                  <w14:schemeClr w14:val="tx1"/>
                </w14:solidFill>
              </w14:textFill>
            </w:rPr>
            <w:t xml:space="preserve">  </w:t>
          </w:r>
          <w:r>
            <w:rPr>
              <w:rFonts w:ascii="宋体" w:hAnsi="宋体" w:eastAsia="宋体" w:cs="宋体"/>
              <w:bCs/>
              <w:color w:val="000000" w:themeColor="text1"/>
              <w:spacing w:val="2"/>
              <w:szCs w:val="31"/>
              <w:highlight w:val="none"/>
              <w14:textFill>
                <w14:solidFill>
                  <w14:schemeClr w14:val="tx1"/>
                </w14:solidFill>
              </w14:textFill>
            </w:rPr>
            <w:t>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BB4485A">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_Toc27862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3"/>
              <w:highlight w:val="none"/>
              <w14:textFill>
                <w14:solidFill>
                  <w14:schemeClr w14:val="tx1"/>
                </w14:solidFill>
              </w14:textFill>
            </w:rPr>
            <w:t>第二篇</w:t>
          </w:r>
          <w:r>
            <w:rPr>
              <w:rFonts w:ascii="宋体" w:hAnsi="宋体" w:eastAsia="宋体" w:cs="宋体"/>
              <w:color w:val="000000" w:themeColor="text1"/>
              <w:spacing w:val="1"/>
              <w:szCs w:val="33"/>
              <w:highlight w:val="none"/>
              <w14:textFill>
                <w14:solidFill>
                  <w14:schemeClr w14:val="tx1"/>
                </w14:solidFill>
              </w14:textFill>
            </w:rPr>
            <w:t xml:space="preserve">  </w:t>
          </w:r>
          <w:r>
            <w:rPr>
              <w:rFonts w:ascii="宋体" w:hAnsi="宋体" w:eastAsia="宋体" w:cs="宋体"/>
              <w:bCs/>
              <w:color w:val="000000" w:themeColor="text1"/>
              <w:spacing w:val="9"/>
              <w:szCs w:val="33"/>
              <w:highlight w:val="none"/>
              <w14:textFill>
                <w14:solidFill>
                  <w14:schemeClr w14:val="tx1"/>
                </w14:solidFill>
              </w14:textFill>
            </w:rPr>
            <w:t>项目技术(质量)需求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CE7A9AD">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_Toc30930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第三篇</w:t>
          </w:r>
          <w:r>
            <w:rPr>
              <w:rFonts w:ascii="宋体" w:hAnsi="宋体" w:eastAsia="宋体" w:cs="宋体"/>
              <w:color w:val="000000" w:themeColor="text1"/>
              <w:spacing w:val="-5"/>
              <w:szCs w:val="32"/>
              <w:highlight w:val="none"/>
              <w14:textFill>
                <w14:solidFill>
                  <w14:schemeClr w14:val="tx1"/>
                </w14:solidFill>
              </w14:textFill>
            </w:rPr>
            <w:t xml:space="preserve">  </w:t>
          </w:r>
          <w:r>
            <w:rPr>
              <w:rFonts w:ascii="宋体" w:hAnsi="宋体" w:eastAsia="宋体" w:cs="宋体"/>
              <w:bCs/>
              <w:color w:val="000000" w:themeColor="text1"/>
              <w:spacing w:val="-5"/>
              <w:szCs w:val="32"/>
              <w:highlight w:val="none"/>
              <w14:textFill>
                <w14:solidFill>
                  <w14:schemeClr w14:val="tx1"/>
                </w14:solidFill>
              </w14:textFill>
            </w:rPr>
            <w:t>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1774018">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_Toc12614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第四篇  资格审查及评标办法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2D65EC6">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_Toc12831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47A0F9F1">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_Toc12965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2"/>
              <w:highlight w:val="none"/>
              <w14:textFill>
                <w14:solidFill>
                  <w14:schemeClr w14:val="tx1"/>
                </w14:solidFill>
              </w14:textFill>
            </w:rPr>
            <w:t>第六篇</w:t>
          </w:r>
          <w:r>
            <w:rPr>
              <w:rFonts w:ascii="宋体" w:hAnsi="宋体" w:eastAsia="宋体" w:cs="宋体"/>
              <w:color w:val="000000" w:themeColor="text1"/>
              <w:spacing w:val="87"/>
              <w:szCs w:val="32"/>
              <w:highlight w:val="none"/>
              <w14:textFill>
                <w14:solidFill>
                  <w14:schemeClr w14:val="tx1"/>
                </w14:solidFill>
              </w14:textFill>
            </w:rPr>
            <w:t xml:space="preserve"> </w:t>
          </w:r>
          <w:r>
            <w:rPr>
              <w:rFonts w:ascii="宋体" w:hAnsi="宋体" w:eastAsia="宋体" w:cs="宋体"/>
              <w:bCs/>
              <w:color w:val="000000" w:themeColor="text1"/>
              <w:spacing w:val="9"/>
              <w:szCs w:val="32"/>
              <w:highlight w:val="none"/>
              <w14:textFill>
                <w14:solidFill>
                  <w14:schemeClr w14:val="tx1"/>
                </w14:solidFill>
              </w14:textFill>
            </w:rPr>
            <w:t>合同主要条款和格式合同(样本)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F9C9762">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_Toc25293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2"/>
              <w:szCs w:val="31"/>
              <w:highlight w:val="none"/>
              <w:lang w:eastAsia="zh-CN"/>
              <w14:textFill>
                <w14:solidFill>
                  <w14:schemeClr w14:val="tx1"/>
                </w14:solidFill>
              </w14:textFill>
            </w:rPr>
            <w:t>第七篇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BFBF67A">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sdtContent>
    </w:sdt>
    <w:p w14:paraId="4F0FD49B">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ectPr>
          <w:pgSz w:w="11910" w:h="16840"/>
          <w:pgMar w:top="1431" w:right="1786" w:bottom="0" w:left="1786" w:header="0" w:footer="0" w:gutter="0"/>
          <w:cols w:space="720" w:num="1"/>
        </w:sectPr>
      </w:pPr>
    </w:p>
    <w:p w14:paraId="0385938E">
      <w:pPr>
        <w:spacing w:before="85" w:line="219" w:lineRule="auto"/>
        <w:ind w:left="2789"/>
        <w:outlineLvl w:val="0"/>
        <w:rPr>
          <w:rFonts w:ascii="宋体" w:hAnsi="宋体" w:eastAsia="宋体" w:cs="宋体"/>
          <w:color w:val="000000" w:themeColor="text1"/>
          <w:sz w:val="31"/>
          <w:szCs w:val="31"/>
          <w:highlight w:val="none"/>
          <w14:textFill>
            <w14:solidFill>
              <w14:schemeClr w14:val="tx1"/>
            </w14:solidFill>
          </w14:textFill>
        </w:rPr>
      </w:pPr>
      <w:bookmarkStart w:id="0" w:name="_Toc31508"/>
      <w:r>
        <w:rPr>
          <w:rFonts w:ascii="宋体" w:hAnsi="宋体" w:eastAsia="宋体" w:cs="宋体"/>
          <w:b/>
          <w:bCs/>
          <w:color w:val="000000" w:themeColor="text1"/>
          <w:spacing w:val="2"/>
          <w:sz w:val="31"/>
          <w:szCs w:val="31"/>
          <w:highlight w:val="none"/>
          <w14:textFill>
            <w14:solidFill>
              <w14:schemeClr w14:val="tx1"/>
            </w14:solidFill>
          </w14:textFill>
        </w:rPr>
        <w:t>第一篇</w:t>
      </w:r>
      <w:r>
        <w:rPr>
          <w:rFonts w:ascii="宋体" w:hAnsi="宋体" w:eastAsia="宋体" w:cs="宋体"/>
          <w:color w:val="000000" w:themeColor="text1"/>
          <w:spacing w:val="2"/>
          <w:sz w:val="31"/>
          <w:szCs w:val="31"/>
          <w:highlight w:val="none"/>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采购邀请书</w:t>
      </w:r>
      <w:bookmarkEnd w:id="0"/>
    </w:p>
    <w:p w14:paraId="59DA421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重庆</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修为工程咨询</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有限公司</w:t>
      </w:r>
      <w:r>
        <w:rPr>
          <w:rFonts w:ascii="宋体" w:hAnsi="宋体" w:eastAsia="宋体" w:cs="宋体"/>
          <w:color w:val="000000" w:themeColor="text1"/>
          <w:spacing w:val="10"/>
          <w:sz w:val="20"/>
          <w:szCs w:val="20"/>
          <w:highlight w:val="none"/>
          <w14:textFill>
            <w14:solidFill>
              <w14:schemeClr w14:val="tx1"/>
            </w14:solidFill>
          </w14:textFill>
        </w:rPr>
        <w:t>(以下简称：采购代理机构)受</w:t>
      </w:r>
      <w:r>
        <w:rPr>
          <w:rFonts w:ascii="宋体" w:hAnsi="宋体" w:eastAsia="宋体" w:cs="宋体"/>
          <w:color w:val="000000" w:themeColor="text1"/>
          <w:spacing w:val="10"/>
          <w:sz w:val="20"/>
          <w:szCs w:val="20"/>
          <w:highlight w:val="none"/>
          <w:u w:val="single"/>
          <w14:textFill>
            <w14:solidFill>
              <w14:schemeClr w14:val="tx1"/>
            </w14:solidFill>
          </w14:textFill>
        </w:rPr>
        <w:t>重庆勉仁科技有限责任公司</w:t>
      </w:r>
      <w:r>
        <w:rPr>
          <w:rFonts w:ascii="宋体" w:hAnsi="宋体" w:eastAsia="宋体" w:cs="宋体"/>
          <w:color w:val="000000" w:themeColor="text1"/>
          <w:spacing w:val="10"/>
          <w:sz w:val="20"/>
          <w:szCs w:val="20"/>
          <w:highlight w:val="none"/>
          <w14:textFill>
            <w14:solidFill>
              <w14:schemeClr w14:val="tx1"/>
            </w14:solidFill>
          </w14:textFill>
        </w:rPr>
        <w:t>的委托，对</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重庆市天府中学消防系统维修整改项目</w:t>
      </w:r>
      <w:r>
        <w:rPr>
          <w:rFonts w:ascii="宋体" w:hAnsi="宋体" w:eastAsia="宋体" w:cs="宋体"/>
          <w:color w:val="000000" w:themeColor="text1"/>
          <w:spacing w:val="10"/>
          <w:sz w:val="20"/>
          <w:szCs w:val="20"/>
          <w:highlight w:val="none"/>
          <w14:textFill>
            <w14:solidFill>
              <w14:schemeClr w14:val="tx1"/>
            </w14:solidFill>
          </w14:textFill>
        </w:rPr>
        <w:t>进行竞争性比选招标。欢迎有资格的供应商前来参与竞争性比选。</w:t>
      </w:r>
    </w:p>
    <w:p w14:paraId="7F653BBD">
      <w:pPr>
        <w:spacing w:line="219" w:lineRule="auto"/>
        <w:ind w:left="438"/>
        <w:rPr>
          <w:rFonts w:ascii="宋体" w:hAnsi="宋体" w:eastAsia="宋体" w:cs="宋体"/>
          <w:b/>
          <w:bCs/>
          <w:color w:val="000000" w:themeColor="text1"/>
          <w:spacing w:val="-5"/>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一、竞争性比选内容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1999"/>
        <w:gridCol w:w="1590"/>
        <w:gridCol w:w="1905"/>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4073D7A">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项目名称</w:t>
            </w:r>
          </w:p>
        </w:tc>
        <w:tc>
          <w:tcPr>
            <w:tcW w:w="2004" w:type="dxa"/>
            <w:vAlign w:val="center"/>
          </w:tcPr>
          <w:p w14:paraId="74283110">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最高限价(元)</w:t>
            </w:r>
          </w:p>
        </w:tc>
        <w:tc>
          <w:tcPr>
            <w:tcW w:w="1596" w:type="dxa"/>
            <w:vAlign w:val="center"/>
          </w:tcPr>
          <w:p w14:paraId="01D866FD">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7"/>
                <w:sz w:val="21"/>
                <w:szCs w:val="21"/>
                <w:highlight w:val="none"/>
                <w14:textFill>
                  <w14:solidFill>
                    <w14:schemeClr w14:val="tx1"/>
                  </w14:solidFill>
                </w14:textFill>
              </w:rPr>
              <w:t>保证金(元)</w:t>
            </w:r>
          </w:p>
        </w:tc>
        <w:tc>
          <w:tcPr>
            <w:tcW w:w="1912" w:type="dxa"/>
            <w:vAlign w:val="center"/>
          </w:tcPr>
          <w:p w14:paraId="285D3ADD">
            <w:pPr>
              <w:widowControl w:val="0"/>
              <w:spacing w:before="22" w:line="206" w:lineRule="auto"/>
              <w:ind w:left="68"/>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成交供应商数量</w:t>
            </w:r>
          </w:p>
          <w:p w14:paraId="269251AE">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5"/>
                <w:sz w:val="21"/>
                <w:szCs w:val="21"/>
                <w:highlight w:val="none"/>
                <w14:textFill>
                  <w14:solidFill>
                    <w14:schemeClr w14:val="tx1"/>
                  </w14:solidFill>
                </w14:textFill>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A7D6655">
            <w:pPr>
              <w:widowControl w:val="0"/>
              <w:numPr>
                <w:ilvl w:val="0"/>
                <w:numId w:val="0"/>
              </w:numPr>
              <w:spacing w:line="219" w:lineRule="auto"/>
              <w:jc w:val="center"/>
              <w:rPr>
                <w:rFonts w:hint="default"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重庆市天府中学消防系统维修整改项目</w:t>
            </w:r>
          </w:p>
        </w:tc>
        <w:tc>
          <w:tcPr>
            <w:tcW w:w="2004" w:type="dxa"/>
            <w:vAlign w:val="center"/>
          </w:tcPr>
          <w:p w14:paraId="23849F11">
            <w:pPr>
              <w:widowControl w:val="0"/>
              <w:numPr>
                <w:ilvl w:val="0"/>
                <w:numId w:val="0"/>
              </w:numPr>
              <w:spacing w:line="219" w:lineRule="auto"/>
              <w:jc w:val="center"/>
              <w:rPr>
                <w:rFonts w:hint="default"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187515.14</w:t>
            </w:r>
          </w:p>
        </w:tc>
        <w:tc>
          <w:tcPr>
            <w:tcW w:w="1596" w:type="dxa"/>
            <w:vAlign w:val="center"/>
          </w:tcPr>
          <w:p w14:paraId="5A6D3D18">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0"/>
                <w:sz w:val="20"/>
                <w:szCs w:val="20"/>
                <w:highlight w:val="none"/>
                <w14:textFill>
                  <w14:solidFill>
                    <w14:schemeClr w14:val="tx1"/>
                  </w14:solidFill>
                </w14:textFill>
              </w:rPr>
              <w:t>/</w:t>
            </w:r>
          </w:p>
        </w:tc>
        <w:tc>
          <w:tcPr>
            <w:tcW w:w="1912" w:type="dxa"/>
            <w:vAlign w:val="center"/>
          </w:tcPr>
          <w:p w14:paraId="7B6EFFFF">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1</w:t>
            </w:r>
          </w:p>
        </w:tc>
      </w:tr>
    </w:tbl>
    <w:p w14:paraId="32788CF0">
      <w:pPr>
        <w:spacing w:line="104" w:lineRule="auto"/>
        <w:rPr>
          <w:rFonts w:ascii="Arial"/>
          <w:color w:val="000000" w:themeColor="text1"/>
          <w:sz w:val="2"/>
          <w:highlight w:val="none"/>
          <w14:textFill>
            <w14:solidFill>
              <w14:schemeClr w14:val="tx1"/>
            </w14:solidFill>
          </w14:textFill>
        </w:rPr>
      </w:pPr>
    </w:p>
    <w:p w14:paraId="53D8DC2E">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二、资金来源</w:t>
      </w:r>
    </w:p>
    <w:p w14:paraId="0168733E">
      <w:pPr>
        <w:spacing w:before="154" w:line="219"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社会资金。</w:t>
      </w:r>
    </w:p>
    <w:p w14:paraId="1CFB2490">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三、供应商资格条件</w:t>
      </w:r>
    </w:p>
    <w:p w14:paraId="2E93DF7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(一)满足《中华人民共和国政府采购法》第二十二条规定；</w:t>
      </w:r>
    </w:p>
    <w:p w14:paraId="2F92D9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(二)落实政府采购政策需满足的资格要求：无；</w:t>
      </w:r>
    </w:p>
    <w:p w14:paraId="71B62DF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(三)本项目的特定资格要求：</w:t>
      </w:r>
    </w:p>
    <w:p w14:paraId="03CFFFA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1.供应商须具备建设行政主管部门颁发的建筑工程施工总承包叁级及以上资质(须提 供有效的资质证书复印件并加盖供应商公章)。</w:t>
      </w:r>
    </w:p>
    <w:p w14:paraId="6C663D3C">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3.供应商须具备有效的企业法人营业执照，且为非外资独资或外资控股企业(提供有效 的营业执照副本复印件并加盖供应商公章)。</w:t>
      </w:r>
    </w:p>
    <w:p w14:paraId="61CC1386">
      <w:pPr>
        <w:spacing w:before="172"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z w:val="20"/>
          <w:szCs w:val="20"/>
          <w:highlight w:val="none"/>
          <w14:textFill>
            <w14:solidFill>
              <w14:schemeClr w14:val="tx1"/>
            </w14:solidFill>
          </w14:textFill>
        </w:rPr>
        <w:t>四</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、竞争性比选有关说明</w:t>
      </w:r>
    </w:p>
    <w:p w14:paraId="27EAFE3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(一)供应商应通过“行采家”(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)登记成为行采家平台供 应商。</w:t>
      </w:r>
    </w:p>
    <w:p w14:paraId="002B2B0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(二)凡有意参加投标的供应商，请于公告发布之日起至报名截止时间之前，在“行采家”(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上下载查看本项目需求文件以及变更公告等公布的所有项目资料，无论供应商下载查看与否，均视为已知晓所有实质性要求内容。</w:t>
      </w:r>
    </w:p>
    <w:p w14:paraId="0BE5683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(三)竞争性比选公告期限：自采购公告发布之日起三个工作日。</w:t>
      </w:r>
    </w:p>
    <w:p w14:paraId="1555205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(四)获取文件时间及报名</w:t>
      </w:r>
    </w:p>
    <w:p w14:paraId="7F706C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1.报名发售期：各潜在供应商请于2025年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11</w:t>
      </w:r>
      <w:r>
        <w:rPr>
          <w:rFonts w:ascii="宋体" w:hAnsi="宋体" w:eastAsia="宋体" w:cs="宋体"/>
          <w:color w:val="000000" w:themeColor="text1"/>
          <w:spacing w:val="10"/>
          <w:sz w:val="20"/>
          <w:szCs w:val="20"/>
          <w:highlight w:val="none"/>
          <w14:textFill>
            <w14:solidFill>
              <w14:schemeClr w14:val="tx1"/>
            </w14:solidFill>
          </w14:textFill>
        </w:rPr>
        <w:t>日至2025年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15</w:t>
      </w:r>
      <w:r>
        <w:rPr>
          <w:rFonts w:ascii="宋体" w:hAnsi="宋体" w:eastAsia="宋体" w:cs="宋体"/>
          <w:color w:val="000000" w:themeColor="text1"/>
          <w:spacing w:val="10"/>
          <w:sz w:val="20"/>
          <w:szCs w:val="20"/>
          <w:highlight w:val="none"/>
          <w14:textFill>
            <w14:solidFill>
              <w14:schemeClr w14:val="tx1"/>
            </w14:solidFill>
          </w14:textFill>
        </w:rPr>
        <w:t>日1</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:00时(北京 时间)报名，比选文件费用500元/份售后不退。</w:t>
      </w:r>
    </w:p>
    <w:p w14:paraId="278F46A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2.获取文件：在报名发售期内采用邮件报名的方式，供应商将《竞争性比选文件发售 登记表》(见附件)扫描件发送至邮箱2585689195@qq.com,并在邮件中注明所获取竞争性比选文件的项目名称、供应商名称、联系人、联系电话等相关信息。报名及获取了竞争</w:t>
      </w:r>
      <w:bookmarkStart w:id="1" w:name="bookmark8"/>
      <w:bookmarkEnd w:id="1"/>
      <w:r>
        <w:rPr>
          <w:rFonts w:ascii="宋体" w:hAnsi="宋体" w:eastAsia="宋体" w:cs="宋体"/>
          <w:color w:val="000000" w:themeColor="text1"/>
          <w:spacing w:val="10"/>
          <w:sz w:val="20"/>
          <w:szCs w:val="20"/>
          <w:highlight w:val="none"/>
          <w14:textFill>
            <w14:solidFill>
              <w14:schemeClr w14:val="tx1"/>
            </w14:solidFill>
          </w14:textFill>
        </w:rPr>
        <w:t>性比选文件的供应商，其投标才被接收。</w:t>
      </w:r>
    </w:p>
    <w:p w14:paraId="25C423C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(五)递交方式及报价</w:t>
      </w:r>
    </w:p>
    <w:p w14:paraId="27A11C2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1.线上</w:t>
      </w:r>
    </w:p>
    <w:p w14:paraId="0BDCEE3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1.1投标起止时间：以行采家电子竞采平台上本项目发布的时间为准。</w:t>
      </w:r>
    </w:p>
    <w:p w14:paraId="381B65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1.2报价要求：供应商在本项目规定的时间内，通过(</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"https://www.gec123.com/xe/"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https://www.gec123.com/xe/</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)行采家电子竞采平台进行网上报价，并线上提交响应文件电子文档(pdf格式);未在规的时间内报价和上传响应文件电子文档的供应商将失去成交供应商资格。</w:t>
      </w:r>
    </w:p>
    <w:p w14:paraId="4E19A1F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2.线下</w:t>
      </w:r>
    </w:p>
    <w:p w14:paraId="654F280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2.1 递交或邮寄截止时间：供应商应于2025年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16</w:t>
      </w:r>
      <w:r>
        <w:rPr>
          <w:rFonts w:ascii="宋体" w:hAnsi="宋体" w:eastAsia="宋体" w:cs="宋体"/>
          <w:color w:val="000000" w:themeColor="text1"/>
          <w:spacing w:val="10"/>
          <w:sz w:val="20"/>
          <w:szCs w:val="20"/>
          <w:highlight w:val="none"/>
          <w14:textFill>
            <w14:solidFill>
              <w14:schemeClr w14:val="tx1"/>
            </w14:solidFill>
          </w14:textFill>
        </w:rPr>
        <w:t>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9</w:t>
      </w:r>
      <w:r>
        <w:rPr>
          <w:rFonts w:ascii="宋体" w:hAnsi="宋体" w:eastAsia="宋体" w:cs="宋体"/>
          <w:color w:val="000000" w:themeColor="text1"/>
          <w:spacing w:val="10"/>
          <w:sz w:val="20"/>
          <w:szCs w:val="20"/>
          <w:highlight w:val="none"/>
          <w14:textFill>
            <w14:solidFill>
              <w14:schemeClr w14:val="tx1"/>
            </w14:solidFill>
          </w14:textFill>
        </w:rPr>
        <w:t>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30分</w:t>
      </w:r>
      <w:r>
        <w:rPr>
          <w:rFonts w:ascii="宋体" w:hAnsi="宋体" w:eastAsia="宋体" w:cs="宋体"/>
          <w:color w:val="000000" w:themeColor="text1"/>
          <w:spacing w:val="10"/>
          <w:sz w:val="20"/>
          <w:szCs w:val="20"/>
          <w:highlight w:val="none"/>
          <w14:textFill>
            <w14:solidFill>
              <w14:schemeClr w14:val="tx1"/>
            </w14:solidFill>
          </w14:textFill>
        </w:rPr>
        <w:t>截止前(北京时间，逾期不予受理),将响应文件纸质版(正本一</w:t>
      </w:r>
      <w:bookmarkStart w:id="167" w:name="_GoBack"/>
      <w:bookmarkEnd w:id="167"/>
      <w:r>
        <w:rPr>
          <w:rFonts w:ascii="宋体" w:hAnsi="宋体" w:eastAsia="宋体" w:cs="宋体"/>
          <w:color w:val="000000" w:themeColor="text1"/>
          <w:spacing w:val="10"/>
          <w:sz w:val="20"/>
          <w:szCs w:val="20"/>
          <w:highlight w:val="none"/>
          <w14:textFill>
            <w14:solidFill>
              <w14:schemeClr w14:val="tx1"/>
            </w14:solidFill>
          </w14:textFill>
        </w:rPr>
        <w:t>份，副本二份)装袋密封并递交或邮寄至采购  人作为评审及留档材料。逾期送达的响应文件(以签收时间为准),将失去成交供应商资格。</w:t>
      </w:r>
    </w:p>
    <w:p w14:paraId="363CFFA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2.2评审开始时间：同截止时间。</w:t>
      </w:r>
    </w:p>
    <w:p w14:paraId="3064B65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2.3递交或邮寄地点：重庆勉仁科技有限责任公司/</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曹</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老师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15982844653</w:t>
      </w:r>
      <w:r>
        <w:rPr>
          <w:rFonts w:ascii="宋体" w:hAnsi="宋体" w:eastAsia="宋体" w:cs="宋体"/>
          <w:color w:val="000000" w:themeColor="text1"/>
          <w:spacing w:val="10"/>
          <w:sz w:val="20"/>
          <w:szCs w:val="20"/>
          <w:highlight w:val="none"/>
          <w14:textFill>
            <w14:solidFill>
              <w14:schemeClr w14:val="tx1"/>
            </w14:solidFill>
          </w14:textFill>
        </w:rPr>
        <w:t>收。</w:t>
      </w:r>
    </w:p>
    <w:p w14:paraId="3D24139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 纸质响应文件、电子文档内容(签字盖章齐全)必须相同一致，供应商若因上传的 电子文档无法打开或与纸质文档内容不一致，由评标委员会作无效响应处理。</w:t>
      </w:r>
    </w:p>
    <w:p w14:paraId="4294DD9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(六)供应商须满足以下两种要求，其响应文件才被接受：</w:t>
      </w:r>
    </w:p>
    <w:p w14:paraId="2ED723E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1.符合“第一篇 四、竞争性比选有关说明(四)获取文件时间及报名”要求；</w:t>
      </w:r>
    </w:p>
    <w:p w14:paraId="1B091BF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2.符合“第一篇 四、竞争性比选有关说明(五)投标方式及报价”要求。</w:t>
      </w:r>
    </w:p>
    <w:p w14:paraId="643B7482">
      <w:pPr>
        <w:spacing w:before="130" w:line="219" w:lineRule="auto"/>
        <w:ind w:left="43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五、采购项目需落实的政府采购政策</w:t>
      </w:r>
    </w:p>
    <w:p w14:paraId="359CA42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(二)按照财政部、工业和信息化部关于印发《政府采购促进中小企业发展管理办法》的通知(财库〔2020〕46号)的规定，落实促进中小企业发展政策。</w:t>
      </w:r>
    </w:p>
    <w:p w14:paraId="742F06C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(三)按照《财政部、司法部关于政府采购支持监狱企业发展有关问题的通知》(财库 〔2014〕68号)的规定，落实支持监狱企业发展政策。</w:t>
      </w:r>
    </w:p>
    <w:p w14:paraId="598C46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3E0CCAE6">
      <w:pPr>
        <w:spacing w:before="130" w:line="219" w:lineRule="auto"/>
        <w:ind w:left="433"/>
        <w:rPr>
          <w:rFonts w:ascii="宋体" w:hAnsi="宋体" w:eastAsia="宋体" w:cs="宋体"/>
          <w:b/>
          <w:bCs/>
          <w:color w:val="000000" w:themeColor="text1"/>
          <w:spacing w:val="-4"/>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六、投标有关规定</w:t>
      </w:r>
    </w:p>
    <w:p w14:paraId="57E271D1">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(一)单位负责人为同一人或者存在直接控股、管理关系的不同供应商，不得参加同一 合同项(包)下的政府采购活动。</w:t>
      </w:r>
    </w:p>
    <w:p w14:paraId="6C8320B4">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(二)为采购项目提供整体设计、规范编制或者项目管理、监理等服务的供应商，不得 再参加该采购项目的其他采购活动。</w:t>
      </w:r>
    </w:p>
    <w:p w14:paraId="6D6FA0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(三)本项目若有澄清文件采购代理机构将书面通知获取比选文件的各潜在供应商。</w:t>
      </w:r>
    </w:p>
    <w:p w14:paraId="5CF7558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(四)超过投标截止时间递交的响应文件，恕不接收。</w:t>
      </w:r>
    </w:p>
    <w:p w14:paraId="7BB6F01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(五)投标费用：无论投标结果如何，供应商参与本项目投标的所有费用均应由供应商自行承担。</w:t>
      </w:r>
    </w:p>
    <w:p w14:paraId="6A078F5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(六)本项目不接受联合体参与投标，否则按无效投标处理。</w:t>
      </w:r>
    </w:p>
    <w:p w14:paraId="3AC9C00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(七)本项目不接受合同分包。</w:t>
      </w:r>
    </w:p>
    <w:p w14:paraId="0B7B034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spacing w:before="132" w:line="221" w:lineRule="auto"/>
        <w:ind w:left="39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七、联系方式</w:t>
      </w:r>
    </w:p>
    <w:p w14:paraId="0485799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(一)重庆勉仁科技有限责任公司</w:t>
      </w:r>
    </w:p>
    <w:p w14:paraId="41E0394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联系人：冯老师</w:t>
      </w:r>
    </w:p>
    <w:p w14:paraId="0F0B303D">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话：023-68282202</w:t>
      </w:r>
    </w:p>
    <w:p w14:paraId="21C39E2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址：重庆市北碚区歇马街道歇马街688号</w:t>
      </w:r>
    </w:p>
    <w:p w14:paraId="4A87E04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p>
    <w:p w14:paraId="6931B48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(二)采购代理机构：</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重庆修为工程咨询有限公司</w:t>
      </w:r>
    </w:p>
    <w:p w14:paraId="040BA96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联</w:t>
      </w:r>
      <w:r>
        <w:rPr>
          <w:rFonts w:ascii="宋体" w:hAnsi="宋体" w:eastAsia="宋体" w:cs="宋体"/>
          <w:color w:val="000000" w:themeColor="text1"/>
          <w:spacing w:val="10"/>
          <w:sz w:val="20"/>
          <w:szCs w:val="20"/>
          <w:highlight w:val="none"/>
          <w14:textFill>
            <w14:solidFill>
              <w14:schemeClr w14:val="tx1"/>
            </w14:solidFill>
          </w14:textFill>
        </w:rPr>
        <w:t>系人：</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曹</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老师</w:t>
      </w:r>
    </w:p>
    <w:p w14:paraId="0397C5C7">
      <w:pPr>
        <w:spacing w:before="142" w:line="325" w:lineRule="auto"/>
        <w:ind w:left="25" w:right="163" w:firstLine="410"/>
        <w:rPr>
          <w:rFonts w:hint="default" w:ascii="宋体" w:hAnsi="宋体" w:eastAsia="宋体" w:cs="宋体"/>
          <w:color w:val="000000" w:themeColor="text1"/>
          <w:spacing w:val="10"/>
          <w:sz w:val="20"/>
          <w:szCs w:val="20"/>
          <w:highlight w:val="none"/>
          <w:lang w:val="en-US"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15982844653</w:t>
      </w:r>
    </w:p>
    <w:p w14:paraId="0D2CE62C">
      <w:pPr>
        <w:spacing w:before="142" w:line="325" w:lineRule="auto"/>
        <w:ind w:left="25" w:right="163" w:firstLine="41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w:t>
      </w:r>
      <w:r>
        <w:rPr>
          <w:rFonts w:hint="eastAsia" w:ascii="宋体" w:hAnsi="宋体" w:eastAsia="宋体" w:cs="宋体"/>
          <w:color w:val="000000" w:themeColor="text1"/>
          <w:spacing w:val="10"/>
          <w:sz w:val="20"/>
          <w:szCs w:val="20"/>
          <w:highlight w:val="none"/>
          <w14:textFill>
            <w14:solidFill>
              <w14:schemeClr w14:val="tx1"/>
            </w14:solidFill>
          </w14:textFill>
        </w:rPr>
        <w:t>重庆市两江新区天宫殿街道财富大道2号28-7</w:t>
      </w:r>
    </w:p>
    <w:p w14:paraId="76062E75">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5" w:type="default"/>
          <w:pgSz w:w="11910" w:h="16840"/>
          <w:pgMar w:top="1431" w:right="1786" w:bottom="1274" w:left="1786" w:header="0" w:footer="1139" w:gutter="0"/>
          <w:pgNumType w:fmt="decimal" w:start="1"/>
          <w:cols w:space="720" w:num="1"/>
        </w:sectPr>
      </w:pPr>
    </w:p>
    <w:p w14:paraId="03E1755C">
      <w:pPr>
        <w:spacing w:before="67" w:line="219" w:lineRule="auto"/>
        <w:ind w:left="2084"/>
        <w:outlineLvl w:val="0"/>
        <w:rPr>
          <w:rFonts w:ascii="宋体" w:hAnsi="宋体" w:eastAsia="宋体" w:cs="宋体"/>
          <w:color w:val="000000" w:themeColor="text1"/>
          <w:sz w:val="33"/>
          <w:szCs w:val="33"/>
          <w:highlight w:val="none"/>
          <w14:textFill>
            <w14:solidFill>
              <w14:schemeClr w14:val="tx1"/>
            </w14:solidFill>
          </w14:textFill>
        </w:rPr>
      </w:pPr>
      <w:bookmarkStart w:id="2" w:name="bookmark9"/>
      <w:bookmarkEnd w:id="2"/>
      <w:bookmarkStart w:id="3" w:name="_Toc27862"/>
      <w:r>
        <w:rPr>
          <w:rFonts w:ascii="宋体" w:hAnsi="宋体" w:eastAsia="宋体" w:cs="宋体"/>
          <w:b/>
          <w:bCs/>
          <w:color w:val="000000" w:themeColor="text1"/>
          <w:spacing w:val="9"/>
          <w:sz w:val="33"/>
          <w:szCs w:val="33"/>
          <w:highlight w:val="none"/>
          <w14:textFill>
            <w14:solidFill>
              <w14:schemeClr w14:val="tx1"/>
            </w14:solidFill>
          </w14:textFill>
        </w:rPr>
        <w:t>第二篇</w:t>
      </w:r>
      <w:r>
        <w:rPr>
          <w:rFonts w:ascii="宋体" w:hAnsi="宋体" w:eastAsia="宋体" w:cs="宋体"/>
          <w:color w:val="000000" w:themeColor="text1"/>
          <w:spacing w:val="1"/>
          <w:sz w:val="33"/>
          <w:szCs w:val="33"/>
          <w:highlight w:val="none"/>
          <w14:textFill>
            <w14:solidFill>
              <w14:schemeClr w14:val="tx1"/>
            </w14:solidFill>
          </w14:textFill>
        </w:rPr>
        <w:t xml:space="preserve">  </w:t>
      </w:r>
      <w:r>
        <w:rPr>
          <w:rFonts w:ascii="宋体" w:hAnsi="宋体" w:eastAsia="宋体" w:cs="宋体"/>
          <w:b/>
          <w:bCs/>
          <w:color w:val="000000" w:themeColor="text1"/>
          <w:spacing w:val="9"/>
          <w:sz w:val="33"/>
          <w:szCs w:val="33"/>
          <w:highlight w:val="none"/>
          <w14:textFill>
            <w14:solidFill>
              <w14:schemeClr w14:val="tx1"/>
            </w14:solidFill>
          </w14:textFill>
        </w:rPr>
        <w:t>项目技术(质量)需求</w:t>
      </w:r>
      <w:bookmarkEnd w:id="3"/>
    </w:p>
    <w:p w14:paraId="1646195C">
      <w:pPr>
        <w:pStyle w:val="4"/>
        <w:spacing w:line="330" w:lineRule="auto"/>
        <w:rPr>
          <w:color w:val="000000" w:themeColor="text1"/>
          <w:highlight w:val="none"/>
          <w14:textFill>
            <w14:solidFill>
              <w14:schemeClr w14:val="tx1"/>
            </w14:solidFill>
          </w14:textFill>
        </w:rPr>
      </w:pPr>
    </w:p>
    <w:p w14:paraId="0A4A418C">
      <w:pPr>
        <w:spacing w:before="65" w:line="219" w:lineRule="auto"/>
        <w:rPr>
          <w:rFonts w:ascii="宋体" w:hAnsi="宋体" w:eastAsia="宋体" w:cs="宋体"/>
          <w:b/>
          <w:bCs/>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4"/>
          <w:sz w:val="20"/>
          <w:szCs w:val="20"/>
          <w:highlight w:val="none"/>
          <w14:textFill>
            <w14:solidFill>
              <w14:schemeClr w14:val="tx1"/>
            </w14:solidFill>
          </w14:textFill>
        </w:rPr>
        <w:t>“※”标注的技术(质量)需求为符合性审查中的实质</w:t>
      </w:r>
      <w:r>
        <w:rPr>
          <w:rFonts w:ascii="宋体" w:hAnsi="宋体" w:eastAsia="宋体" w:cs="宋体"/>
          <w:b/>
          <w:bCs/>
          <w:color w:val="000000" w:themeColor="text1"/>
          <w:spacing w:val="-15"/>
          <w:sz w:val="20"/>
          <w:szCs w:val="20"/>
          <w:highlight w:val="none"/>
          <w14:textFill>
            <w14:solidFill>
              <w14:schemeClr w14:val="tx1"/>
            </w14:solidFill>
          </w14:textFill>
        </w:rPr>
        <w:t>性要求，若不满足按无效投标处理。</w:t>
      </w:r>
    </w:p>
    <w:p w14:paraId="1B117203">
      <w:pPr>
        <w:pStyle w:val="4"/>
        <w:spacing w:line="322" w:lineRule="auto"/>
        <w:rPr>
          <w:color w:val="000000" w:themeColor="text1"/>
          <w:highlight w:val="none"/>
          <w14:textFill>
            <w14:solidFill>
              <w14:schemeClr w14:val="tx1"/>
            </w14:solidFill>
          </w14:textFill>
        </w:rPr>
      </w:pPr>
    </w:p>
    <w:p w14:paraId="6CA292D9">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一、项目概况</w:t>
      </w:r>
    </w:p>
    <w:p w14:paraId="1805B4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(一)工程名称：</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重庆市天府中学消防系统维修整改项目</w:t>
      </w:r>
      <w:r>
        <w:rPr>
          <w:rFonts w:ascii="宋体" w:hAnsi="宋体" w:eastAsia="宋体" w:cs="宋体"/>
          <w:color w:val="000000" w:themeColor="text1"/>
          <w:spacing w:val="10"/>
          <w:sz w:val="20"/>
          <w:szCs w:val="20"/>
          <w:highlight w:val="none"/>
          <w14:textFill>
            <w14:solidFill>
              <w14:schemeClr w14:val="tx1"/>
            </w14:solidFill>
          </w14:textFill>
        </w:rPr>
        <w:t>;</w:t>
      </w:r>
    </w:p>
    <w:p w14:paraId="6B2DEA8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(二)工程地址：重庆市北碚区。</w:t>
      </w:r>
    </w:p>
    <w:p w14:paraId="1B968D9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(三)招标范围</w:t>
      </w:r>
    </w:p>
    <w:p w14:paraId="3A62C7C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具体详见采购人提供的施工图、工程量清单、比选文件以及比选文件补遗、答疑、澄 清中补充的全部工程内容。</w:t>
      </w:r>
    </w:p>
    <w:p w14:paraId="7B41BAB3">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※二、项目服务需求</w:t>
      </w:r>
    </w:p>
    <w:p w14:paraId="48FA663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200E199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(二)工程量清单：工程量清单请供应商在行采家(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https://www.gec123.com/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)上自行下载。</w:t>
      </w:r>
    </w:p>
    <w:p w14:paraId="2AC98E4F">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“※”三、项目管理班子人员配备要求</w:t>
      </w:r>
    </w:p>
    <w:p w14:paraId="746A3E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（一）项目经理(1人)</w:t>
      </w:r>
    </w:p>
    <w:p w14:paraId="540F6BC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拟派的项目经理须在供应商单位注册的正式员工，并应具有建筑工程专业贰级及以上注册建造师执业资格。[提供项目经理身份证复印件、建造师执业资格证书和建造师注册证 书复印件、养老保险证明。]</w:t>
      </w:r>
    </w:p>
    <w:p w14:paraId="59465C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406D044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0A2001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(3)建造师电子注册证书本人手写签名与签名图像笔迹是否一致不作为否决竞采的情形。</w:t>
      </w:r>
    </w:p>
    <w:p w14:paraId="143B64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(二)项目技术负责人(1人)</w:t>
      </w:r>
    </w:p>
    <w:p w14:paraId="0C15747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拟派的项目技术负责人为供应商单位的正式员工，并应具有工程类中级(含中级)及 以上技术职称。[提供技术负责人身份证复印件、职称证书复印件、养老保险证明。]</w:t>
      </w:r>
    </w:p>
    <w:p w14:paraId="2169E62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w:t>
      </w:r>
      <w:r>
        <w:rPr>
          <w:rFonts w:ascii="宋体" w:hAnsi="宋体" w:eastAsia="宋体" w:cs="宋体"/>
          <w:spacing w:val="7"/>
          <w:sz w:val="20"/>
          <w:szCs w:val="20"/>
          <w:highlight w:val="none"/>
        </w:rPr>
        <w:t>主要管理人员</w:t>
      </w:r>
    </w:p>
    <w:p w14:paraId="6CE171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拟派的施工员不少于1人，专职安全生产管理人员不少于1人。 [施工员提供有效的合格 证书复印件；专职安全生产管理人员提供安全生产考核合格证复印件；提供养老保险证明。]</w:t>
      </w:r>
    </w:p>
    <w:p w14:paraId="19AD44B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r>
        <w:rPr>
          <w:rFonts w:ascii="宋体" w:hAnsi="宋体" w:eastAsia="宋体" w:cs="宋体"/>
          <w:spacing w:val="10"/>
          <w:sz w:val="20"/>
          <w:szCs w:val="20"/>
          <w:highlight w:val="none"/>
        </w:rPr>
        <w:t>项目经理、技术负责人、主要管理人员以上复印件均需</w:t>
      </w:r>
      <w:r>
        <w:rPr>
          <w:rFonts w:ascii="宋体" w:hAnsi="宋体" w:eastAsia="宋体" w:cs="宋体"/>
          <w:spacing w:val="9"/>
          <w:sz w:val="20"/>
          <w:szCs w:val="20"/>
          <w:highlight w:val="none"/>
        </w:rPr>
        <w:t>加盖供应商公章</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，同时还需提供以上人员供应商本单位为其缴纳的连续养老保险证明期限须包含2025年01月至2025年06月养老保险证明材料[需加盖供应商公章]。</w:t>
      </w:r>
    </w:p>
    <w:p w14:paraId="20D46A85">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四 、现场踏勘</w:t>
      </w:r>
    </w:p>
    <w:p w14:paraId="271CEBD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(一)采购人不组织现场踏勘，由各供应商在采购开始前自行到现场进行踏勘了解实际情况，根据实际踏勘情况做技术方案。踏勘产生的费用和风险等均由供应商自行承担。</w:t>
      </w:r>
    </w:p>
    <w:p w14:paraId="4858AC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(二)无论供应商是否踏勘过现场，均视为在响应截止时间之前踏勘过现场且对本项 目潜在的风险和义务已完全了解，并在其响应文件中自行承诺(格式自拟)已充分考虑了 本项目可能面临的不确定因素可能导致的风险，成交供应商不得以不完全了解现场情况为 借口而提出延长服务期限或提出额外赔偿等要求。</w:t>
      </w:r>
    </w:p>
    <w:p w14:paraId="104B5D1C">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五、安全要求</w:t>
      </w:r>
    </w:p>
    <w:p w14:paraId="7639F9B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供应商在响应文件中自行承诺(格式自拟)遵守安全生产的有关管理规定，严格按照 安全标准组织实施，采取必要的安全防护措施，消除隐患。在施工过程中由于供应商管理 或安全措施不力造成周边环境破坏或事故责任和因此发生的费用，由供应商承担。供应商 负责进入现场实施人员及财物安全，发生任何伤亡事故与采购人无关，供应商自行解决并 承担相应的法律责任和财产损失。如因施工导致第三人人身、财产损失由成交供应商承担 相关的赔偿责任。</w:t>
      </w:r>
    </w:p>
    <w:p w14:paraId="3026EC3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sectPr>
          <w:footerReference r:id="rId6" w:type="default"/>
          <w:pgSz w:w="11910" w:h="16840"/>
          <w:pgMar w:top="1431" w:right="1786" w:bottom="1472" w:left="1786" w:header="0" w:footer="1339" w:gutter="0"/>
          <w:pgNumType w:fmt="decimal"/>
          <w:cols w:space="720" w:num="1"/>
        </w:sectPr>
      </w:pPr>
    </w:p>
    <w:p w14:paraId="2864475F">
      <w:pPr>
        <w:spacing w:before="64" w:line="219" w:lineRule="auto"/>
        <w:ind w:left="2574"/>
        <w:outlineLvl w:val="0"/>
        <w:rPr>
          <w:rFonts w:ascii="宋体" w:hAnsi="宋体" w:eastAsia="宋体" w:cs="宋体"/>
          <w:color w:val="000000" w:themeColor="text1"/>
          <w:sz w:val="32"/>
          <w:szCs w:val="32"/>
          <w:highlight w:val="none"/>
          <w14:textFill>
            <w14:solidFill>
              <w14:schemeClr w14:val="tx1"/>
            </w14:solidFill>
          </w14:textFill>
        </w:rPr>
      </w:pPr>
      <w:bookmarkStart w:id="4" w:name="_Toc30930"/>
      <w:r>
        <w:rPr>
          <w:rFonts w:ascii="宋体" w:hAnsi="宋体" w:eastAsia="宋体" w:cs="宋体"/>
          <w:b/>
          <w:bCs/>
          <w:color w:val="000000" w:themeColor="text1"/>
          <w:spacing w:val="-5"/>
          <w:sz w:val="32"/>
          <w:szCs w:val="32"/>
          <w:highlight w:val="none"/>
          <w14:textFill>
            <w14:solidFill>
              <w14:schemeClr w14:val="tx1"/>
            </w14:solidFill>
          </w14:textFill>
        </w:rPr>
        <w:t>第三篇</w:t>
      </w:r>
      <w:r>
        <w:rPr>
          <w:rFonts w:ascii="宋体" w:hAnsi="宋体" w:eastAsia="宋体" w:cs="宋体"/>
          <w:color w:val="000000" w:themeColor="text1"/>
          <w:spacing w:val="-5"/>
          <w:sz w:val="32"/>
          <w:szCs w:val="32"/>
          <w:highlight w:val="none"/>
          <w14:textFill>
            <w14:solidFill>
              <w14:schemeClr w14:val="tx1"/>
            </w14:solidFill>
          </w14:textFill>
        </w:rPr>
        <w:t xml:space="preserve">  </w:t>
      </w:r>
      <w:r>
        <w:rPr>
          <w:rFonts w:ascii="宋体" w:hAnsi="宋体" w:eastAsia="宋体" w:cs="宋体"/>
          <w:b/>
          <w:bCs/>
          <w:color w:val="000000" w:themeColor="text1"/>
          <w:spacing w:val="-5"/>
          <w:sz w:val="32"/>
          <w:szCs w:val="32"/>
          <w:highlight w:val="none"/>
          <w14:textFill>
            <w14:solidFill>
              <w14:schemeClr w14:val="tx1"/>
            </w14:solidFill>
          </w14:textFill>
        </w:rPr>
        <w:t>项目商务需求</w:t>
      </w:r>
      <w:bookmarkEnd w:id="4"/>
    </w:p>
    <w:p w14:paraId="14A21280">
      <w:pPr>
        <w:pStyle w:val="4"/>
        <w:spacing w:line="460" w:lineRule="auto"/>
        <w:rPr>
          <w:color w:val="000000" w:themeColor="text1"/>
          <w:highlight w:val="none"/>
          <w14:textFill>
            <w14:solidFill>
              <w14:schemeClr w14:val="tx1"/>
            </w14:solidFill>
          </w14:textFill>
        </w:rPr>
      </w:pPr>
    </w:p>
    <w:p w14:paraId="0EF83A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“※”标注的商务要求为符合性审查中的实质性要求，若不满足按无效投标处理。</w:t>
      </w:r>
    </w:p>
    <w:p w14:paraId="1CA4C7FB">
      <w:pPr>
        <w:pStyle w:val="4"/>
        <w:spacing w:line="244" w:lineRule="auto"/>
        <w:rPr>
          <w:color w:val="000000" w:themeColor="text1"/>
          <w:highlight w:val="none"/>
          <w14:textFill>
            <w14:solidFill>
              <w14:schemeClr w14:val="tx1"/>
            </w14:solidFill>
          </w14:textFill>
        </w:rPr>
      </w:pPr>
    </w:p>
    <w:p w14:paraId="0C85BC9B">
      <w:pPr>
        <w:pStyle w:val="4"/>
        <w:spacing w:line="244" w:lineRule="auto"/>
        <w:rPr>
          <w:color w:val="000000" w:themeColor="text1"/>
          <w:highlight w:val="none"/>
          <w14:textFill>
            <w14:solidFill>
              <w14:schemeClr w14:val="tx1"/>
            </w14:solidFill>
          </w14:textFill>
        </w:rPr>
      </w:pPr>
    </w:p>
    <w:p w14:paraId="52846811">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※一、工期、建设地点、要求及验收方式</w:t>
      </w:r>
    </w:p>
    <w:p w14:paraId="0994793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(一)工期：</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2025年8月31日前（具体以采购人实际要求为准）</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完成所有施工内容并验收合格。</w:t>
      </w:r>
    </w:p>
    <w:p w14:paraId="35637D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(二)建设地点：采购人指定地点。</w:t>
      </w:r>
    </w:p>
    <w:p w14:paraId="3E15BC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(三)建设要求</w:t>
      </w:r>
    </w:p>
    <w:p w14:paraId="2AA5C42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1.本项目成交供应商加强施工期间安全管理，做到安全施工、文明施工，并做好相应 的施工安全公告及警戒标识，为施工人员购买工伤保险和人身意外保险。</w:t>
      </w:r>
    </w:p>
    <w:p w14:paraId="593E5A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2.施工期间的用水、用电由成交供应商自行解决，并承担相应费用。</w:t>
      </w:r>
    </w:p>
    <w:p w14:paraId="6D01EF8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(四)验收方式</w:t>
      </w:r>
    </w:p>
    <w:p w14:paraId="55E74B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1.施工过程应遵照现行国家有关规范进行，采购人按照有关要求自行组织进行检查验 收。成交供应商应保证工程质量，工程用建筑材料须符合国家及行业标准，项目工程达到 国家现行有关施工质量验收规范要求，并达到合格标准。</w:t>
      </w:r>
    </w:p>
    <w:p w14:paraId="7016E4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2.工程完工后，按国家相关标准验收程序和规程进行验收并签字确认。验收的相关费 用由成交供应商承担。</w:t>
      </w:r>
    </w:p>
    <w:p w14:paraId="3E210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3.成交供应商未达到采购文件的要求，且对采购人造成损失的，由成交供应商承担一 切责任，并赔偿所造成的损失。</w:t>
      </w:r>
    </w:p>
    <w:p w14:paraId="45FF71FA">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“※”二、报价要求及工程结算</w:t>
      </w:r>
    </w:p>
    <w:p w14:paraId="0188E0A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(一)报价要求</w:t>
      </w:r>
    </w:p>
    <w:p w14:paraId="73CE320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1.本项目采用工程量清单计价，工程量清单采用综合单价计价，一般计税法。</w:t>
      </w:r>
    </w:p>
    <w:p w14:paraId="4D071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3.供应商的报价中对于采购人给出的安全文明施工费暂定金额不能进行改动，须按照采购人给出的金额报价，否则视为无效响应。</w:t>
      </w:r>
    </w:p>
    <w:p w14:paraId="384A59A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5.最高限价</w:t>
      </w:r>
    </w:p>
    <w:p w14:paraId="579596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5" w:name="bookmark10"/>
      <w:bookmarkEnd w:id="5"/>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本采购项目设置的最高限价为：壹拾</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捌</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万</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柒</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仟</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伍佰壹拾伍元壹角肆分</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187515.14</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元)</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其中安全文明施工费为</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9565.55</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元，供应商的投标总报价及各分部分项工程项目清单单价均不得超过最高限价，否则，由评标委员会作无效响应处理。</w:t>
      </w:r>
    </w:p>
    <w:p w14:paraId="2A88F1B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(二)结算原则</w:t>
      </w:r>
    </w:p>
    <w:p w14:paraId="61424DC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1、本合同采用固定综合单价承包形式，综合单价不因工程量的增减而调整。结算总价=∑实际完成分部分项工程量×中标的分部分项工程量清单综合单价+中标措施费+安全文明  施工费(按照渝建发〔2014〕25号、渝建发〔2016〕35号文规定计取)+规费+税金±设计变 更及调整施工过程中出现新增项目(含招标清单范围以外的项目)价款结算价±暂定价部分 的结算价+合同约定其它费用。</w:t>
      </w:r>
    </w:p>
    <w:p w14:paraId="60796EB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1.1、设计变更结算原则：</w:t>
      </w:r>
    </w:p>
    <w:p w14:paraId="09474D9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(1)当中标工程量清单报价中有相同的清单项目及单价时，则按该项目单价计价；</w:t>
      </w:r>
    </w:p>
    <w:p w14:paraId="2F65BD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 安装工程计价定额》、2018《重庆市装饰工程计价定额》、2018年《重庆市建设工程费用 定额》和2018年《砼及砂浆配合比表、施工机械台班定额》、《重庆市城乡建设委员会关 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spacing w:before="118" w:line="219" w:lineRule="auto"/>
        <w:ind w:left="44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三、质量保证及售后服务</w:t>
      </w:r>
    </w:p>
    <w:p w14:paraId="49292FE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1FE595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(二)工程质保期需满足重庆市建设工程质量监督总站监制《重庆市建设工程质量保 修书》相关要求，缺陷责任期为24个月。</w:t>
      </w:r>
    </w:p>
    <w:p w14:paraId="754A85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(三)在缺陷责任期内，所有施工质量缺陷维修均为现场服务，由此产生的费用由供 应商承担，包含在投标报价内，不再另外计费。</w:t>
      </w:r>
    </w:p>
    <w:p w14:paraId="21C7D4C2">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四、付款方式</w:t>
      </w:r>
    </w:p>
    <w:p w14:paraId="2DEA529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(二)项目竣工验收合格后，校方(业主方)支付至合同暂定金额的80%。</w:t>
      </w:r>
    </w:p>
    <w:p w14:paraId="0D920F9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(三)项目竣工验收合格且完成结算审计后，校方(业主方)向甲方支付至项目审定 结算费用的100%。甲方应按项目审定的结算金额的3%作为质量保证金汇入校方(业主方) 指暂存定账。质保期满验收合格后三十日内，工程质保金质保期满后由校方(业主方)无 息退还。</w:t>
      </w:r>
    </w:p>
    <w:p w14:paraId="5A08BA2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 、知识产权</w:t>
      </w:r>
    </w:p>
    <w:p w14:paraId="40D9E7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 、违约责任</w:t>
      </w:r>
    </w:p>
    <w:p w14:paraId="44992CD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(二)供应商所交付的货物不符合本合同规定的，采购人有权拒收，采购人有权要求供 应商赔偿因此造成的损失。</w:t>
      </w:r>
    </w:p>
    <w:p w14:paraId="3D0936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(三)采购人无正当理由不得拒收货物、拒付货款。</w:t>
      </w:r>
    </w:p>
    <w:p w14:paraId="0A240CC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(四)其他违约责任按照《中华人民共和国民法典》、《中华人民共和国产品质量法》 等相关条款执行。</w:t>
      </w:r>
    </w:p>
    <w:p w14:paraId="21C721C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七、其他</w:t>
      </w:r>
    </w:p>
    <w:p w14:paraId="54212E6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(一)成交供应商确定后，由采购人和成交供应商按照相关规定和程序办理有关手续， 签订合同。</w:t>
      </w:r>
    </w:p>
    <w:p w14:paraId="64F1389A">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(二)其他未尽事宜由供需双方在采购合同中详细约定。</w:t>
      </w:r>
    </w:p>
    <w:p w14:paraId="42E02897">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7" w:type="default"/>
          <w:pgSz w:w="11910" w:h="16840"/>
          <w:pgMar w:top="1431" w:right="1770" w:bottom="1457" w:left="1779" w:header="0" w:footer="1331" w:gutter="0"/>
          <w:pgNumType w:fmt="decimal"/>
          <w:cols w:space="720" w:num="1"/>
        </w:sectPr>
      </w:pPr>
    </w:p>
    <w:p w14:paraId="7B340FC9">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6" w:name="_Toc12614"/>
      <w:r>
        <w:rPr>
          <w:rFonts w:ascii="宋体" w:hAnsi="宋体" w:eastAsia="宋体" w:cs="宋体"/>
          <w:b/>
          <w:bCs/>
          <w:color w:val="000000" w:themeColor="text1"/>
          <w:spacing w:val="-5"/>
          <w:sz w:val="32"/>
          <w:szCs w:val="32"/>
          <w:highlight w:val="none"/>
          <w14:textFill>
            <w14:solidFill>
              <w14:schemeClr w14:val="tx1"/>
            </w14:solidFill>
          </w14:textFill>
        </w:rPr>
        <w:t>第四篇  资格审查及评标办法</w:t>
      </w:r>
      <w:bookmarkEnd w:id="6"/>
    </w:p>
    <w:p w14:paraId="03B6E38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一、资格审查及符合性审查</w:t>
      </w:r>
    </w:p>
    <w:p w14:paraId="35309520">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若未通过资格审查及符合性审查的响应文件，不进入评审环节。</w:t>
      </w:r>
    </w:p>
    <w:p w14:paraId="14C5542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(一)资格审查</w:t>
      </w:r>
    </w:p>
    <w:p w14:paraId="23257C5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依据政府采购相关法律法规规定，由采购人或采购代理机构对响应文件中的资格证明文件进行审查。资格审查资料表如下：</w:t>
      </w:r>
    </w:p>
    <w:tbl>
      <w:tblPr>
        <w:tblStyle w:val="14"/>
        <w:tblW w:w="827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09"/>
        <w:gridCol w:w="2936"/>
        <w:gridCol w:w="3649"/>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884" w:type="dxa"/>
            <w:vAlign w:val="top"/>
          </w:tcPr>
          <w:p w14:paraId="64282115">
            <w:pPr>
              <w:pStyle w:val="15"/>
              <w:spacing w:before="182" w:line="221" w:lineRule="auto"/>
              <w:ind w:left="6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745" w:type="dxa"/>
            <w:gridSpan w:val="2"/>
            <w:vAlign w:val="top"/>
          </w:tcPr>
          <w:p w14:paraId="7B9C02AD">
            <w:pPr>
              <w:pStyle w:val="15"/>
              <w:spacing w:before="181" w:line="219" w:lineRule="auto"/>
              <w:ind w:left="144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检查因素</w:t>
            </w:r>
          </w:p>
        </w:tc>
        <w:tc>
          <w:tcPr>
            <w:tcW w:w="3649" w:type="dxa"/>
            <w:vAlign w:val="top"/>
          </w:tcPr>
          <w:p w14:paraId="2D5AB47F">
            <w:pPr>
              <w:pStyle w:val="15"/>
              <w:spacing w:before="181" w:line="219" w:lineRule="auto"/>
              <w:ind w:left="1389"/>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84" w:type="dxa"/>
            <w:vMerge w:val="restart"/>
            <w:tcBorders>
              <w:bottom w:val="nil"/>
            </w:tcBorders>
            <w:vAlign w:val="center"/>
          </w:tcPr>
          <w:p w14:paraId="63FE7D11">
            <w:pPr>
              <w:pStyle w:val="15"/>
              <w:tabs>
                <w:tab w:val="center" w:pos="437"/>
              </w:tabs>
              <w:spacing w:before="71" w:line="222" w:lineRule="auto"/>
              <w:ind w:left="215"/>
              <w:jc w:val="center"/>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pacing w:val="-20"/>
                <w:sz w:val="20"/>
                <w:szCs w:val="20"/>
                <w:highlight w:val="none"/>
                <w:lang w:eastAsia="zh-CN"/>
                <w14:textFill>
                  <w14:solidFill>
                    <w14:schemeClr w14:val="tx1"/>
                  </w14:solidFill>
                </w14:textFill>
              </w:rPr>
              <w:t>（一）</w:t>
            </w:r>
          </w:p>
        </w:tc>
        <w:tc>
          <w:tcPr>
            <w:tcW w:w="809" w:type="dxa"/>
            <w:vMerge w:val="restart"/>
            <w:tcBorders>
              <w:bottom w:val="nil"/>
            </w:tcBorders>
            <w:vAlign w:val="top"/>
          </w:tcPr>
          <w:p w14:paraId="031BEC29">
            <w:pPr>
              <w:spacing w:line="274" w:lineRule="auto"/>
              <w:rPr>
                <w:rFonts w:ascii="Arial"/>
                <w:color w:val="000000" w:themeColor="text1"/>
                <w:sz w:val="20"/>
                <w:szCs w:val="20"/>
                <w:highlight w:val="none"/>
                <w14:textFill>
                  <w14:solidFill>
                    <w14:schemeClr w14:val="tx1"/>
                  </w14:solidFill>
                </w14:textFill>
              </w:rPr>
            </w:pPr>
          </w:p>
          <w:p w14:paraId="1FAA7F15">
            <w:pPr>
              <w:spacing w:line="274" w:lineRule="auto"/>
              <w:rPr>
                <w:rFonts w:ascii="Arial"/>
                <w:color w:val="000000" w:themeColor="text1"/>
                <w:sz w:val="20"/>
                <w:szCs w:val="20"/>
                <w:highlight w:val="none"/>
                <w14:textFill>
                  <w14:solidFill>
                    <w14:schemeClr w14:val="tx1"/>
                  </w14:solidFill>
                </w14:textFill>
              </w:rPr>
            </w:pPr>
          </w:p>
          <w:p w14:paraId="4946055C">
            <w:pPr>
              <w:spacing w:line="274" w:lineRule="auto"/>
              <w:rPr>
                <w:rFonts w:ascii="Arial"/>
                <w:color w:val="000000" w:themeColor="text1"/>
                <w:sz w:val="20"/>
                <w:szCs w:val="20"/>
                <w:highlight w:val="none"/>
                <w14:textFill>
                  <w14:solidFill>
                    <w14:schemeClr w14:val="tx1"/>
                  </w14:solidFill>
                </w14:textFill>
              </w:rPr>
            </w:pPr>
          </w:p>
          <w:p w14:paraId="2CE36B6A">
            <w:pPr>
              <w:spacing w:line="274" w:lineRule="auto"/>
              <w:rPr>
                <w:rFonts w:ascii="Arial"/>
                <w:color w:val="000000" w:themeColor="text1"/>
                <w:sz w:val="20"/>
                <w:szCs w:val="20"/>
                <w:highlight w:val="none"/>
                <w14:textFill>
                  <w14:solidFill>
                    <w14:schemeClr w14:val="tx1"/>
                  </w14:solidFill>
                </w14:textFill>
              </w:rPr>
            </w:pPr>
          </w:p>
          <w:p w14:paraId="346B6649">
            <w:pPr>
              <w:spacing w:line="274" w:lineRule="auto"/>
              <w:rPr>
                <w:rFonts w:ascii="Arial"/>
                <w:color w:val="000000" w:themeColor="text1"/>
                <w:sz w:val="20"/>
                <w:szCs w:val="20"/>
                <w:highlight w:val="none"/>
                <w14:textFill>
                  <w14:solidFill>
                    <w14:schemeClr w14:val="tx1"/>
                  </w14:solidFill>
                </w14:textFill>
              </w:rPr>
            </w:pPr>
          </w:p>
          <w:p w14:paraId="293C651C">
            <w:pPr>
              <w:pStyle w:val="15"/>
              <w:spacing w:before="72" w:line="220" w:lineRule="auto"/>
              <w:ind w:left="6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《中</w:t>
            </w:r>
          </w:p>
          <w:p w14:paraId="16052608">
            <w:pPr>
              <w:pStyle w:val="15"/>
              <w:spacing w:before="7" w:line="220" w:lineRule="auto"/>
              <w:ind w:left="81"/>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华人</w:t>
            </w:r>
          </w:p>
          <w:p w14:paraId="6A29101D">
            <w:pPr>
              <w:pStyle w:val="15"/>
              <w:spacing w:before="17" w:line="219" w:lineRule="auto"/>
              <w:ind w:left="8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民共</w:t>
            </w:r>
          </w:p>
          <w:p w14:paraId="4D7684DB">
            <w:pPr>
              <w:pStyle w:val="15"/>
              <w:spacing w:before="21" w:line="215" w:lineRule="auto"/>
              <w:ind w:left="8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和国</w:t>
            </w:r>
          </w:p>
          <w:p w14:paraId="54A809E8">
            <w:pPr>
              <w:pStyle w:val="15"/>
              <w:spacing w:before="1" w:line="233" w:lineRule="auto"/>
              <w:ind w:left="81" w:right="265"/>
              <w:jc w:val="both"/>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政府</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采购</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法》</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第二</w:t>
            </w:r>
          </w:p>
          <w:p w14:paraId="05B458F5">
            <w:pPr>
              <w:pStyle w:val="15"/>
              <w:spacing w:before="4" w:line="227" w:lineRule="auto"/>
              <w:ind w:left="81" w:right="265"/>
              <w:jc w:val="both"/>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十二</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条规</w:t>
            </w:r>
            <w:r>
              <w:rPr>
                <w:color w:val="000000" w:themeColor="text1"/>
                <w:sz w:val="20"/>
                <w:szCs w:val="20"/>
                <w:highlight w:val="none"/>
                <w14:textFill>
                  <w14:solidFill>
                    <w14:schemeClr w14:val="tx1"/>
                  </w14:solidFill>
                </w14:textFill>
              </w:rPr>
              <w:t xml:space="preserve"> 定</w:t>
            </w:r>
          </w:p>
        </w:tc>
        <w:tc>
          <w:tcPr>
            <w:tcW w:w="2936" w:type="dxa"/>
            <w:vAlign w:val="top"/>
          </w:tcPr>
          <w:p w14:paraId="4286F267">
            <w:pPr>
              <w:spacing w:line="317" w:lineRule="auto"/>
              <w:rPr>
                <w:rFonts w:ascii="Arial"/>
                <w:color w:val="000000" w:themeColor="text1"/>
                <w:sz w:val="20"/>
                <w:szCs w:val="20"/>
                <w:highlight w:val="none"/>
                <w14:textFill>
                  <w14:solidFill>
                    <w14:schemeClr w14:val="tx1"/>
                  </w14:solidFill>
                </w14:textFill>
              </w:rPr>
            </w:pPr>
          </w:p>
          <w:p w14:paraId="69977509">
            <w:pPr>
              <w:spacing w:line="318" w:lineRule="auto"/>
              <w:rPr>
                <w:rFonts w:ascii="Arial"/>
                <w:color w:val="000000" w:themeColor="text1"/>
                <w:sz w:val="20"/>
                <w:szCs w:val="20"/>
                <w:highlight w:val="none"/>
                <w14:textFill>
                  <w14:solidFill>
                    <w14:schemeClr w14:val="tx1"/>
                  </w14:solidFill>
                </w14:textFill>
              </w:rPr>
            </w:pPr>
          </w:p>
          <w:p w14:paraId="0C99C0B4">
            <w:pPr>
              <w:pStyle w:val="15"/>
              <w:spacing w:before="71" w:line="22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1.具有独立承担民事责任的能</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力</w:t>
            </w:r>
          </w:p>
        </w:tc>
        <w:tc>
          <w:tcPr>
            <w:tcW w:w="3649" w:type="dxa"/>
            <w:vAlign w:val="top"/>
          </w:tcPr>
          <w:p w14:paraId="11ADF03B">
            <w:pPr>
              <w:pStyle w:val="15"/>
              <w:spacing w:before="28" w:line="219" w:lineRule="auto"/>
              <w:ind w:left="11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1.供应商法人营业执照(副本)或事</w:t>
            </w:r>
          </w:p>
          <w:p w14:paraId="48145882">
            <w:pPr>
              <w:pStyle w:val="15"/>
              <w:spacing w:before="29" w:line="219" w:lineRule="auto"/>
              <w:ind w:left="10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业单位法人证书(副本)或个体工商</w:t>
            </w:r>
          </w:p>
          <w:p w14:paraId="01D0E0B7">
            <w:pPr>
              <w:pStyle w:val="15"/>
              <w:spacing w:before="18" w:line="219" w:lineRule="auto"/>
              <w:ind w:left="86" w:firstLine="19"/>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户营业执照或有效的自然人身份证明</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或社会团体法人登记证书(提供复印</w:t>
            </w:r>
            <w:r>
              <w:rPr>
                <w:color w:val="000000" w:themeColor="text1"/>
                <w:spacing w:val="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件</w:t>
            </w:r>
            <w:r>
              <w:rPr>
                <w:color w:val="000000" w:themeColor="text1"/>
                <w:spacing w:val="-2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1C9CF71">
            <w:pPr>
              <w:pStyle w:val="15"/>
              <w:spacing w:before="18" w:line="209" w:lineRule="auto"/>
              <w:ind w:left="86" w:right="8" w:firstLine="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2.供应商法定代表人身份证明和法定</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B52164D">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64348BC">
            <w:pPr>
              <w:rPr>
                <w:rFonts w:ascii="Arial"/>
                <w:color w:val="000000" w:themeColor="text1"/>
                <w:sz w:val="20"/>
                <w:szCs w:val="20"/>
                <w:highlight w:val="none"/>
                <w14:textFill>
                  <w14:solidFill>
                    <w14:schemeClr w14:val="tx1"/>
                  </w14:solidFill>
                </w14:textFill>
              </w:rPr>
            </w:pPr>
          </w:p>
        </w:tc>
        <w:tc>
          <w:tcPr>
            <w:tcW w:w="2936" w:type="dxa"/>
            <w:vAlign w:val="top"/>
          </w:tcPr>
          <w:p w14:paraId="051161D7">
            <w:pPr>
              <w:pStyle w:val="15"/>
              <w:spacing w:before="70" w:line="205"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2.具有良好的商业信誉和健全</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的财务会计制度</w:t>
            </w:r>
          </w:p>
        </w:tc>
        <w:tc>
          <w:tcPr>
            <w:tcW w:w="3649" w:type="dxa"/>
            <w:vMerge w:val="restart"/>
            <w:tcBorders>
              <w:bottom w:val="nil"/>
            </w:tcBorders>
            <w:vAlign w:val="top"/>
          </w:tcPr>
          <w:p w14:paraId="2A2FF236">
            <w:pPr>
              <w:spacing w:line="243" w:lineRule="auto"/>
              <w:rPr>
                <w:rFonts w:ascii="Arial"/>
                <w:color w:val="000000" w:themeColor="text1"/>
                <w:sz w:val="20"/>
                <w:szCs w:val="20"/>
                <w:highlight w:val="none"/>
                <w14:textFill>
                  <w14:solidFill>
                    <w14:schemeClr w14:val="tx1"/>
                  </w14:solidFill>
                </w14:textFill>
              </w:rPr>
            </w:pPr>
          </w:p>
          <w:p w14:paraId="047AE5B7">
            <w:pPr>
              <w:spacing w:line="243" w:lineRule="auto"/>
              <w:rPr>
                <w:rFonts w:ascii="Arial"/>
                <w:color w:val="000000" w:themeColor="text1"/>
                <w:sz w:val="20"/>
                <w:szCs w:val="20"/>
                <w:highlight w:val="none"/>
                <w14:textFill>
                  <w14:solidFill>
                    <w14:schemeClr w14:val="tx1"/>
                  </w14:solidFill>
                </w14:textFill>
              </w:rPr>
            </w:pPr>
          </w:p>
          <w:p w14:paraId="4A4F2BE3">
            <w:pPr>
              <w:spacing w:line="243" w:lineRule="auto"/>
              <w:rPr>
                <w:rFonts w:ascii="Arial"/>
                <w:color w:val="000000" w:themeColor="text1"/>
                <w:sz w:val="20"/>
                <w:szCs w:val="20"/>
                <w:highlight w:val="none"/>
                <w14:textFill>
                  <w14:solidFill>
                    <w14:schemeClr w14:val="tx1"/>
                  </w14:solidFill>
                </w14:textFill>
              </w:rPr>
            </w:pPr>
          </w:p>
          <w:p w14:paraId="735517E2">
            <w:pPr>
              <w:spacing w:line="244" w:lineRule="auto"/>
              <w:rPr>
                <w:rFonts w:ascii="Arial"/>
                <w:color w:val="000000" w:themeColor="text1"/>
                <w:sz w:val="20"/>
                <w:szCs w:val="20"/>
                <w:highlight w:val="none"/>
                <w14:textFill>
                  <w14:solidFill>
                    <w14:schemeClr w14:val="tx1"/>
                  </w14:solidFill>
                </w14:textFill>
              </w:rPr>
            </w:pPr>
          </w:p>
          <w:p w14:paraId="7A3AFE24">
            <w:pPr>
              <w:pStyle w:val="15"/>
              <w:spacing w:before="71" w:line="221" w:lineRule="auto"/>
              <w:ind w:left="86" w:right="2" w:firstLine="1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供应商提供“基本资格条件承诺函”(</w:t>
            </w:r>
            <w:r>
              <w:rPr>
                <w:color w:val="000000" w:themeColor="text1"/>
                <w:spacing w:val="1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20BDCB2">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23348D3B">
            <w:pPr>
              <w:rPr>
                <w:rFonts w:ascii="Arial"/>
                <w:color w:val="000000" w:themeColor="text1"/>
                <w:sz w:val="20"/>
                <w:szCs w:val="20"/>
                <w:highlight w:val="none"/>
                <w14:textFill>
                  <w14:solidFill>
                    <w14:schemeClr w14:val="tx1"/>
                  </w14:solidFill>
                </w14:textFill>
              </w:rPr>
            </w:pPr>
          </w:p>
        </w:tc>
        <w:tc>
          <w:tcPr>
            <w:tcW w:w="2936" w:type="dxa"/>
            <w:vAlign w:val="top"/>
          </w:tcPr>
          <w:p w14:paraId="47E197C3">
            <w:pPr>
              <w:pStyle w:val="15"/>
              <w:spacing w:before="53" w:line="212"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3.具有履行合同所必需的设备</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和专业技术能力</w:t>
            </w:r>
          </w:p>
        </w:tc>
        <w:tc>
          <w:tcPr>
            <w:tcW w:w="3649" w:type="dxa"/>
            <w:vMerge w:val="continue"/>
            <w:tcBorders>
              <w:top w:val="nil"/>
              <w:bottom w:val="nil"/>
            </w:tcBorders>
            <w:vAlign w:val="top"/>
          </w:tcPr>
          <w:p w14:paraId="07D57A25">
            <w:pPr>
              <w:rPr>
                <w:rFonts w:ascii="Arial"/>
                <w:color w:val="000000" w:themeColor="text1"/>
                <w:sz w:val="20"/>
                <w:szCs w:val="20"/>
                <w:highlight w:val="none"/>
                <w14:textFill>
                  <w14:solidFill>
                    <w14:schemeClr w14:val="tx1"/>
                  </w14:solidFill>
                </w14:textFill>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3BD4A507">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6C6500DA">
            <w:pPr>
              <w:rPr>
                <w:rFonts w:ascii="Arial"/>
                <w:color w:val="000000" w:themeColor="text1"/>
                <w:sz w:val="20"/>
                <w:szCs w:val="20"/>
                <w:highlight w:val="none"/>
                <w14:textFill>
                  <w14:solidFill>
                    <w14:schemeClr w14:val="tx1"/>
                  </w14:solidFill>
                </w14:textFill>
              </w:rPr>
            </w:pPr>
          </w:p>
        </w:tc>
        <w:tc>
          <w:tcPr>
            <w:tcW w:w="2936" w:type="dxa"/>
            <w:vAlign w:val="top"/>
          </w:tcPr>
          <w:p w14:paraId="6E10189B">
            <w:pPr>
              <w:pStyle w:val="15"/>
              <w:spacing w:before="52" w:line="20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4.有依法缴纳税收和社会保障</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金的良好记录</w:t>
            </w:r>
          </w:p>
        </w:tc>
        <w:tc>
          <w:tcPr>
            <w:tcW w:w="3649" w:type="dxa"/>
            <w:vMerge w:val="continue"/>
            <w:tcBorders>
              <w:top w:val="nil"/>
              <w:bottom w:val="nil"/>
            </w:tcBorders>
            <w:vAlign w:val="top"/>
          </w:tcPr>
          <w:p w14:paraId="755F0C03">
            <w:pPr>
              <w:rPr>
                <w:rFonts w:ascii="Arial"/>
                <w:color w:val="000000" w:themeColor="text1"/>
                <w:sz w:val="20"/>
                <w:szCs w:val="20"/>
                <w:highlight w:val="none"/>
                <w14:textFill>
                  <w14:solidFill>
                    <w14:schemeClr w14:val="tx1"/>
                  </w14:solidFill>
                </w14:textFill>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4" w:type="dxa"/>
            <w:vMerge w:val="continue"/>
            <w:tcBorders>
              <w:top w:val="nil"/>
              <w:bottom w:val="nil"/>
            </w:tcBorders>
            <w:vAlign w:val="top"/>
          </w:tcPr>
          <w:p w14:paraId="1E4FD8BE">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717C1582">
            <w:pPr>
              <w:rPr>
                <w:rFonts w:ascii="Arial"/>
                <w:color w:val="000000" w:themeColor="text1"/>
                <w:sz w:val="20"/>
                <w:szCs w:val="20"/>
                <w:highlight w:val="none"/>
                <w14:textFill>
                  <w14:solidFill>
                    <w14:schemeClr w14:val="tx1"/>
                  </w14:solidFill>
                </w14:textFill>
              </w:rPr>
            </w:pPr>
          </w:p>
        </w:tc>
        <w:tc>
          <w:tcPr>
            <w:tcW w:w="2936" w:type="dxa"/>
            <w:vAlign w:val="top"/>
          </w:tcPr>
          <w:p w14:paraId="0DEBF5D1">
            <w:pPr>
              <w:pStyle w:val="15"/>
              <w:spacing w:before="62" w:line="220" w:lineRule="auto"/>
              <w:ind w:left="102"/>
              <w:jc w:val="both"/>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5.参加政府采购活动前三年内</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,在经营活动中没有重大违法</w:t>
            </w:r>
            <w:r>
              <w:rPr>
                <w:color w:val="000000" w:themeColor="text1"/>
                <w:spacing w:val="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记录(注)</w:t>
            </w:r>
          </w:p>
        </w:tc>
        <w:tc>
          <w:tcPr>
            <w:tcW w:w="3649" w:type="dxa"/>
            <w:vMerge w:val="continue"/>
            <w:tcBorders>
              <w:top w:val="nil"/>
            </w:tcBorders>
            <w:vAlign w:val="top"/>
          </w:tcPr>
          <w:p w14:paraId="1BD5F1BF">
            <w:pPr>
              <w:rPr>
                <w:rFonts w:ascii="Arial"/>
                <w:color w:val="000000" w:themeColor="text1"/>
                <w:sz w:val="20"/>
                <w:szCs w:val="20"/>
                <w:highlight w:val="none"/>
                <w14:textFill>
                  <w14:solidFill>
                    <w14:schemeClr w14:val="tx1"/>
                  </w14:solidFill>
                </w14:textFill>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167069A0">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E50FB97">
            <w:pPr>
              <w:rPr>
                <w:rFonts w:ascii="Arial"/>
                <w:color w:val="000000" w:themeColor="text1"/>
                <w:sz w:val="20"/>
                <w:szCs w:val="20"/>
                <w:highlight w:val="none"/>
                <w14:textFill>
                  <w14:solidFill>
                    <w14:schemeClr w14:val="tx1"/>
                  </w14:solidFill>
                </w14:textFill>
              </w:rPr>
            </w:pPr>
          </w:p>
        </w:tc>
        <w:tc>
          <w:tcPr>
            <w:tcW w:w="2936" w:type="dxa"/>
            <w:vAlign w:val="top"/>
          </w:tcPr>
          <w:p w14:paraId="592FE142">
            <w:pPr>
              <w:pStyle w:val="15"/>
              <w:spacing w:before="35" w:line="207"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6.法律、行政法规规定的其他</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条件</w:t>
            </w:r>
          </w:p>
        </w:tc>
        <w:tc>
          <w:tcPr>
            <w:tcW w:w="3649" w:type="dxa"/>
            <w:vAlign w:val="top"/>
          </w:tcPr>
          <w:p w14:paraId="602BE5B0">
            <w:pPr>
              <w:rPr>
                <w:rFonts w:ascii="Arial"/>
                <w:color w:val="000000" w:themeColor="text1"/>
                <w:sz w:val="20"/>
                <w:szCs w:val="20"/>
                <w:highlight w:val="none"/>
                <w14:textFill>
                  <w14:solidFill>
                    <w14:schemeClr w14:val="tx1"/>
                  </w14:solidFill>
                </w14:textFill>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84" w:type="dxa"/>
            <w:vMerge w:val="continue"/>
            <w:tcBorders>
              <w:top w:val="nil"/>
            </w:tcBorders>
            <w:vAlign w:val="top"/>
          </w:tcPr>
          <w:p w14:paraId="33698B7B">
            <w:pPr>
              <w:rPr>
                <w:rFonts w:ascii="Arial"/>
                <w:color w:val="000000" w:themeColor="text1"/>
                <w:sz w:val="20"/>
                <w:szCs w:val="20"/>
                <w:highlight w:val="none"/>
                <w14:textFill>
                  <w14:solidFill>
                    <w14:schemeClr w14:val="tx1"/>
                  </w14:solidFill>
                </w14:textFill>
              </w:rPr>
            </w:pPr>
          </w:p>
        </w:tc>
        <w:tc>
          <w:tcPr>
            <w:tcW w:w="809" w:type="dxa"/>
            <w:vMerge w:val="continue"/>
            <w:tcBorders>
              <w:top w:val="nil"/>
            </w:tcBorders>
            <w:vAlign w:val="top"/>
          </w:tcPr>
          <w:p w14:paraId="45B9A637">
            <w:pPr>
              <w:rPr>
                <w:rFonts w:ascii="Arial"/>
                <w:color w:val="000000" w:themeColor="text1"/>
                <w:sz w:val="20"/>
                <w:szCs w:val="20"/>
                <w:highlight w:val="none"/>
                <w14:textFill>
                  <w14:solidFill>
                    <w14:schemeClr w14:val="tx1"/>
                  </w14:solidFill>
                </w14:textFill>
              </w:rPr>
            </w:pPr>
          </w:p>
        </w:tc>
        <w:tc>
          <w:tcPr>
            <w:tcW w:w="2936" w:type="dxa"/>
            <w:vAlign w:val="top"/>
          </w:tcPr>
          <w:p w14:paraId="4108354D">
            <w:pPr>
              <w:pStyle w:val="15"/>
              <w:spacing w:before="305" w:line="219" w:lineRule="auto"/>
              <w:ind w:left="10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7.本项目的特定资格要求</w:t>
            </w:r>
          </w:p>
        </w:tc>
        <w:tc>
          <w:tcPr>
            <w:tcW w:w="3649" w:type="dxa"/>
            <w:vAlign w:val="top"/>
          </w:tcPr>
          <w:p w14:paraId="503CDEF0">
            <w:pPr>
              <w:pStyle w:val="15"/>
              <w:spacing w:before="47" w:line="213" w:lineRule="auto"/>
              <w:ind w:left="86" w:right="152"/>
              <w:jc w:val="both"/>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按“第一篇三、供应商资格要求(三</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)本项目的特定资格要求”的要求提</w:t>
            </w:r>
            <w:r>
              <w:rPr>
                <w:color w:val="000000" w:themeColor="text1"/>
                <w:spacing w:val="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4" w:type="dxa"/>
            <w:vAlign w:val="top"/>
          </w:tcPr>
          <w:p w14:paraId="3F6F1AFD">
            <w:pPr>
              <w:pStyle w:val="15"/>
              <w:spacing w:before="311" w:line="222" w:lineRule="auto"/>
              <w:ind w:left="215"/>
              <w:rPr>
                <w:color w:val="000000" w:themeColor="text1"/>
                <w:sz w:val="20"/>
                <w:szCs w:val="20"/>
                <w:highlight w:val="none"/>
                <w14:textFill>
                  <w14:solidFill>
                    <w14:schemeClr w14:val="tx1"/>
                  </w14:solidFill>
                </w14:textFill>
              </w:rPr>
            </w:pPr>
            <w:r>
              <w:rPr>
                <w:color w:val="000000" w:themeColor="text1"/>
                <w:spacing w:val="16"/>
                <w:sz w:val="20"/>
                <w:szCs w:val="20"/>
                <w:highlight w:val="none"/>
                <w14:textFill>
                  <w14:solidFill>
                    <w14:schemeClr w14:val="tx1"/>
                  </w14:solidFill>
                </w14:textFill>
              </w:rPr>
              <w:t>(二)</w:t>
            </w:r>
          </w:p>
        </w:tc>
        <w:tc>
          <w:tcPr>
            <w:tcW w:w="3745" w:type="dxa"/>
            <w:gridSpan w:val="2"/>
            <w:vAlign w:val="top"/>
          </w:tcPr>
          <w:p w14:paraId="2FD2331D">
            <w:pPr>
              <w:pStyle w:val="15"/>
              <w:spacing w:before="306" w:line="219" w:lineRule="auto"/>
              <w:ind w:left="10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落实政府采购政策需满足的资格要求</w:t>
            </w:r>
          </w:p>
        </w:tc>
        <w:tc>
          <w:tcPr>
            <w:tcW w:w="3649" w:type="dxa"/>
            <w:vAlign w:val="top"/>
          </w:tcPr>
          <w:p w14:paraId="7EDE97BA">
            <w:pPr>
              <w:pStyle w:val="15"/>
              <w:spacing w:before="45" w:line="215" w:lineRule="auto"/>
              <w:ind w:left="86" w:right="111"/>
              <w:jc w:val="both"/>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按“第一篇三、供应商资格要求(二</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)落实政府采购政策需满足的资格要</w:t>
            </w:r>
            <w:r>
              <w:rPr>
                <w:color w:val="000000" w:themeColor="text1"/>
                <w:spacing w:val="1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求”的要求提交(如果有)。</w:t>
            </w:r>
          </w:p>
        </w:tc>
      </w:tr>
    </w:tbl>
    <w:p w14:paraId="7AE8DCE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p>
    <w:p w14:paraId="7120C4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根据《中华人民共和国政府采购法实施条例》第十九条“参加政府采购活动前三年内， 在经营活动中没有重大违法记录”中“重大违法记录”,是指供应商因违法经营受到刑事处 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  止日期前通过“信用中国”网站(</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"https://www.creditchina.gov.cn"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www.creditchina.gov.cn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)、"中国政府采购网"(</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www.ccgp.go</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)等渠道查询信用记录。</w:t>
      </w:r>
    </w:p>
    <w:p w14:paraId="1AAFEA1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(二)符合性审查</w:t>
      </w:r>
    </w:p>
    <w:p w14:paraId="54B72E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评标委员会应当对符合资格的供应商的响应文件进行符合性审查，以确定其是否满足比选文件的实质性要求。符合性审查资料表如下：</w:t>
      </w:r>
    </w:p>
    <w:p w14:paraId="140013E4">
      <w:pPr>
        <w:spacing w:line="73" w:lineRule="auto"/>
        <w:rPr>
          <w:rFonts w:ascii="Arial"/>
          <w:color w:val="000000" w:themeColor="text1"/>
          <w:sz w:val="2"/>
          <w:highlight w:val="none"/>
          <w14:textFill>
            <w14:solidFill>
              <w14:schemeClr w14:val="tx1"/>
            </w14:solidFill>
          </w14:textFill>
        </w:rPr>
      </w:pPr>
    </w:p>
    <w:tbl>
      <w:tblPr>
        <w:tblStyle w:val="14"/>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49"/>
        <w:gridCol w:w="2267"/>
        <w:gridCol w:w="462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Align w:val="top"/>
          </w:tcPr>
          <w:p w14:paraId="7D43F02E">
            <w:pPr>
              <w:pStyle w:val="15"/>
              <w:spacing w:before="52" w:line="211" w:lineRule="auto"/>
              <w:ind w:left="10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116" w:type="dxa"/>
            <w:gridSpan w:val="2"/>
            <w:vAlign w:val="top"/>
          </w:tcPr>
          <w:p w14:paraId="702F0DDB">
            <w:pPr>
              <w:pStyle w:val="15"/>
              <w:spacing w:before="50" w:line="213" w:lineRule="auto"/>
              <w:ind w:left="112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评审因素</w:t>
            </w:r>
          </w:p>
        </w:tc>
        <w:tc>
          <w:tcPr>
            <w:tcW w:w="4620" w:type="dxa"/>
            <w:vAlign w:val="top"/>
          </w:tcPr>
          <w:p w14:paraId="0DDC578D">
            <w:pPr>
              <w:pStyle w:val="15"/>
              <w:spacing w:before="51" w:line="212" w:lineRule="auto"/>
              <w:ind w:left="1868"/>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1364FFA9">
            <w:pPr>
              <w:spacing w:line="251" w:lineRule="auto"/>
              <w:rPr>
                <w:rFonts w:ascii="Arial"/>
                <w:color w:val="000000" w:themeColor="text1"/>
                <w:sz w:val="20"/>
                <w:szCs w:val="20"/>
                <w:highlight w:val="none"/>
                <w14:textFill>
                  <w14:solidFill>
                    <w14:schemeClr w14:val="tx1"/>
                  </w14:solidFill>
                </w14:textFill>
              </w:rPr>
            </w:pPr>
          </w:p>
          <w:p w14:paraId="0F1A2C55">
            <w:pPr>
              <w:spacing w:line="251" w:lineRule="auto"/>
              <w:rPr>
                <w:rFonts w:ascii="Arial"/>
                <w:color w:val="000000" w:themeColor="text1"/>
                <w:sz w:val="20"/>
                <w:szCs w:val="20"/>
                <w:highlight w:val="none"/>
                <w14:textFill>
                  <w14:solidFill>
                    <w14:schemeClr w14:val="tx1"/>
                  </w14:solidFill>
                </w14:textFill>
              </w:rPr>
            </w:pPr>
          </w:p>
          <w:p w14:paraId="245763E0">
            <w:pPr>
              <w:spacing w:line="251" w:lineRule="auto"/>
              <w:rPr>
                <w:rFonts w:ascii="Arial"/>
                <w:color w:val="000000" w:themeColor="text1"/>
                <w:sz w:val="20"/>
                <w:szCs w:val="20"/>
                <w:highlight w:val="none"/>
                <w14:textFill>
                  <w14:solidFill>
                    <w14:schemeClr w14:val="tx1"/>
                  </w14:solidFill>
                </w14:textFill>
              </w:rPr>
            </w:pPr>
          </w:p>
          <w:p w14:paraId="1AFCBFF6">
            <w:pPr>
              <w:spacing w:line="251" w:lineRule="auto"/>
              <w:rPr>
                <w:rFonts w:ascii="Arial"/>
                <w:color w:val="000000" w:themeColor="text1"/>
                <w:sz w:val="20"/>
                <w:szCs w:val="20"/>
                <w:highlight w:val="none"/>
                <w14:textFill>
                  <w14:solidFill>
                    <w14:schemeClr w14:val="tx1"/>
                  </w14:solidFill>
                </w14:textFill>
              </w:rPr>
            </w:pPr>
          </w:p>
          <w:p w14:paraId="63291A11">
            <w:pPr>
              <w:pStyle w:val="15"/>
              <w:spacing w:before="71"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w:t>
            </w:r>
          </w:p>
        </w:tc>
        <w:tc>
          <w:tcPr>
            <w:tcW w:w="849" w:type="dxa"/>
            <w:vMerge w:val="restart"/>
            <w:tcBorders>
              <w:bottom w:val="nil"/>
            </w:tcBorders>
            <w:vAlign w:val="top"/>
          </w:tcPr>
          <w:p w14:paraId="4C600AED">
            <w:pPr>
              <w:spacing w:line="284" w:lineRule="auto"/>
              <w:rPr>
                <w:rFonts w:ascii="Arial"/>
                <w:color w:val="000000" w:themeColor="text1"/>
                <w:sz w:val="20"/>
                <w:szCs w:val="20"/>
                <w:highlight w:val="none"/>
                <w14:textFill>
                  <w14:solidFill>
                    <w14:schemeClr w14:val="tx1"/>
                  </w14:solidFill>
                </w14:textFill>
              </w:rPr>
            </w:pPr>
          </w:p>
          <w:p w14:paraId="791ED299">
            <w:pPr>
              <w:spacing w:line="284" w:lineRule="auto"/>
              <w:rPr>
                <w:rFonts w:ascii="Arial"/>
                <w:color w:val="000000" w:themeColor="text1"/>
                <w:sz w:val="20"/>
                <w:szCs w:val="20"/>
                <w:highlight w:val="none"/>
                <w14:textFill>
                  <w14:solidFill>
                    <w14:schemeClr w14:val="tx1"/>
                  </w14:solidFill>
                </w14:textFill>
              </w:rPr>
            </w:pPr>
          </w:p>
          <w:p w14:paraId="7F3240DB">
            <w:pPr>
              <w:spacing w:line="285" w:lineRule="auto"/>
              <w:rPr>
                <w:rFonts w:ascii="Arial"/>
                <w:color w:val="000000" w:themeColor="text1"/>
                <w:sz w:val="20"/>
                <w:szCs w:val="20"/>
                <w:highlight w:val="none"/>
                <w14:textFill>
                  <w14:solidFill>
                    <w14:schemeClr w14:val="tx1"/>
                  </w14:solidFill>
                </w14:textFill>
              </w:rPr>
            </w:pPr>
          </w:p>
          <w:p w14:paraId="6B50125D">
            <w:pPr>
              <w:pStyle w:val="15"/>
              <w:spacing w:before="72" w:line="229" w:lineRule="auto"/>
              <w:ind w:left="90" w:right="107"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有效性</w:t>
            </w:r>
            <w:r>
              <w:rPr>
                <w:color w:val="000000" w:themeColor="text1"/>
                <w:spacing w:val="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7A8A4EAF">
            <w:pPr>
              <w:pStyle w:val="15"/>
              <w:spacing w:before="168"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响应文件签署或盖章</w:t>
            </w:r>
          </w:p>
        </w:tc>
        <w:tc>
          <w:tcPr>
            <w:tcW w:w="4620" w:type="dxa"/>
            <w:vAlign w:val="top"/>
          </w:tcPr>
          <w:p w14:paraId="7A37027E">
            <w:pPr>
              <w:pStyle w:val="15"/>
              <w:spacing w:before="28" w:line="214"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按竞争性比选文件“第七篇响应文件编制要</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4" w:type="dxa"/>
            <w:vMerge w:val="continue"/>
            <w:tcBorders>
              <w:top w:val="nil"/>
              <w:bottom w:val="nil"/>
            </w:tcBorders>
            <w:vAlign w:val="top"/>
          </w:tcPr>
          <w:p w14:paraId="7FD6A3B7">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6ED80C39">
            <w:pPr>
              <w:rPr>
                <w:rFonts w:ascii="Arial"/>
                <w:color w:val="000000" w:themeColor="text1"/>
                <w:sz w:val="20"/>
                <w:szCs w:val="20"/>
                <w:highlight w:val="none"/>
                <w14:textFill>
                  <w14:solidFill>
                    <w14:schemeClr w14:val="tx1"/>
                  </w14:solidFill>
                </w14:textFill>
              </w:rPr>
            </w:pPr>
          </w:p>
        </w:tc>
        <w:tc>
          <w:tcPr>
            <w:tcW w:w="2267" w:type="dxa"/>
            <w:vAlign w:val="top"/>
          </w:tcPr>
          <w:p w14:paraId="25116D50">
            <w:pPr>
              <w:pStyle w:val="15"/>
              <w:spacing w:before="181" w:line="219" w:lineRule="auto"/>
              <w:ind w:left="81" w:right="151" w:firstLine="2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法定代表人身份证明</w:t>
            </w:r>
            <w:r>
              <w:rPr>
                <w:color w:val="000000" w:themeColor="text1"/>
                <w:spacing w:val="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及授权委托书</w:t>
            </w:r>
          </w:p>
        </w:tc>
        <w:tc>
          <w:tcPr>
            <w:tcW w:w="4620" w:type="dxa"/>
            <w:vAlign w:val="top"/>
          </w:tcPr>
          <w:p w14:paraId="56053FE2">
            <w:pPr>
              <w:pStyle w:val="15"/>
              <w:spacing w:before="50" w:line="218" w:lineRule="auto"/>
              <w:ind w:left="104" w:right="11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法定代表人身份证明及授权委托书有效，符合</w:t>
            </w:r>
            <w:r>
              <w:rPr>
                <w:color w:val="000000" w:themeColor="text1"/>
                <w:spacing w:val="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竞争性比选文件规定的格式，签署或盖章齐</w:t>
            </w:r>
          </w:p>
          <w:p w14:paraId="19FE7699">
            <w:pPr>
              <w:pStyle w:val="15"/>
              <w:spacing w:line="19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74" w:type="dxa"/>
            <w:vMerge w:val="continue"/>
            <w:tcBorders>
              <w:top w:val="nil"/>
              <w:bottom w:val="nil"/>
            </w:tcBorders>
            <w:vAlign w:val="top"/>
          </w:tcPr>
          <w:p w14:paraId="730128CD">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16A68456">
            <w:pPr>
              <w:rPr>
                <w:rFonts w:ascii="Arial"/>
                <w:color w:val="000000" w:themeColor="text1"/>
                <w:sz w:val="20"/>
                <w:szCs w:val="20"/>
                <w:highlight w:val="none"/>
                <w14:textFill>
                  <w14:solidFill>
                    <w14:schemeClr w14:val="tx1"/>
                  </w14:solidFill>
                </w14:textFill>
              </w:rPr>
            </w:pPr>
          </w:p>
        </w:tc>
        <w:tc>
          <w:tcPr>
            <w:tcW w:w="2267" w:type="dxa"/>
            <w:vAlign w:val="top"/>
          </w:tcPr>
          <w:p w14:paraId="5199770C">
            <w:pPr>
              <w:pStyle w:val="15"/>
              <w:spacing w:before="83" w:line="220"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响应方案</w:t>
            </w:r>
          </w:p>
        </w:tc>
        <w:tc>
          <w:tcPr>
            <w:tcW w:w="4620" w:type="dxa"/>
            <w:vAlign w:val="top"/>
          </w:tcPr>
          <w:p w14:paraId="2A1E3581">
            <w:pPr>
              <w:pStyle w:val="15"/>
              <w:spacing w:before="83" w:line="21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4" w:type="dxa"/>
            <w:vMerge w:val="continue"/>
            <w:tcBorders>
              <w:top w:val="nil"/>
            </w:tcBorders>
            <w:vAlign w:val="top"/>
          </w:tcPr>
          <w:p w14:paraId="704F2873">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5FC5843B">
            <w:pPr>
              <w:rPr>
                <w:rFonts w:ascii="Arial"/>
                <w:color w:val="000000" w:themeColor="text1"/>
                <w:sz w:val="20"/>
                <w:szCs w:val="20"/>
                <w:highlight w:val="none"/>
                <w14:textFill>
                  <w14:solidFill>
                    <w14:schemeClr w14:val="tx1"/>
                  </w14:solidFill>
                </w14:textFill>
              </w:rPr>
            </w:pPr>
          </w:p>
        </w:tc>
        <w:tc>
          <w:tcPr>
            <w:tcW w:w="2267" w:type="dxa"/>
            <w:vAlign w:val="top"/>
          </w:tcPr>
          <w:p w14:paraId="7E456632">
            <w:pPr>
              <w:pStyle w:val="15"/>
              <w:spacing w:before="172" w:line="218"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报价唯一</w:t>
            </w:r>
          </w:p>
        </w:tc>
        <w:tc>
          <w:tcPr>
            <w:tcW w:w="4620" w:type="dxa"/>
            <w:vAlign w:val="top"/>
          </w:tcPr>
          <w:p w14:paraId="1A453FAD">
            <w:pPr>
              <w:pStyle w:val="15"/>
              <w:spacing w:before="172" w:line="218"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74" w:type="dxa"/>
            <w:vAlign w:val="top"/>
          </w:tcPr>
          <w:p w14:paraId="2B40ABA8">
            <w:pPr>
              <w:pStyle w:val="15"/>
              <w:spacing w:before="267"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w:t>
            </w:r>
          </w:p>
        </w:tc>
        <w:tc>
          <w:tcPr>
            <w:tcW w:w="849" w:type="dxa"/>
            <w:vAlign w:val="top"/>
          </w:tcPr>
          <w:p w14:paraId="4F0D7F4A">
            <w:pPr>
              <w:pStyle w:val="15"/>
              <w:spacing w:before="104" w:line="230" w:lineRule="auto"/>
              <w:ind w:left="90" w:right="108"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完整性</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38C88867">
            <w:pPr>
              <w:pStyle w:val="15"/>
              <w:spacing w:before="245"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响应文件份数</w:t>
            </w:r>
          </w:p>
        </w:tc>
        <w:tc>
          <w:tcPr>
            <w:tcW w:w="4620" w:type="dxa"/>
            <w:vAlign w:val="top"/>
          </w:tcPr>
          <w:p w14:paraId="407B68F3">
            <w:pPr>
              <w:pStyle w:val="15"/>
              <w:spacing w:before="105" w:line="237"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响应文件正、副本数量(含电子文档)符合竞</w:t>
            </w:r>
            <w:r>
              <w:rPr>
                <w:color w:val="000000" w:themeColor="text1"/>
                <w:spacing w:val="1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6D67E5DF">
            <w:pPr>
              <w:spacing w:line="295" w:lineRule="auto"/>
              <w:rPr>
                <w:rFonts w:ascii="Arial"/>
                <w:color w:val="000000" w:themeColor="text1"/>
                <w:sz w:val="20"/>
                <w:szCs w:val="20"/>
                <w:highlight w:val="none"/>
                <w14:textFill>
                  <w14:solidFill>
                    <w14:schemeClr w14:val="tx1"/>
                  </w14:solidFill>
                </w14:textFill>
              </w:rPr>
            </w:pPr>
          </w:p>
          <w:p w14:paraId="22AFBA98">
            <w:pPr>
              <w:pStyle w:val="15"/>
              <w:spacing w:before="71"/>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3</w:t>
            </w:r>
          </w:p>
        </w:tc>
        <w:tc>
          <w:tcPr>
            <w:tcW w:w="849" w:type="dxa"/>
            <w:vMerge w:val="restart"/>
            <w:tcBorders>
              <w:bottom w:val="nil"/>
            </w:tcBorders>
            <w:vAlign w:val="top"/>
          </w:tcPr>
          <w:p w14:paraId="665163B8">
            <w:pPr>
              <w:pStyle w:val="15"/>
              <w:spacing w:before="21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响应程</w:t>
            </w:r>
          </w:p>
          <w:p w14:paraId="6BE82E2D">
            <w:pPr>
              <w:pStyle w:val="15"/>
              <w:spacing w:before="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度审查</w:t>
            </w:r>
          </w:p>
        </w:tc>
        <w:tc>
          <w:tcPr>
            <w:tcW w:w="2267" w:type="dxa"/>
            <w:vAlign w:val="top"/>
          </w:tcPr>
          <w:p w14:paraId="256D1122">
            <w:pPr>
              <w:pStyle w:val="15"/>
              <w:spacing w:before="177" w:line="220"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实质性响应</w:t>
            </w:r>
          </w:p>
        </w:tc>
        <w:tc>
          <w:tcPr>
            <w:tcW w:w="4620" w:type="dxa"/>
            <w:vAlign w:val="top"/>
          </w:tcPr>
          <w:p w14:paraId="71EA1D64">
            <w:pPr>
              <w:pStyle w:val="15"/>
              <w:spacing w:before="57" w:line="202" w:lineRule="auto"/>
              <w:ind w:left="114" w:right="83"/>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竞争性比选文件第二篇、第三篇“※”标注部</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4" w:type="dxa"/>
            <w:vMerge w:val="continue"/>
            <w:tcBorders>
              <w:top w:val="nil"/>
            </w:tcBorders>
            <w:vAlign w:val="top"/>
          </w:tcPr>
          <w:p w14:paraId="4011154F">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07504515">
            <w:pPr>
              <w:rPr>
                <w:rFonts w:ascii="Arial"/>
                <w:color w:val="000000" w:themeColor="text1"/>
                <w:sz w:val="20"/>
                <w:szCs w:val="20"/>
                <w:highlight w:val="none"/>
                <w14:textFill>
                  <w14:solidFill>
                    <w14:schemeClr w14:val="tx1"/>
                  </w14:solidFill>
                </w14:textFill>
              </w:rPr>
            </w:pPr>
          </w:p>
        </w:tc>
        <w:tc>
          <w:tcPr>
            <w:tcW w:w="2267" w:type="dxa"/>
            <w:vAlign w:val="top"/>
          </w:tcPr>
          <w:p w14:paraId="1374AE0B">
            <w:pPr>
              <w:pStyle w:val="15"/>
              <w:spacing w:before="68" w:line="214"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比选有效期</w:t>
            </w:r>
          </w:p>
        </w:tc>
        <w:tc>
          <w:tcPr>
            <w:tcW w:w="4620" w:type="dxa"/>
            <w:vAlign w:val="top"/>
          </w:tcPr>
          <w:p w14:paraId="1787432B">
            <w:pPr>
              <w:pStyle w:val="15"/>
              <w:spacing w:before="68" w:line="214"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投标有效期为投标截止时间起90天。</w:t>
            </w:r>
          </w:p>
        </w:tc>
      </w:tr>
    </w:tbl>
    <w:p w14:paraId="4D793A6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二、评标方法</w:t>
      </w:r>
    </w:p>
    <w:p w14:paraId="0D78645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本项目采用综合评分法进行评标。</w:t>
      </w:r>
    </w:p>
    <w:p w14:paraId="39CBE32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综合评分法，是指响应文件满足比选文件全部实质性要求且按照评审因素的量化指标 评审得分最高的供应商为成交供应商的评标方法。供应商总得分为报价、技术等评定因素 分别按照相应权重值计算分项得分后相加，满分为100分。</w:t>
      </w:r>
    </w:p>
    <w:p w14:paraId="31071AC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澄清有关问题。对响应文件中含义不明确、同类问题表述不一致或者有明显文字和计 算错误的内容，评标委员会可以书面形式(应当由评标委员会成员签字)要求供应商作出 必要澄清、说明或者补正。供应商的澄清、说明或者补正应当采用书面形式，由其法定代 表人(或其授权代表)或自然人(供应商为自然人)签字，其澄清的内容不得超出响应文 件的范围或者改变响应文件的实质性内容。</w:t>
      </w:r>
    </w:p>
    <w:p w14:paraId="555EC0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(一)比较与评价。按比选文件中规定的评标方法和标准，对资格审查和符合性审查 合格的响应文件进行商务和技术评估。</w:t>
      </w:r>
    </w:p>
    <w:p w14:paraId="34AE23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评标委员会各成员独立对每个有效供应商(通过资格审查、符合性审查的供应商)的 响应文件进行评价、打分，然后由评标委员会对各成员打分情况进行核查及复核，个别成 员对同一供应商同一评分项的打分偏离较大的，应对供应商的响应文件进行再次核对，确 属打分有误的，应及时进行修正。</w:t>
      </w:r>
    </w:p>
    <w:p w14:paraId="4F0B4B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复核后，评标委员会汇总每个供应商每项评分因素的得分。</w:t>
      </w:r>
    </w:p>
    <w:p w14:paraId="5429E47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(二)推荐成交供应商名单。</w:t>
      </w:r>
    </w:p>
    <w:p w14:paraId="4EF9905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按评审后得分由高到低的排列顺序推荐综合得分排名前三的供应商为本包(项目)成 交供应商，排名第一的为第一成交供应商。得分相同的，按投标报价由低到高顺序排列。 得分且投标报价相同的并列。技术部分得分为0分的供应商，将失去成为成交供应商的资 格。</w:t>
      </w:r>
    </w:p>
    <w:p w14:paraId="3BA3486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三、评审标准</w:t>
      </w:r>
    </w:p>
    <w:p w14:paraId="0ECE72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(一)评审因素</w:t>
      </w:r>
    </w:p>
    <w:tbl>
      <w:tblPr>
        <w:tblStyle w:val="11"/>
        <w:tblW w:w="1006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69"/>
        <w:gridCol w:w="944"/>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16A28EB5">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序号</w:t>
            </w:r>
          </w:p>
        </w:tc>
        <w:tc>
          <w:tcPr>
            <w:tcW w:w="1269" w:type="dxa"/>
            <w:noWrap w:val="0"/>
            <w:vAlign w:val="center"/>
          </w:tcPr>
          <w:p w14:paraId="4F35200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评分因素及权值</w:t>
            </w:r>
          </w:p>
        </w:tc>
        <w:tc>
          <w:tcPr>
            <w:tcW w:w="944" w:type="dxa"/>
            <w:noWrap w:val="0"/>
            <w:vAlign w:val="center"/>
          </w:tcPr>
          <w:p w14:paraId="0807123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分值</w:t>
            </w:r>
          </w:p>
        </w:tc>
        <w:tc>
          <w:tcPr>
            <w:tcW w:w="4394" w:type="dxa"/>
            <w:noWrap w:val="0"/>
            <w:vAlign w:val="center"/>
          </w:tcPr>
          <w:p w14:paraId="3865B553">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评分标准</w:t>
            </w:r>
          </w:p>
        </w:tc>
        <w:tc>
          <w:tcPr>
            <w:tcW w:w="2716" w:type="dxa"/>
            <w:noWrap w:val="0"/>
            <w:vAlign w:val="center"/>
          </w:tcPr>
          <w:p w14:paraId="18914DDD">
            <w:pPr>
              <w:pStyle w:val="16"/>
              <w:spacing w:before="0" w:after="0" w:line="24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37537B0B">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1269" w:type="dxa"/>
            <w:noWrap w:val="0"/>
            <w:vAlign w:val="center"/>
          </w:tcPr>
          <w:p w14:paraId="485BC61D">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投标</w:t>
            </w:r>
            <w:r>
              <w:rPr>
                <w:rFonts w:hint="eastAsia" w:ascii="宋体" w:hAnsi="宋体" w:eastAsia="宋体" w:cs="宋体"/>
                <w:color w:val="000000" w:themeColor="text1"/>
                <w:sz w:val="20"/>
                <w:szCs w:val="20"/>
                <w:highlight w:val="none"/>
                <w14:textFill>
                  <w14:solidFill>
                    <w14:schemeClr w14:val="tx1"/>
                  </w14:solidFill>
                </w14:textFill>
              </w:rPr>
              <w:t>报价</w:t>
            </w:r>
          </w:p>
          <w:p w14:paraId="1DCBD6A0">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944" w:type="dxa"/>
            <w:noWrap w:val="0"/>
            <w:vAlign w:val="center"/>
          </w:tcPr>
          <w:p w14:paraId="1A9D9EDB">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4394" w:type="dxa"/>
            <w:noWrap w:val="0"/>
            <w:vAlign w:val="center"/>
          </w:tcPr>
          <w:p w14:paraId="27ED2B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满足资格性、符合性要求的所有供应商的最低价为评标基准价，按照下列公式计算每个供应商的投标报价得分。</w:t>
            </w:r>
          </w:p>
          <w:p w14:paraId="0B5DDB2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投标报价得分=（评标基准价/投标报价）×价格权值×100。</w:t>
            </w:r>
          </w:p>
        </w:tc>
        <w:tc>
          <w:tcPr>
            <w:tcW w:w="2716" w:type="dxa"/>
            <w:noWrap w:val="0"/>
            <w:vAlign w:val="center"/>
          </w:tcPr>
          <w:p w14:paraId="6E25DA3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9" w:type="dxa"/>
            <w:vMerge w:val="restart"/>
            <w:noWrap w:val="0"/>
            <w:vAlign w:val="center"/>
          </w:tcPr>
          <w:p w14:paraId="6A3A2282">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1269" w:type="dxa"/>
            <w:vMerge w:val="restart"/>
            <w:noWrap w:val="0"/>
            <w:vAlign w:val="center"/>
          </w:tcPr>
          <w:p w14:paraId="5FC0656C">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施工方案(70%)</w:t>
            </w:r>
          </w:p>
        </w:tc>
        <w:tc>
          <w:tcPr>
            <w:tcW w:w="944" w:type="dxa"/>
            <w:vMerge w:val="restart"/>
            <w:noWrap w:val="0"/>
            <w:vAlign w:val="center"/>
          </w:tcPr>
          <w:p w14:paraId="6ABE296A">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70</w:t>
            </w:r>
          </w:p>
        </w:tc>
        <w:tc>
          <w:tcPr>
            <w:tcW w:w="4394" w:type="dxa"/>
            <w:noWrap w:val="0"/>
            <w:vAlign w:val="center"/>
          </w:tcPr>
          <w:p w14:paraId="409F82F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施工方案与技术措施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11F047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供应商提供的施工方案与技术措施进行评分，内容包括但不限于：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施工内容及工程实际情况编制</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总体工程和各分部分项工程施工方案</w:t>
            </w:r>
            <w:r>
              <w:rPr>
                <w:rFonts w:hint="eastAsia" w:ascii="宋体" w:hAnsi="宋体" w:eastAsia="宋体" w:cs="宋体"/>
                <w:color w:val="000000" w:themeColor="text1"/>
                <w:sz w:val="20"/>
                <w:szCs w:val="20"/>
                <w:highlight w:val="none"/>
                <w:lang w:val="en-US" w:eastAsia="zh-CN"/>
                <w14:textFill>
                  <w14:solidFill>
                    <w14:schemeClr w14:val="tx1"/>
                  </w14:solidFill>
                </w14:textFill>
              </w:rPr>
              <w:t>编制、</w:t>
            </w:r>
            <w:r>
              <w:rPr>
                <w:rFonts w:hint="eastAsia" w:ascii="宋体" w:hAnsi="宋体" w:eastAsia="宋体" w:cs="宋体"/>
                <w:color w:val="000000" w:themeColor="text1"/>
                <w:sz w:val="20"/>
                <w:szCs w:val="20"/>
                <w:highlight w:val="none"/>
                <w14:textFill>
                  <w14:solidFill>
                    <w14:schemeClr w14:val="tx1"/>
                  </w14:solidFill>
                </w14:textFill>
              </w:rPr>
              <w:t>结合工程特点提出切实可行的技术组织措施。</w:t>
            </w:r>
          </w:p>
          <w:p w14:paraId="6AEE6D54">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DA9D4D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04454B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259B1A17">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restart"/>
            <w:noWrap w:val="0"/>
            <w:vAlign w:val="center"/>
          </w:tcPr>
          <w:p w14:paraId="72DDA97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注： </w:t>
            </w:r>
          </w:p>
          <w:p w14:paraId="7577E868">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（1）评标委员会按技术部分各评审因素设定的分值评分。</w:t>
            </w:r>
          </w:p>
          <w:p w14:paraId="713D66C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（2）所有评委打分取算术平均值为该投标人技术部分得分。</w:t>
            </w:r>
          </w:p>
          <w:p w14:paraId="08C8DD19">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9" w:type="dxa"/>
            <w:vMerge w:val="continue"/>
            <w:noWrap w:val="0"/>
            <w:vAlign w:val="center"/>
          </w:tcPr>
          <w:p w14:paraId="791D3A8A">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5623F4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57E03B14">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0A00FDD">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质量管理体系与措施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4A0FF8C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供应商提供的质量管理体系与措施进行评分，内容包括但不限于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明确具体可行的质量管理制度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质量</w:t>
            </w:r>
            <w:r>
              <w:rPr>
                <w:rFonts w:hint="eastAsia" w:ascii="宋体" w:hAnsi="宋体" w:eastAsia="宋体" w:cs="宋体"/>
                <w:color w:val="000000" w:themeColor="text1"/>
                <w:sz w:val="20"/>
                <w:szCs w:val="20"/>
                <w:highlight w:val="none"/>
                <w:lang w:val="en-US" w:eastAsia="zh-CN"/>
                <w14:textFill>
                  <w14:solidFill>
                    <w14:schemeClr w14:val="tx1"/>
                  </w14:solidFill>
                </w14:textFill>
              </w:rPr>
              <w:t>管理</w:t>
            </w:r>
            <w:r>
              <w:rPr>
                <w:rFonts w:hint="eastAsia" w:ascii="宋体" w:hAnsi="宋体" w:eastAsia="宋体" w:cs="宋体"/>
                <w:color w:val="000000" w:themeColor="text1"/>
                <w:sz w:val="20"/>
                <w:szCs w:val="20"/>
                <w:highlight w:val="none"/>
                <w14:textFill>
                  <w14:solidFill>
                    <w14:schemeClr w14:val="tx1"/>
                  </w14:solidFill>
                </w14:textFill>
              </w:rPr>
              <w:t>目标、质量管理措施等具体要求。</w:t>
            </w:r>
          </w:p>
          <w:p w14:paraId="2754D59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20EAE89">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4BDFDD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5E71D4F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1066B95B">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9" w:type="dxa"/>
            <w:vMerge w:val="continue"/>
            <w:noWrap w:val="0"/>
            <w:vAlign w:val="center"/>
          </w:tcPr>
          <w:p w14:paraId="419AE10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091A900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70528B29">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DFBBBD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1C7B8C8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的安全管理体系与措施进行评分，内容包括但不限于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明确具体可行的安全管理制度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安全目标、劳动安全措施、交通安全措施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178E36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E738E3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EDAF4F3">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B15EAF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2D1D67C">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9" w:type="dxa"/>
            <w:vMerge w:val="continue"/>
            <w:noWrap w:val="0"/>
            <w:vAlign w:val="center"/>
          </w:tcPr>
          <w:p w14:paraId="490388AE">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CA1E5D3">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3B245B17">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32BC830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环境保护管理体系措施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8E25890">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的环境保护管理体系措施进行评分，内容包括但不限于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明确具体可行的环境保护管理制度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环境保护目标、环境保护措施。</w:t>
            </w:r>
          </w:p>
          <w:p w14:paraId="3B70D28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C00D0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9EF0C38">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4D1C939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ACE070D">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9" w:type="dxa"/>
            <w:vMerge w:val="continue"/>
            <w:noWrap w:val="0"/>
            <w:vAlign w:val="center"/>
          </w:tcPr>
          <w:p w14:paraId="67119D9C">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52ADEA5B">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03577D6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top"/>
          </w:tcPr>
          <w:p w14:paraId="218212A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应急方案（10分）：</w:t>
            </w:r>
          </w:p>
          <w:p w14:paraId="6954B67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对于突击检查、重大活动、极端天气、疫情等情况有完备的应急处理方案，包括人员及设备数量的配备等。</w:t>
            </w:r>
          </w:p>
          <w:p w14:paraId="0E0973D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3D6D963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14FBFBC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B194420">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5D5C2356">
            <w:pPr>
              <w:widowControl/>
              <w:rPr>
                <w:rFonts w:hint="eastAsia" w:ascii="宋体" w:hAnsi="宋体" w:eastAsia="宋体" w:cs="宋体"/>
                <w:color w:val="000000" w:themeColor="text1"/>
                <w:sz w:val="20"/>
                <w:szCs w:val="20"/>
                <w:highlight w:val="none"/>
                <w14:textFill>
                  <w14:solidFill>
                    <w14:schemeClr w14:val="tx1"/>
                  </w14:solidFill>
                </w14:textFill>
              </w:rPr>
            </w:pPr>
          </w:p>
        </w:tc>
      </w:tr>
    </w:tbl>
    <w:p w14:paraId="4F249B1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7" w:name="bookmark11"/>
      <w:bookmarkEnd w:id="7"/>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有关说明：1.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5FAD40C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四、无效响应条款</w:t>
      </w:r>
    </w:p>
    <w:p w14:paraId="0C7FC49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供应商或其响应文件出现下列情况之一者，应为无效投标：</w:t>
      </w:r>
    </w:p>
    <w:p w14:paraId="6428D6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(一)未按照竞争性比选有关说明要求的；</w:t>
      </w:r>
    </w:p>
    <w:p w14:paraId="4ECD0EC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(二)响应文件未按竞争性比选文件要求签署、盖章的；</w:t>
      </w:r>
    </w:p>
    <w:p w14:paraId="7FF8FD8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(三)不具备竞争性比选文件中规定的资格要求的；</w:t>
      </w:r>
    </w:p>
    <w:p w14:paraId="3B5430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(四)报价超过竞争性比选文件中规定的预算金额或者最高限价的；</w:t>
      </w:r>
    </w:p>
    <w:p w14:paraId="5A4BA8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(五)响应文件含有采购人不能接受的附加条件的；</w:t>
      </w:r>
    </w:p>
    <w:p w14:paraId="533F98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(六)供应商串通投标的；</w:t>
      </w:r>
    </w:p>
    <w:p w14:paraId="2C0013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(七)响应文件资料内容前后不一致或缺失的；</w:t>
      </w:r>
    </w:p>
    <w:p w14:paraId="4C453B0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(八)供应商进行合同分包的；</w:t>
      </w:r>
    </w:p>
    <w:p w14:paraId="5F64F1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(九)法律、法规和比选文件规定的其他无效情形。</w:t>
      </w:r>
    </w:p>
    <w:p w14:paraId="4F49531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五、废标条款</w:t>
      </w:r>
    </w:p>
    <w:p w14:paraId="769077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在招标采购中，出现下列情形之一的，应予废标：</w:t>
      </w:r>
    </w:p>
    <w:p w14:paraId="4B886A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(一)符合专业条件的供应商或者对竞争性比选文件作实质响应的供应商不足三家的；</w:t>
      </w:r>
    </w:p>
    <w:p w14:paraId="7C7FC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(二)供应商的报价均超过了最高限价；</w:t>
      </w:r>
    </w:p>
    <w:p w14:paraId="6B33E4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(三)出现影响采购公正的违法、违规行为的；</w:t>
      </w:r>
    </w:p>
    <w:p w14:paraId="5E68D5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(四)因重大变故，采购任务取消的。</w:t>
      </w:r>
    </w:p>
    <w:p w14:paraId="171E08B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废标后，除招标任务取消情形外，应当重新组织招标。</w:t>
      </w:r>
    </w:p>
    <w:p w14:paraId="665B4582">
      <w:pPr>
        <w:spacing w:line="219" w:lineRule="auto"/>
        <w:rPr>
          <w:rFonts w:ascii="宋体" w:hAnsi="宋体" w:eastAsia="宋体" w:cs="宋体"/>
          <w:color w:val="000000" w:themeColor="text1"/>
          <w:sz w:val="21"/>
          <w:szCs w:val="21"/>
          <w:highlight w:val="none"/>
          <w14:textFill>
            <w14:solidFill>
              <w14:schemeClr w14:val="tx1"/>
            </w14:solidFill>
          </w14:textFill>
        </w:rPr>
        <w:sectPr>
          <w:footerReference r:id="rId8" w:type="default"/>
          <w:pgSz w:w="11910" w:h="16840"/>
          <w:pgMar w:top="1431" w:right="1786" w:bottom="1472" w:left="1779" w:header="0" w:footer="1337" w:gutter="0"/>
          <w:pgNumType w:fmt="decimal"/>
          <w:cols w:space="720" w:num="1"/>
        </w:sectPr>
      </w:pPr>
    </w:p>
    <w:p w14:paraId="52411CE0">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8" w:name="_Toc12831"/>
      <w:r>
        <w:rPr>
          <w:rFonts w:ascii="宋体" w:hAnsi="宋体" w:eastAsia="宋体" w:cs="宋体"/>
          <w:b/>
          <w:bCs/>
          <w:color w:val="000000" w:themeColor="text1"/>
          <w:spacing w:val="-5"/>
          <w:sz w:val="32"/>
          <w:szCs w:val="32"/>
          <w:highlight w:val="none"/>
          <w14:textFill>
            <w14:solidFill>
              <w14:schemeClr w14:val="tx1"/>
            </w14:solidFill>
          </w14:textFill>
        </w:rPr>
        <w:t>第五篇  供应商须知</w:t>
      </w:r>
      <w:bookmarkEnd w:id="8"/>
    </w:p>
    <w:p w14:paraId="61D0B2D4">
      <w:pPr>
        <w:pStyle w:val="4"/>
        <w:spacing w:line="359" w:lineRule="auto"/>
        <w:rPr>
          <w:color w:val="000000" w:themeColor="text1"/>
          <w:highlight w:val="none"/>
          <w14:textFill>
            <w14:solidFill>
              <w14:schemeClr w14:val="tx1"/>
            </w14:solidFill>
          </w14:textFill>
        </w:rPr>
      </w:pPr>
    </w:p>
    <w:p w14:paraId="14BD54F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一、供应商</w:t>
      </w:r>
    </w:p>
    <w:p w14:paraId="6A5E692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(一)供应商</w:t>
      </w:r>
    </w:p>
    <w:p w14:paraId="455D828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供应商是指响应招标、参加投标竞争的法人、其他组织或者自然人。</w:t>
      </w:r>
    </w:p>
    <w:p w14:paraId="711557D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(二)合格供应商条件</w:t>
      </w:r>
    </w:p>
    <w:p w14:paraId="0EFAA3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合格供应商应完全符合竞争性比选文件第一篇中规定的供应商资格条件，并对竞争性 比选文件作出实质性响应。</w:t>
      </w:r>
    </w:p>
    <w:p w14:paraId="6484BF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(三)供应商的风险</w:t>
      </w:r>
    </w:p>
    <w:p w14:paraId="69B5032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供应商没有按照竞争性比选文件要求提供全部资料，或者供应商没有对竞采文件在各 方面作出实质性响应，可能导致投标被拒绝或评定为无效投标。</w:t>
      </w:r>
    </w:p>
    <w:p w14:paraId="188631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(四)法律责任</w:t>
      </w:r>
    </w:p>
    <w:p w14:paraId="7159BC1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供应商违反《中华人民共和国政府采购法》、《中华人民共和国政府采购法实施条例》 等相关规定，将按规定追究供应商法律责任。</w:t>
      </w:r>
    </w:p>
    <w:p w14:paraId="4735B6A6">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二、竞争性比选文件</w:t>
      </w:r>
    </w:p>
    <w:p w14:paraId="6A3B2BA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竞争性比选文件是供应商编制响应文件的依据，是评标委员会评判依据和标准。竞争 性比选文件也是采购人与成交供应商签订合同的基础。</w:t>
      </w:r>
    </w:p>
    <w:p w14:paraId="7A002F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(一)竞争性比选文件由采购邀请书；项目技术(质量)需求；项目商务需求；资格审 查及评标办法；供应商须知；合同主要条款和格式合同(样本);响应文件格式等七部分组 成。</w:t>
      </w:r>
    </w:p>
    <w:p w14:paraId="32315F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(二)采购人(或采购代理机构)所作的一切有效的书面通知、修改及补充，都是竞 争性比选文件不可分割的部分。</w:t>
      </w:r>
    </w:p>
    <w:p w14:paraId="738930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(三)供应商如对竞争性比选文件有疑问，必须以书面形式在提交响应文件截止时间1 个工作日前向采购人(或采购代理机构)要求澄清，采购人(或采购代理机构)可视具体  情况做出处理或答复。如供应商未提出疑问，视为完全理解并同意本竞争性比选文件。一  经进入比选程序，即视为供应商已详细阅读全部文件资料，完全理解竞争性比选文件所有 条款内容并同意放弃对这方面有不明白及误解的权利。</w:t>
      </w:r>
    </w:p>
    <w:p w14:paraId="3FBADC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(四)评审的依据为竞争性比选文件和响应文件。评标委员会判断响应文件对竞争性 比选文件的响应，仅基于响应文件本身而不靠外部证据。</w:t>
      </w:r>
    </w:p>
    <w:p w14:paraId="2A80356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三、响应文件</w:t>
      </w:r>
    </w:p>
    <w:p w14:paraId="6E938DE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供应商应当按照竞争性比选文件的要求编制响应文件，并对竞争性比选文件提出的要   求和条件作出实质性响应，响应文件原则上采用软面订本，同时应编制完整的页码、目录。</w:t>
      </w:r>
    </w:p>
    <w:p w14:paraId="3B09148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(一)响应文件组成</w:t>
      </w:r>
    </w:p>
    <w:p w14:paraId="3D10AC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响应文件由第七篇“响应文件格式”规定的部分和供应商所作的一切有效补充、修改 和承诺等文件组成，供应商应按照第七篇“响应文件格式”规定的目录顺序组织编写和装订，否则有可能影响评委对响应文件的评审。</w:t>
      </w:r>
    </w:p>
    <w:p w14:paraId="09791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(二)联合体</w:t>
      </w:r>
    </w:p>
    <w:p w14:paraId="589E8CC2">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本项目不接受联合体参与比选。</w:t>
      </w:r>
    </w:p>
    <w:p w14:paraId="3E9A027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(三)比选有效期：响应文件有效期为提交响应文件截止时间起90天。</w:t>
      </w:r>
    </w:p>
    <w:p w14:paraId="0304267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(四)比选保证金：按照《重庆市北碚区财政局关于持续营造一流营商环境的通知》 要求，本次比选项目取消交纳投标保证金。</w:t>
      </w:r>
    </w:p>
    <w:p w14:paraId="6D94EF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(五)提交纸质响应文件的份数和签署</w:t>
      </w:r>
    </w:p>
    <w:p w14:paraId="0628819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1.响应文件一式叁份，其中正本一份，副本二份。每套响应文件须在封面清楚地标明 “正本”、“副本”,副本应为正本的完整复印件，线上递交响应文件电子文档应与正本 相同一致。</w:t>
      </w:r>
    </w:p>
    <w:p w14:paraId="3602E4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2.在响应文件正本中，竞采文件第七篇响应文件格式中规定签署、盖章的地方必须按 其规定签署、盖章。</w:t>
      </w:r>
    </w:p>
    <w:p w14:paraId="4CA1CA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3.若供应商对响应文件的错处作必要修改，则应在修改处加盖供应商公章或由法定代 表人(或其授权代表)或自然人(供应商为自然人)签署确认。</w:t>
      </w:r>
    </w:p>
    <w:p w14:paraId="0E4F8F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4.电报、电话、传真形式的响应文件概不接受。</w:t>
      </w:r>
    </w:p>
    <w:p w14:paraId="6CC5020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(六)投标报价</w:t>
      </w:r>
    </w:p>
    <w:p w14:paraId="3BEF4F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1.供应商应严格按照“响应文件格式”中“竞争性比选报价函”的格式填写报价。</w:t>
      </w:r>
    </w:p>
    <w:p w14:paraId="4EA946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2.供应商的报价为一次性报价，即在投标有效期内投标价格固定不变。</w:t>
      </w:r>
    </w:p>
    <w:p w14:paraId="2968F5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3.本项目只接受一个投标报价，有选择的或有条件的报价将不予接受。</w:t>
      </w:r>
    </w:p>
    <w:p w14:paraId="2BAF804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(七)修正错误</w:t>
      </w:r>
    </w:p>
    <w:p w14:paraId="6B48AD0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若响应文件出现计算或表达上的错误，修正错误的原则如下：</w:t>
      </w:r>
    </w:p>
    <w:p w14:paraId="50E67AD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1.响应文件中“竞争性比选报价函”内容与响应文件中相应内容不一致的，以“竞争性 比选报价函”为准；</w:t>
      </w:r>
    </w:p>
    <w:p w14:paraId="3013975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2.大写金额和小写金额不一致的，以大写金额为准；</w:t>
      </w:r>
    </w:p>
    <w:p w14:paraId="489F21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3.单价金额小数点或者百分比有明显错位的，以开标一览表的总价为准，并修改单价；</w:t>
      </w:r>
    </w:p>
    <w:p w14:paraId="52FD59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4.总价金额与按单价汇总金额不一致的，以单价金额计算结果为准。</w:t>
      </w:r>
    </w:p>
    <w:p w14:paraId="4F43C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评标委员会按上述修正错误的原则及方法调整或修正供应商投标报价，若同时出现两 种以上不一致的，按照前款规定的顺序修正，供应商同意并签字确认后，调整后的投标报 价对供应商具有约束作用。如果供应商不接受修正后的报价，则其投标将作为无效投标处 理。</w:t>
      </w:r>
    </w:p>
    <w:p w14:paraId="2F5F20C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(八)纸质响应文件的递交</w:t>
      </w:r>
    </w:p>
    <w:p w14:paraId="58FF51A8">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响应文件的正本、副本以均应装入响应文件大袋中密封并签法人章，邮寄或递交于截 止时间前至投标地点，应在封套上注明项目名称、供应商名称、联系人姓名及电话、于</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2025</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14</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9</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30分</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前不得开启，否则作为无效投标处理</w:t>
      </w:r>
      <w:r>
        <w:rPr>
          <w:rFonts w:ascii="宋体" w:hAnsi="宋体" w:eastAsia="宋体" w:cs="宋体"/>
          <w:color w:val="000000" w:themeColor="text1"/>
          <w:spacing w:val="-5"/>
          <w:sz w:val="21"/>
          <w:szCs w:val="21"/>
          <w:highlight w:val="none"/>
          <w14:textFill>
            <w14:solidFill>
              <w14:schemeClr w14:val="tx1"/>
            </w14:solidFill>
          </w14:textFill>
        </w:rPr>
        <w:t>。</w:t>
      </w:r>
    </w:p>
    <w:p w14:paraId="42BF576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 、开标</w:t>
      </w:r>
    </w:p>
    <w:p w14:paraId="6330998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(一)开标应当在竞争性比选文件中“采购邀请书”截止的时间和地点公开进行。</w:t>
      </w:r>
    </w:p>
    <w:p w14:paraId="2496331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(二)采购代理机构可视采购具体情况，延长投标截止时间和开标时间，并将变更时 间书面通知所有竞争性比选文件收受人。</w:t>
      </w:r>
    </w:p>
    <w:p w14:paraId="47EC9A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(三)开标由采购人或采购代理机构主持，邀请有关监督部门代表参加，有关监督部 门可视情况派员现场监督。</w:t>
      </w:r>
    </w:p>
    <w:p w14:paraId="0865441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(四)开标时，由其推选的代表检查响应文件的密封情况；经确认无误后，由采购人 或者采购代理机构工作人员当众拆封，宣布供应商名称、投标价格和《开标一览表》规定 的需要宣布的其他内容。供应商不足三家的，不得开标。</w:t>
      </w:r>
    </w:p>
    <w:p w14:paraId="5BD4DE9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(五)未宣读的投标价格、价格折扣和竞争性比选文件允许提供的备选投标方案等实 质性内容等，评标时不予承认。</w:t>
      </w:r>
    </w:p>
    <w:p w14:paraId="771AF73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(六)开标过程应由采购人或采购代理机构指定专人负责记录，并存档备查。</w:t>
      </w:r>
    </w:p>
    <w:p w14:paraId="592BFB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(七)未邀请供应商加开标，视同认可开标结果。</w:t>
      </w:r>
    </w:p>
    <w:p w14:paraId="6548A07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五、评标</w:t>
      </w:r>
    </w:p>
    <w:p w14:paraId="3BD9FB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见第四篇内容。</w:t>
      </w:r>
    </w:p>
    <w:p w14:paraId="7B18444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六、定标</w:t>
      </w:r>
    </w:p>
    <w:p w14:paraId="07CE7A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一 )定标原则</w:t>
      </w:r>
    </w:p>
    <w:p w14:paraId="20173F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采购人或其授权的评标委员会应按照评标报告中推荐的中标候选人排名顺序确定成交 供应商。</w:t>
      </w:r>
    </w:p>
    <w:p w14:paraId="37188C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(二)定标程序</w:t>
      </w:r>
    </w:p>
    <w:p w14:paraId="57D403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1.采购代理机构应当在评标结束后2个工作日内将评标报告送采购人。</w:t>
      </w:r>
    </w:p>
    <w:p w14:paraId="3773C4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2.采购人应当自收到评标报告之日起5个工作日内按评标报告推荐的中标候选人顺序确 定成交供应商。</w:t>
      </w:r>
    </w:p>
    <w:p w14:paraId="74D0B5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3.采购人或者采购代理机构应当自成交供应商确定之日起2个工作日内，在行采家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网上公告中标结果，中标公告期限为1个工作日。</w:t>
      </w:r>
    </w:p>
    <w:p w14:paraId="23BB1E0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4.成交供应商变更</w:t>
      </w:r>
    </w:p>
    <w:p w14:paraId="3FC7C2B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成交供应商拒绝与采购人签订合同的，采购人可以按照评标报告推荐的中标候选人顺 序，确定排名下一位的中标候选人为成交供应商，也可以重新开展采购活动。</w:t>
      </w:r>
    </w:p>
    <w:p w14:paraId="7E1E882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七、中标</w:t>
      </w:r>
    </w:p>
    <w:p w14:paraId="51B351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(一)采购人依法确定成交供应商后，采购代理机构以书面形式发出中标通知书。</w:t>
      </w:r>
    </w:p>
    <w:p w14:paraId="7B93DFD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(二)中标通知书发出后，采购人改变中标结果，或者成交供应商放弃中标，应当承 担相应的法律责任。</w:t>
      </w:r>
    </w:p>
    <w:p w14:paraId="0EFB0AD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八、关于质疑和投诉</w:t>
      </w:r>
    </w:p>
    <w:p w14:paraId="6DBEF5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(一)质疑</w:t>
      </w:r>
    </w:p>
    <w:p w14:paraId="3274C75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9" w:name="bookmark12"/>
      <w:bookmarkEnd w:id="9"/>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供应商认为比选文件、采购过程和成交结果使自己的权益收到伤害的，可向采购人或 采购代理机构以书面形式提出质疑。</w:t>
      </w:r>
    </w:p>
    <w:p w14:paraId="665ABA6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提出质疑的应当是参与所质疑项目采购活动的供应商。</w:t>
      </w:r>
    </w:p>
    <w:p w14:paraId="768A96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1.质疑时限、内容</w:t>
      </w:r>
    </w:p>
    <w:p w14:paraId="2933C8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供应商认为比选文件、采购过程、成交结果使自己的权益受到损害的，可以在知道或</w:t>
      </w:r>
    </w:p>
    <w:p w14:paraId="0956B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者应知其权益受到损害之日起7个工作日内，以书面形式向采购人、采购代理机构提出质疑。</w:t>
      </w:r>
    </w:p>
    <w:p w14:paraId="30BE4C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1.2供应商提出质疑应当提交质疑函和必要的证明材料，质疑函应当包括下列内容：</w:t>
      </w:r>
    </w:p>
    <w:p w14:paraId="04CDE11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1.2.1供应商的姓名或者名称、地址、邮编、联系人及联系电话；</w:t>
      </w:r>
    </w:p>
    <w:p w14:paraId="5F18B0C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1.2.2质疑项目的名称、项目号以及比选项目编号；</w:t>
      </w:r>
    </w:p>
    <w:p w14:paraId="231DEF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1.2.3具体、明确的质疑事项和与质疑事项相关的请求；</w:t>
      </w:r>
    </w:p>
    <w:p w14:paraId="12DB41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 .4事实依据；</w:t>
      </w:r>
    </w:p>
    <w:p w14:paraId="62F644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1.2.5必要的法律依据；</w:t>
      </w:r>
    </w:p>
    <w:p w14:paraId="0AB2314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1.2.6提出质疑的日期；</w:t>
      </w:r>
    </w:p>
    <w:p w14:paraId="6FAC8D7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1.2.7营业执照(或事业单位法人证书，或个体工商户营业执照或有效的自然人身份证 明、组织机构代码证)复印件；</w:t>
      </w:r>
    </w:p>
    <w:p w14:paraId="1CF56F5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1.2.8法定代表人授权委托书原件、法定代表人身份证复印件和其授权代表的身份证复 印件(供应商为自然人的提供自然人身份证复印件);</w:t>
      </w:r>
    </w:p>
    <w:p w14:paraId="6BFF0C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1.3供应商为自然人的，质疑函应当由本人签字；供应商为法人或者其他组织的，质疑 函应当由法定代表人、主要负责人，或者其授权代表签字或者盖章，并加盖公章。</w:t>
      </w:r>
    </w:p>
    <w:p w14:paraId="4DA91A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2.质疑答复</w:t>
      </w:r>
    </w:p>
    <w:p w14:paraId="37F93F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采购人、采购代理机构应当在收到供应商的书面质疑后七个工作日内作出答复，并以 书面形式通知质疑供应商和其他有关供应商。</w:t>
      </w:r>
    </w:p>
    <w:p w14:paraId="3B3EF78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3.其他</w:t>
      </w:r>
    </w:p>
    <w:p w14:paraId="61D792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3.1供应商应按照相关法律法规要求，在法定质疑期内一次性提出针对同一采购程序环 节的质疑。</w:t>
      </w:r>
    </w:p>
    <w:p w14:paraId="180E03A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3.2质疑函范本可在财政部门户网站和中国政府采购网下载。</w:t>
      </w:r>
    </w:p>
    <w:p w14:paraId="353468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(二)投诉</w:t>
      </w:r>
    </w:p>
    <w:p w14:paraId="1EAE1D3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1.供应商对采购人、采购代理机构的答复不满意，或者采购人、采购代理机构未在规 定时间内作出答复的，可以在答复期满后15个工作日内按照相关法律法规向采购人监督部 门提起投诉。</w:t>
      </w:r>
    </w:p>
    <w:p w14:paraId="1F06526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2.供应商应按照相关法律法规要求递交投诉书和必要的证明材料。投诉书范本可在财 政部门户网站和中国政府采购网下载。</w:t>
      </w:r>
    </w:p>
    <w:p w14:paraId="210BD55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3.投诉书应当使用中文，相关当事人提供外文书证或者外国语视听资料的，应当附有 中文译本，由翻译机构盖章或者翻译人员签名；相关当事人向财政部门提供的在中华人民</w:t>
      </w:r>
    </w:p>
    <w:p w14:paraId="29B82E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共和国领域外形成的证据，应当说明来源，经所在国公证机关证明，并经中华人民共和国 驻该国使领馆认证，或者履行中华人民共和国与证据所在国订立的有关条约中规定的证明 手续；相关当事人提供的在香港特别行政区、澳门特别行政区和台湾地区内形成的证据， 应当履行相关的证明手续。</w:t>
      </w:r>
    </w:p>
    <w:p w14:paraId="11A6E3C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4.在确定受理投诉后，监督部门自受理投诉之日起30个工作日内(需要检验、检测、 鉴定、专家评审以及需要投诉人补正材料的，所需时间不计算在投诉处理期限内)对投诉 事项做出处理决定。</w:t>
      </w:r>
    </w:p>
    <w:p w14:paraId="377C6FA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九、签订合同</w:t>
      </w:r>
    </w:p>
    <w:p w14:paraId="09B79AC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(一)采购人应当自成交通知书发出之日起二十日内，按照竞争性比选文件和成交供 应商响应文件的约定，与成交供应商签订书面合同。所签订的合同不得对竞争性比选文件 和供应商的响应文件作实质性修改。</w:t>
      </w:r>
    </w:p>
    <w:p w14:paraId="1FAA532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(二)竞争性比选文件、供应商的响应文件及澄清文件等，均为签订采购合同的依据。</w:t>
      </w:r>
    </w:p>
    <w:p w14:paraId="3A6DC06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(三)合同生效条款由供需双方约定，法律、行政法规规定应当办理批准、登记等手 续后生效的合同，依照其规定。</w:t>
      </w:r>
    </w:p>
    <w:p w14:paraId="2D9B67F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(四)采购人要求成交供应商提供履约保证金的，应当在竞争性比选文件中予以约定。 成交供应商履约完毕后，采购人根据比选文件规定无息退还其履约保证金。</w:t>
      </w:r>
    </w:p>
    <w:p w14:paraId="264CFF2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十、采购代理服务费</w:t>
      </w:r>
    </w:p>
    <w:p w14:paraId="5136B27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1.成交供应商在领取成交通知书前向采购代理机构缴纳比选代理服务费，招标代理费按照招标代理委托合同执行。</w:t>
      </w:r>
    </w:p>
    <w:p w14:paraId="7E6CC0F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代理服务费打款应备注：单位名称+项目名称+代理服务费服务费以现金、支票或电汇 等形式支付。</w:t>
      </w:r>
    </w:p>
    <w:p w14:paraId="0B2B7BD9">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10" w:h="16840"/>
          <w:pgMar w:top="1431" w:right="1786" w:bottom="1187" w:left="1779" w:header="0" w:footer="1061" w:gutter="0"/>
          <w:pgNumType w:fmt="decimal"/>
          <w:cols w:space="720" w:num="1"/>
        </w:sectPr>
      </w:pPr>
    </w:p>
    <w:p w14:paraId="429DF1DE">
      <w:pPr>
        <w:spacing w:before="85" w:line="219" w:lineRule="auto"/>
        <w:ind w:left="1288"/>
        <w:outlineLvl w:val="0"/>
        <w:rPr>
          <w:rFonts w:ascii="宋体" w:hAnsi="宋体" w:eastAsia="宋体" w:cs="宋体"/>
          <w:color w:val="000000" w:themeColor="text1"/>
          <w:sz w:val="32"/>
          <w:szCs w:val="32"/>
          <w:highlight w:val="none"/>
          <w14:textFill>
            <w14:solidFill>
              <w14:schemeClr w14:val="tx1"/>
            </w14:solidFill>
          </w14:textFill>
        </w:rPr>
      </w:pPr>
      <w:bookmarkStart w:id="10" w:name="_Toc12965"/>
      <w:r>
        <w:rPr>
          <w:rFonts w:ascii="宋体" w:hAnsi="宋体" w:eastAsia="宋体" w:cs="宋体"/>
          <w:b/>
          <w:bCs/>
          <w:color w:val="000000" w:themeColor="text1"/>
          <w:spacing w:val="9"/>
          <w:sz w:val="32"/>
          <w:szCs w:val="32"/>
          <w:highlight w:val="none"/>
          <w14:textFill>
            <w14:solidFill>
              <w14:schemeClr w14:val="tx1"/>
            </w14:solidFill>
          </w14:textFill>
        </w:rPr>
        <w:t>第六篇</w:t>
      </w:r>
      <w:r>
        <w:rPr>
          <w:rFonts w:ascii="宋体" w:hAnsi="宋体" w:eastAsia="宋体" w:cs="宋体"/>
          <w:color w:val="000000" w:themeColor="text1"/>
          <w:spacing w:val="87"/>
          <w:sz w:val="32"/>
          <w:szCs w:val="32"/>
          <w:highlight w:val="none"/>
          <w14:textFill>
            <w14:solidFill>
              <w14:schemeClr w14:val="tx1"/>
            </w14:solidFill>
          </w14:textFill>
        </w:rPr>
        <w:t xml:space="preserve"> </w:t>
      </w:r>
      <w:r>
        <w:rPr>
          <w:rFonts w:ascii="宋体" w:hAnsi="宋体" w:eastAsia="宋体" w:cs="宋体"/>
          <w:b/>
          <w:bCs/>
          <w:color w:val="000000" w:themeColor="text1"/>
          <w:spacing w:val="9"/>
          <w:sz w:val="32"/>
          <w:szCs w:val="32"/>
          <w:highlight w:val="none"/>
          <w14:textFill>
            <w14:solidFill>
              <w14:schemeClr w14:val="tx1"/>
            </w14:solidFill>
          </w14:textFill>
        </w:rPr>
        <w:t>合同主要条款和格式合同(样本)</w:t>
      </w:r>
      <w:bookmarkEnd w:id="10"/>
    </w:p>
    <w:p w14:paraId="1631DD9F">
      <w:pPr>
        <w:spacing w:line="219" w:lineRule="auto"/>
        <w:rPr>
          <w:rFonts w:ascii="宋体" w:hAnsi="宋体" w:eastAsia="宋体" w:cs="宋体"/>
          <w:color w:val="000000" w:themeColor="text1"/>
          <w:sz w:val="32"/>
          <w:szCs w:val="32"/>
          <w:highlight w:val="none"/>
          <w14:textFill>
            <w14:solidFill>
              <w14:schemeClr w14:val="tx1"/>
            </w14:solidFill>
          </w14:textFill>
        </w:rPr>
        <w:sectPr>
          <w:footerReference r:id="rId10" w:type="default"/>
          <w:pgSz w:w="11910" w:h="16840"/>
          <w:pgMar w:top="1431" w:right="1786" w:bottom="1174" w:left="1786" w:header="0" w:footer="1039" w:gutter="0"/>
          <w:pgNumType w:fmt="decimal"/>
          <w:cols w:space="720" w:num="1"/>
        </w:sectPr>
      </w:pPr>
    </w:p>
    <w:p w14:paraId="3068B2B8">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0182CD7">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4B19A40B">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02A9F70E">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3D99F06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4D0E9E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建设</w:t>
      </w:r>
      <w:r>
        <w:rPr>
          <w:rFonts w:hint="eastAsia" w:asciiTheme="minorEastAsia" w:hAnsiTheme="minorEastAsia" w:eastAsiaTheme="minorEastAsia"/>
          <w:b/>
          <w:color w:val="000000" w:themeColor="text1"/>
          <w:sz w:val="44"/>
          <w:szCs w:val="44"/>
          <w:highlight w:val="none"/>
          <w14:textFill>
            <w14:solidFill>
              <w14:schemeClr w14:val="tx1"/>
            </w14:solidFill>
          </w14:textFill>
        </w:rPr>
        <w:t>工程</w:t>
      </w: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施工</w:t>
      </w:r>
      <w:r>
        <w:rPr>
          <w:rFonts w:hint="eastAsia" w:asciiTheme="minorEastAsia" w:hAnsiTheme="minorEastAsia" w:eastAsiaTheme="minorEastAsia"/>
          <w:b/>
          <w:color w:val="000000" w:themeColor="text1"/>
          <w:sz w:val="44"/>
          <w:szCs w:val="44"/>
          <w:highlight w:val="none"/>
          <w14:textFill>
            <w14:solidFill>
              <w14:schemeClr w14:val="tx1"/>
            </w14:solidFill>
          </w14:textFill>
        </w:rPr>
        <w:t>合同</w:t>
      </w:r>
    </w:p>
    <w:p w14:paraId="37EF3F1B">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06FD2E14">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78A0FBA7">
      <w:pPr>
        <w:pStyle w:val="18"/>
        <w:adjustRightInd w:val="0"/>
        <w:snapToGrid w:val="0"/>
        <w:ind w:firstLine="0" w:firstLineChars="0"/>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p>
    <w:p w14:paraId="2837ADD2">
      <w:pPr>
        <w:pStyle w:val="18"/>
        <w:adjustRightInd w:val="0"/>
        <w:snapToGrid w:val="0"/>
        <w:ind w:firstLine="0" w:firstLineChars="0"/>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321221E8">
      <w:pPr>
        <w:spacing w:line="540" w:lineRule="exact"/>
        <w:jc w:val="center"/>
        <w:rPr>
          <w:rFonts w:hint="default" w:cs="宋体" w:asciiTheme="minorEastAsia" w:hAnsiTheme="minorEastAsia" w:eastAsiaTheme="minorEastAsia"/>
          <w:b/>
          <w:bCs/>
          <w:color w:val="000000" w:themeColor="text1"/>
          <w:highlight w:val="none"/>
          <w:u w:val="single"/>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工程名称：重庆市天府中学消防系统维修整改项目</w:t>
      </w:r>
    </w:p>
    <w:p w14:paraId="776D0310">
      <w:pPr>
        <w:pStyle w:val="18"/>
        <w:ind w:firstLine="0" w:firstLineChars="0"/>
        <w:rPr>
          <w:rFonts w:cs="宋体" w:asciiTheme="minorEastAsia" w:hAnsiTheme="minorEastAsia" w:eastAsiaTheme="minorEastAsia"/>
          <w:b/>
          <w:bCs/>
          <w:color w:val="000000" w:themeColor="text1"/>
          <w:w w:val="90"/>
          <w:highlight w:val="none"/>
          <w:u w:val="single"/>
          <w14:textFill>
            <w14:solidFill>
              <w14:schemeClr w14:val="tx1"/>
            </w14:solidFill>
          </w14:textFill>
        </w:rPr>
      </w:pPr>
    </w:p>
    <w:p w14:paraId="57AA0DF3">
      <w:pPr>
        <w:pStyle w:val="18"/>
        <w:ind w:firstLine="691" w:firstLineChars="328"/>
        <w:rPr>
          <w:rFonts w:cs="方正仿宋_GBK" w:asciiTheme="minorEastAsia" w:hAnsiTheme="minorEastAsia" w:eastAsiaTheme="minorEastAsia"/>
          <w:b/>
          <w:color w:val="000000" w:themeColor="text1"/>
          <w:highlight w:val="none"/>
          <w14:textFill>
            <w14:solidFill>
              <w14:schemeClr w14:val="tx1"/>
            </w14:solidFill>
          </w14:textFill>
        </w:rPr>
      </w:pPr>
    </w:p>
    <w:p w14:paraId="6EDE49E7">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22500C3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139E7E">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70414F2">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66AEE5">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68F4B91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F32505A">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36E1F9D">
      <w:pPr>
        <w:pStyle w:val="18"/>
        <w:ind w:firstLine="0" w:firstLineChars="0"/>
        <w:rPr>
          <w:rFonts w:asciiTheme="minorEastAsia" w:hAnsiTheme="minorEastAsia" w:eastAsiaTheme="minorEastAsia"/>
          <w:b/>
          <w:color w:val="000000" w:themeColor="text1"/>
          <w:sz w:val="44"/>
          <w:szCs w:val="44"/>
          <w:highlight w:val="none"/>
          <w14:textFill>
            <w14:solidFill>
              <w14:schemeClr w14:val="tx1"/>
            </w14:solidFill>
          </w14:textFill>
        </w:rPr>
      </w:pP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日    期：</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年</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月</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日</w:t>
      </w:r>
    </w:p>
    <w:p w14:paraId="2723870C">
      <w:pPr>
        <w:spacing w:line="440" w:lineRule="exact"/>
        <w:ind w:firstLine="144" w:firstLineChars="69"/>
        <w:jc w:val="center"/>
        <w:rPr>
          <w:rFonts w:cs="方正仿宋_GBK" w:asciiTheme="minorEastAsia" w:hAnsiTheme="minorEastAsia" w:eastAsiaTheme="minorEastAsia"/>
          <w:color w:val="000000" w:themeColor="text1"/>
          <w:highlight w:val="none"/>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cols w:space="720" w:num="1"/>
          <w:titlePg/>
          <w:docGrid w:type="lines" w:linePitch="312" w:charSpace="0"/>
        </w:sectPr>
      </w:pPr>
    </w:p>
    <w:p w14:paraId="7BED0678">
      <w:pPr>
        <w:spacing w:before="200" w:line="440" w:lineRule="exact"/>
        <w:jc w:val="center"/>
        <w:outlineLvl w:val="2"/>
        <w:rPr>
          <w:rFonts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pPr>
      <w:bookmarkStart w:id="11" w:name="_Toc17829"/>
      <w:r>
        <w:rPr>
          <w:rFonts w:hint="eastAsia"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t>合同协议书</w:t>
      </w:r>
      <w:bookmarkEnd w:id="11"/>
    </w:p>
    <w:p w14:paraId="33C0C5CA">
      <w:pPr>
        <w:ind w:left="630"/>
        <w:rPr>
          <w:rFonts w:asciiTheme="minorEastAsia" w:hAnsiTheme="minorEastAsia" w:eastAsiaTheme="minorEastAsia"/>
          <w:color w:val="000000" w:themeColor="text1"/>
          <w:sz w:val="21"/>
          <w:szCs w:val="24"/>
          <w:highlight w:val="none"/>
          <w14:textFill>
            <w14:solidFill>
              <w14:schemeClr w14:val="tx1"/>
            </w14:solidFill>
          </w14:textFill>
        </w:rPr>
      </w:pPr>
    </w:p>
    <w:p w14:paraId="69FA23D2">
      <w:pPr>
        <w:spacing w:line="440" w:lineRule="exact"/>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（以下简称甲方）</w:t>
      </w:r>
    </w:p>
    <w:p w14:paraId="01B6DA8C">
      <w:pPr>
        <w:spacing w:line="440" w:lineRule="exact"/>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        （以下简称乙方）</w:t>
      </w:r>
    </w:p>
    <w:p w14:paraId="4C34F274">
      <w:pPr>
        <w:pStyle w:val="4"/>
        <w:rPr>
          <w:rFonts w:hint="default"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 xml:space="preserve">XXX        （以下简称丙方）    </w:t>
      </w:r>
    </w:p>
    <w:p w14:paraId="36835F1B">
      <w:pPr>
        <w:ind w:left="990" w:hanging="360"/>
        <w:rPr>
          <w:color w:val="000000" w:themeColor="text1"/>
          <w:sz w:val="21"/>
          <w:szCs w:val="24"/>
          <w:highlight w:val="none"/>
          <w14:textFill>
            <w14:solidFill>
              <w14:schemeClr w14:val="tx1"/>
            </w14:solidFill>
          </w14:textFill>
        </w:rPr>
      </w:pPr>
    </w:p>
    <w:p w14:paraId="7A7CC8D1">
      <w:pPr>
        <w:spacing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根据《中华人民共和国</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民法典</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》、《中华人民共和国建筑法》及有关法律规定，遵循平等、自愿、公平和诚实信用的原则，</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合同各方就</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施工</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有关事项协商一致，共同达成如下协议：</w:t>
      </w:r>
    </w:p>
    <w:p w14:paraId="7949E665">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2" w:name="_Toc35120348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一、工程概况</w:t>
      </w:r>
      <w:bookmarkEnd w:id="12"/>
    </w:p>
    <w:p w14:paraId="1E162D42">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1.工程名称：</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xxx项目</w:t>
      </w:r>
    </w:p>
    <w:p w14:paraId="1DE1E8D0">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2.工程地点：</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1EFCD0D5">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3.工程内容：</w:t>
      </w:r>
      <w:bookmarkStart w:id="13" w:name="_Toc351203482"/>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xx</w:t>
      </w:r>
    </w:p>
    <w:p w14:paraId="27DEAEAB">
      <w:pPr>
        <w:spacing w:line="440" w:lineRule="exact"/>
        <w:ind w:firstLine="502" w:firstLineChars="200"/>
        <w:jc w:val="left"/>
        <w:outlineLvl w:val="3"/>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二、合同工期</w:t>
      </w:r>
      <w:bookmarkEnd w:id="13"/>
    </w:p>
    <w:p w14:paraId="450461D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计划开工日期：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日（具体开工日期以</w:t>
      </w:r>
      <w:r>
        <w:rPr>
          <w:rFonts w:hint="eastAsia" w:cs="方正仿宋_GBK" w:asciiTheme="minorEastAsia" w:hAnsiTheme="minorEastAsia" w:eastAsiaTheme="minorEastAsia"/>
          <w:color w:val="000000" w:themeColor="text1"/>
          <w:kern w:val="2"/>
          <w:sz w:val="21"/>
          <w:szCs w:val="21"/>
          <w:highlight w:val="none"/>
          <w:lang w:eastAsia="zh-CN"/>
          <w14:textFill>
            <w14:solidFill>
              <w14:schemeClr w14:val="tx1"/>
            </w14:solidFill>
          </w14:textFill>
        </w:rPr>
        <w:t>监理单位发出的开工令</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为准）</w:t>
      </w:r>
    </w:p>
    <w:p w14:paraId="00297FC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计划竣工日期：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w:t>
      </w:r>
    </w:p>
    <w:p w14:paraId="70831A6A">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4" w:name="_Toc35120348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三、签约合同价与</w:t>
      </w:r>
      <w:bookmarkEnd w:id="1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合同价格形式</w:t>
      </w:r>
    </w:p>
    <w:p w14:paraId="787E86C2">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1.签约合同价为：</w:t>
      </w:r>
    </w:p>
    <w:p w14:paraId="5872B70A">
      <w:pPr>
        <w:spacing w:line="440" w:lineRule="exact"/>
        <w:ind w:firstLine="422" w:firstLineChars="201"/>
        <w:jc w:val="left"/>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合同金额（暂定）￥：</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元(大写：</w:t>
      </w:r>
      <w:r>
        <w:rPr>
          <w:rFonts w:hint="eastAsia" w:cs="方正仿宋_GBK" w:asciiTheme="minorEastAsia" w:hAnsiTheme="minorEastAsia" w:eastAsiaTheme="minorEastAsia"/>
          <w:color w:val="000000" w:themeColor="text1"/>
          <w:sz w:val="21"/>
          <w:szCs w:val="21"/>
          <w:highlight w:val="none"/>
          <w:u w:val="non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，最终</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结算</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金额以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如审核结算金额超合同暂定总额，以合同暂定总额进行最终结算。</w:t>
      </w:r>
    </w:p>
    <w:p w14:paraId="66AE1786">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2.合同价格形式：</w:t>
      </w:r>
      <w:bookmarkStart w:id="15" w:name="_Toc8988"/>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 xml:space="preserve">采用综合单价合同。 </w:t>
      </w:r>
    </w:p>
    <w:p w14:paraId="52A96997">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四、</w:t>
      </w:r>
      <w:bookmarkEnd w:id="15"/>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甲方</w:t>
      </w:r>
    </w:p>
    <w:p w14:paraId="3A2F8092">
      <w:pPr>
        <w:spacing w:line="440" w:lineRule="exact"/>
        <w:ind w:firstLine="492" w:firstLineChars="224"/>
        <w:outlineLvl w:val="2"/>
        <w:rPr>
          <w:rFonts w:hint="default"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pPr>
      <w:bookmarkStart w:id="16" w:name="_Toc376878808"/>
      <w:bookmarkStart w:id="17" w:name="_Toc351641369"/>
      <w:bookmarkStart w:id="18" w:name="_Toc280257110"/>
      <w:bookmarkStart w:id="19" w:name="_Toc234293039"/>
      <w:bookmarkStart w:id="20" w:name="_Toc280258517"/>
      <w:bookmarkStart w:id="21" w:name="_Toc30678"/>
      <w:bookmarkStart w:id="22" w:name="_Toc299705205"/>
      <w:bookmarkStart w:id="23" w:name="_Toc376878812"/>
      <w:bookmarkStart w:id="24" w:name="_Toc299705209"/>
      <w:bookmarkStart w:id="25" w:name="_Toc23207"/>
      <w:bookmarkStart w:id="26" w:name="_Toc351641373"/>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1.甲方为该项目代建方，受</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XX学校</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以下简称校方或丙方</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委托实施该项目。</w:t>
      </w:r>
    </w:p>
    <w:p w14:paraId="2C31A925">
      <w:pPr>
        <w:spacing w:line="440" w:lineRule="exact"/>
        <w:ind w:firstLine="492" w:firstLineChars="224"/>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提供施工场地</w:t>
      </w:r>
      <w:bookmarkEnd w:id="16"/>
      <w:bookmarkEnd w:id="17"/>
      <w:bookmarkEnd w:id="18"/>
      <w:bookmarkEnd w:id="19"/>
      <w:bookmarkEnd w:id="20"/>
      <w:bookmarkEnd w:id="21"/>
      <w:bookmarkEnd w:id="22"/>
    </w:p>
    <w:p w14:paraId="0812E4CC">
      <w:pPr>
        <w:spacing w:line="440" w:lineRule="exact"/>
        <w:ind w:firstLine="472" w:firstLineChars="22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提供施工场地和有关资料的时间：</w:t>
      </w:r>
    </w:p>
    <w:p w14:paraId="3AD70306">
      <w:pPr>
        <w:spacing w:line="440" w:lineRule="exact"/>
        <w:ind w:firstLine="392" w:firstLineChars="187"/>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（1）施工场地具备施工条件的要求及完成的时间：工程开工前完成，满足施工要求。</w:t>
      </w:r>
    </w:p>
    <w:p w14:paraId="63A6E19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（2）施工场地与公共道路的通道开通时间和要求：</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已充分了解本工程范围内的现有地方路网，并结合总体平面布置，自行考虑了进场开挖道路和施工便道布设方案。</w:t>
      </w:r>
    </w:p>
    <w:p w14:paraId="738F239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办理的施工所需证件、批件的名称和完成时间：合同签订后，承</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按规定及时向有关部门缴清各自应缴纳的费用，</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配合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及时办理相关施工许可证手续或提前介入手续。</w:t>
      </w:r>
    </w:p>
    <w:p w14:paraId="7E38D7AA">
      <w:pPr>
        <w:spacing w:line="440" w:lineRule="exact"/>
        <w:ind w:firstLine="550" w:firstLineChars="25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27" w:name="_Toc376878809"/>
      <w:bookmarkStart w:id="28" w:name="_Toc351641370"/>
      <w:bookmarkStart w:id="29" w:name="_Toc299705206"/>
      <w:bookmarkStart w:id="30" w:name="_Toc5511"/>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bookmarkEnd w:id="27"/>
      <w:bookmarkEnd w:id="28"/>
      <w:bookmarkEnd w:id="2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提供施工用水用电搭接点，由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自行搭接，施工用水、用电费用由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自行负责。</w:t>
      </w:r>
      <w:bookmarkEnd w:id="30"/>
    </w:p>
    <w:p w14:paraId="7FC02A35">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五、</w:t>
      </w:r>
      <w:bookmarkEnd w:id="23"/>
      <w:bookmarkEnd w:id="24"/>
      <w:bookmarkEnd w:id="25"/>
      <w:bookmarkEnd w:id="26"/>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乙方</w:t>
      </w:r>
    </w:p>
    <w:p w14:paraId="779ABDCE">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31" w:name="_Toc280257113"/>
      <w:bookmarkStart w:id="32" w:name="_Toc234293042"/>
      <w:bookmarkStart w:id="33" w:name="_Toc351641374"/>
      <w:bookmarkStart w:id="34" w:name="_Toc376878813"/>
      <w:bookmarkStart w:id="35" w:name="_Toc299705210"/>
      <w:bookmarkStart w:id="36" w:name="_Toc280258520"/>
      <w:bookmarkStart w:id="37" w:name="_Toc3486"/>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的一般义务</w:t>
      </w:r>
      <w:bookmarkEnd w:id="31"/>
      <w:bookmarkEnd w:id="32"/>
      <w:bookmarkEnd w:id="33"/>
      <w:bookmarkEnd w:id="34"/>
      <w:bookmarkEnd w:id="35"/>
      <w:bookmarkEnd w:id="36"/>
      <w:bookmarkEnd w:id="37"/>
    </w:p>
    <w:p w14:paraId="412D99A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38" w:name="_Toc280258521"/>
      <w:bookmarkStart w:id="39" w:name="_Toc280257114"/>
      <w:bookmarkStart w:id="40" w:name="_Toc234293043"/>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1.1为他人提供方便</w:t>
      </w:r>
    </w:p>
    <w:p w14:paraId="09B679F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为他人提供条件的内容：施工进出场道路（施工范围内外）的维护、安全措施、交通标志标牌和信号设备的完善等均由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负责实施，费用由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bookmarkEnd w:id="38"/>
      <w:bookmarkEnd w:id="39"/>
      <w:bookmarkEnd w:id="40"/>
    </w:p>
    <w:p w14:paraId="271AFB99">
      <w:pPr>
        <w:spacing w:line="440" w:lineRule="exact"/>
        <w:ind w:firstLine="440" w:firstLineChars="200"/>
        <w:outlineLvl w:val="2"/>
        <w:rPr>
          <w:rFonts w:hint="eastAsia" w:eastAsia="宋体" w:cs="方正仿宋_GBK" w:asciiTheme="minorEastAsia" w:hAnsiTheme="minorEastAsia"/>
          <w:iCs/>
          <w:smallCaps/>
          <w:color w:val="000000" w:themeColor="text1"/>
          <w:spacing w:val="5"/>
          <w:sz w:val="21"/>
          <w:szCs w:val="24"/>
          <w:highlight w:val="none"/>
          <w:lang w:eastAsia="zh-CN"/>
          <w14:textFill>
            <w14:solidFill>
              <w14:schemeClr w14:val="tx1"/>
            </w14:solidFill>
          </w14:textFill>
        </w:rPr>
      </w:pPr>
      <w:bookmarkStart w:id="41" w:name="_Toc376878815"/>
      <w:bookmarkStart w:id="42" w:name="_Toc351641376"/>
      <w:bookmarkStart w:id="43" w:name="_Toc299705212"/>
      <w:bookmarkStart w:id="44" w:name="_Toc280258522"/>
      <w:bookmarkStart w:id="45" w:name="_Toc234293045"/>
      <w:bookmarkStart w:id="46" w:name="_Toc280257115"/>
      <w:bookmarkStart w:id="47" w:name="_Toc22803"/>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2.分包</w:t>
      </w:r>
      <w:bookmarkEnd w:id="41"/>
      <w:bookmarkEnd w:id="42"/>
      <w:bookmarkEnd w:id="43"/>
      <w:bookmarkEnd w:id="44"/>
      <w:bookmarkEnd w:id="45"/>
      <w:bookmarkEnd w:id="46"/>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：不允许</w:t>
      </w:r>
      <w:bookmarkEnd w:id="47"/>
      <w:bookmarkStart w:id="48" w:name="_Toc280257116"/>
      <w:bookmarkStart w:id="49" w:name="_Toc234293046"/>
      <w:bookmarkStart w:id="50" w:name="_Toc376878816"/>
      <w:bookmarkStart w:id="51" w:name="_Toc351641377"/>
      <w:bookmarkStart w:id="52" w:name="_Toc280258523"/>
      <w:bookmarkStart w:id="53" w:name="_Toc299705213"/>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再分包，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如甲方发现乙方将项目进行分包，甲方有权解除合同，并要求乙方承担本合同暂定总金额的20%的违约，给甲方造成损失，还需赔偿一切损失。</w:t>
      </w:r>
    </w:p>
    <w:p w14:paraId="1F69751B">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向</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提供合格完善的档案验收资料交</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归档（如材料的质量证明、出厂合格证、各种检验报告等）。若提供不齐全，影响</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档案资料验收备案，造成的损失由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承担，并无条件及时完善相应档案资料。</w:t>
      </w:r>
    </w:p>
    <w:p w14:paraId="35EF148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 逾期超过10日的，甲方有权解除合同，并要求乙方承担因此给甲方造成的全部损失。</w:t>
      </w:r>
    </w:p>
    <w:p w14:paraId="522FE3DF">
      <w:pPr>
        <w:pStyle w:val="4"/>
        <w:rPr>
          <w:rFonts w:hint="default"/>
          <w:color w:val="000000" w:themeColor="text1"/>
          <w:highlight w:val="none"/>
          <w:u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5、乙方承诺派驻项目经理</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：XXX    </w:t>
      </w: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；联系电话：</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XXX   </w:t>
      </w:r>
    </w:p>
    <w:p w14:paraId="31A3E75D">
      <w:pPr>
        <w:spacing w:line="440" w:lineRule="exact"/>
        <w:ind w:firstLine="420" w:firstLineChars="200"/>
        <w:outlineLvl w:val="2"/>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丙方</w:t>
      </w:r>
    </w:p>
    <w:p w14:paraId="42A3C538">
      <w:pPr>
        <w:spacing w:line="440" w:lineRule="exact"/>
        <w:ind w:firstLine="440" w:firstLineChars="200"/>
        <w:outlineLvl w:val="2"/>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1. 丙方为该项目业主方和实际使用方。</w:t>
      </w:r>
    </w:p>
    <w:p w14:paraId="2ED39D52">
      <w:pPr>
        <w:pStyle w:val="4"/>
        <w:ind w:firstLine="440" w:firstLineChars="200"/>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2. 丙方负责监督与协助甲乙双方完成项目实施，负责项目全过程监督工作与项目结算工作。</w:t>
      </w:r>
    </w:p>
    <w:p w14:paraId="5B3DA309">
      <w:pPr>
        <w:pStyle w:val="5"/>
        <w:ind w:left="0" w:leftChars="0" w:firstLine="440" w:firstLineChars="200"/>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3. 丙方为项目付款方，按照本合同第十三条相关约定进行项目款支付。</w:t>
      </w:r>
    </w:p>
    <w:p w14:paraId="424BA6A8">
      <w:pPr>
        <w:spacing w:line="440" w:lineRule="exact"/>
        <w:ind w:firstLine="502" w:firstLineChars="200"/>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54" w:name="_Toc4753"/>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、材料和工程设备</w:t>
      </w:r>
      <w:bookmarkEnd w:id="48"/>
      <w:bookmarkEnd w:id="49"/>
      <w:bookmarkEnd w:id="50"/>
      <w:bookmarkEnd w:id="51"/>
      <w:bookmarkEnd w:id="52"/>
      <w:bookmarkEnd w:id="53"/>
      <w:bookmarkEnd w:id="54"/>
    </w:p>
    <w:p w14:paraId="1DFD6FB8">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55" w:name="_Toc280257117"/>
      <w:bookmarkStart w:id="56" w:name="_Toc351641378"/>
      <w:bookmarkStart w:id="57" w:name="_Toc280258524"/>
      <w:bookmarkStart w:id="58" w:name="_Toc299705214"/>
      <w:bookmarkStart w:id="59" w:name="_Toc376878817"/>
      <w:bookmarkStart w:id="60" w:name="_Toc2916"/>
      <w:bookmarkStart w:id="61" w:name="_Toc234293047"/>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提供的材料和工程设备</w:t>
      </w:r>
      <w:bookmarkEnd w:id="55"/>
      <w:bookmarkEnd w:id="56"/>
      <w:bookmarkEnd w:id="57"/>
      <w:bookmarkEnd w:id="58"/>
      <w:bookmarkEnd w:id="59"/>
      <w:bookmarkEnd w:id="60"/>
      <w:bookmarkEnd w:id="61"/>
    </w:p>
    <w:p w14:paraId="7249D054">
      <w:pPr>
        <w:pStyle w:val="9"/>
        <w:spacing w:after="0" w:line="440" w:lineRule="exact"/>
        <w:ind w:left="0" w:leftChars="0"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自行采购，所有材料/设备均应有合格证和质保书，并符合国家规定的技术标准和设计要求。施工前须经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验收。</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使用不合格产品无条件返工，并承担</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由此造成的损失。</w:t>
      </w:r>
    </w:p>
    <w:p w14:paraId="6AB66AD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1.2本项目车行道通畅，车辆均能正常到达，材料的二次搬运由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自行承担。</w:t>
      </w:r>
    </w:p>
    <w:p w14:paraId="6DCAD04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62" w:name="_Toc280257128"/>
      <w:bookmarkStart w:id="63" w:name="_Toc31666"/>
      <w:bookmarkStart w:id="64" w:name="_Toc376878828"/>
      <w:bookmarkStart w:id="65" w:name="_Toc299705225"/>
      <w:bookmarkStart w:id="66" w:name="_Toc351641389"/>
      <w:bookmarkStart w:id="67" w:name="_Toc234293056"/>
      <w:bookmarkStart w:id="68" w:name="_Toc280258535"/>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、施工安全、治安保卫和环境保护</w:t>
      </w:r>
      <w:bookmarkEnd w:id="62"/>
      <w:bookmarkEnd w:id="63"/>
      <w:bookmarkEnd w:id="64"/>
      <w:bookmarkEnd w:id="65"/>
      <w:bookmarkEnd w:id="66"/>
      <w:bookmarkEnd w:id="67"/>
      <w:bookmarkEnd w:id="68"/>
    </w:p>
    <w:p w14:paraId="123A44B3">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69" w:name="_Toc280257129"/>
      <w:bookmarkStart w:id="70" w:name="_Toc351641390"/>
      <w:bookmarkStart w:id="71" w:name="_Toc299705226"/>
      <w:bookmarkStart w:id="72" w:name="_Toc280258536"/>
      <w:bookmarkStart w:id="73" w:name="_Toc25635"/>
      <w:bookmarkStart w:id="74" w:name="_Toc376878829"/>
      <w:bookmarkStart w:id="75" w:name="_Toc234293057"/>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69"/>
      <w:bookmarkEnd w:id="70"/>
      <w:bookmarkEnd w:id="71"/>
      <w:bookmarkEnd w:id="72"/>
      <w:bookmarkEnd w:id="73"/>
      <w:bookmarkEnd w:id="74"/>
      <w:bookmarkEnd w:id="75"/>
    </w:p>
    <w:p w14:paraId="622BD23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应按照《重庆市建设工程安全生产监督管理办法》（渝建发〔2008〕177号）、《重庆市房屋建筑和市政基础设施工程现场文明施工标准》（渝建发〔2008〕169号）等相关规定履行好</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的施工安全责任。</w:t>
      </w:r>
    </w:p>
    <w:p w14:paraId="28C40175">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76" w:name="_Toc25004"/>
      <w:bookmarkStart w:id="77" w:name="_Toc280257130"/>
      <w:bookmarkStart w:id="78" w:name="_Toc280258537"/>
      <w:bookmarkStart w:id="79" w:name="_Toc299705227"/>
      <w:bookmarkStart w:id="80" w:name="_Toc234293058"/>
      <w:bookmarkStart w:id="81" w:name="_Toc351641391"/>
      <w:bookmarkStart w:id="82" w:name="_Toc37687883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76"/>
      <w:bookmarkEnd w:id="77"/>
      <w:bookmarkEnd w:id="78"/>
      <w:bookmarkEnd w:id="79"/>
      <w:bookmarkEnd w:id="80"/>
      <w:bookmarkEnd w:id="81"/>
      <w:bookmarkEnd w:id="82"/>
    </w:p>
    <w:p w14:paraId="43EEDF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83" w:name="_Toc234293059"/>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（1）按国务院令第393号《建设工程安全生产管理条例》和《通用条款》第五条执行，并按渝建发〔2014〕25号文件执行。</w:t>
      </w:r>
    </w:p>
    <w:p w14:paraId="1E1B1F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必须保证本工程施工现场的安全文明施工，满足安全文明施工合格工地的要求。</w:t>
      </w:r>
    </w:p>
    <w:p w14:paraId="2C368D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安全文明施工费：根据重庆市现行建设工程安全文明施工费管理相关规定、《关于印发&lt;重庆市建设工程安全文明施工费计取及使用管理规定&gt;的通知》（渝建发〔2014〕25号）、《重庆市城乡建设委员会关于开展建设施工现场形象品质提升行动计取安全文明施工费的通知》（渝建〔2018〕697号）、《重庆市住房和城乡建设委员会关于适用增值税新税率调整建设工程计价依据的通知》渝建（2019）143号和2018年《重庆市建设工程费用定额》（CQFYDE-2018）及相关配套文件规定的标准执行。</w:t>
      </w:r>
    </w:p>
    <w:p w14:paraId="7AEE97C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根据工地标准化评定标准，结合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现场实际情况，综合评定本工程的安全生产文明施工等级，如评定为不合格，</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不得计取安全文明施工费，其已支付的安全文明施工费在结算价中扣除。</w:t>
      </w:r>
    </w:p>
    <w:p w14:paraId="68BC061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应负责自身施工安全，同时负责对其安全措施进行监督和管理，如因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原因发生自身和第三方安全责任事故的，责任由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全部承担。</w:t>
      </w:r>
    </w:p>
    <w:p w14:paraId="04B8E047">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84" w:name="_Toc351641392"/>
      <w:bookmarkStart w:id="85" w:name="_Toc299705228"/>
      <w:bookmarkStart w:id="86" w:name="_Toc376878831"/>
      <w:bookmarkStart w:id="87" w:name="_Toc280257131"/>
      <w:bookmarkStart w:id="88" w:name="_Toc28025853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89" w:name="_Toc2347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3. </w:t>
      </w:r>
      <w:bookmarkEnd w:id="83"/>
      <w:bookmarkEnd w:id="84"/>
      <w:bookmarkEnd w:id="85"/>
      <w:bookmarkEnd w:id="86"/>
      <w:bookmarkEnd w:id="87"/>
      <w:bookmarkEnd w:id="8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治安管理机构或联防组织的组建：由</w:t>
      </w:r>
      <w:bookmarkEnd w:id="8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自行组建。   </w:t>
      </w:r>
    </w:p>
    <w:p w14:paraId="59DC5CE3">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90" w:name="_Toc280258539"/>
      <w:bookmarkStart w:id="91" w:name="_Toc351641393"/>
      <w:bookmarkStart w:id="92" w:name="_Toc280257132"/>
      <w:bookmarkStart w:id="93" w:name="_Toc376878832"/>
      <w:bookmarkStart w:id="94" w:name="_Toc299705229"/>
      <w:bookmarkStart w:id="95" w:name="_Toc23429306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96" w:name="_Toc4166"/>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4. 环境保护</w:t>
      </w:r>
      <w:bookmarkEnd w:id="90"/>
      <w:bookmarkEnd w:id="91"/>
      <w:bookmarkEnd w:id="92"/>
      <w:bookmarkEnd w:id="93"/>
      <w:bookmarkEnd w:id="94"/>
      <w:bookmarkEnd w:id="95"/>
      <w:bookmarkEnd w:id="96"/>
    </w:p>
    <w:p w14:paraId="138691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4.1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47DA437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需办理的有关施工场地交通、环卫和施工噪音管理等手续，应符合国家相关规定，并自行承担其费用。</w:t>
      </w:r>
    </w:p>
    <w:p w14:paraId="2C0A0EC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4.3 对施工中的地上地下建筑物（构筑物）管线、电力设施等应按有关规定加强监控测量和保护，相应的费用或因保护不当造成的损失及法律责任由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52770B3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4.4环境保护工作由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全权负责，执行国家和重庆相关规定。施工现场内不得随地抛洒剩饭及生活垃圾等，更不能将其随意倒至施工区外，施工区内不得随处大小便。做到工完场地清。</w:t>
      </w:r>
    </w:p>
    <w:p w14:paraId="3C4477F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的施工机械设备进场前，应做好清洁、保养和维护工作。出场车辆应有专人打扫、清洗。有密封要求的按规定必须达到。</w:t>
      </w:r>
    </w:p>
    <w:p w14:paraId="00EB8CB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4.6</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0712A47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4.7保证周围建(构)筑物、地下及地上管线、地下人防等设施安全。</w:t>
      </w:r>
    </w:p>
    <w:p w14:paraId="72B0C14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4.8做到进入现场的施工和作业人员统一着装，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持证</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上岗，文明施工。</w:t>
      </w:r>
    </w:p>
    <w:p w14:paraId="5E029A4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4.9按规定做好施工区域封闭及场地硬化工作，施工围墙(围挡)等</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围护</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设施应安全、美观、耐久，非施工相关人员不许入内。</w:t>
      </w:r>
    </w:p>
    <w:p w14:paraId="49AB7E3A">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97" w:name="_Toc280258542"/>
      <w:bookmarkStart w:id="98" w:name="_Toc23383"/>
      <w:bookmarkStart w:id="99" w:name="_Toc351641396"/>
      <w:bookmarkStart w:id="100" w:name="_Toc299705232"/>
      <w:bookmarkStart w:id="101" w:name="_Toc234293063"/>
      <w:bookmarkStart w:id="102" w:name="_Toc280257135"/>
      <w:bookmarkStart w:id="103" w:name="_Toc376878835"/>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97"/>
      <w:bookmarkEnd w:id="98"/>
      <w:bookmarkEnd w:id="99"/>
      <w:bookmarkEnd w:id="100"/>
      <w:bookmarkEnd w:id="101"/>
      <w:bookmarkEnd w:id="102"/>
      <w:bookmarkEnd w:id="103"/>
      <w:bookmarkStart w:id="104" w:name="_Toc23429306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工期延误</w:t>
      </w:r>
    </w:p>
    <w:bookmarkEnd w:id="104"/>
    <w:p w14:paraId="470D2BB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逾期竣工违约金的计算方法：因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原因导致工期延误五天以内（含五天）处违约金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000元整，五天以上处违约金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000元/天，违约造成的损失赔偿金按实计算，累计处罚总金额不得超过结算金额的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10</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58C90B0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05" w:name="_Toc299705239"/>
      <w:bookmarkStart w:id="106" w:name="_Toc376878842"/>
      <w:bookmarkStart w:id="107" w:name="_Toc351641403"/>
      <w:bookmarkStart w:id="108" w:name="_Toc280258549"/>
      <w:bookmarkStart w:id="109" w:name="_Toc280257142"/>
      <w:bookmarkStart w:id="110" w:name="_Toc4877"/>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、工程质量</w:t>
      </w:r>
      <w:bookmarkEnd w:id="105"/>
      <w:bookmarkEnd w:id="106"/>
      <w:bookmarkEnd w:id="107"/>
      <w:bookmarkEnd w:id="108"/>
      <w:bookmarkEnd w:id="1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标准</w:t>
      </w:r>
      <w:bookmarkEnd w:id="110"/>
    </w:p>
    <w:p w14:paraId="165371B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1.工程质量标准</w:t>
      </w:r>
    </w:p>
    <w:p w14:paraId="1D8FA57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达到国家现行有关施工质量验收规范要求，并达到合格标准。</w:t>
      </w:r>
    </w:p>
    <w:p w14:paraId="5BDA29B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2.隐蔽工程检查</w:t>
      </w:r>
    </w:p>
    <w:p w14:paraId="2F5E61D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自检合格后，应在共同检查验收前 48 小时书面通知</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现场代表、监理人、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业主方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人员进行检查验收。</w:t>
      </w:r>
    </w:p>
    <w:p w14:paraId="6AAF2C64">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3.1</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在室内装饰装修项目施工材料进场前，需向监理方提供进场材料相关合格证明和检验报告，同时甲方有权按《民用建筑工程室内环境污染控制标准》(GB 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5326343C">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1E931F55">
      <w:pPr>
        <w:spacing w:line="440" w:lineRule="exact"/>
        <w:ind w:firstLine="420" w:firstLineChars="200"/>
        <w:rPr>
          <w:rFonts w:hint="default"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457C8A70">
      <w:pPr>
        <w:spacing w:line="440" w:lineRule="exact"/>
        <w:ind w:left="2" w:firstLine="339"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1" w:name="_Toc351641406"/>
      <w:bookmarkStart w:id="112" w:name="_Toc376878845"/>
      <w:bookmarkStart w:id="113" w:name="_Toc299705242"/>
      <w:bookmarkStart w:id="114" w:name="_Toc280257145"/>
      <w:bookmarkStart w:id="115" w:name="_Toc280258552"/>
      <w:bookmarkStart w:id="116" w:name="_Toc27568"/>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一</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、试验和检验</w:t>
      </w:r>
      <w:bookmarkEnd w:id="111"/>
      <w:bookmarkEnd w:id="112"/>
      <w:bookmarkEnd w:id="113"/>
      <w:bookmarkEnd w:id="114"/>
      <w:bookmarkEnd w:id="115"/>
      <w:bookmarkEnd w:id="116"/>
    </w:p>
    <w:p w14:paraId="5EFF58B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 一般检验试验：</w:t>
      </w:r>
    </w:p>
    <w:p w14:paraId="090FC30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根据《建设工程质量检测管理办法》（中华人民共和国住房和城乡建设部令第57号）、关于实施《建设工程质量检测管理办法》有关问题的通知（</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）、《重庆市建设工程质量检测管理规定》（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）、渝建发〔2024〕71号和有关施工规范、验收标准及施工图的规定或要求，对工程材料、构件、建筑安装物、半成品、成品进行的一般质量鉴定、检测和试验，由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委托的第三方检测试验机构实施，所发生的鉴定、检测和试验费用由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p>
    <w:p w14:paraId="7591B5F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实施前，由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方</w:t>
      </w:r>
      <w:r>
        <w:rPr>
          <w:rFonts w:hint="eastAsia" w:asciiTheme="minorEastAsia" w:hAnsiTheme="minorEastAsia" w:eastAsiaTheme="minorEastAsia"/>
          <w:color w:val="000000" w:themeColor="text1"/>
          <w:sz w:val="21"/>
          <w:szCs w:val="21"/>
          <w:highlight w:val="none"/>
          <w14:textFill>
            <w14:solidFill>
              <w14:schemeClr w14:val="tx1"/>
            </w14:solidFill>
          </w14:textFill>
        </w:rPr>
        <w:t>和第三方检测试验机构签订三方合同，第三方检测试验机构分别向</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丙方</w:t>
      </w:r>
      <w:r>
        <w:rPr>
          <w:rFonts w:hint="eastAsia" w:asciiTheme="minorEastAsia" w:hAnsiTheme="minorEastAsia" w:eastAsiaTheme="minorEastAsia"/>
          <w:color w:val="000000" w:themeColor="text1"/>
          <w:sz w:val="21"/>
          <w:szCs w:val="21"/>
          <w:highlight w:val="none"/>
          <w14:textFill>
            <w14:solidFill>
              <w14:schemeClr w14:val="tx1"/>
            </w14:solidFill>
          </w14:textFill>
        </w:rPr>
        <w:t>出具相应的检测试验报告。根据渝建〔2015〕420 号文和有关施工规范、验收标准及施工图的规定或要求，所做的上述检测试验所需的试件取样、制作、送检，试件制作需要提供的材料以及检测、试验的配合工作由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4B9C071D">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2、特殊检验试验：</w:t>
      </w:r>
    </w:p>
    <w:p w14:paraId="006A884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（1）除“施工措施的检测、试验”外，包括但不限于燃气管道的压力试验、</w:t>
      </w:r>
      <w:r>
        <w:rPr>
          <w:rFonts w:asciiTheme="minorEastAsia" w:hAnsiTheme="minorEastAsia" w:eastAsiaTheme="minorEastAsia"/>
          <w:color w:val="000000" w:themeColor="text1"/>
          <w:sz w:val="21"/>
          <w:szCs w:val="21"/>
          <w:highlight w:val="none"/>
          <w14:textFill>
            <w14:solidFill>
              <w14:schemeClr w14:val="tx1"/>
            </w14:solidFill>
          </w14:textFill>
        </w:rPr>
        <w:t>强度试验和气密性试验</w:t>
      </w:r>
      <w:r>
        <w:rPr>
          <w:rFonts w:hint="eastAsia" w:asciiTheme="minorEastAsia" w:hAnsiTheme="minorEastAsia" w:eastAsiaTheme="minorEastAsia"/>
          <w:color w:val="000000" w:themeColor="text1"/>
          <w:sz w:val="21"/>
          <w:szCs w:val="21"/>
          <w:highlight w:val="none"/>
          <w14:textFill>
            <w14:solidFill>
              <w14:schemeClr w14:val="tx1"/>
            </w14:solidFill>
          </w14:textFill>
        </w:rPr>
        <w:t>等（根据项目实际情况增减）设计施工规范及其他法律法规规范规定的特殊检验试验项目，根据渝建〔2015〕420 号文的规定，均由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委托相应的第三方检测试验机构进行检测，所发生的特殊检验试验费由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委托的第三方检测试验机构检测试验的试件所需的材料、取样、送检及相关配合工作由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7ACB9CD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（2）施工措施的检测、试验：因施工措施需要而做的相关检测、试验由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负责实施，其费用由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FA0C1C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3、专项检测：按相关专业标准执行（如有）。</w:t>
      </w:r>
    </w:p>
    <w:p w14:paraId="12760D8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4、若因</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取样、制样、送检及相关配合不及时而导致工程的工期和费用增加，影响的工期不予延长，增加费用由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63755CF">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5、检测试验不合格的项目，其缺陷处理和复测费用由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承担，工期不予延长。</w:t>
      </w:r>
    </w:p>
    <w:p w14:paraId="4675EDCD">
      <w:pPr>
        <w:spacing w:line="440" w:lineRule="exact"/>
        <w:ind w:left="2" w:firstLine="297"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7" w:name="_Toc351641412"/>
      <w:bookmarkStart w:id="118" w:name="_Toc299705249"/>
      <w:bookmarkStart w:id="119" w:name="_Toc234293076"/>
      <w:bookmarkStart w:id="120" w:name="_Toc376878851"/>
      <w:bookmarkStart w:id="121" w:name="_Toc280257152"/>
      <w:bookmarkStart w:id="122" w:name="_Toc280258559"/>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123" w:name="_Toc117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、价格调整</w:t>
      </w:r>
      <w:bookmarkEnd w:id="117"/>
      <w:bookmarkEnd w:id="118"/>
      <w:bookmarkEnd w:id="119"/>
      <w:bookmarkEnd w:id="120"/>
      <w:bookmarkEnd w:id="121"/>
      <w:bookmarkEnd w:id="122"/>
      <w:bookmarkEnd w:id="123"/>
    </w:p>
    <w:p w14:paraId="551F6B1A">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4" w:name="_Toc299705251"/>
      <w:bookmarkStart w:id="125" w:name="_Toc351641414"/>
      <w:bookmarkStart w:id="126" w:name="_Toc280258562"/>
      <w:bookmarkStart w:id="127" w:name="_Toc280257155"/>
      <w:bookmarkStart w:id="128" w:name="_Toc376878853"/>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市场价格波动是否调整合同价格的约定：不调整。</w:t>
      </w:r>
    </w:p>
    <w:p w14:paraId="0D6677C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三</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、计量与支付</w:t>
      </w:r>
      <w:bookmarkEnd w:id="124"/>
      <w:bookmarkEnd w:id="125"/>
      <w:bookmarkEnd w:id="126"/>
      <w:bookmarkEnd w:id="127"/>
      <w:bookmarkEnd w:id="128"/>
    </w:p>
    <w:p w14:paraId="43D4BB37">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 计量原则</w:t>
      </w:r>
    </w:p>
    <w:p w14:paraId="5DA985A1">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w:t>
      </w:r>
    </w:p>
    <w:p w14:paraId="66C5F5F4">
      <w:pPr>
        <w:numPr>
          <w:ilvl w:val="0"/>
          <w:numId w:val="1"/>
        </w:num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9" w:name="OLE_LINK1"/>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款</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支付</w:t>
      </w:r>
    </w:p>
    <w:p w14:paraId="686D13E1">
      <w:pPr>
        <w:pStyle w:val="4"/>
        <w:ind w:firstLine="420" w:firstLineChars="200"/>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（1）所有工程款在达到付款节点后，由乙方开具工程款等额的发票与丙方，丙方将相应款项划拨至甲方，由甲方代为支付；</w:t>
      </w: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甲方未收到丙方足额款项前，有权暂缓向乙方支付项目进度款与尾款。</w:t>
      </w:r>
    </w:p>
    <w:p w14:paraId="6097EF15">
      <w:pPr>
        <w:pStyle w:val="4"/>
        <w:ind w:firstLine="420" w:firstLineChars="200"/>
        <w:rPr>
          <w:rFonts w:hint="default"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本项目计税方式为一般计税法，增值税发票必须符合中国《增值税专用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6017CC2F">
      <w:pPr>
        <w:pStyle w:val="4"/>
        <w:numPr>
          <w:ilvl w:val="0"/>
          <w:numId w:val="2"/>
        </w:numPr>
        <w:ind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bookmarkStart w:id="130" w:name="_Toc351641417"/>
      <w:bookmarkStart w:id="131" w:name="_Toc299705254"/>
      <w:bookmarkStart w:id="132" w:name="_Toc376878856"/>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项目竣工验收合格后，丙方支付至合同暂定金额的80%。</w:t>
      </w:r>
    </w:p>
    <w:p w14:paraId="4FA86EBC">
      <w:pPr>
        <w:pStyle w:val="4"/>
        <w:numPr>
          <w:ilvl w:val="0"/>
          <w:numId w:val="2"/>
        </w:numPr>
        <w:ind w:left="0" w:leftChars="0"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且完成结算审计后，丙方向甲方支付至项目审定结算费用的100%。甲方应按项目审定的结算金额的3%作为质量保证金汇入丙方指暂存账户。质保期满验收合格后三十日内，工程质保金质保期满后由丙方无息退还。</w:t>
      </w:r>
    </w:p>
    <w:p w14:paraId="1AE65FCC">
      <w:pPr>
        <w:pStyle w:val="4"/>
        <w:numPr>
          <w:ilvl w:val="0"/>
          <w:numId w:val="0"/>
        </w:numPr>
        <w:ind w:firstLine="420" w:firstLineChars="200"/>
        <w:rPr>
          <w:rFonts w:hint="default"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4）工程造价审减或审增（增减不相互抵消）与承包人报审价相比小于5％（含5%）时，由丙方承担审计费用；工程造价审减或审增（增减不相互抵消）与承包人报价相比大于5％（含5%，计算公式为：（审定金额-乙方送审金额）/审定金额≥±5%））时，由乙方支付结算审核单位咨询费用，咨询费用以结算审核单位签订的相关合同为准。</w:t>
      </w:r>
    </w:p>
    <w:bookmarkEnd w:id="129"/>
    <w:p w14:paraId="32B57342">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3.质量保证金</w:t>
      </w:r>
      <w:bookmarkEnd w:id="130"/>
      <w:bookmarkEnd w:id="131"/>
      <w:bookmarkEnd w:id="132"/>
    </w:p>
    <w:p w14:paraId="49B2F03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质量保证金的金额或比例：结算</w:t>
      </w: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审定</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金额的3% 。 </w:t>
      </w:r>
    </w:p>
    <w:p w14:paraId="204C24F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3" w:name="_Toc532375658"/>
      <w:bookmarkStart w:id="134" w:name="_Toc532377395"/>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4.竣工结算</w:t>
      </w:r>
      <w:bookmarkEnd w:id="133"/>
      <w:bookmarkEnd w:id="134"/>
    </w:p>
    <w:p w14:paraId="2C8C6D7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竣工结算办法如下：</w:t>
      </w:r>
    </w:p>
    <w:p w14:paraId="1B961AB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4.1计量原则</w:t>
      </w:r>
    </w:p>
    <w:p w14:paraId="7B1518D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5" w:name="_Hlk528928260"/>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同前述第1条“计量原则”内容。</w:t>
      </w:r>
    </w:p>
    <w:bookmarkEnd w:id="135"/>
    <w:p w14:paraId="2C9FDE7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4.2计价原则</w:t>
      </w:r>
    </w:p>
    <w:p w14:paraId="60A764D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4.2.1分部分项工程结算价：</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14:paraId="64EAEDAD">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 措施项目结算价： </w:t>
      </w:r>
    </w:p>
    <w:p w14:paraId="6A3189C4">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4.2.2.1 施工组织措施项目结算价 </w:t>
      </w:r>
    </w:p>
    <w:p w14:paraId="51BE29B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除安全文明施工费按实计算外，施工组织措施项目费按对应项目中标清单中的施工组织措施项目费（安全文明施工费除外）包干使用，结算时不作调整。</w:t>
      </w:r>
    </w:p>
    <w:p w14:paraId="08976B15">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4.2.2 .2安全文明施工费</w:t>
      </w:r>
    </w:p>
    <w:p w14:paraId="16AD981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38630B88">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4.2.2.3 施工技术措施项目结算价 </w:t>
      </w:r>
    </w:p>
    <w:p w14:paraId="4DADAB3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 ）工程量清单项以“项”为单位的施工技术措施项目，均按对应项目中标清单中的相应施工技术措施项目费总价包干使用，结算时不作调整。</w:t>
      </w:r>
    </w:p>
    <w:p w14:paraId="40AA68C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 ）其他工程量清单项有具体单位的施工技术措施项目，均按对应项目中标清单中的相应施工技术措施项目工程量清单综合单价（固定），乘以现场实际签证收方（或计算的）工程量计算对应的施工技术措施项目结算价。 </w:t>
      </w:r>
    </w:p>
    <w:p w14:paraId="65A44EB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 施工技术措施项目的内容已包括：施工过程中由于政府停电、停水造成停工，但需满足施工总工期，而又必须抢工所采取的相应施工措施产生的费用等，结算时不再计算。</w:t>
      </w:r>
    </w:p>
    <w:p w14:paraId="71D5F91F">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4.2.3 其他项目结算价：</w:t>
      </w:r>
    </w:p>
    <w:p w14:paraId="2A1E7CD6">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按相关规定，结合现场实际发生情况按实签证办理。</w:t>
      </w:r>
    </w:p>
    <w:p w14:paraId="26E8099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4.2.4规费：按《重庆市建设工程费用定额》（CQFYDE-2018）的相关规定执行，办理结算。</w:t>
      </w:r>
    </w:p>
    <w:p w14:paraId="7D21E43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4.2.5税金：按《重庆市建设工程费用定额》（CQFYDE-2018）及相关配套文件、《重庆市住房和城乡建设委员会关于适用增值税新税率调整建设工程计价依据的通知》渝建（2019）143号执行。</w:t>
      </w:r>
    </w:p>
    <w:p w14:paraId="630E717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1"/>
          <w:szCs w:val="21"/>
          <w:highlight w:val="none"/>
          <w:lang w:val="en-US" w:eastAsia="zh-CN"/>
          <w14:textFill>
            <w14:solidFill>
              <w14:schemeClr w14:val="tx1"/>
            </w14:solidFill>
          </w14:textFill>
        </w:rPr>
        <w:t>工程量按各方现场代表签字认可的竣工图按实计算，零星施工内容由参建各方现场收方计量，以经各方现场代表签字认可后形成的现场签证收方单执行。</w:t>
      </w:r>
    </w:p>
    <w:p w14:paraId="51EA25D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新增项目结算价按预算编制时的计价原则执行（具体详见预算书）。</w:t>
      </w:r>
    </w:p>
    <w:p w14:paraId="11E2AE9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36" w:name="_Toc376878871"/>
      <w:bookmarkStart w:id="137" w:name="_Toc299705273"/>
      <w:bookmarkStart w:id="138" w:name="_Toc351641436"/>
      <w:bookmarkStart w:id="139" w:name="_Toc1143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四</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、违约</w:t>
      </w:r>
      <w:bookmarkEnd w:id="136"/>
      <w:bookmarkEnd w:id="137"/>
      <w:bookmarkEnd w:id="138"/>
      <w:bookmarkEnd w:id="139"/>
    </w:p>
    <w:p w14:paraId="28BAC78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0" w:name="_Toc376878872"/>
      <w:bookmarkStart w:id="141" w:name="_Toc351641437"/>
      <w:bookmarkStart w:id="142" w:name="_Toc299705274"/>
      <w:bookmarkStart w:id="143" w:name="_Toc9703"/>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w:t>
      </w:r>
      <w:bookmarkEnd w:id="140"/>
      <w:bookmarkEnd w:id="141"/>
      <w:bookmarkEnd w:id="142"/>
      <w:bookmarkEnd w:id="143"/>
    </w:p>
    <w:p w14:paraId="69DB350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违约以外的应承担的其他违约责任：</w:t>
      </w:r>
    </w:p>
    <w:p w14:paraId="7C0BAC4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4" w:name="_Toc280258583"/>
      <w:bookmarkStart w:id="145" w:name="_Toc376878873"/>
      <w:bookmarkStart w:id="146" w:name="_Toc299705275"/>
      <w:bookmarkStart w:id="147" w:name="_Toc351641438"/>
      <w:bookmarkStart w:id="148" w:name="_Toc234293098"/>
      <w:bookmarkStart w:id="149" w:name="_Toc280257176"/>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06AA20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2、如果因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的原因工程质量达不到合同约定的质量标准，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指定期限内不进行整改或经整改后仍不能达到要求的，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15B3166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3、因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原因，未按经监理人和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批准的进度计划组织施工，实际进度比进度计划滞后30天以上的；或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在执行本合同过程中，安全生产、文明施工、环保或环卫不能满足国家、重庆市和本合同有关规定要求的，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指定期限内不进行整改或经整改仍不能达到本合同要求的,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6A608D5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违反国家和重庆市安全生产、文明施工、环保及环卫有关规定的，除按相关规定进行处罚外，每发现一次或一处，依据《监理工程师通知单》或相关记录资料对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处以1000元违约金，如拒不支付，由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必须按监理人或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的要求立即进行整改。</w:t>
      </w:r>
    </w:p>
    <w:p w14:paraId="699F453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提供的所有工程资料和数据必须真实可靠。经检查发现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61B1FA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6、</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在工程收方中采用欺骗手段或弄虚作假的，每发现一次，依据《监理工程师通知单》或相关记录资料对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EB1814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7、</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不能因为任何原因拖欠农民工工资、拖欠供货商货款，由此引发的任何责任由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全部承担；出现拖欠农民工工资行为、拖欠供货商货款，</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工程进度款中扣减直接支付给农民工或供货商。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并因此承担</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该工程总金额10%</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的违约责任（以监理人书面通知为准），如拒不支付，由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7F7AF7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8、未经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不得随意更改合同约定的材料设备的厂家、品牌、规格型号、技术指标、质量标准，否则依据《监理工程师通知单》或相关记录资料处以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6189D82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9、</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在施工中没有按</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要求或不明确施工要求而又不向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求证明确，致使施工不能达到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返工并由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承担返工损失，工期不得顺延。每违反一次由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支付2000元的违约金（以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书面发出的通知书为准），如拒不支付，由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CE740C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10、</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未严格按照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提供的施工图要求以及国家、地方现行规范要求的工程质量标准施工，每发现一次或一处，依据《监理工程师通知单》或相关记录资料对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直接从工程进度款中扣除，且</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要求的时间进行整改。</w:t>
      </w:r>
    </w:p>
    <w:p w14:paraId="4029386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不得将其承包的工程转包或未按国家及重庆市的有关规定依法分包，一经发现，按照相关法律法规进行处理，并由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支付合同总价的1%的违约金，并无条件改正，工期不得顺延。</w:t>
      </w:r>
    </w:p>
    <w:p w14:paraId="42AC01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不按审批通过的施工图、施工组织设计、专项方案的主要施工工艺施工，擅自改变施工工艺，由此引发的任何责任由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处以5000元/次的违约金，如拒不支付，由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直接从工程进度款中扣除。情节严重的，可要求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退场，终止合同关系。</w:t>
      </w:r>
    </w:p>
    <w:p w14:paraId="557205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13、</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做好</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主要材料的备料工作，如材料未能按时到场，造成工期延误的，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D6BE2B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14、政府职能部门(安监站、质监站)现场检查，出具《安全监督通知书》或《质量监督通知书》中涉及要求安全、文明、质量方面整改内容条款时，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处以2000元/条的违约金处罚，如拒不支付，由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1205F30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有权</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在应向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支付的款项中直接扣除应由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承担的违约金等费用。</w:t>
      </w:r>
    </w:p>
    <w:p w14:paraId="1496672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50" w:name="_Toc1858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五</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、争议的解决</w:t>
      </w:r>
      <w:bookmarkEnd w:id="144"/>
      <w:bookmarkEnd w:id="145"/>
      <w:bookmarkEnd w:id="146"/>
      <w:bookmarkEnd w:id="147"/>
      <w:bookmarkEnd w:id="148"/>
      <w:bookmarkEnd w:id="149"/>
      <w:bookmarkEnd w:id="150"/>
    </w:p>
    <w:p w14:paraId="4649843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1" w:name="_Toc9205"/>
      <w:bookmarkStart w:id="152" w:name="_Toc351641439"/>
      <w:bookmarkStart w:id="153" w:name="_Toc299705276"/>
      <w:bookmarkStart w:id="154" w:name="_Toc234293099"/>
      <w:bookmarkStart w:id="155" w:name="_Toc376878874"/>
      <w:bookmarkStart w:id="156" w:name="_Toc280258584"/>
      <w:bookmarkStart w:id="157" w:name="_Toc280257177"/>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 争议的解决方式</w:t>
      </w:r>
      <w:bookmarkEnd w:id="151"/>
      <w:bookmarkEnd w:id="152"/>
      <w:bookmarkEnd w:id="153"/>
      <w:bookmarkEnd w:id="154"/>
      <w:bookmarkEnd w:id="155"/>
      <w:bookmarkEnd w:id="156"/>
      <w:bookmarkEnd w:id="157"/>
    </w:p>
    <w:p w14:paraId="6B7C63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争议的解决方式：本合同在履行过程中发生的争议，由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当事人协商解决，协商不成的，</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任何一方均有权向项目所在地有管辖权的人民法院起诉。</w:t>
      </w:r>
    </w:p>
    <w:p w14:paraId="199E1908">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、合同其</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他</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约定</w:t>
      </w:r>
    </w:p>
    <w:p w14:paraId="0142C708">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约定合同份数：一式</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柒</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叁</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份、乙方贰份</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贰份。</w:t>
      </w:r>
    </w:p>
    <w:p w14:paraId="5EC8483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8" w:name="_Toc280257178"/>
      <w:bookmarkStart w:id="159" w:name="_Toc280258585"/>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 本工程质量保修期按照《建设工程质量管理条例》中的有关规定执行；</w:t>
      </w:r>
      <w:bookmarkEnd w:id="158"/>
      <w:bookmarkEnd w:id="159"/>
    </w:p>
    <w:p w14:paraId="7E80146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应严格执行重庆市人民政府令164号《重庆市人民政府关于对主城区易撒漏物质实行密闭运输的通告》，费用已包含在合同价款中。</w:t>
      </w:r>
    </w:p>
    <w:p w14:paraId="253A21C4">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 工程实施过程中若发现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的投标工程量清单与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的招标清单不符，则以招标清单为准，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有权要求投标在综合单价不变的情况下按招标清单进行更正。</w:t>
      </w:r>
    </w:p>
    <w:p w14:paraId="5B1BF75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0" w:name="_Toc351203487"/>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、承诺</w:t>
      </w:r>
      <w:bookmarkEnd w:id="160"/>
    </w:p>
    <w:p w14:paraId="4E74C7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承诺按照法律规定履行项目审批手续、筹集工程建设资金并按照合同约定的期限和方式支付合同价款。</w:t>
      </w:r>
    </w:p>
    <w:p w14:paraId="58632B8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14:paraId="365E1D3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1" w:name="_Toc35120348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161"/>
      <w:bookmarkStart w:id="162" w:name="_Toc351203490"/>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签订地点</w:t>
      </w:r>
      <w:bookmarkEnd w:id="162"/>
    </w:p>
    <w:p w14:paraId="07D16F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本合同在重庆市北碚区签订。</w:t>
      </w:r>
    </w:p>
    <w:p w14:paraId="34E9020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3" w:name="_Toc35120349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、补充协议</w:t>
      </w:r>
      <w:bookmarkEnd w:id="163"/>
    </w:p>
    <w:p w14:paraId="0F6DB7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合同未尽事宜，合同当事人另行签订补充协议，补充协议是合同的组成部分。</w:t>
      </w:r>
    </w:p>
    <w:p w14:paraId="41C0AC5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4" w:name="_Toc351203492"/>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、合同生效</w:t>
      </w:r>
      <w:bookmarkEnd w:id="164"/>
    </w:p>
    <w:p w14:paraId="59AA19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本合同自</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签字盖章后生效。</w:t>
      </w:r>
    </w:p>
    <w:p w14:paraId="5911D76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附件1、工程质量保修书</w:t>
      </w:r>
    </w:p>
    <w:p w14:paraId="3F1FC06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附件2、廉政协议</w:t>
      </w:r>
    </w:p>
    <w:p w14:paraId="099EDC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附件3、安全协议</w:t>
      </w:r>
    </w:p>
    <w:p w14:paraId="0397AF03">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2F23E73">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3983741B">
      <w:pPr>
        <w:pStyle w:val="10"/>
        <w:widowControl w:val="0"/>
        <w:shd w:val="clear" w:color="auto" w:fill="FFFFFF"/>
        <w:spacing w:before="0" w:beforeAutospacing="0" w:after="0" w:afterAutospacing="0" w:line="440" w:lineRule="exact"/>
        <w:ind w:firstLine="210" w:firstLineChars="1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本页为签字页，无正文</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p>
    <w:p w14:paraId="0C54D937">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570754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63415B">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01AEC5C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3AC4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78C217B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w:t>
      </w:r>
    </w:p>
    <w:p w14:paraId="30A4BE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27302D2D">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12F6C4EE">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42712EB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邮政编码：400700         </w:t>
      </w:r>
    </w:p>
    <w:p w14:paraId="6D48B21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CE8777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10211F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章)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471A787E">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29C0693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A34F23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D827C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2BFFFEE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8634049">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7400D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14207E00">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44F70E12">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附件1</w:t>
      </w:r>
    </w:p>
    <w:p w14:paraId="1C00A83D">
      <w:pPr>
        <w:spacing w:line="40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工程质量保修书</w:t>
      </w:r>
    </w:p>
    <w:p w14:paraId="20E00E5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7FED787">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C07E117">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3808B32B">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7AEAF71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4BE18B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根据《中华人民共和国建筑法》和《建设工程质量管理条例》，经协商一致</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签订</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w:t>
      </w:r>
    </w:p>
    <w:p w14:paraId="6CB7C9B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一、工程质量保修范围和内容</w:t>
      </w:r>
    </w:p>
    <w:p w14:paraId="4100E9F7">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在质量保修期内，按照有关法律规定和合同约定，承担工程质量保修责任。</w:t>
      </w:r>
    </w:p>
    <w:p w14:paraId="749627DF">
      <w:pPr>
        <w:autoSpaceDE w:val="0"/>
        <w:autoSpaceDN w:val="0"/>
        <w:adjustRightInd w:val="0"/>
        <w:spacing w:line="400" w:lineRule="exact"/>
        <w:ind w:right="-11"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质量保修范围为本次工程所实施的工作范围    </w:t>
      </w:r>
    </w:p>
    <w:p w14:paraId="06800936">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二、质量保修期</w:t>
      </w:r>
    </w:p>
    <w:p w14:paraId="459220A5">
      <w:pPr>
        <w:spacing w:line="360" w:lineRule="auto"/>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质量保修期自工程竣工验收合格之日起计算。</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根据国家有关规定，结合具体工程约定质量保修期如下：</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常规项目</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，含有屋面防水工程、有防水要求的卫生间、房间和外墙面的防渗漏保修期为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60个月</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148AA3AA">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三、缺陷责任期</w:t>
      </w:r>
    </w:p>
    <w:p w14:paraId="08BF5F41">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工程缺陷责任期为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个月，缺陷责任期自工程实际竣工之日起计算。缺陷责任期终止后，</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退还剩余的质量保证金。</w:t>
      </w:r>
    </w:p>
    <w:p w14:paraId="628F6734">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四、质量保修责任</w:t>
      </w:r>
    </w:p>
    <w:p w14:paraId="6034A798">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1．属于保修范围、内容的项目，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应当在接到保修通知之日起7天内派人保修。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不在约定期限内派人保修的，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可以委托他人修理。</w:t>
      </w:r>
    </w:p>
    <w:p w14:paraId="525634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2．发生紧急事故需抢修的，</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在接到事故通知后，应当立即到达事故现场抢修。</w:t>
      </w:r>
    </w:p>
    <w:p w14:paraId="53483A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实施保修。</w:t>
      </w:r>
    </w:p>
    <w:p w14:paraId="6209AE9E">
      <w:pPr>
        <w:spacing w:line="400" w:lineRule="exact"/>
        <w:ind w:left="420" w:leftChars="200" w:firstLine="105" w:firstLineChars="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4．质量保修完成后，由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组织验收。</w:t>
      </w:r>
    </w:p>
    <w:p w14:paraId="383EE313">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五、保修费用</w:t>
      </w:r>
    </w:p>
    <w:p w14:paraId="103AD8D9">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保修费用由造成质量缺陷的责任方承担。</w:t>
      </w:r>
    </w:p>
    <w:p w14:paraId="698D8D13">
      <w:pPr>
        <w:spacing w:line="40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六、</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约定的其他工程质量保修事项：根据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要求而定。</w:t>
      </w:r>
    </w:p>
    <w:p w14:paraId="7E3DEB90">
      <w:pPr>
        <w:spacing w:line="400" w:lineRule="exact"/>
        <w:ind w:firstLine="399" w:firstLineChars="19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工程质量保修书由</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在工程竣工验收前共同签署，作为施工合同附件，其有效期限至保修期满。</w:t>
      </w:r>
    </w:p>
    <w:p w14:paraId="388D96C2">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3B88DDB">
      <w:pPr>
        <w:rPr>
          <w:color w:val="000000" w:themeColor="text1"/>
          <w:highlight w:val="none"/>
          <w14:textFill>
            <w14:solidFill>
              <w14:schemeClr w14:val="tx1"/>
            </w14:solidFill>
          </w14:textFill>
        </w:rPr>
      </w:pPr>
    </w:p>
    <w:p w14:paraId="1EBA18F4">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35A94411">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3F896E9C">
      <w:pPr>
        <w:spacing w:line="440" w:lineRule="exact"/>
        <w:jc w:val="left"/>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p>
    <w:p w14:paraId="2CE63558">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附件2</w:t>
      </w:r>
    </w:p>
    <w:p w14:paraId="6CE95F39">
      <w:pPr>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廉政协议</w:t>
      </w:r>
    </w:p>
    <w:p w14:paraId="4BFEA765">
      <w:pPr>
        <w:spacing w:line="440" w:lineRule="exact"/>
        <w:ind w:left="5686" w:hanging="1547"/>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4A601725">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061EF0F6">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056E46DE">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67FC2A57">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CA9FC38">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为做好项目工程中的党风廉政建设工作，积极预防职务犯罪，保证建设资金的安全和有效使用，确保工程建设高效优质并达到投资效益，根据工程建设、廉政建设的有关规定，经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协商一致签订本协议 。  </w:t>
      </w:r>
    </w:p>
    <w:p w14:paraId="492D073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第一条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共同的责任和义务 </w:t>
      </w:r>
    </w:p>
    <w:p w14:paraId="5B59009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（一）严格遵守党和国家有关法律法规和规定。</w:t>
      </w:r>
    </w:p>
    <w:p w14:paraId="029CF8E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的业务活动坚持公开、公正、诚信、透明的原则（除法律认定的商业秘密和协议文件另有规定之外），不得</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损害</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国家和集体利益，不得违反工程建设管理规章制度。</w:t>
      </w:r>
    </w:p>
    <w:p w14:paraId="143B968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（三）建立健全廉政制度，开展廉政教育，设立廉政告示牌，公布举报电话，监督并认真查处违法违纪行为。</w:t>
      </w:r>
    </w:p>
    <w:p w14:paraId="59D03AF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（四）发现对方在业务活动中有违反廉政规定的行为，有及时提醒对方纠正或据实检举的权利和义务。</w:t>
      </w:r>
    </w:p>
    <w:p w14:paraId="1FCB325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（五）发现对方严重违反本合同义务条款的行为，有向其上级有关部门举报、建议给予处理并要求告知处理结果的权利。</w:t>
      </w:r>
    </w:p>
    <w:p w14:paraId="7DE6973D">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第二条  甲方的义务</w:t>
      </w:r>
    </w:p>
    <w:p w14:paraId="091E01F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（一）甲方及其工作人员不得索要或接受乙方的礼金、有价证券和贵重物品，不得在乙方处报销任何本应由甲方或个人支付的费用。</w:t>
      </w:r>
    </w:p>
    <w:p w14:paraId="0144044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（二）甲方工作人员不得参加乙方安排的超标准宴请或其他超出公务接待范围的娱乐活动；不得接受乙方提供的通讯工具、交通工具和高档办公用品。</w:t>
      </w:r>
    </w:p>
    <w:p w14:paraId="2826871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（三）甲方及其工作人员不得要求或者接受乙方为其提供住房装修、婚丧嫁</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娶</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、为配偶子女安排工作以及出国出境、旅游等便利。</w:t>
      </w:r>
    </w:p>
    <w:p w14:paraId="4D8A47D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（四）甲方工作人员的配偶、子女不得从事与甲方工程有关的材料设备供应、工程分包、劳务等经营活动。</w:t>
      </w:r>
    </w:p>
    <w:p w14:paraId="530FC80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（五）甲方及其工作人员不得以任何理由向乙方推荐分包单位，不得要求乙方购买协议规定外的材料和设备。</w:t>
      </w:r>
    </w:p>
    <w:p w14:paraId="61769A5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乙方义务</w:t>
      </w:r>
    </w:p>
    <w:p w14:paraId="38AB747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（一）乙方不得以任何理由向甲方及其工作人员行贿或馈赠礼金、有价证券、贵重礼品。</w:t>
      </w:r>
    </w:p>
    <w:p w14:paraId="4235F52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（二）乙方不得以任何名义为甲方以及其工作人员报销本应由甲方单位或个人支付的任何费用。</w:t>
      </w:r>
    </w:p>
    <w:p w14:paraId="6F2F259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（三）乙方不得以任何理由邀请甲方工作人员参加超标准宴请及其他超出公务接待范围的娱乐活动。</w:t>
      </w:r>
    </w:p>
    <w:p w14:paraId="4496146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（四）乙方不得为甲方单位和个人购置或提供通讯工具、交通工具和高档办公用品。</w:t>
      </w:r>
    </w:p>
    <w:p w14:paraId="0BE72FA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（五）乙方及其工作人员应严格按监理规程办事，不得为谋取私利向监理人员非法行贿、私下串通、损坏甲方利益。同时必须对监理单位和工程监理人员履行向甲方承诺的上述其他廉政义务。</w:t>
      </w:r>
    </w:p>
    <w:p w14:paraId="6CF64FC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（六）乙方如果发现甲方工作人员或工程监理人员有违反廉政规定的行为，应向甲方组织或上级单位进行举报。甲方和工程监理部门均不得找任何借口对乙方进行报复。</w:t>
      </w:r>
    </w:p>
    <w:p w14:paraId="5EE6693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（七）后续工程若采取邀请投标时，甲方对举报属实并严格遵守廉政合同及建设协议的乙方，在同等条件下给予承接后续同类工程的优先邀请投标权。</w:t>
      </w:r>
    </w:p>
    <w:p w14:paraId="666C4A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第四条  违约责任 </w:t>
      </w:r>
    </w:p>
    <w:p w14:paraId="09F5B32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（一）若甲方及其工作人员违反本协议第一、二条时，按照管理权限并依据有关规定给予党纪、政纪或组织处理；涉嫌犯罪的，移交司法机关追究刑事责任；给乙方单位造成对应经济损失的，应予依法赔偿。</w:t>
      </w:r>
    </w:p>
    <w:p w14:paraId="721D521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72164C1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第五条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w:t>
      </w:r>
    </w:p>
    <w:p w14:paraId="29CE970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或</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上级单位的纪检监察机关负责监督执行。</w:t>
      </w:r>
    </w:p>
    <w:p w14:paraId="4595BA4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本协议有效期为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签署之日起至该工程项目竣工验收后止。</w:t>
      </w:r>
    </w:p>
    <w:p w14:paraId="0F12B4A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第七条</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本协议作为</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szCs w:val="21"/>
          <w:highlight w:val="none"/>
          <w:u w:val="single"/>
          <w:lang w:val="en-US" w:eastAsia="zh-CN" w:bidi="ar-SA"/>
          <w14:textFill>
            <w14:solidFill>
              <w14:schemeClr w14:val="tx1"/>
            </w14:solidFill>
          </w14:textFill>
        </w:rPr>
        <w:t>XXXX</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合同的附件，与工程施工合同具有同等的法律效力，经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签署立即生效。</w:t>
      </w:r>
    </w:p>
    <w:p w14:paraId="3900BAF1">
      <w:pPr>
        <w:spacing w:line="440" w:lineRule="exact"/>
        <w:ind w:left="33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p>
    <w:p w14:paraId="7FB3277F">
      <w:pPr>
        <w:spacing w:line="44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148D7F9">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8B54713">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050CDE">
      <w:pPr>
        <w:pStyle w:val="8"/>
        <w:tabs>
          <w:tab w:val="left" w:pos="1260"/>
          <w:tab w:val="left" w:pos="1685"/>
          <w:tab w:val="right" w:leader="dot" w:pos="8400"/>
        </w:tabs>
        <w:rPr>
          <w:color w:val="000000" w:themeColor="text1"/>
          <w:highlight w:val="none"/>
          <w14:textFill>
            <w14:solidFill>
              <w14:schemeClr w14:val="tx1"/>
            </w14:solidFill>
          </w14:textFill>
        </w:rPr>
      </w:pPr>
    </w:p>
    <w:p w14:paraId="29F7991D">
      <w:pPr>
        <w:spacing w:line="440" w:lineRule="exact"/>
        <w:ind w:left="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00916B89">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28BEB950">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9FA6839">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75D08AEF">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附件3</w:t>
      </w:r>
    </w:p>
    <w:p w14:paraId="00CC6843">
      <w:pPr>
        <w:tabs>
          <w:tab w:val="left" w:pos="540"/>
        </w:tabs>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安全协议</w:t>
      </w:r>
    </w:p>
    <w:p w14:paraId="26336A61">
      <w:pPr>
        <w:spacing w:line="440" w:lineRule="exact"/>
        <w:ind w:left="63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E3427D3">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7400E21">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763FF458">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1DBDF85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3F3398C">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为贯彻“安全第一，预防为主”方针，明确各方的安全责任，确保施工安全，根据国家有关法律法规，经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协商一致签订本协议。</w:t>
      </w:r>
    </w:p>
    <w:p w14:paraId="3A65C6D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工程名称</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58D3414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工程地址</w:t>
      </w:r>
      <w:r>
        <w:rPr>
          <w:rFonts w:hint="default" w:cs="方正仿宋_GBK" w:asciiTheme="minorEastAsia" w:hAnsiTheme="minorEastAsia" w:eastAsiaTheme="minorEastAsia"/>
          <w:color w:val="000000" w:themeColor="text1"/>
          <w:sz w:val="21"/>
          <w:szCs w:val="24"/>
          <w:highlight w:val="none"/>
          <w:lang w:val="en-US"/>
          <w14:textFill>
            <w14:solidFill>
              <w14:schemeClr w14:val="tx1"/>
            </w14:solidFill>
          </w14:textFill>
        </w:rPr>
        <w:t>:</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XXX</w:t>
      </w:r>
    </w:p>
    <w:p w14:paraId="3844012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甲方安全责任</w:t>
      </w:r>
    </w:p>
    <w:p w14:paraId="0F6CA01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78112C04">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、乙方在施工中发生的安全事故，甲方有权组织调查、统计上报。</w:t>
      </w:r>
    </w:p>
    <w:p w14:paraId="57EED693">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、甲方不得要求乙方违反安全管理规定进行施工。因甲方原因导致的事故由甲方承担责任。</w:t>
      </w:r>
    </w:p>
    <w:p w14:paraId="4C739AC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、发生以下情况造成的违约责任由乙方承担：</w:t>
      </w:r>
    </w:p>
    <w:p w14:paraId="737AF162">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（1）人身伤亡事故；</w:t>
      </w:r>
    </w:p>
    <w:p w14:paraId="7D5E6A47">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（3）发生火灾事故；</w:t>
      </w:r>
    </w:p>
    <w:p w14:paraId="2ADAD84A">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（4）发生违章作业、冒险作业不听劝告的；</w:t>
      </w:r>
    </w:p>
    <w:p w14:paraId="0B3A9861">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（5）施工现场脏、乱、差，不能满足安全和文明施工要求的。</w:t>
      </w:r>
    </w:p>
    <w:p w14:paraId="0FB309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第四条  乙方安全责任</w:t>
      </w:r>
    </w:p>
    <w:p w14:paraId="54E343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乙方作为工程项目的分包单位，对工程施工过程中发生的人身伤害等承担安全责任。乙方应切实履行以下安全责任：</w:t>
      </w:r>
    </w:p>
    <w:p w14:paraId="6C07F4E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1、乙方所提供的承包工程要求的相关资质证明材料应真实、合法、有效。</w:t>
      </w:r>
    </w:p>
    <w:p w14:paraId="495DF5D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2、乙方必须贯彻执行国家有关安全生产的法律法规，必须制定相应的安全管理制度。</w:t>
      </w:r>
    </w:p>
    <w:p w14:paraId="2F9D004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3、现场施工应遵守国家和地方关于劳动安全，劳务用工法律法规及规章制度，保证其用工的合法性。乙方必须按国家有关规定，为施工人员进行人身保险，配备合格的劳动防护用品、安全用具。</w:t>
      </w:r>
    </w:p>
    <w:p w14:paraId="47212B91">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4、施工期间，乙方应设有专职安监人员。乙方指派</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4"/>
          <w:highlight w:val="none"/>
          <w:u w:val="singl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作为安全工作联系人。</w:t>
      </w:r>
    </w:p>
    <w:p w14:paraId="69F27D2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5、乙方用于本工程项目的安全防护用具的数量和质量必须满足施工需要，并经有资质检验单位检验符合安全规定。</w:t>
      </w:r>
    </w:p>
    <w:p w14:paraId="411125C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6、开工前，乙方应组织全体施工人员进行安全教育，并将参加安全教育人员名单（包括临时增补或调换人员）报给甲方备案。特种作业人员必须有有关部门核发的合格有效的上岗资格证书。</w:t>
      </w:r>
    </w:p>
    <w:p w14:paraId="596779BB">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7、开工前，乙方必须编制安全施工措施并报甲方、监理备案，施工前对全体施工人员进行全面的安全技术交底，并在整个施工过程正确、完整地执行。</w:t>
      </w:r>
    </w:p>
    <w:p w14:paraId="0040121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8、开工前，乙方应组织人员对施工区域、作业环境及使用甲方提供的设施设备、工器具等进行检查，确认符合安全要求。</w:t>
      </w:r>
    </w:p>
    <w:p w14:paraId="41916DF6">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9、未经甲方同意，乙方不得无故或擅自到其他施工区域或使用其他设施设备；不得擅自拆除、变更防护设施及标示。</w:t>
      </w:r>
    </w:p>
    <w:p w14:paraId="6B06ABF5">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10、乙方施工过程中需使用电、水源，应事先与甲方取得联系，并指定专人对现场的临时用电进行管理，不得私拉乱接。中断作业或遇故障应立即切断有关开关。</w:t>
      </w:r>
    </w:p>
    <w:p w14:paraId="5AA9965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11、乙方施工过程中应做到工完、料尽、场地清，确保安全文明施工。</w:t>
      </w:r>
    </w:p>
    <w:p w14:paraId="40BA6E4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12、乙方必须接受甲方的监督、检查，对甲方提出的安全整改意见必须及时整改。</w:t>
      </w:r>
    </w:p>
    <w:p w14:paraId="506EC7C8">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13、乙方施工过程中发生</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人身</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伤亡、电网和设备事故或危及生产运行的不安全情况，应立即报告甲方，并积极配合调查。</w:t>
      </w:r>
    </w:p>
    <w:p w14:paraId="67A3CD6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第五条  违约责任</w:t>
      </w:r>
    </w:p>
    <w:p w14:paraId="126C658E">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1、由于甲方或乙方责任造成对方或第三方的人身伤害、设备损坏等财产损失，由责任方承担相应责任，并赔偿对方或第三方因此造成的全部损失。</w:t>
      </w:r>
    </w:p>
    <w:p w14:paraId="31F5A85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2、合同履行中，发现乙方提供的有关资质材料无效，甲方有权解除合同，并由乙方承担由此造成的一切损失。</w:t>
      </w:r>
    </w:p>
    <w:p w14:paraId="2EB0222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3、发现乙方现场作业人员有违章行为的，按照甲方有关安全生产奖惩规定对甲方职工相类似的违章行为应扣款数额，承担相应的违约金。</w:t>
      </w:r>
    </w:p>
    <w:p w14:paraId="273518E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5D3652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5、乙方使用甲方提供的设施设备、工器具等造成损坏的，应照价赔偿。</w:t>
      </w:r>
    </w:p>
    <w:p w14:paraId="4E7429A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6、乙方人员无故到其他生产区域或擅自动用设施设备等，造成人身伤亡或设备财产损失，由乙方承担。</w:t>
      </w:r>
    </w:p>
    <w:p w14:paraId="6C044FA0">
      <w:pPr>
        <w:tabs>
          <w:tab w:val="left" w:pos="540"/>
        </w:tabs>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7、施工过程中发生人身伤亡、电网和设备事故有隐瞒行为的，除接受政府有关部门处理外，</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应承担3000元至10000元/次的违约责任，并承担其相应责任</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w:t>
      </w:r>
    </w:p>
    <w:p w14:paraId="1F4A908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本协议执行过程中，如发生争议，应首先通过友好协商解决，如协商不成，</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同意直接向工程所在地人民法院起诉。</w:t>
      </w:r>
    </w:p>
    <w:p w14:paraId="2A6691B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第七条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必须严格执行本协议，本协议的法律效力独立于主合同。</w:t>
      </w:r>
    </w:p>
    <w:p w14:paraId="5DAB7B2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第八条 本协议有效期限：自本协议签订之日起至此承包工程完工且验收合格之日止。</w:t>
      </w:r>
    </w:p>
    <w:p w14:paraId="067F3F31">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D0B5427">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5A485D">
      <w:pPr>
        <w:rPr>
          <w:color w:val="000000" w:themeColor="text1"/>
          <w:highlight w:val="none"/>
          <w14:textFill>
            <w14:solidFill>
              <w14:schemeClr w14:val="tx1"/>
            </w14:solidFill>
          </w14:textFill>
        </w:rPr>
      </w:pPr>
    </w:p>
    <w:p w14:paraId="2D4897D8">
      <w:pPr>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178DE246">
      <w:pPr>
        <w:spacing w:before="66" w:line="219" w:lineRule="auto"/>
        <w:ind w:left="3"/>
        <w:rPr>
          <w:rFonts w:ascii="宋体" w:hAnsi="宋体" w:eastAsia="宋体" w:cs="宋体"/>
          <w:color w:val="000000" w:themeColor="text1"/>
          <w:sz w:val="20"/>
          <w:szCs w:val="20"/>
          <w:highlight w:val="none"/>
          <w14:textFill>
            <w14:solidFill>
              <w14:schemeClr w14:val="tx1"/>
            </w14:solidFill>
          </w14:textFill>
        </w:rPr>
      </w:pPr>
    </w:p>
    <w:p w14:paraId="24CC661F">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17" w:type="default"/>
          <w:pgSz w:w="11910" w:h="16840"/>
          <w:pgMar w:top="1431" w:right="1786" w:bottom="1134" w:left="1786" w:header="0" w:footer="999" w:gutter="0"/>
          <w:pgNumType w:fmt="decimal"/>
          <w:cols w:space="720" w:num="1"/>
        </w:sectPr>
      </w:pPr>
    </w:p>
    <w:p w14:paraId="0B814A09">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pPr>
      <w:bookmarkStart w:id="165" w:name="_Toc26137"/>
      <w:bookmarkStart w:id="166" w:name="_Toc25293"/>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t>第七篇  响应文件格式</w:t>
      </w:r>
      <w:bookmarkEnd w:id="165"/>
      <w:bookmarkEnd w:id="166"/>
    </w:p>
    <w:p w14:paraId="6E686D15">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sectPr>
          <w:headerReference r:id="rId18" w:type="default"/>
          <w:footerReference r:id="rId19" w:type="default"/>
          <w:pgSz w:w="11907" w:h="16841"/>
          <w:pgMar w:top="1440" w:right="1800" w:bottom="1440" w:left="1800" w:header="0" w:footer="1053" w:gutter="0"/>
          <w:pgNumType w:fmt="decimal"/>
          <w:cols w:space="720" w:num="1"/>
        </w:sectPr>
      </w:pPr>
    </w:p>
    <w:p w14:paraId="7BDC962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6E45623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28C66CC3">
      <w:pPr>
        <w:tabs>
          <w:tab w:val="left" w:pos="4718"/>
        </w:tabs>
        <w:spacing w:before="91" w:line="221" w:lineRule="auto"/>
        <w:ind w:left="1479"/>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26"/>
          <w:sz w:val="28"/>
          <w:szCs w:val="28"/>
          <w:highlight w:val="none"/>
          <w:u w:val="single"/>
          <w:lang w:eastAsia="zh-CN"/>
          <w14:textFill>
            <w14:solidFill>
              <w14:schemeClr w14:val="tx1"/>
            </w14:solidFill>
          </w14:textFill>
        </w:rPr>
        <w:t>（项目名称）</w:t>
      </w:r>
    </w:p>
    <w:p w14:paraId="540BA108">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E9B901F">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499FB6A">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0A7EC23">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56F75B05">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DE06E1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05789F21">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986836B">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EE3D8A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7554D33">
      <w:pPr>
        <w:spacing w:before="273" w:line="220" w:lineRule="auto"/>
        <w:ind w:left="1359"/>
        <w:rPr>
          <w:rFonts w:ascii="宋体" w:hAnsi="宋体" w:eastAsia="宋体" w:cs="宋体"/>
          <w:color w:val="000000" w:themeColor="text1"/>
          <w:sz w:val="84"/>
          <w:szCs w:val="84"/>
          <w:highlight w:val="none"/>
          <w:lang w:eastAsia="zh-CN"/>
          <w14:textFill>
            <w14:solidFill>
              <w14:schemeClr w14:val="tx1"/>
            </w14:solidFill>
          </w14:textFill>
        </w:rPr>
      </w:pP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响</w:t>
      </w:r>
      <w:r>
        <w:rPr>
          <w:rFonts w:hint="eastAsia" w:ascii="宋体" w:hAnsi="宋体" w:eastAsia="宋体" w:cs="宋体"/>
          <w:color w:val="000000" w:themeColor="text1"/>
          <w:spacing w:val="16"/>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应</w:t>
      </w:r>
      <w:r>
        <w:rPr>
          <w:rFonts w:hint="eastAsia" w:ascii="宋体" w:hAnsi="宋体" w:eastAsia="宋体" w:cs="宋体"/>
          <w:color w:val="000000" w:themeColor="text1"/>
          <w:spacing w:val="20"/>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文</w:t>
      </w:r>
      <w:r>
        <w:rPr>
          <w:rFonts w:hint="eastAsia" w:ascii="宋体" w:hAnsi="宋体" w:eastAsia="宋体" w:cs="宋体"/>
          <w:color w:val="000000" w:themeColor="text1"/>
          <w:spacing w:val="15"/>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件</w:t>
      </w:r>
    </w:p>
    <w:p w14:paraId="1D2752D5">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6047D2C">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4ACD479E">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1862DE3">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2E11A292">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6DFF40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31270A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4DC7B89C">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65F8FD3">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36389C1">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7B77D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75BF274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AC725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5CDFED9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D2EC9C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BF63DF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12FC846">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12D9852">
      <w:pPr>
        <w:pStyle w:val="5"/>
        <w:rPr>
          <w:rFonts w:eastAsiaTheme="minorEastAsia"/>
          <w:color w:val="000000" w:themeColor="text1"/>
          <w:highlight w:val="none"/>
          <w:lang w:eastAsia="zh-CN"/>
          <w14:textFill>
            <w14:solidFill>
              <w14:schemeClr w14:val="tx1"/>
            </w14:solidFill>
          </w14:textFill>
        </w:rPr>
      </w:pPr>
    </w:p>
    <w:p w14:paraId="61CE9557">
      <w:pPr>
        <w:pStyle w:val="5"/>
        <w:rPr>
          <w:rFonts w:eastAsiaTheme="minorEastAsia"/>
          <w:color w:val="000000" w:themeColor="text1"/>
          <w:highlight w:val="none"/>
          <w:lang w:eastAsia="zh-CN"/>
          <w14:textFill>
            <w14:solidFill>
              <w14:schemeClr w14:val="tx1"/>
            </w14:solidFill>
          </w14:textFill>
        </w:rPr>
      </w:pPr>
    </w:p>
    <w:p w14:paraId="722BF728">
      <w:pPr>
        <w:pStyle w:val="5"/>
        <w:rPr>
          <w:rFonts w:eastAsiaTheme="minorEastAsia"/>
          <w:color w:val="000000" w:themeColor="text1"/>
          <w:highlight w:val="none"/>
          <w:lang w:eastAsia="zh-CN"/>
          <w14:textFill>
            <w14:solidFill>
              <w14:schemeClr w14:val="tx1"/>
            </w14:solidFill>
          </w14:textFill>
        </w:rPr>
      </w:pPr>
    </w:p>
    <w:p w14:paraId="192BD2CB">
      <w:pPr>
        <w:pStyle w:val="5"/>
        <w:rPr>
          <w:rFonts w:eastAsiaTheme="minorEastAsia"/>
          <w:color w:val="000000" w:themeColor="text1"/>
          <w:highlight w:val="none"/>
          <w:lang w:eastAsia="zh-CN"/>
          <w14:textFill>
            <w14:solidFill>
              <w14:schemeClr w14:val="tx1"/>
            </w14:solidFill>
          </w14:textFill>
        </w:rPr>
      </w:pPr>
    </w:p>
    <w:p w14:paraId="13899A07">
      <w:pPr>
        <w:spacing w:before="91" w:line="219" w:lineRule="auto"/>
        <w:ind w:left="368" w:firstLine="568"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盖单位章）</w:t>
      </w:r>
    </w:p>
    <w:p w14:paraId="14769EEB">
      <w:pPr>
        <w:tabs>
          <w:tab w:val="left" w:pos="3735"/>
        </w:tabs>
        <w:spacing w:before="211" w:line="346" w:lineRule="auto"/>
        <w:ind w:left="2752" w:right="835" w:hanging="1807"/>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年</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月</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日</w:t>
      </w:r>
    </w:p>
    <w:p w14:paraId="28FB6C95">
      <w:pPr>
        <w:spacing w:line="346" w:lineRule="auto"/>
        <w:rPr>
          <w:rFonts w:ascii="宋体" w:hAnsi="宋体" w:eastAsia="宋体" w:cs="宋体"/>
          <w:color w:val="000000" w:themeColor="text1"/>
          <w:sz w:val="28"/>
          <w:szCs w:val="28"/>
          <w:highlight w:val="none"/>
          <w:lang w:eastAsia="zh-CN"/>
          <w14:textFill>
            <w14:solidFill>
              <w14:schemeClr w14:val="tx1"/>
            </w14:solidFill>
          </w14:textFill>
        </w:rPr>
        <w:sectPr>
          <w:footerReference r:id="rId20" w:type="default"/>
          <w:pgSz w:w="11907" w:h="16841"/>
          <w:pgMar w:top="1440" w:right="1800" w:bottom="1440" w:left="1800" w:header="0" w:footer="1053" w:gutter="0"/>
          <w:pgNumType w:fmt="decimal"/>
          <w:cols w:space="720" w:num="1"/>
        </w:sectPr>
      </w:pPr>
    </w:p>
    <w:p w14:paraId="45D5CC22">
      <w:pPr>
        <w:pStyle w:val="4"/>
        <w:spacing w:line="379" w:lineRule="auto"/>
        <w:rPr>
          <w:rFonts w:ascii="宋体" w:hAnsi="宋体" w:eastAsia="宋体" w:cs="宋体"/>
          <w:color w:val="000000" w:themeColor="text1"/>
          <w:highlight w:val="none"/>
          <w:lang w:eastAsia="zh-CN"/>
          <w14:textFill>
            <w14:solidFill>
              <w14:schemeClr w14:val="tx1"/>
            </w14:solidFill>
          </w14:textFill>
        </w:rPr>
      </w:pPr>
    </w:p>
    <w:p w14:paraId="6920D571">
      <w:pPr>
        <w:spacing w:before="78" w:line="222" w:lineRule="auto"/>
        <w:ind w:left="365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目</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录</w:t>
      </w:r>
    </w:p>
    <w:p w14:paraId="3DEFBB08">
      <w:pPr>
        <w:pStyle w:val="4"/>
        <w:spacing w:line="285" w:lineRule="auto"/>
        <w:rPr>
          <w:rFonts w:ascii="宋体" w:hAnsi="宋体" w:eastAsia="宋体" w:cs="宋体"/>
          <w:color w:val="000000" w:themeColor="text1"/>
          <w:highlight w:val="none"/>
          <w:lang w:eastAsia="zh-CN"/>
          <w14:textFill>
            <w14:solidFill>
              <w14:schemeClr w14:val="tx1"/>
            </w14:solidFill>
          </w14:textFill>
        </w:rPr>
      </w:pPr>
    </w:p>
    <w:p w14:paraId="4DC407D9">
      <w:pPr>
        <w:pStyle w:val="4"/>
        <w:spacing w:line="286" w:lineRule="auto"/>
        <w:rPr>
          <w:rFonts w:ascii="宋体" w:hAnsi="宋体" w:eastAsia="宋体" w:cs="宋体"/>
          <w:color w:val="000000" w:themeColor="text1"/>
          <w:highlight w:val="none"/>
          <w:lang w:eastAsia="zh-CN"/>
          <w14:textFill>
            <w14:solidFill>
              <w14:schemeClr w14:val="tx1"/>
            </w14:solidFill>
          </w14:textFill>
        </w:rPr>
      </w:pPr>
    </w:p>
    <w:p w14:paraId="3295B65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5"/>
          <w:highlight w:val="none"/>
          <w:lang w:eastAsia="zh-CN"/>
          <w14:textFill>
            <w14:solidFill>
              <w14:schemeClr w14:val="tx1"/>
            </w14:solidFill>
          </w14:textFill>
        </w:rPr>
        <w:t>一、经济部分</w:t>
      </w:r>
    </w:p>
    <w:p w14:paraId="1516DEE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（一）竞争性比选报价函</w:t>
      </w:r>
    </w:p>
    <w:p w14:paraId="05F5FB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（二）明细报价表</w:t>
      </w:r>
    </w:p>
    <w:p w14:paraId="36B3FA14">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二、技术文件</w:t>
      </w:r>
    </w:p>
    <w:p w14:paraId="777AEDF8">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（一）技术条款响应偏离表</w:t>
      </w:r>
    </w:p>
    <w:p w14:paraId="15621DCE">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（二）其他技术资料</w:t>
      </w:r>
    </w:p>
    <w:p w14:paraId="3E7E3B26">
      <w:pPr>
        <w:spacing w:line="360" w:lineRule="auto"/>
        <w:ind w:left="41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三、商务文件</w:t>
      </w:r>
    </w:p>
    <w:p w14:paraId="4AB1CA1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（一）商务条款响应偏离表</w:t>
      </w:r>
    </w:p>
    <w:p w14:paraId="1209ADFB">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（二）其它商务资料</w:t>
      </w:r>
    </w:p>
    <w:p w14:paraId="4F85F187">
      <w:pPr>
        <w:spacing w:line="360" w:lineRule="auto"/>
        <w:ind w:left="43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4"/>
          <w:highlight w:val="none"/>
          <w:lang w:eastAsia="zh-CN"/>
          <w14:textFill>
            <w14:solidFill>
              <w14:schemeClr w14:val="tx1"/>
            </w14:solidFill>
          </w14:textFill>
        </w:rPr>
        <w:t>四、资格条件及其他</w:t>
      </w:r>
    </w:p>
    <w:p w14:paraId="6981DC53">
      <w:pPr>
        <w:spacing w:line="360" w:lineRule="auto"/>
        <w:ind w:firstLine="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（一）法人营业执照（副本）或事业单位法人证书（副本）或个体工商户营业执</w:t>
      </w:r>
      <w:r>
        <w:rPr>
          <w:rFonts w:hint="eastAsia" w:ascii="宋体" w:hAnsi="宋体" w:eastAsia="宋体" w:cs="宋体"/>
          <w:color w:val="000000" w:themeColor="text1"/>
          <w:spacing w:val="-2"/>
          <w:highlight w:val="none"/>
          <w:lang w:eastAsia="zh-CN"/>
          <w14:textFill>
            <w14:solidFill>
              <w14:schemeClr w14:val="tx1"/>
            </w14:solidFill>
          </w14:textFill>
        </w:rPr>
        <w:t>照或有效的自然人</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身份证明或社会团体法人登记证书复印件</w:t>
      </w:r>
    </w:p>
    <w:p w14:paraId="4080FAA5">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（二）法定代表人身份证明书（格式）</w:t>
      </w:r>
    </w:p>
    <w:p w14:paraId="382304A6">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（三）法定代表人授权委托书（格式）</w:t>
      </w:r>
    </w:p>
    <w:p w14:paraId="305F27B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（四）基本资格条件承诺函（格式）</w:t>
      </w:r>
    </w:p>
    <w:p w14:paraId="0D4A56A9">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（五）特定资格条件证明文件</w:t>
      </w:r>
    </w:p>
    <w:p w14:paraId="65B159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五、其他应提供的资料</w:t>
      </w:r>
    </w:p>
    <w:p w14:paraId="3240054E">
      <w:pPr>
        <w:spacing w:line="360" w:lineRule="auto"/>
        <w:ind w:left="41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其他与项目有关的资料（自附）</w:t>
      </w:r>
    </w:p>
    <w:p w14:paraId="6CC12251">
      <w:pPr>
        <w:spacing w:line="360" w:lineRule="auto"/>
        <w:rPr>
          <w:rFonts w:ascii="宋体" w:hAnsi="宋体" w:eastAsia="宋体" w:cs="宋体"/>
          <w:color w:val="000000" w:themeColor="text1"/>
          <w:highlight w:val="none"/>
          <w:lang w:eastAsia="zh-CN"/>
          <w14:textFill>
            <w14:solidFill>
              <w14:schemeClr w14:val="tx1"/>
            </w14:solidFill>
          </w14:textFill>
        </w:rPr>
        <w:sectPr>
          <w:footerReference r:id="rId21" w:type="default"/>
          <w:pgSz w:w="11907" w:h="16841"/>
          <w:pgMar w:top="1440" w:right="1800" w:bottom="1440" w:left="1800" w:header="0" w:footer="1053" w:gutter="0"/>
          <w:pgNumType w:fmt="decimal"/>
          <w:cols w:space="720" w:num="1"/>
        </w:sectPr>
      </w:pPr>
    </w:p>
    <w:p w14:paraId="1E6FF6E4">
      <w:pPr>
        <w:spacing w:before="47" w:line="220" w:lineRule="auto"/>
        <w:ind w:left="1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4"/>
          <w:sz w:val="24"/>
          <w:szCs w:val="24"/>
          <w:highlight w:val="none"/>
          <w:lang w:eastAsia="zh-CN"/>
          <w14:textFill>
            <w14:solidFill>
              <w14:schemeClr w14:val="tx1"/>
            </w14:solidFill>
          </w14:textFill>
        </w:rPr>
        <w:t>一、经济部分</w:t>
      </w:r>
    </w:p>
    <w:p w14:paraId="3AC6202B">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505CEF19">
      <w:pPr>
        <w:spacing w:before="78" w:line="218"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（一）竞争性比选报价函</w:t>
      </w:r>
    </w:p>
    <w:p w14:paraId="364D1331">
      <w:pPr>
        <w:pStyle w:val="4"/>
        <w:spacing w:line="258" w:lineRule="auto"/>
        <w:rPr>
          <w:rFonts w:ascii="宋体" w:hAnsi="宋体" w:eastAsia="宋体" w:cs="宋体"/>
          <w:color w:val="000000" w:themeColor="text1"/>
          <w:highlight w:val="none"/>
          <w:lang w:eastAsia="zh-CN"/>
          <w14:textFill>
            <w14:solidFill>
              <w14:schemeClr w14:val="tx1"/>
            </w14:solidFill>
          </w14:textFill>
        </w:rPr>
      </w:pPr>
    </w:p>
    <w:p w14:paraId="4726B3F9">
      <w:pPr>
        <w:spacing w:before="78" w:line="218" w:lineRule="auto"/>
        <w:ind w:firstLine="3068" w:firstLineChars="13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竞争性比选报价函</w:t>
      </w:r>
    </w:p>
    <w:p w14:paraId="204AA057">
      <w:pPr>
        <w:pStyle w:val="4"/>
        <w:spacing w:line="400" w:lineRule="exact"/>
        <w:rPr>
          <w:rFonts w:ascii="宋体" w:hAnsi="宋体" w:eastAsia="宋体" w:cs="宋体"/>
          <w:color w:val="000000" w:themeColor="text1"/>
          <w:highlight w:val="none"/>
          <w:lang w:eastAsia="zh-CN"/>
          <w14:textFill>
            <w14:solidFill>
              <w14:schemeClr w14:val="tx1"/>
            </w14:solidFill>
          </w14:textFill>
        </w:rPr>
      </w:pPr>
    </w:p>
    <w:p w14:paraId="2D047E05">
      <w:pPr>
        <w:tabs>
          <w:tab w:val="left" w:pos="118"/>
        </w:tabs>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13"/>
          <w:highlight w:val="none"/>
          <w:u w:val="single"/>
          <w:lang w:eastAsia="zh-CN"/>
          <w14:textFill>
            <w14:solidFill>
              <w14:schemeClr w14:val="tx1"/>
            </w14:solidFill>
          </w14:textFill>
        </w:rPr>
        <w:t>（采购代理机构名称</w:t>
      </w:r>
      <w:r>
        <w:rPr>
          <w:rFonts w:hint="eastAsia" w:ascii="宋体" w:hAnsi="宋体" w:eastAsia="宋体" w:cs="宋体"/>
          <w:color w:val="000000" w:themeColor="text1"/>
          <w:spacing w:val="-1"/>
          <w:highlight w:val="none"/>
          <w:u w:val="single"/>
          <w:lang w:eastAsia="zh-CN"/>
          <w14:textFill>
            <w14:solidFill>
              <w14:schemeClr w14:val="tx1"/>
            </w14:solidFill>
          </w14:textFill>
        </w:rPr>
        <w:t>）</w:t>
      </w:r>
      <w:r>
        <w:rPr>
          <w:rFonts w:hint="eastAsia" w:ascii="宋体" w:hAnsi="宋体" w:eastAsia="宋体" w:cs="宋体"/>
          <w:color w:val="000000" w:themeColor="text1"/>
          <w:spacing w:val="-1"/>
          <w:highlight w:val="none"/>
          <w:lang w:eastAsia="zh-CN"/>
          <w14:textFill>
            <w14:solidFill>
              <w14:schemeClr w14:val="tx1"/>
            </w14:solidFill>
          </w14:textFill>
        </w:rPr>
        <w:t>：</w:t>
      </w:r>
    </w:p>
    <w:p w14:paraId="485BAD65">
      <w:pPr>
        <w:spacing w:line="400" w:lineRule="exact"/>
        <w:ind w:firstLine="416" w:firstLineChars="200"/>
        <w:rPr>
          <w:rFonts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1、我方收到</w:t>
      </w:r>
      <w:r>
        <w:rPr>
          <w:rFonts w:hint="eastAsia" w:cs="宋体" w:asciiTheme="minorEastAsia" w:hAnsiTheme="minorEastAsia" w:eastAsiaTheme="minorEastAsia"/>
          <w:color w:val="000000" w:themeColor="text1"/>
          <w:spacing w:val="-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（项目名称）的比选</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文件的全部内容，愿意以人民币（大写）</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元）的投标总报价进行报价，其中安全文明施工费暂定金额为人民币</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。该工程项目经理为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；委托代理人为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。工期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，缺陷责任期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，按合同约定实施和完成承包工程，修补工程中的任何缺陷，工程质量达到</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p>
    <w:p w14:paraId="5026A386">
      <w:pPr>
        <w:spacing w:line="400" w:lineRule="exact"/>
        <w:ind w:left="9" w:right="2" w:firstLine="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2、我方线下提交的响应文件为：响应文件正本</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份，</w:t>
      </w:r>
      <w:r>
        <w:rPr>
          <w:rFonts w:hint="eastAsia" w:ascii="宋体" w:hAnsi="宋体" w:eastAsia="宋体" w:cs="宋体"/>
          <w:color w:val="000000" w:themeColor="text1"/>
          <w:spacing w:val="-2"/>
          <w:highlight w:val="none"/>
          <w:lang w:eastAsia="zh-CN"/>
          <w14:textFill>
            <w14:solidFill>
              <w14:schemeClr w14:val="tx1"/>
            </w14:solidFill>
          </w14:textFill>
        </w:rPr>
        <w:t>副本</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份；线上平台报</w:t>
      </w:r>
      <w:r>
        <w:rPr>
          <w:rFonts w:hint="eastAsia" w:ascii="宋体" w:hAnsi="宋体" w:eastAsia="宋体" w:cs="宋体"/>
          <w:color w:val="000000" w:themeColor="text1"/>
          <w:spacing w:val="-1"/>
          <w:highlight w:val="none"/>
          <w:lang w:eastAsia="zh-CN"/>
          <w14:textFill>
            <w14:solidFill>
              <w14:schemeClr w14:val="tx1"/>
            </w14:solidFill>
          </w14:textFill>
        </w:rPr>
        <w:t>价并上传响应文件电子文档一份。</w:t>
      </w:r>
    </w:p>
    <w:p w14:paraId="6E97090F">
      <w:pPr>
        <w:spacing w:line="400" w:lineRule="exact"/>
        <w:ind w:left="43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3、我方承诺：本次招标的有效期为</w:t>
      </w:r>
      <w:r>
        <w:rPr>
          <w:rFonts w:hint="eastAsia" w:ascii="宋体" w:hAnsi="宋体" w:eastAsia="宋体" w:cs="宋体"/>
          <w:color w:val="000000" w:themeColor="text1"/>
          <w:spacing w:val="-27"/>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90</w:t>
      </w:r>
      <w:r>
        <w:rPr>
          <w:rFonts w:hint="eastAsia" w:ascii="宋体" w:hAnsi="宋体" w:eastAsia="宋体" w:cs="宋体"/>
          <w:color w:val="000000" w:themeColor="text1"/>
          <w:spacing w:val="-39"/>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天。</w:t>
      </w:r>
    </w:p>
    <w:p w14:paraId="7079FBD3">
      <w:pPr>
        <w:spacing w:line="400" w:lineRule="exact"/>
        <w:ind w:left="42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4、我方完全理解和接受贵方招标文件的一切规定和要求及评</w:t>
      </w:r>
      <w:r>
        <w:rPr>
          <w:rFonts w:hint="eastAsia" w:ascii="宋体" w:hAnsi="宋体" w:eastAsia="宋体" w:cs="宋体"/>
          <w:color w:val="000000" w:themeColor="text1"/>
          <w:spacing w:val="-1"/>
          <w:highlight w:val="none"/>
          <w:lang w:eastAsia="zh-CN"/>
          <w14:textFill>
            <w14:solidFill>
              <w14:schemeClr w14:val="tx1"/>
            </w14:solidFill>
          </w14:textFill>
        </w:rPr>
        <w:t>审办法。</w:t>
      </w:r>
    </w:p>
    <w:p w14:paraId="516CA36D">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5、在整个招标过程中，我方若有违规行为，接受按照《中华人民共和国政府采购法</w:t>
      </w:r>
      <w:r>
        <w:rPr>
          <w:rFonts w:hint="eastAsia" w:ascii="宋体" w:hAnsi="宋体" w:eastAsia="宋体" w:cs="宋体"/>
          <w:color w:val="000000" w:themeColor="text1"/>
          <w:highlight w:val="none"/>
          <w:lang w:eastAsia="zh-CN"/>
          <w14:textFill>
            <w14:solidFill>
              <w14:schemeClr w14:val="tx1"/>
            </w14:solidFill>
          </w14:textFill>
        </w:rPr>
        <w:t>》及其实施条例等规定给予惩罚</w:t>
      </w:r>
    </w:p>
    <w:p w14:paraId="34A854DC">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6、我方若成为成交供应商，将按照最终招标结果签订合同，并且严格履行合同义务。本承诺函将</w:t>
      </w:r>
      <w:r>
        <w:rPr>
          <w:rFonts w:hint="eastAsia" w:ascii="宋体" w:hAnsi="宋体" w:eastAsia="宋体" w:cs="宋体"/>
          <w:color w:val="000000" w:themeColor="text1"/>
          <w:highlight w:val="none"/>
          <w:lang w:eastAsia="zh-CN"/>
          <w14:textFill>
            <w14:solidFill>
              <w14:schemeClr w14:val="tx1"/>
            </w14:solidFill>
          </w14:textFill>
        </w:rPr>
        <w:t>成为合同不可分割的一部分，与合同具有同等的</w:t>
      </w:r>
      <w:r>
        <w:rPr>
          <w:rFonts w:hint="eastAsia" w:ascii="宋体" w:hAnsi="宋体" w:eastAsia="宋体" w:cs="宋体"/>
          <w:color w:val="000000" w:themeColor="text1"/>
          <w:spacing w:val="-1"/>
          <w:highlight w:val="none"/>
          <w:lang w:eastAsia="zh-CN"/>
          <w14:textFill>
            <w14:solidFill>
              <w14:schemeClr w14:val="tx1"/>
            </w14:solidFill>
          </w14:textFill>
        </w:rPr>
        <w:t>法律效力。</w:t>
      </w:r>
    </w:p>
    <w:p w14:paraId="0E250973">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7、我方同意按竞争性比选文件规定执行。如果我方成为中选人，保证在接到成交通知书后，向比选代理机构和交易中心交纳竞争性比选文件规定的采购代理服务费。</w:t>
      </w:r>
    </w:p>
    <w:p w14:paraId="6C698006">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8、我方未为采购项目提供整体设计、规范编制或者项目管理、监理、检测等服务。</w:t>
      </w:r>
    </w:p>
    <w:p w14:paraId="53605C64">
      <w:pPr>
        <w:pStyle w:val="4"/>
        <w:spacing w:line="261" w:lineRule="auto"/>
        <w:rPr>
          <w:rFonts w:ascii="宋体" w:hAnsi="宋体" w:eastAsia="宋体" w:cs="宋体"/>
          <w:color w:val="000000" w:themeColor="text1"/>
          <w:highlight w:val="none"/>
          <w:lang w:eastAsia="zh-CN"/>
          <w14:textFill>
            <w14:solidFill>
              <w14:schemeClr w14:val="tx1"/>
            </w14:solidFill>
          </w14:textFill>
        </w:rPr>
      </w:pPr>
    </w:p>
    <w:p w14:paraId="24A947E6">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06FF52CC">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3703E78A">
      <w:pPr>
        <w:spacing w:line="400" w:lineRule="exact"/>
        <w:ind w:left="9" w:right="23" w:firstLine="5300" w:firstLineChars="2500"/>
        <w:rPr>
          <w:rFonts w:ascii="宋体" w:hAnsi="宋体" w:eastAsia="宋体" w:cs="宋体"/>
          <w:color w:val="000000" w:themeColor="text1"/>
          <w:spacing w:val="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 xml:space="preserve">供应商（公章）： </w:t>
      </w:r>
    </w:p>
    <w:p w14:paraId="34AD4164">
      <w:pPr>
        <w:spacing w:before="154" w:line="221" w:lineRule="auto"/>
        <w:ind w:left="5681" w:firstLine="588" w:firstLineChars="3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3"/>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77A389D4">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22" w:type="default"/>
          <w:pgSz w:w="11907" w:h="16841"/>
          <w:pgMar w:top="1440" w:right="1800" w:bottom="1440" w:left="1800" w:header="0" w:footer="1053" w:gutter="0"/>
          <w:pgNumType w:fmt="decimal"/>
          <w:cols w:space="720" w:num="1"/>
        </w:sectPr>
      </w:pPr>
    </w:p>
    <w:p w14:paraId="5766FDB5">
      <w:pPr>
        <w:spacing w:before="48" w:line="218"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（二）明细报价表</w:t>
      </w:r>
    </w:p>
    <w:p w14:paraId="246AFF73">
      <w:pPr>
        <w:spacing w:before="69" w:line="221" w:lineRule="auto"/>
        <w:jc w:val="right"/>
        <w:rPr>
          <w:rFonts w:ascii="宋体" w:hAnsi="宋体" w:eastAsia="宋体" w:cs="宋体"/>
          <w:color w:val="000000" w:themeColor="text1"/>
          <w:highlight w:val="none"/>
          <w:lang w:eastAsia="zh-CN"/>
          <w14:textFill>
            <w14:solidFill>
              <w14:schemeClr w14:val="tx1"/>
            </w14:solidFill>
          </w14:textFill>
        </w:rPr>
      </w:pPr>
    </w:p>
    <w:p w14:paraId="3625DF71">
      <w:pPr>
        <w:spacing w:before="69" w:line="221" w:lineRule="auto"/>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（已标价工程量清单）</w:t>
      </w:r>
    </w:p>
    <w:p w14:paraId="4968B7A7">
      <w:pPr>
        <w:spacing w:line="427" w:lineRule="auto"/>
        <w:rPr>
          <w:rFonts w:ascii="宋体" w:hAnsi="宋体" w:eastAsia="宋体" w:cs="宋体"/>
          <w:color w:val="000000" w:themeColor="text1"/>
          <w:highlight w:val="none"/>
          <w:lang w:eastAsia="zh-CN"/>
          <w14:textFill>
            <w14:solidFill>
              <w14:schemeClr w14:val="tx1"/>
            </w14:solidFill>
          </w14:textFill>
        </w:rPr>
        <w:sectPr>
          <w:footerReference r:id="rId23" w:type="default"/>
          <w:pgSz w:w="11907" w:h="16841"/>
          <w:pgMar w:top="1440" w:right="1800" w:bottom="1440" w:left="1800" w:header="0" w:footer="1053" w:gutter="0"/>
          <w:pgNumType w:fmt="decimal"/>
          <w:cols w:space="720" w:num="1"/>
        </w:sectPr>
      </w:pPr>
    </w:p>
    <w:p w14:paraId="6360D5CA">
      <w:pPr>
        <w:spacing w:before="121" w:line="220" w:lineRule="auto"/>
        <w:ind w:left="176"/>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二、技术文件</w:t>
      </w:r>
    </w:p>
    <w:p w14:paraId="00DEC0A9">
      <w:pPr>
        <w:spacing w:before="196" w:line="220" w:lineRule="auto"/>
        <w:ind w:left="1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（一）技术（质量）条款响应偏离表</w:t>
      </w:r>
    </w:p>
    <w:p w14:paraId="275BB471">
      <w:pPr>
        <w:pStyle w:val="4"/>
        <w:spacing w:line="299" w:lineRule="auto"/>
        <w:rPr>
          <w:rFonts w:ascii="宋体" w:hAnsi="宋体" w:eastAsia="宋体" w:cs="宋体"/>
          <w:color w:val="000000" w:themeColor="text1"/>
          <w:highlight w:val="none"/>
          <w:lang w:eastAsia="zh-CN"/>
          <w14:textFill>
            <w14:solidFill>
              <w14:schemeClr w14:val="tx1"/>
            </w14:solidFill>
          </w14:textFill>
        </w:rPr>
      </w:pPr>
    </w:p>
    <w:p w14:paraId="3E502C62">
      <w:pPr>
        <w:spacing w:before="68" w:line="346" w:lineRule="auto"/>
        <w:ind w:right="748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p w14:paraId="416BEA38">
      <w:pPr>
        <w:spacing w:line="26" w:lineRule="auto"/>
        <w:rPr>
          <w:rFonts w:ascii="宋体" w:hAnsi="宋体" w:eastAsia="宋体" w:cs="宋体"/>
          <w:color w:val="000000" w:themeColor="text1"/>
          <w:sz w:val="2"/>
          <w:highlight w:val="none"/>
          <w:lang w:eastAsia="zh-CN"/>
          <w14:textFill>
            <w14:solidFill>
              <w14:schemeClr w14:val="tx1"/>
            </w14:solidFill>
          </w14:textFill>
        </w:rPr>
      </w:pPr>
    </w:p>
    <w:tbl>
      <w:tblPr>
        <w:tblStyle w:val="14"/>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15"/>
              <w:spacing w:before="231" w:line="222" w:lineRule="auto"/>
              <w:ind w:left="364"/>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659" w:type="dxa"/>
          </w:tcPr>
          <w:p w14:paraId="2DC1D338">
            <w:pPr>
              <w:pStyle w:val="15"/>
              <w:spacing w:before="230" w:line="221" w:lineRule="auto"/>
              <w:ind w:left="392"/>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项目技术(质量)需求</w:t>
            </w:r>
          </w:p>
        </w:tc>
        <w:tc>
          <w:tcPr>
            <w:tcW w:w="3001" w:type="dxa"/>
          </w:tcPr>
          <w:p w14:paraId="4981B8C2">
            <w:pPr>
              <w:pStyle w:val="15"/>
              <w:spacing w:before="231" w:line="221" w:lineRule="auto"/>
              <w:ind w:left="1096"/>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1828" w:type="dxa"/>
          </w:tcPr>
          <w:p w14:paraId="6896FDE0">
            <w:pPr>
              <w:pStyle w:val="15"/>
              <w:spacing w:before="230" w:line="221" w:lineRule="auto"/>
              <w:ind w:left="50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ascii="宋体" w:hAnsi="宋体" w:eastAsia="宋体" w:cs="宋体"/>
                <w:color w:val="000000" w:themeColor="text1"/>
                <w:highlight w:val="none"/>
                <w14:textFill>
                  <w14:solidFill>
                    <w14:schemeClr w14:val="tx1"/>
                  </w14:solidFill>
                </w14:textFill>
              </w:rPr>
            </w:pPr>
          </w:p>
        </w:tc>
        <w:tc>
          <w:tcPr>
            <w:tcW w:w="2659" w:type="dxa"/>
          </w:tcPr>
          <w:p w14:paraId="6DAEB2FB">
            <w:pPr>
              <w:rPr>
                <w:rFonts w:ascii="宋体" w:hAnsi="宋体" w:eastAsia="宋体" w:cs="宋体"/>
                <w:color w:val="000000" w:themeColor="text1"/>
                <w:highlight w:val="none"/>
                <w14:textFill>
                  <w14:solidFill>
                    <w14:schemeClr w14:val="tx1"/>
                  </w14:solidFill>
                </w14:textFill>
              </w:rPr>
            </w:pPr>
          </w:p>
        </w:tc>
        <w:tc>
          <w:tcPr>
            <w:tcW w:w="3001" w:type="dxa"/>
          </w:tcPr>
          <w:p w14:paraId="140A68F8">
            <w:pPr>
              <w:pStyle w:val="15"/>
              <w:spacing w:before="31" w:line="221" w:lineRule="auto"/>
              <w:ind w:left="141"/>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提醒：请注明技术参数或具体</w:t>
            </w:r>
          </w:p>
          <w:p w14:paraId="14BB13F0">
            <w:pPr>
              <w:pStyle w:val="15"/>
              <w:spacing w:before="20" w:line="224" w:lineRule="auto"/>
              <w:ind w:left="247" w:right="130" w:hanging="82"/>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内容以及响应文件中技术参数</w:t>
            </w:r>
            <w:r>
              <w:rPr>
                <w:rFonts w:hint="eastAsia"/>
                <w:color w:val="000000" w:themeColor="text1"/>
                <w:spacing w:val="8"/>
                <w:highlight w:val="none"/>
                <w:lang w:eastAsia="zh-CN"/>
                <w14:textFill>
                  <w14:solidFill>
                    <w14:schemeClr w14:val="tx1"/>
                  </w14:solidFill>
                </w14:textFill>
              </w:rPr>
              <w:t xml:space="preserve"> </w:t>
            </w:r>
            <w:r>
              <w:rPr>
                <w:rFonts w:hint="eastAsia"/>
                <w:color w:val="000000" w:themeColor="text1"/>
                <w:spacing w:val="-1"/>
                <w:highlight w:val="none"/>
                <w:lang w:eastAsia="zh-CN"/>
                <w14:textFill>
                  <w14:solidFill>
                    <w14:schemeClr w14:val="tx1"/>
                  </w14:solidFill>
                </w14:textFill>
              </w:rPr>
              <w:t>或具体内容的位置（页码）</w:t>
            </w:r>
          </w:p>
        </w:tc>
        <w:tc>
          <w:tcPr>
            <w:tcW w:w="1828" w:type="dxa"/>
          </w:tcPr>
          <w:p w14:paraId="77CA24F5">
            <w:pPr>
              <w:rPr>
                <w:rFonts w:ascii="宋体" w:hAnsi="宋体" w:eastAsia="宋体" w:cs="宋体"/>
                <w:color w:val="000000" w:themeColor="text1"/>
                <w:highlight w:val="none"/>
                <w:lang w:eastAsia="zh-CN"/>
                <w14:textFill>
                  <w14:solidFill>
                    <w14:schemeClr w14:val="tx1"/>
                  </w14:solidFill>
                </w14:textFill>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45BBEFD3">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988237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9D9B9D9">
            <w:pPr>
              <w:rPr>
                <w:rFonts w:ascii="宋体" w:hAnsi="宋体" w:eastAsia="宋体" w:cs="宋体"/>
                <w:color w:val="000000" w:themeColor="text1"/>
                <w:highlight w:val="none"/>
                <w:lang w:eastAsia="zh-CN"/>
                <w14:textFill>
                  <w14:solidFill>
                    <w14:schemeClr w14:val="tx1"/>
                  </w14:solidFill>
                </w14:textFill>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1970009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4930F74">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256DC295">
            <w:pPr>
              <w:rPr>
                <w:rFonts w:ascii="宋体" w:hAnsi="宋体" w:eastAsia="宋体" w:cs="宋体"/>
                <w:color w:val="000000" w:themeColor="text1"/>
                <w:highlight w:val="none"/>
                <w:lang w:eastAsia="zh-CN"/>
                <w14:textFill>
                  <w14:solidFill>
                    <w14:schemeClr w14:val="tx1"/>
                  </w14:solidFill>
                </w14:textFill>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280E2F2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F68C75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62A13E30">
            <w:pPr>
              <w:rPr>
                <w:rFonts w:ascii="宋体" w:hAnsi="宋体" w:eastAsia="宋体" w:cs="宋体"/>
                <w:color w:val="000000" w:themeColor="text1"/>
                <w:highlight w:val="none"/>
                <w:lang w:eastAsia="zh-CN"/>
                <w14:textFill>
                  <w14:solidFill>
                    <w14:schemeClr w14:val="tx1"/>
                  </w14:solidFill>
                </w14:textFill>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6A0976A">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1FD2CC8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C2610A7">
            <w:pPr>
              <w:rPr>
                <w:rFonts w:ascii="宋体" w:hAnsi="宋体" w:eastAsia="宋体" w:cs="宋体"/>
                <w:color w:val="000000" w:themeColor="text1"/>
                <w:highlight w:val="none"/>
                <w:lang w:eastAsia="zh-CN"/>
                <w14:textFill>
                  <w14:solidFill>
                    <w14:schemeClr w14:val="tx1"/>
                  </w14:solidFill>
                </w14:textFill>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54F53AE9">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D380400">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573D3F3A">
            <w:pPr>
              <w:rPr>
                <w:rFonts w:ascii="宋体" w:hAnsi="宋体" w:eastAsia="宋体" w:cs="宋体"/>
                <w:color w:val="000000" w:themeColor="text1"/>
                <w:highlight w:val="none"/>
                <w:lang w:eastAsia="zh-CN"/>
                <w14:textFill>
                  <w14:solidFill>
                    <w14:schemeClr w14:val="tx1"/>
                  </w14:solidFill>
                </w14:textFill>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8F0F9F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16BD2E5">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76063B78">
            <w:pPr>
              <w:rPr>
                <w:rFonts w:ascii="宋体" w:hAnsi="宋体" w:eastAsia="宋体" w:cs="宋体"/>
                <w:color w:val="000000" w:themeColor="text1"/>
                <w:highlight w:val="none"/>
                <w:lang w:eastAsia="zh-CN"/>
                <w14:textFill>
                  <w14:solidFill>
                    <w14:schemeClr w14:val="tx1"/>
                  </w14:solidFill>
                </w14:textFill>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0BA91F71">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0F91DCEA">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05A6CF39">
            <w:pPr>
              <w:rPr>
                <w:rFonts w:ascii="宋体" w:hAnsi="宋体" w:eastAsia="宋体" w:cs="宋体"/>
                <w:color w:val="000000" w:themeColor="text1"/>
                <w:highlight w:val="none"/>
                <w:lang w:eastAsia="zh-CN"/>
                <w14:textFill>
                  <w14:solidFill>
                    <w14:schemeClr w14:val="tx1"/>
                  </w14:solidFill>
                </w14:textFill>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6A7553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63B2375D">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F9CF226">
            <w:pPr>
              <w:rPr>
                <w:rFonts w:ascii="宋体" w:hAnsi="宋体" w:eastAsia="宋体" w:cs="宋体"/>
                <w:color w:val="000000" w:themeColor="text1"/>
                <w:highlight w:val="none"/>
                <w:lang w:eastAsia="zh-CN"/>
                <w14:textFill>
                  <w14:solidFill>
                    <w14:schemeClr w14:val="tx1"/>
                  </w14:solidFill>
                </w14:textFill>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E5D04EB">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586E3DBF">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403ACDB4">
            <w:pPr>
              <w:rPr>
                <w:rFonts w:ascii="宋体" w:hAnsi="宋体" w:eastAsia="宋体" w:cs="宋体"/>
                <w:color w:val="000000" w:themeColor="text1"/>
                <w:highlight w:val="none"/>
                <w:lang w:eastAsia="zh-CN"/>
                <w14:textFill>
                  <w14:solidFill>
                    <w14:schemeClr w14:val="tx1"/>
                  </w14:solidFill>
                </w14:textFill>
              </w:rPr>
            </w:pPr>
          </w:p>
        </w:tc>
      </w:tr>
    </w:tbl>
    <w:p w14:paraId="12C5866B">
      <w:pPr>
        <w:pStyle w:val="4"/>
        <w:spacing w:line="470" w:lineRule="auto"/>
        <w:rPr>
          <w:rFonts w:ascii="宋体" w:hAnsi="宋体" w:eastAsia="宋体" w:cs="宋体"/>
          <w:color w:val="000000" w:themeColor="text1"/>
          <w:highlight w:val="none"/>
          <w:lang w:eastAsia="zh-CN"/>
          <w14:textFill>
            <w14:solidFill>
              <w14:schemeClr w14:val="tx1"/>
            </w14:solidFill>
          </w14:textFill>
        </w:rPr>
      </w:pPr>
    </w:p>
    <w:p w14:paraId="364CD995">
      <w:pPr>
        <w:spacing w:before="68" w:line="220" w:lineRule="auto"/>
        <w:ind w:left="17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供应商：                  </w:t>
      </w:r>
      <w:r>
        <w:rPr>
          <w:rFonts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 xml:space="preserve">  法定代表人（或法定代表人授权代</w:t>
      </w:r>
      <w:r>
        <w:rPr>
          <w:rFonts w:hint="eastAsia" w:ascii="宋体" w:hAnsi="宋体" w:eastAsia="宋体" w:cs="宋体"/>
          <w:color w:val="000000" w:themeColor="text1"/>
          <w:spacing w:val="-1"/>
          <w:highlight w:val="none"/>
          <w:lang w:eastAsia="zh-CN"/>
          <w14:textFill>
            <w14:solidFill>
              <w14:schemeClr w14:val="tx1"/>
            </w14:solidFill>
          </w14:textFill>
        </w:rPr>
        <w:t>表）或自然人：</w:t>
      </w:r>
    </w:p>
    <w:p w14:paraId="62DA10F1">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4049514">
      <w:pPr>
        <w:spacing w:before="68" w:line="220" w:lineRule="auto"/>
        <w:ind w:left="80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D60EB59">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499A3143">
      <w:pPr>
        <w:spacing w:before="69" w:line="221" w:lineRule="auto"/>
        <w:ind w:left="6370"/>
        <w:rPr>
          <w:rFonts w:ascii="宋体" w:hAnsi="宋体" w:eastAsia="宋体" w:cs="宋体"/>
          <w:color w:val="000000" w:themeColor="text1"/>
          <w:spacing w:val="-7"/>
          <w:highlight w:val="none"/>
          <w:lang w:eastAsia="zh-CN"/>
          <w14:textFill>
            <w14:solidFill>
              <w14:schemeClr w14:val="tx1"/>
            </w14:solidFill>
          </w14:textFill>
        </w:rPr>
      </w:pPr>
    </w:p>
    <w:p w14:paraId="6BBD6189">
      <w:pPr>
        <w:spacing w:before="69" w:line="221" w:lineRule="auto"/>
        <w:ind w:left="637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8"/>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66FE4ED">
      <w:pPr>
        <w:pStyle w:val="4"/>
        <w:spacing w:line="270" w:lineRule="auto"/>
        <w:rPr>
          <w:rFonts w:ascii="宋体" w:hAnsi="宋体" w:eastAsia="宋体" w:cs="宋体"/>
          <w:color w:val="000000" w:themeColor="text1"/>
          <w:highlight w:val="none"/>
          <w:lang w:eastAsia="zh-CN"/>
          <w14:textFill>
            <w14:solidFill>
              <w14:schemeClr w14:val="tx1"/>
            </w14:solidFill>
          </w14:textFill>
        </w:rPr>
      </w:pPr>
    </w:p>
    <w:p w14:paraId="66DF883F">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743938FC">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2108B55A">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40EB438E">
      <w:pPr>
        <w:spacing w:before="58" w:line="224" w:lineRule="auto"/>
        <w:ind w:left="170"/>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07CAB3AB">
      <w:pPr>
        <w:spacing w:before="15" w:line="233" w:lineRule="auto"/>
        <w:ind w:left="171" w:firstLine="371"/>
        <w:jc w:val="both"/>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2"/>
          <w:sz w:val="18"/>
          <w:szCs w:val="18"/>
          <w:highlight w:val="none"/>
          <w:lang w:eastAsia="zh-CN"/>
          <w14:textFill>
            <w14:solidFill>
              <w14:schemeClr w14:val="tx1"/>
            </w14:solidFill>
          </w14:textFill>
        </w:rPr>
        <w:t>1、本表即为对本项目“第二篇  项目技术（质量）需求”中所列条款进行比较和响应，若满足技术需</w:t>
      </w:r>
      <w:r>
        <w:rPr>
          <w:rFonts w:hint="eastAsia" w:ascii="宋体" w:hAnsi="宋体" w:eastAsia="宋体" w:cs="宋体"/>
          <w:color w:val="000000" w:themeColor="text1"/>
          <w:sz w:val="18"/>
          <w:szCs w:val="18"/>
          <w:highlight w:val="none"/>
          <w:lang w:eastAsia="zh-CN"/>
          <w14:textFill>
            <w14:solidFill>
              <w14:schemeClr w14:val="tx1"/>
            </w14:solidFill>
          </w14:textFill>
        </w:rPr>
        <w:t>求中的条款则在投标应答中填写“符合”；若对技术需求中的条款有偏离的则在投标应答中填写“正偏离”</w:t>
      </w:r>
      <w:r>
        <w:rPr>
          <w:rFonts w:hint="eastAsia" w:ascii="宋体" w:hAnsi="宋体" w:eastAsia="宋体" w:cs="宋体"/>
          <w:color w:val="000000" w:themeColor="text1"/>
          <w:spacing w:val="15"/>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离情况；</w:t>
      </w:r>
    </w:p>
    <w:p w14:paraId="607C9B7D">
      <w:pPr>
        <w:spacing w:before="19" w:line="219" w:lineRule="auto"/>
        <w:ind w:left="53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6"/>
          <w:sz w:val="18"/>
          <w:szCs w:val="18"/>
          <w:highlight w:val="none"/>
          <w:lang w:eastAsia="zh-CN"/>
          <w14:textFill>
            <w14:solidFill>
              <w14:schemeClr w14:val="tx1"/>
            </w14:solidFill>
          </w14:textFill>
        </w:rPr>
        <w:t>2、本表可扩展；</w:t>
      </w:r>
    </w:p>
    <w:p w14:paraId="48BFAD86">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4" w:type="default"/>
          <w:pgSz w:w="11907" w:h="16841"/>
          <w:pgMar w:top="1440" w:right="1800" w:bottom="1440" w:left="1800" w:header="0" w:footer="1053" w:gutter="0"/>
          <w:pgNumType w:fmt="decimal"/>
          <w:cols w:space="720" w:num="1"/>
        </w:sectPr>
      </w:pPr>
    </w:p>
    <w:p w14:paraId="15006C58">
      <w:pPr>
        <w:spacing w:before="202"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其他技术资料</w:t>
      </w:r>
    </w:p>
    <w:p w14:paraId="04A609E2">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7" w:h="16841"/>
          <w:pgMar w:top="1440" w:right="1800" w:bottom="1440" w:left="1800" w:header="0" w:footer="1053" w:gutter="0"/>
          <w:pgNumType w:fmt="decimal"/>
          <w:cols w:space="720" w:num="1"/>
        </w:sectPr>
      </w:pPr>
    </w:p>
    <w:p w14:paraId="266EB7BB">
      <w:pPr>
        <w:spacing w:before="202" w:line="220" w:lineRule="auto"/>
        <w:ind w:left="2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三、商务文件</w:t>
      </w:r>
    </w:p>
    <w:p w14:paraId="42222410">
      <w:pPr>
        <w:spacing w:before="213"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（一）商务条款响应偏离表</w:t>
      </w:r>
    </w:p>
    <w:p w14:paraId="60A4F797">
      <w:pPr>
        <w:spacing w:before="127" w:line="270" w:lineRule="auto"/>
        <w:ind w:right="750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tbl>
      <w:tblPr>
        <w:tblStyle w:val="14"/>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15"/>
              <w:spacing w:before="99" w:line="222" w:lineRule="auto"/>
              <w:ind w:left="580"/>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268" w:type="dxa"/>
          </w:tcPr>
          <w:p w14:paraId="5BFA2D6C">
            <w:pPr>
              <w:pStyle w:val="15"/>
              <w:spacing w:before="98" w:line="221" w:lineRule="auto"/>
              <w:ind w:left="511"/>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项目商务需求</w:t>
            </w:r>
          </w:p>
        </w:tc>
        <w:tc>
          <w:tcPr>
            <w:tcW w:w="2833" w:type="dxa"/>
          </w:tcPr>
          <w:p w14:paraId="1DB0C006">
            <w:pPr>
              <w:pStyle w:val="15"/>
              <w:spacing w:before="99" w:line="221" w:lineRule="auto"/>
              <w:ind w:left="1011"/>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2130" w:type="dxa"/>
          </w:tcPr>
          <w:p w14:paraId="673A8FAA">
            <w:pPr>
              <w:pStyle w:val="15"/>
              <w:spacing w:before="98" w:line="221" w:lineRule="auto"/>
              <w:ind w:left="65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ascii="宋体" w:hAnsi="宋体" w:eastAsia="宋体" w:cs="宋体"/>
                <w:color w:val="000000" w:themeColor="text1"/>
                <w:highlight w:val="none"/>
                <w14:textFill>
                  <w14:solidFill>
                    <w14:schemeClr w14:val="tx1"/>
                  </w14:solidFill>
                </w14:textFill>
              </w:rPr>
            </w:pPr>
          </w:p>
        </w:tc>
        <w:tc>
          <w:tcPr>
            <w:tcW w:w="2268" w:type="dxa"/>
          </w:tcPr>
          <w:p w14:paraId="1A684C87">
            <w:pPr>
              <w:rPr>
                <w:rFonts w:ascii="宋体" w:hAnsi="宋体" w:eastAsia="宋体" w:cs="宋体"/>
                <w:color w:val="000000" w:themeColor="text1"/>
                <w:highlight w:val="none"/>
                <w14:textFill>
                  <w14:solidFill>
                    <w14:schemeClr w14:val="tx1"/>
                  </w14:solidFill>
                </w14:textFill>
              </w:rPr>
            </w:pPr>
          </w:p>
        </w:tc>
        <w:tc>
          <w:tcPr>
            <w:tcW w:w="2833" w:type="dxa"/>
          </w:tcPr>
          <w:p w14:paraId="4C1FD85F">
            <w:pPr>
              <w:pStyle w:val="15"/>
              <w:spacing w:before="108" w:line="231" w:lineRule="auto"/>
              <w:ind w:left="111" w:right="11" w:firstLine="49"/>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提醒：请注明内容及响应文</w:t>
            </w:r>
            <w:r>
              <w:rPr>
                <w:rFonts w:hint="eastAsia"/>
                <w:color w:val="000000" w:themeColor="text1"/>
                <w:spacing w:val="2"/>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件中具体内容的位置（页码）</w:t>
            </w:r>
          </w:p>
        </w:tc>
        <w:tc>
          <w:tcPr>
            <w:tcW w:w="2130" w:type="dxa"/>
          </w:tcPr>
          <w:p w14:paraId="056822F6">
            <w:pPr>
              <w:rPr>
                <w:rFonts w:ascii="宋体" w:hAnsi="宋体" w:eastAsia="宋体" w:cs="宋体"/>
                <w:color w:val="000000" w:themeColor="text1"/>
                <w:highlight w:val="none"/>
                <w:lang w:eastAsia="zh-CN"/>
                <w14:textFill>
                  <w14:solidFill>
                    <w14:schemeClr w14:val="tx1"/>
                  </w14:solidFill>
                </w14:textFill>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8C1779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9BB8F7E">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7676B01">
            <w:pPr>
              <w:rPr>
                <w:rFonts w:ascii="宋体" w:hAnsi="宋体" w:eastAsia="宋体" w:cs="宋体"/>
                <w:color w:val="000000" w:themeColor="text1"/>
                <w:highlight w:val="none"/>
                <w:lang w:eastAsia="zh-CN"/>
                <w14:textFill>
                  <w14:solidFill>
                    <w14:schemeClr w14:val="tx1"/>
                  </w14:solidFill>
                </w14:textFill>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3ADEC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5BC91DA8">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17C28C8A">
            <w:pPr>
              <w:rPr>
                <w:rFonts w:ascii="宋体" w:hAnsi="宋体" w:eastAsia="宋体" w:cs="宋体"/>
                <w:color w:val="000000" w:themeColor="text1"/>
                <w:highlight w:val="none"/>
                <w:lang w:eastAsia="zh-CN"/>
                <w14:textFill>
                  <w14:solidFill>
                    <w14:schemeClr w14:val="tx1"/>
                  </w14:solidFill>
                </w14:textFill>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27CF06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0031C04">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BB86511">
            <w:pPr>
              <w:rPr>
                <w:rFonts w:ascii="宋体" w:hAnsi="宋体" w:eastAsia="宋体" w:cs="宋体"/>
                <w:color w:val="000000" w:themeColor="text1"/>
                <w:highlight w:val="none"/>
                <w:lang w:eastAsia="zh-CN"/>
                <w14:textFill>
                  <w14:solidFill>
                    <w14:schemeClr w14:val="tx1"/>
                  </w14:solidFill>
                </w14:textFill>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D01392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3DA86B95">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0E1FAEE7">
            <w:pPr>
              <w:rPr>
                <w:rFonts w:ascii="宋体" w:hAnsi="宋体" w:eastAsia="宋体" w:cs="宋体"/>
                <w:color w:val="000000" w:themeColor="text1"/>
                <w:highlight w:val="none"/>
                <w:lang w:eastAsia="zh-CN"/>
                <w14:textFill>
                  <w14:solidFill>
                    <w14:schemeClr w14:val="tx1"/>
                  </w14:solidFill>
                </w14:textFill>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2ABB1A24">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151ACCE9">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28974B40">
            <w:pPr>
              <w:rPr>
                <w:rFonts w:ascii="宋体" w:hAnsi="宋体" w:eastAsia="宋体" w:cs="宋体"/>
                <w:color w:val="000000" w:themeColor="text1"/>
                <w:highlight w:val="none"/>
                <w:lang w:eastAsia="zh-CN"/>
                <w14:textFill>
                  <w14:solidFill>
                    <w14:schemeClr w14:val="tx1"/>
                  </w14:solidFill>
                </w14:textFill>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13DEBE1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2829562">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23C1B0F">
            <w:pPr>
              <w:rPr>
                <w:rFonts w:ascii="宋体" w:hAnsi="宋体" w:eastAsia="宋体" w:cs="宋体"/>
                <w:color w:val="000000" w:themeColor="text1"/>
                <w:highlight w:val="none"/>
                <w:lang w:eastAsia="zh-CN"/>
                <w14:textFill>
                  <w14:solidFill>
                    <w14:schemeClr w14:val="tx1"/>
                  </w14:solidFill>
                </w14:textFill>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A8C31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5CB6A47">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3E061700">
            <w:pPr>
              <w:rPr>
                <w:rFonts w:ascii="宋体" w:hAnsi="宋体" w:eastAsia="宋体" w:cs="宋体"/>
                <w:color w:val="000000" w:themeColor="text1"/>
                <w:highlight w:val="none"/>
                <w:lang w:eastAsia="zh-CN"/>
                <w14:textFill>
                  <w14:solidFill>
                    <w14:schemeClr w14:val="tx1"/>
                  </w14:solidFill>
                </w14:textFill>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3B7AF0D">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0BEC5606">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DBB5253">
            <w:pPr>
              <w:rPr>
                <w:rFonts w:ascii="宋体" w:hAnsi="宋体" w:eastAsia="宋体" w:cs="宋体"/>
                <w:color w:val="000000" w:themeColor="text1"/>
                <w:highlight w:val="none"/>
                <w:lang w:eastAsia="zh-CN"/>
                <w14:textFill>
                  <w14:solidFill>
                    <w14:schemeClr w14:val="tx1"/>
                  </w14:solidFill>
                </w14:textFill>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83F2BF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4B4C4600">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7DE4DF1D">
            <w:pPr>
              <w:rPr>
                <w:rFonts w:ascii="宋体" w:hAnsi="宋体" w:eastAsia="宋体" w:cs="宋体"/>
                <w:color w:val="000000" w:themeColor="text1"/>
                <w:highlight w:val="none"/>
                <w:lang w:eastAsia="zh-CN"/>
                <w14:textFill>
                  <w14:solidFill>
                    <w14:schemeClr w14:val="tx1"/>
                  </w14:solidFill>
                </w14:textFill>
              </w:rPr>
            </w:pPr>
          </w:p>
        </w:tc>
      </w:tr>
    </w:tbl>
    <w:p w14:paraId="2220FF9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5F5568D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7DBA7E6E">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                     法定代表人（或法定代表人授权代表）或</w:t>
      </w:r>
      <w:r>
        <w:rPr>
          <w:rFonts w:hint="eastAsia" w:ascii="宋体" w:hAnsi="宋体" w:eastAsia="宋体" w:cs="宋体"/>
          <w:color w:val="000000" w:themeColor="text1"/>
          <w:spacing w:val="-1"/>
          <w:highlight w:val="none"/>
          <w:lang w:eastAsia="zh-CN"/>
          <w14:textFill>
            <w14:solidFill>
              <w14:schemeClr w14:val="tx1"/>
            </w14:solidFill>
          </w14:textFill>
        </w:rPr>
        <w:t>自然人：</w:t>
      </w:r>
    </w:p>
    <w:p w14:paraId="143D9E6B">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BC7C6C1">
      <w:pPr>
        <w:spacing w:before="68" w:line="220" w:lineRule="auto"/>
        <w:ind w:left="44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2F3E4F3">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2D3AEF14">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0574613C">
      <w:pPr>
        <w:pStyle w:val="4"/>
        <w:spacing w:line="274" w:lineRule="auto"/>
        <w:rPr>
          <w:rFonts w:ascii="宋体" w:hAnsi="宋体" w:eastAsia="宋体" w:cs="宋体"/>
          <w:color w:val="000000" w:themeColor="text1"/>
          <w:highlight w:val="none"/>
          <w:lang w:eastAsia="zh-CN"/>
          <w14:textFill>
            <w14:solidFill>
              <w14:schemeClr w14:val="tx1"/>
            </w14:solidFill>
          </w14:textFill>
        </w:rPr>
      </w:pPr>
    </w:p>
    <w:p w14:paraId="14E46838">
      <w:pPr>
        <w:spacing w:before="70" w:line="221" w:lineRule="auto"/>
        <w:ind w:left="5215" w:firstLine="392"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9"/>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5EFF69C">
      <w:pPr>
        <w:pStyle w:val="4"/>
        <w:spacing w:line="268" w:lineRule="auto"/>
        <w:rPr>
          <w:rFonts w:ascii="宋体" w:hAnsi="宋体" w:eastAsia="宋体" w:cs="宋体"/>
          <w:color w:val="000000" w:themeColor="text1"/>
          <w:highlight w:val="none"/>
          <w:lang w:eastAsia="zh-CN"/>
          <w14:textFill>
            <w14:solidFill>
              <w14:schemeClr w14:val="tx1"/>
            </w14:solidFill>
          </w14:textFill>
        </w:rPr>
      </w:pPr>
    </w:p>
    <w:p w14:paraId="5EAB794A">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7FE5BBCE">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2CBBD225">
      <w:pPr>
        <w:spacing w:before="59" w:line="224" w:lineRule="auto"/>
        <w:ind w:left="21"/>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13F2583A">
      <w:pPr>
        <w:spacing w:before="17" w:line="232" w:lineRule="auto"/>
        <w:ind w:left="22" w:right="24" w:firstLine="37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000000" w:themeColor="text1"/>
          <w:spacing w:val="18"/>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或“负偏离”，并在差异说明中详细列举偏离</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情况；</w:t>
      </w:r>
    </w:p>
    <w:p w14:paraId="0B26F8E9">
      <w:pPr>
        <w:spacing w:before="23" w:line="220" w:lineRule="auto"/>
        <w:ind w:left="383"/>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4"/>
          <w:sz w:val="18"/>
          <w:szCs w:val="18"/>
          <w:highlight w:val="none"/>
          <w:lang w:eastAsia="zh-CN"/>
          <w14:textFill>
            <w14:solidFill>
              <w14:schemeClr w14:val="tx1"/>
            </w14:solidFill>
          </w14:textFill>
        </w:rPr>
        <w:t>2、该表可扩展。</w:t>
      </w:r>
    </w:p>
    <w:p w14:paraId="3D12729F">
      <w:pPr>
        <w:spacing w:line="220"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6" w:type="default"/>
          <w:pgSz w:w="11907" w:h="16841"/>
          <w:pgMar w:top="1440" w:right="1800" w:bottom="1440" w:left="1800" w:header="0" w:footer="1053" w:gutter="0"/>
          <w:pgNumType w:fmt="decimal"/>
          <w:cols w:space="720" w:num="1"/>
        </w:sectPr>
      </w:pPr>
    </w:p>
    <w:p w14:paraId="05C0639D">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sectPr>
          <w:pgSz w:w="11907" w:h="16841"/>
          <w:pgMar w:top="1440" w:right="1800" w:bottom="1440" w:left="1800" w:header="0" w:footer="1053" w:gutter="0"/>
          <w:pgNumType w:fmt="decimal"/>
          <w:cols w:space="720" w:num="1"/>
        </w:sect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其它商务资料</w:t>
      </w:r>
    </w:p>
    <w:p w14:paraId="5D6AE72D">
      <w:pPr>
        <w:spacing w:before="47" w:line="220" w:lineRule="auto"/>
        <w:ind w:left="4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四、资格条件及其他</w:t>
      </w:r>
    </w:p>
    <w:p w14:paraId="2D86844D">
      <w:pPr>
        <w:spacing w:before="188" w:line="370" w:lineRule="auto"/>
        <w:ind w:left="31" w:right="49" w:firstLine="5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（一）法人营业执照（副本）或事业单位法人证书（副本）或个体工商户</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营业执照或有效的自然人身份证明或社会团体法人</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登记证书复印件</w:t>
      </w:r>
    </w:p>
    <w:p w14:paraId="2813892F">
      <w:pPr>
        <w:spacing w:line="37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7" w:h="16841"/>
          <w:pgMar w:top="1440" w:right="1800" w:bottom="1440" w:left="1800" w:header="0" w:footer="1053" w:gutter="0"/>
          <w:pgNumType w:fmt="decimal"/>
          <w:cols w:space="720" w:num="1"/>
        </w:sectPr>
      </w:pPr>
    </w:p>
    <w:p w14:paraId="629922F7">
      <w:pPr>
        <w:spacing w:before="47" w:line="219" w:lineRule="auto"/>
        <w:ind w:firstLine="454"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法定代表人身份证明书（格式）</w:t>
      </w:r>
    </w:p>
    <w:p w14:paraId="328801E7">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2AAE3DA0">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64227F95">
      <w:pPr>
        <w:spacing w:before="68" w:line="221" w:lineRule="auto"/>
        <w:ind w:left="59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9EDF886">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757220F">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9A58A12">
      <w:pPr>
        <w:spacing w:before="68"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18C6D4C6">
      <w:pPr>
        <w:tabs>
          <w:tab w:val="left" w:pos="1428"/>
        </w:tabs>
        <w:spacing w:before="248" w:line="426" w:lineRule="auto"/>
        <w:ind w:left="24" w:right="18" w:firstLine="56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6"/>
          <w:highlight w:val="none"/>
          <w:lang w:eastAsia="zh-CN"/>
          <w14:textFill>
            <w14:solidFill>
              <w14:schemeClr w14:val="tx1"/>
            </w14:solidFill>
          </w14:textFill>
        </w:rPr>
        <w:t>（法定代表人姓名）在</w:t>
      </w:r>
      <w:r>
        <w:rPr>
          <w:rFonts w:hint="eastAsia" w:ascii="宋体" w:hAnsi="宋体" w:eastAsia="宋体" w:cs="宋体"/>
          <w:color w:val="000000" w:themeColor="text1"/>
          <w:spacing w:val="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highlight w:val="none"/>
          <w:lang w:eastAsia="zh-CN"/>
          <w14:textFill>
            <w14:solidFill>
              <w14:schemeClr w14:val="tx1"/>
            </w14:solidFill>
          </w14:textFill>
        </w:rPr>
        <w:t>（供应商名称）任</w:t>
      </w:r>
      <w:r>
        <w:rPr>
          <w:rFonts w:hint="eastAsia" w:ascii="宋体" w:hAnsi="宋体" w:eastAsia="宋体" w:cs="宋体"/>
          <w:color w:val="000000" w:themeColor="text1"/>
          <w:spacing w:val="-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（职</w:t>
      </w:r>
      <w:r>
        <w:rPr>
          <w:rFonts w:hint="eastAsia" w:ascii="宋体" w:hAnsi="宋体" w:eastAsia="宋体" w:cs="宋体"/>
          <w:color w:val="000000" w:themeColor="text1"/>
          <w:spacing w:val="-1"/>
          <w:highlight w:val="none"/>
          <w:lang w:eastAsia="zh-CN"/>
          <w14:textFill>
            <w14:solidFill>
              <w14:schemeClr w14:val="tx1"/>
            </w14:solidFill>
          </w14:textFill>
        </w:rPr>
        <w:t>务名称）职务，是（供应商名称）</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的法定代表人。</w:t>
      </w:r>
    </w:p>
    <w:p w14:paraId="5E3F3DD7">
      <w:pPr>
        <w:pStyle w:val="4"/>
        <w:spacing w:line="460" w:lineRule="auto"/>
        <w:rPr>
          <w:rFonts w:ascii="宋体" w:hAnsi="宋体" w:eastAsia="宋体" w:cs="宋体"/>
          <w:color w:val="000000" w:themeColor="text1"/>
          <w:highlight w:val="none"/>
          <w:lang w:eastAsia="zh-CN"/>
          <w14:textFill>
            <w14:solidFill>
              <w14:schemeClr w14:val="tx1"/>
            </w14:solidFill>
          </w14:textFill>
        </w:rPr>
      </w:pPr>
    </w:p>
    <w:p w14:paraId="4F66EFC5">
      <w:pPr>
        <w:spacing w:before="69" w:line="221"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5"/>
          <w:highlight w:val="none"/>
          <w:lang w:eastAsia="zh-CN"/>
          <w14:textFill>
            <w14:solidFill>
              <w14:schemeClr w14:val="tx1"/>
            </w14:solidFill>
          </w14:textFill>
        </w:rPr>
        <w:t>特此证明。</w:t>
      </w:r>
    </w:p>
    <w:p w14:paraId="2FE32414">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3006A501">
      <w:pPr>
        <w:spacing w:before="6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（附：法定代表人身份证正反面复印件）</w:t>
      </w:r>
    </w:p>
    <w:p w14:paraId="22D6843F">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0AAC7622">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FA513E3">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ACAB1BD">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750E0A1F">
      <w:pPr>
        <w:pStyle w:val="5"/>
        <w:rPr>
          <w:rFonts w:eastAsiaTheme="minorEastAsia"/>
          <w:color w:val="000000" w:themeColor="text1"/>
          <w:highlight w:val="none"/>
          <w:lang w:eastAsia="zh-CN"/>
          <w14:textFill>
            <w14:solidFill>
              <w14:schemeClr w14:val="tx1"/>
            </w14:solidFill>
          </w14:textFill>
        </w:rPr>
      </w:pPr>
    </w:p>
    <w:p w14:paraId="777425D7">
      <w:pPr>
        <w:spacing w:before="69" w:line="221" w:lineRule="auto"/>
        <w:ind w:right="14"/>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法定代表人电话：</w:t>
      </w:r>
      <w:r>
        <w:rPr>
          <w:rFonts w:hint="eastAsia" w:ascii="宋体" w:hAnsi="宋体" w:eastAsia="宋体" w:cs="宋体"/>
          <w:color w:val="000000" w:themeColor="text1"/>
          <w:highlight w:val="none"/>
          <w:lang w:eastAsia="zh-CN"/>
          <w14:textFill>
            <w14:solidFill>
              <w14:schemeClr w14:val="tx1"/>
            </w14:solidFill>
          </w14:textFill>
        </w:rPr>
        <w:t>XXXXXXX</w:t>
      </w:r>
      <w:r>
        <w:rPr>
          <w:rFonts w:hint="eastAsia" w:ascii="宋体" w:hAnsi="宋体" w:eastAsia="宋体" w:cs="宋体"/>
          <w:color w:val="000000" w:themeColor="text1"/>
          <w:spacing w:val="2"/>
          <w:highlight w:val="none"/>
          <w:lang w:eastAsia="zh-CN"/>
          <w14:textFill>
            <w14:solidFill>
              <w14:schemeClr w14:val="tx1"/>
            </w14:solidFill>
          </w14:textFill>
        </w:rPr>
        <w:t xml:space="preserve">      电子邮箱：</w:t>
      </w:r>
      <w:r>
        <w:rPr>
          <w:rFonts w:hint="eastAsia" w:ascii="宋体" w:hAnsi="宋体" w:eastAsia="宋体" w:cs="宋体"/>
          <w:color w:val="000000" w:themeColor="text1"/>
          <w:highlight w:val="none"/>
          <w:lang w:eastAsia="zh-CN"/>
          <w14:textFill>
            <w14:solidFill>
              <w14:schemeClr w14:val="tx1"/>
            </w14:solidFill>
          </w14:textFill>
        </w:rPr>
        <w:t>XXXXXX</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XXXXX</w:t>
      </w:r>
      <w:r>
        <w:rPr>
          <w:rFonts w:hint="eastAsia" w:ascii="宋体" w:hAnsi="宋体" w:eastAsia="宋体" w:cs="宋体"/>
          <w:color w:val="000000" w:themeColor="text1"/>
          <w:spacing w:val="2"/>
          <w:highlight w:val="none"/>
          <w:lang w:eastAsia="zh-CN"/>
          <w14:textFill>
            <w14:solidFill>
              <w14:schemeClr w14:val="tx1"/>
            </w14:solidFill>
          </w14:textFill>
        </w:rPr>
        <w:t>（若授权他人办理</w:t>
      </w:r>
      <w:r>
        <w:rPr>
          <w:rFonts w:hint="eastAsia" w:ascii="宋体" w:hAnsi="宋体" w:eastAsia="宋体" w:cs="宋体"/>
          <w:color w:val="000000" w:themeColor="text1"/>
          <w:spacing w:val="1"/>
          <w:highlight w:val="none"/>
          <w:lang w:eastAsia="zh-CN"/>
          <w14:textFill>
            <w14:solidFill>
              <w14:schemeClr w14:val="tx1"/>
            </w14:solidFill>
          </w14:textFill>
        </w:rPr>
        <w:t>并签署</w:t>
      </w:r>
    </w:p>
    <w:p w14:paraId="37541324">
      <w:pPr>
        <w:spacing w:before="248" w:line="221" w:lineRule="auto"/>
        <w:ind w:left="3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响应文件的可不填写）</w:t>
      </w:r>
    </w:p>
    <w:p w14:paraId="541FC87F">
      <w:pPr>
        <w:pStyle w:val="4"/>
        <w:spacing w:line="279" w:lineRule="auto"/>
        <w:rPr>
          <w:rFonts w:ascii="宋体" w:hAnsi="宋体" w:eastAsia="宋体" w:cs="宋体"/>
          <w:color w:val="000000" w:themeColor="text1"/>
          <w:highlight w:val="none"/>
          <w:lang w:eastAsia="zh-CN"/>
          <w14:textFill>
            <w14:solidFill>
              <w14:schemeClr w14:val="tx1"/>
            </w14:solidFill>
          </w14:textFill>
        </w:rPr>
      </w:pPr>
    </w:p>
    <w:p w14:paraId="2542A4D1">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531EBA87">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6EE4C253">
      <w:pPr>
        <w:spacing w:before="69" w:line="220" w:lineRule="auto"/>
        <w:ind w:left="532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55B1526E">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B7ADE47">
      <w:pPr>
        <w:spacing w:before="68" w:line="221" w:lineRule="auto"/>
        <w:ind w:left="5321" w:firstLine="784" w:firstLineChars="4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0968EA00">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71432F21">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563688F3">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7F65079">
      <w:pPr>
        <w:spacing w:line="220" w:lineRule="auto"/>
        <w:rPr>
          <w:rFonts w:ascii="宋体" w:hAnsi="宋体" w:eastAsia="宋体" w:cs="宋体"/>
          <w:color w:val="000000" w:themeColor="text1"/>
          <w:highlight w:val="none"/>
          <w:lang w:eastAsia="zh-CN"/>
          <w14:textFill>
            <w14:solidFill>
              <w14:schemeClr w14:val="tx1"/>
            </w14:solidFill>
          </w14:textFill>
        </w:rPr>
        <w:sectPr>
          <w:footerReference r:id="rId28" w:type="default"/>
          <w:pgSz w:w="11907" w:h="16841"/>
          <w:pgMar w:top="1440" w:right="1800" w:bottom="1440" w:left="1800" w:header="0" w:footer="1053" w:gutter="0"/>
          <w:pgNumType w:fmt="decimal"/>
          <w:cols w:space="720" w:num="1"/>
        </w:sectPr>
      </w:pPr>
    </w:p>
    <w:p w14:paraId="131AD6D6">
      <w:pPr>
        <w:spacing w:before="203"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（三）</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法定代表人授权委托书（格式）</w:t>
      </w:r>
    </w:p>
    <w:p w14:paraId="491D655D">
      <w:pPr>
        <w:pStyle w:val="4"/>
        <w:spacing w:line="334" w:lineRule="auto"/>
        <w:rPr>
          <w:rFonts w:ascii="宋体" w:hAnsi="宋体" w:eastAsia="宋体" w:cs="宋体"/>
          <w:color w:val="000000" w:themeColor="text1"/>
          <w:highlight w:val="none"/>
          <w:lang w:eastAsia="zh-CN"/>
          <w14:textFill>
            <w14:solidFill>
              <w14:schemeClr w14:val="tx1"/>
            </w14:solidFill>
          </w14:textFill>
        </w:rPr>
      </w:pPr>
    </w:p>
    <w:p w14:paraId="06A648E9">
      <w:pPr>
        <w:pStyle w:val="4"/>
        <w:spacing w:line="335" w:lineRule="auto"/>
        <w:rPr>
          <w:rFonts w:ascii="宋体" w:hAnsi="宋体" w:eastAsia="宋体" w:cs="宋体"/>
          <w:color w:val="000000" w:themeColor="text1"/>
          <w:highlight w:val="none"/>
          <w:lang w:eastAsia="zh-CN"/>
          <w14:textFill>
            <w14:solidFill>
              <w14:schemeClr w14:val="tx1"/>
            </w14:solidFill>
          </w14:textFill>
        </w:rPr>
      </w:pPr>
    </w:p>
    <w:p w14:paraId="4297E69A">
      <w:pPr>
        <w:spacing w:before="68" w:line="221" w:lineRule="auto"/>
        <w:ind w:left="44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DBFEA6E">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66CE87FA">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09351424">
      <w:pPr>
        <w:spacing w:before="68" w:line="220" w:lineRule="auto"/>
        <w:ind w:left="44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434559FF">
      <w:pPr>
        <w:tabs>
          <w:tab w:val="left" w:pos="1696"/>
        </w:tabs>
        <w:spacing w:before="251" w:line="430" w:lineRule="auto"/>
        <w:ind w:left="27" w:right="16" w:firstLine="40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2"/>
          <w:highlight w:val="none"/>
          <w:lang w:eastAsia="zh-CN"/>
          <w14:textFill>
            <w14:solidFill>
              <w14:schemeClr w14:val="tx1"/>
            </w14:solidFill>
          </w14:textFill>
        </w:rPr>
        <w:t>（供应商法定代表人名称）是</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（供应商名称）的法</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定代表人，特授权</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（被授权人</w:t>
      </w:r>
      <w:r>
        <w:rPr>
          <w:rFonts w:hint="eastAsia" w:ascii="宋体" w:hAnsi="宋体" w:eastAsia="宋体" w:cs="宋体"/>
          <w:color w:val="000000" w:themeColor="text1"/>
          <w:spacing w:val="-3"/>
          <w:highlight w:val="none"/>
          <w:lang w:eastAsia="zh-CN"/>
          <w14:textFill>
            <w14:solidFill>
              <w14:schemeClr w14:val="tx1"/>
            </w14:solidFill>
          </w14:textFill>
        </w:rPr>
        <w:t>姓名及身份证号码）代表我单位全权办理上述项目</w:t>
      </w:r>
      <w:r>
        <w:rPr>
          <w:rFonts w:hint="eastAsia" w:ascii="宋体" w:hAnsi="宋体" w:eastAsia="宋体" w:cs="宋体"/>
          <w:color w:val="000000" w:themeColor="text1"/>
          <w:highlight w:val="none"/>
          <w:lang w:eastAsia="zh-CN"/>
          <w14:textFill>
            <w14:solidFill>
              <w14:schemeClr w14:val="tx1"/>
            </w14:solidFill>
          </w14:textFill>
        </w:rPr>
        <w:t xml:space="preserve"> 的磋商、签约等具体工作，并签署全部有关文</w:t>
      </w:r>
      <w:r>
        <w:rPr>
          <w:rFonts w:hint="eastAsia" w:ascii="宋体" w:hAnsi="宋体" w:eastAsia="宋体" w:cs="宋体"/>
          <w:color w:val="000000" w:themeColor="text1"/>
          <w:spacing w:val="-1"/>
          <w:highlight w:val="none"/>
          <w:lang w:eastAsia="zh-CN"/>
          <w14:textFill>
            <w14:solidFill>
              <w14:schemeClr w14:val="tx1"/>
            </w14:solidFill>
          </w14:textFill>
        </w:rPr>
        <w:t>件、协议及合同。</w:t>
      </w:r>
    </w:p>
    <w:p w14:paraId="5298CA54">
      <w:pPr>
        <w:spacing w:before="32" w:line="221" w:lineRule="auto"/>
        <w:ind w:left="44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我单位对被授权人的签字负全部责任。</w:t>
      </w:r>
    </w:p>
    <w:p w14:paraId="7C40103C">
      <w:pPr>
        <w:spacing w:before="249" w:line="425" w:lineRule="auto"/>
        <w:ind w:left="23" w:right="7" w:firstLine="41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在撤消授权的书面通知以前，本授权书一直有效。被授权人在授权书有效期内签署的所</w:t>
      </w:r>
      <w:r>
        <w:rPr>
          <w:rFonts w:hint="eastAsia" w:ascii="宋体" w:hAnsi="宋体" w:eastAsia="宋体" w:cs="宋体"/>
          <w:color w:val="000000" w:themeColor="text1"/>
          <w:spacing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有文件不因授权的撤消而失效。</w:t>
      </w:r>
    </w:p>
    <w:p w14:paraId="3382DCA3">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63576F7">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100AA936">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8AE1E6B">
      <w:pPr>
        <w:spacing w:before="69"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被授权人：                                 供应商法定</w:t>
      </w:r>
      <w:r>
        <w:rPr>
          <w:rFonts w:hint="eastAsia" w:ascii="宋体" w:hAnsi="宋体" w:eastAsia="宋体" w:cs="宋体"/>
          <w:color w:val="000000" w:themeColor="text1"/>
          <w:spacing w:val="-1"/>
          <w:highlight w:val="none"/>
          <w:lang w:eastAsia="zh-CN"/>
          <w14:textFill>
            <w14:solidFill>
              <w14:schemeClr w14:val="tx1"/>
            </w14:solidFill>
          </w14:textFill>
        </w:rPr>
        <w:t>代表人：</w:t>
      </w:r>
    </w:p>
    <w:p w14:paraId="472FBA1F">
      <w:pPr>
        <w:spacing w:before="251"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（签字或盖章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347319B8">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146E7FAC">
      <w:pPr>
        <w:spacing w:before="24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（附：被授权人身份证正反面复印件）</w:t>
      </w:r>
    </w:p>
    <w:p w14:paraId="3457B509">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2EC64163">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66D5702A">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0DAE0712">
      <w:pPr>
        <w:spacing w:before="69" w:line="221" w:lineRule="auto"/>
        <w:ind w:right="6"/>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被授权人电话：XXXXXXX     电子邮箱：XXXXXX@XXXXX（若法定代表人办理并签署响</w:t>
      </w:r>
    </w:p>
    <w:p w14:paraId="3AB5D5F5">
      <w:pPr>
        <w:spacing w:before="248" w:line="221"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应文件的可不填写）</w:t>
      </w:r>
    </w:p>
    <w:p w14:paraId="7ED0125C">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0FB2C5E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4C5E0E5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2EA34C42">
      <w:pPr>
        <w:spacing w:before="69" w:line="427" w:lineRule="auto"/>
        <w:ind w:right="489" w:firstLine="5656" w:firstLineChars="2800"/>
        <w:rPr>
          <w:rFonts w:ascii="宋体" w:hAnsi="宋体" w:eastAsia="宋体" w:cs="宋体"/>
          <w:color w:val="000000" w:themeColor="text1"/>
          <w:spacing w:val="-4"/>
          <w:highlight w:val="none"/>
          <w:lang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（供应商公章）</w:t>
      </w:r>
    </w:p>
    <w:p w14:paraId="37E37753">
      <w:pPr>
        <w:spacing w:before="69" w:line="427" w:lineRule="auto"/>
        <w:ind w:left="6590" w:right="489" w:hanging="20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2"/>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日</w:t>
      </w:r>
    </w:p>
    <w:p w14:paraId="0B93ED27">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0B070D52">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36D72543">
      <w:pPr>
        <w:spacing w:before="59" w:line="219" w:lineRule="auto"/>
        <w:ind w:left="59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
          <w:sz w:val="18"/>
          <w:szCs w:val="18"/>
          <w:highlight w:val="none"/>
          <w:lang w:eastAsia="zh-CN"/>
          <w14:textFill>
            <w14:solidFill>
              <w14:schemeClr w14:val="tx1"/>
            </w14:solidFill>
          </w14:textFill>
        </w:rPr>
        <w:t>注：若为法定代表人办理并签署响应文件的，不</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提供此文件。</w:t>
      </w:r>
    </w:p>
    <w:p w14:paraId="17F26BBD">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9" w:type="default"/>
          <w:pgSz w:w="11907" w:h="16841"/>
          <w:pgMar w:top="1440" w:right="1800" w:bottom="1440" w:left="1800" w:header="0" w:footer="1053" w:gutter="0"/>
          <w:pgNumType w:fmt="decimal"/>
          <w:cols w:space="720" w:num="1"/>
        </w:sectPr>
      </w:pPr>
    </w:p>
    <w:p w14:paraId="675418A5">
      <w:pPr>
        <w:spacing w:before="203" w:line="219"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（四）</w:t>
      </w:r>
      <w:r>
        <w:rPr>
          <w:rFonts w:hint="eastAsia" w:ascii="宋体" w:hAnsi="宋体" w:eastAsia="宋体" w:cs="宋体"/>
          <w:color w:val="000000" w:themeColor="text1"/>
          <w:spacing w:val="-6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基本资格条件承诺函</w:t>
      </w:r>
    </w:p>
    <w:p w14:paraId="4404D308">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5E2E631A">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33940E6A">
      <w:pPr>
        <w:spacing w:before="68" w:line="220" w:lineRule="auto"/>
        <w:ind w:left="3229"/>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基本资格条件承诺函</w:t>
      </w:r>
    </w:p>
    <w:p w14:paraId="4D02CE03">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087FE674">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6612D057">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7259D749">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（采购</w:t>
      </w:r>
      <w:r>
        <w:rPr>
          <w:rFonts w:hint="eastAsia" w:ascii="宋体" w:hAnsi="宋体" w:eastAsia="宋体" w:cs="宋体"/>
          <w:color w:val="000000" w:themeColor="text1"/>
          <w:spacing w:val="-1"/>
          <w:highlight w:val="none"/>
          <w:lang w:eastAsia="zh-CN"/>
          <w14:textFill>
            <w14:solidFill>
              <w14:schemeClr w14:val="tx1"/>
            </w14:solidFill>
          </w14:textFill>
        </w:rPr>
        <w:t>代理机构名称）：</w:t>
      </w:r>
    </w:p>
    <w:p w14:paraId="20801CF5">
      <w:pPr>
        <w:tabs>
          <w:tab w:val="left" w:pos="2746"/>
        </w:tabs>
        <w:spacing w:before="280" w:line="220" w:lineRule="auto"/>
        <w:ind w:left="43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（供应商名称）郑重承诺：</w:t>
      </w:r>
    </w:p>
    <w:p w14:paraId="6CB1809D">
      <w:pPr>
        <w:spacing w:before="279" w:line="458" w:lineRule="auto"/>
        <w:ind w:left="23" w:right="60" w:firstLine="434"/>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1.我方具有良好的商业信誉和健全的财务会计制度，具有履行合同所必需的设备和专业</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技术能力，具有依法缴纳税收和社会保障金的良好</w:t>
      </w:r>
      <w:r>
        <w:rPr>
          <w:rFonts w:hint="eastAsia" w:ascii="宋体" w:hAnsi="宋体" w:eastAsia="宋体" w:cs="宋体"/>
          <w:color w:val="000000" w:themeColor="text1"/>
          <w:spacing w:val="-3"/>
          <w:highlight w:val="none"/>
          <w:lang w:eastAsia="zh-CN"/>
          <w14:textFill>
            <w14:solidFill>
              <w14:schemeClr w14:val="tx1"/>
            </w14:solidFill>
          </w14:textFill>
        </w:rPr>
        <w:t>记录，参加本项目采购活动前三年内无重</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大违法活动记录。</w:t>
      </w:r>
    </w:p>
    <w:p w14:paraId="5F21DC8B">
      <w:pPr>
        <w:spacing w:before="30" w:line="456" w:lineRule="auto"/>
        <w:ind w:left="21" w:right="69" w:firstLine="423"/>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2.我方未列入在信用中国网站（www.creditchina.gov.cn）“失信</w:t>
      </w:r>
      <w:r>
        <w:rPr>
          <w:rFonts w:hint="eastAsia" w:ascii="宋体" w:hAnsi="宋体" w:eastAsia="宋体" w:cs="宋体"/>
          <w:color w:val="000000" w:themeColor="text1"/>
          <w:spacing w:val="-3"/>
          <w:highlight w:val="none"/>
          <w:lang w:eastAsia="zh-CN"/>
          <w14:textFill>
            <w14:solidFill>
              <w14:schemeClr w14:val="tx1"/>
            </w14:solidFill>
          </w14:textFill>
        </w:rPr>
        <w:t>被执行人”、“重大</w:t>
      </w:r>
      <w:r>
        <w:rPr>
          <w:rFonts w:hint="eastAsia" w:ascii="宋体" w:hAnsi="宋体" w:eastAsia="宋体" w:cs="宋体"/>
          <w:color w:val="000000" w:themeColor="text1"/>
          <w:highlight w:val="none"/>
          <w:lang w:eastAsia="zh-CN"/>
          <w14:textFill>
            <w14:solidFill>
              <w14:schemeClr w14:val="tx1"/>
            </w14:solidFill>
          </w14:textFill>
        </w:rPr>
        <w:t xml:space="preserve"> 税收违法失信主体”中，也未列入中国政府采购网（www.ccgp.gov.cn）“政府采购严重违 </w:t>
      </w:r>
      <w:r>
        <w:rPr>
          <w:rFonts w:hint="eastAsia" w:ascii="宋体" w:hAnsi="宋体" w:eastAsia="宋体" w:cs="宋体"/>
          <w:color w:val="000000" w:themeColor="text1"/>
          <w:spacing w:val="-1"/>
          <w:highlight w:val="none"/>
          <w:lang w:eastAsia="zh-CN"/>
          <w14:textFill>
            <w14:solidFill>
              <w14:schemeClr w14:val="tx1"/>
            </w14:solidFill>
          </w14:textFill>
        </w:rPr>
        <w:t>法失信行为记录名单”中。</w:t>
      </w:r>
    </w:p>
    <w:p w14:paraId="641F54E0">
      <w:pPr>
        <w:spacing w:before="33" w:line="452" w:lineRule="auto"/>
        <w:ind w:lef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3.我方在采购项目评审环节结束后，随时接受采购人、采购代理机构的检查验证，配合</w:t>
      </w:r>
      <w:r>
        <w:rPr>
          <w:rFonts w:hint="eastAsia" w:ascii="宋体" w:hAnsi="宋体" w:eastAsia="宋体" w:cs="宋体"/>
          <w:color w:val="000000" w:themeColor="text1"/>
          <w:spacing w:val="16"/>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提供相关证明材料，证明符合《中华人民共和国政府采购法》规定的供应商基本资格条件。</w:t>
      </w:r>
    </w:p>
    <w:p w14:paraId="4B0EE8BF">
      <w:pPr>
        <w:spacing w:before="31" w:line="453" w:lineRule="auto"/>
        <w:ind w:left="442" w:right="4829" w:firstLine="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我方对以上承诺负全部法律责任。</w:t>
      </w:r>
      <w:r>
        <w:rPr>
          <w:rFonts w:hint="eastAsia" w:ascii="宋体" w:hAnsi="宋体" w:eastAsia="宋体" w:cs="宋体"/>
          <w:color w:val="000000" w:themeColor="text1"/>
          <w:spacing w:val="6"/>
          <w:highlight w:val="none"/>
          <w:lang w:eastAsia="zh-CN"/>
          <w14:textFill>
            <w14:solidFill>
              <w14:schemeClr w14:val="tx1"/>
            </w14:solidFill>
          </w14:textFill>
        </w:rPr>
        <w:t xml:space="preserve"> </w:t>
      </w:r>
      <w:r>
        <w:rPr>
          <w:rFonts w:hint="eastAsia" w:ascii="宋体" w:hAnsi="宋体" w:eastAsia="宋体" w:cs="宋体"/>
          <w:color w:val="000000" w:themeColor="text1"/>
          <w:spacing w:val="-5"/>
          <w:highlight w:val="none"/>
          <w:lang w:eastAsia="zh-CN"/>
          <w14:textFill>
            <w14:solidFill>
              <w14:schemeClr w14:val="tx1"/>
            </w14:solidFill>
          </w14:textFill>
        </w:rPr>
        <w:t>特此承诺。</w:t>
      </w:r>
    </w:p>
    <w:p w14:paraId="1F4C0E92">
      <w:pPr>
        <w:spacing w:before="69" w:line="220" w:lineRule="auto"/>
        <w:ind w:firstLine="5100" w:firstLineChars="25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7C8EBED6">
      <w:pPr>
        <w:spacing w:before="259" w:line="221" w:lineRule="auto"/>
        <w:ind w:firstLine="5684" w:firstLineChars="29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28FD4E48">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30" w:type="default"/>
          <w:pgSz w:w="11907" w:h="16841"/>
          <w:pgMar w:top="1440" w:right="1800" w:bottom="1440" w:left="1800" w:header="0" w:footer="1053" w:gutter="0"/>
          <w:pgNumType w:fmt="decimal"/>
          <w:cols w:space="720" w:num="1"/>
        </w:sectPr>
      </w:pPr>
    </w:p>
    <w:p w14:paraId="4B8C2382">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（五）</w:t>
      </w:r>
      <w:r>
        <w:rPr>
          <w:rFonts w:hint="eastAsia" w:ascii="宋体" w:hAnsi="宋体" w:eastAsia="宋体" w:cs="宋体"/>
          <w:color w:val="000000" w:themeColor="text1"/>
          <w:spacing w:val="-62"/>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特定资格条件证明文件</w:t>
      </w:r>
    </w:p>
    <w:p w14:paraId="1E3C78D4">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1" w:type="default"/>
          <w:pgSz w:w="11907" w:h="16841"/>
          <w:pgMar w:top="1440" w:right="1800" w:bottom="1440" w:left="1800" w:header="0" w:footer="1053" w:gutter="0"/>
          <w:pgNumType w:fmt="decimal"/>
          <w:cols w:space="720" w:num="1"/>
        </w:sectPr>
      </w:pPr>
    </w:p>
    <w:p w14:paraId="499CE1AC">
      <w:pPr>
        <w:spacing w:before="47" w:line="219" w:lineRule="auto"/>
        <w:ind w:left="27"/>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五、其他应提供的资料</w:t>
      </w:r>
    </w:p>
    <w:p w14:paraId="57932033">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046A483D">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25253EB6">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9EB6145">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56299E1">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6B45B94">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11169CD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C3DC67">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9A64DDD">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DC0E75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276900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92AA916">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3EE7178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5A481E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A5247A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25783214">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E87FED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8B182A8">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9C3DB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8E3BE7E">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2EECBC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B0052E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002B04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0ED55ED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FF224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7D49DF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421B2F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14BDF1A">
      <w:pPr>
        <w:spacing w:before="78" w:line="220" w:lineRule="auto"/>
        <w:ind w:left="370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（结束）</w:t>
      </w:r>
    </w:p>
    <w:p w14:paraId="2D0F1747">
      <w:pPr>
        <w:spacing w:line="220" w:lineRule="auto"/>
        <w:rPr>
          <w:rFonts w:ascii="宋体" w:hAnsi="宋体" w:eastAsia="宋体" w:cs="宋体"/>
          <w:color w:val="auto"/>
          <w:sz w:val="24"/>
          <w:szCs w:val="24"/>
          <w:highlight w:val="none"/>
          <w:lang w:eastAsia="zh-CN"/>
        </w:rPr>
        <w:sectPr>
          <w:footerReference r:id="rId32" w:type="default"/>
          <w:pgSz w:w="11907" w:h="16841"/>
          <w:pgMar w:top="1440" w:right="1800" w:bottom="1440" w:left="1800" w:header="0" w:footer="1053" w:gutter="0"/>
          <w:pgNumType w:fmt="decimal"/>
          <w:cols w:space="720" w:num="1"/>
        </w:sectPr>
      </w:pPr>
    </w:p>
    <w:p w14:paraId="68FC2DE5">
      <w:pPr>
        <w:pStyle w:val="4"/>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w:t>
      </w:r>
    </w:p>
    <w:p w14:paraId="29979E4F">
      <w:pPr>
        <w:pStyle w:val="4"/>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竞争性比选文件发售登记表</w:t>
      </w:r>
    </w:p>
    <w:tbl>
      <w:tblPr>
        <w:tblStyle w:val="11"/>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143" w:type="dxa"/>
            <w:noWrap/>
            <w:vAlign w:val="center"/>
          </w:tcPr>
          <w:p w14:paraId="3AE78807">
            <w:pPr>
              <w:jc w:val="center"/>
              <w:rPr>
                <w:rFonts w:ascii="宋体" w:hAnsi="宋体" w:cs="宋体"/>
                <w:color w:val="auto"/>
                <w:sz w:val="24"/>
                <w:szCs w:val="24"/>
                <w:highlight w:val="none"/>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143" w:type="dxa"/>
            <w:noWrap/>
            <w:vAlign w:val="bottom"/>
          </w:tcPr>
          <w:p w14:paraId="6B7EC999">
            <w:pPr>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7143" w:type="dxa"/>
            <w:noWrap/>
            <w:vAlign w:val="center"/>
          </w:tcPr>
          <w:p w14:paraId="740DD6DD">
            <w:pPr>
              <w:rPr>
                <w:rFonts w:ascii="宋体" w:hAnsi="宋体" w:cs="宋体"/>
                <w:color w:val="auto"/>
                <w:sz w:val="24"/>
                <w:szCs w:val="24"/>
                <w:highlight w:val="none"/>
              </w:rPr>
            </w:pPr>
          </w:p>
          <w:p w14:paraId="3127D463">
            <w:pPr>
              <w:rPr>
                <w:rFonts w:ascii="宋体" w:hAnsi="宋体" w:cs="宋体"/>
                <w:color w:val="auto"/>
                <w:sz w:val="24"/>
                <w:szCs w:val="24"/>
                <w:highlight w:val="none"/>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p w14:paraId="331DFCF9">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7143" w:type="dxa"/>
            <w:noWrap/>
            <w:vAlign w:val="center"/>
          </w:tcPr>
          <w:p w14:paraId="2392963D">
            <w:pPr>
              <w:rPr>
                <w:rFonts w:ascii="宋体" w:hAnsi="宋体" w:cs="宋体"/>
                <w:color w:val="auto"/>
                <w:sz w:val="24"/>
                <w:szCs w:val="24"/>
                <w:highlight w:val="none"/>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jc w:val="center"/>
              <w:rPr>
                <w:rFonts w:ascii="宋体" w:hAnsi="宋体" w:cs="宋体"/>
                <w:color w:val="auto"/>
                <w:sz w:val="24"/>
                <w:szCs w:val="24"/>
                <w:highlight w:val="none"/>
              </w:rPr>
            </w:pPr>
            <w:r>
              <w:rPr>
                <w:rFonts w:ascii="宋体" w:hAnsi="宋体" w:cs="宋体"/>
                <w:color w:val="auto"/>
                <w:sz w:val="24"/>
                <w:szCs w:val="24"/>
                <w:highlight w:val="none"/>
              </w:rPr>
              <w:t>联系邮箱</w:t>
            </w:r>
          </w:p>
        </w:tc>
        <w:tc>
          <w:tcPr>
            <w:tcW w:w="7143" w:type="dxa"/>
            <w:noWrap/>
            <w:vAlign w:val="center"/>
          </w:tcPr>
          <w:p w14:paraId="5A3BB3B8">
            <w:pPr>
              <w:rPr>
                <w:rFonts w:ascii="宋体" w:hAnsi="宋体" w:cs="宋体"/>
                <w:color w:val="auto"/>
                <w:sz w:val="24"/>
                <w:szCs w:val="24"/>
                <w:highlight w:val="none"/>
              </w:rPr>
            </w:pPr>
          </w:p>
          <w:p w14:paraId="4EF4F27D">
            <w:pPr>
              <w:rPr>
                <w:rFonts w:ascii="宋体" w:hAnsi="宋体" w:cs="宋体"/>
                <w:color w:val="auto"/>
                <w:sz w:val="24"/>
                <w:szCs w:val="24"/>
                <w:highlight w:val="none"/>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143" w:type="dxa"/>
            <w:noWrap/>
            <w:vAlign w:val="center"/>
          </w:tcPr>
          <w:p w14:paraId="56FDADAA">
            <w:pPr>
              <w:rPr>
                <w:rFonts w:ascii="宋体" w:hAnsi="宋体" w:cs="宋体"/>
                <w:color w:val="auto"/>
                <w:sz w:val="24"/>
                <w:szCs w:val="24"/>
                <w:highlight w:val="none"/>
              </w:rPr>
            </w:pPr>
          </w:p>
          <w:p w14:paraId="09AC7233">
            <w:pPr>
              <w:rPr>
                <w:rFonts w:ascii="宋体" w:hAnsi="宋体" w:cs="宋体"/>
                <w:color w:val="auto"/>
                <w:sz w:val="24"/>
                <w:szCs w:val="24"/>
                <w:highlight w:val="none"/>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jc w:val="center"/>
              <w:rPr>
                <w:rFonts w:ascii="宋体" w:hAnsi="宋体" w:cs="宋体"/>
                <w:color w:val="auto"/>
                <w:sz w:val="24"/>
                <w:szCs w:val="24"/>
                <w:highlight w:val="none"/>
              </w:rPr>
            </w:pPr>
            <w:r>
              <w:rPr>
                <w:rFonts w:hint="eastAsia" w:ascii="宋体" w:hAnsi="宋体" w:cs="宋体"/>
                <w:color w:val="auto"/>
                <w:sz w:val="24"/>
                <w:szCs w:val="24"/>
                <w:highlight w:val="none"/>
              </w:rPr>
              <w:t>获取时间</w:t>
            </w:r>
          </w:p>
        </w:tc>
        <w:tc>
          <w:tcPr>
            <w:tcW w:w="7143" w:type="dxa"/>
            <w:noWrap/>
            <w:vAlign w:val="center"/>
          </w:tcPr>
          <w:p w14:paraId="6388B6A5">
            <w:pPr>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lang w:eastAsia="zh-CN"/>
              </w:rPr>
              <w:t>2</w:t>
            </w:r>
            <w:r>
              <w:rPr>
                <w:rFonts w:ascii="宋体" w:hAnsi="宋体" w:cs="宋体" w:eastAsiaTheme="minorEastAsia"/>
                <w:color w:val="auto"/>
                <w:sz w:val="24"/>
                <w:szCs w:val="24"/>
                <w:highlight w:val="none"/>
                <w:lang w:eastAsia="zh-CN"/>
              </w:rPr>
              <w:t>025</w:t>
            </w:r>
            <w:r>
              <w:rPr>
                <w:rFonts w:hint="eastAsia" w:ascii="宋体" w:hAnsi="宋体" w:cs="宋体"/>
                <w:color w:val="auto"/>
                <w:sz w:val="24"/>
                <w:szCs w:val="24"/>
                <w:highlight w:val="none"/>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9267" w:type="dxa"/>
            <w:gridSpan w:val="2"/>
            <w:noWrap/>
            <w:vAlign w:val="center"/>
          </w:tcPr>
          <w:p w14:paraId="7F9572E8">
            <w:pPr>
              <w:numPr>
                <w:ilvl w:val="0"/>
                <w:numId w:val="0"/>
              </w:numPr>
              <w:spacing w:line="400" w:lineRule="exact"/>
              <w:ind w:leftChars="0"/>
              <w:rPr>
                <w:rFonts w:ascii="宋体" w:hAnsi="宋体" w:cs="宋体"/>
                <w:bCs/>
                <w:color w:val="auto"/>
                <w:spacing w:val="-6"/>
                <w:sz w:val="24"/>
                <w:szCs w:val="24"/>
                <w:highlight w:val="none"/>
                <w:lang w:eastAsia="zh-CN"/>
              </w:rPr>
            </w:pPr>
            <w:r>
              <w:rPr>
                <w:rFonts w:hint="eastAsia" w:ascii="宋体" w:hAnsi="宋体" w:cs="宋体"/>
                <w:bCs/>
                <w:color w:val="auto"/>
                <w:spacing w:val="-6"/>
                <w:sz w:val="24"/>
                <w:szCs w:val="24"/>
                <w:highlight w:val="none"/>
                <w:lang w:eastAsia="zh-CN"/>
              </w:rPr>
              <w:t>供应商通过扫描此码，支付购买比选文件资料费</w:t>
            </w:r>
            <w:r>
              <w:rPr>
                <w:rFonts w:ascii="宋体" w:hAnsi="宋体" w:cs="宋体"/>
                <w:bCs/>
                <w:color w:val="auto"/>
                <w:spacing w:val="-6"/>
                <w:sz w:val="24"/>
                <w:szCs w:val="24"/>
                <w:highlight w:val="none"/>
                <w:u w:val="single"/>
                <w:lang w:eastAsia="zh-CN"/>
              </w:rPr>
              <w:t>500元/套</w:t>
            </w:r>
            <w:r>
              <w:rPr>
                <w:rFonts w:hint="eastAsia" w:ascii="宋体" w:hAnsi="宋体" w:cs="宋体"/>
                <w:bCs/>
                <w:color w:val="auto"/>
                <w:spacing w:val="-6"/>
                <w:sz w:val="24"/>
                <w:szCs w:val="24"/>
                <w:highlight w:val="none"/>
                <w:lang w:eastAsia="zh-CN"/>
              </w:rPr>
              <w:t>，并备注</w:t>
            </w:r>
            <w:r>
              <w:rPr>
                <w:rFonts w:hint="eastAsia" w:ascii="宋体" w:hAnsi="宋体" w:cs="宋体"/>
                <w:bCs/>
                <w:color w:val="auto"/>
                <w:spacing w:val="-6"/>
                <w:sz w:val="24"/>
                <w:szCs w:val="24"/>
                <w:highlight w:val="none"/>
                <w:u w:val="single"/>
                <w:lang w:eastAsia="zh-CN"/>
              </w:rPr>
              <w:t>单位简称+项目名称</w:t>
            </w:r>
            <w:r>
              <w:rPr>
                <w:rFonts w:hint="eastAsia" w:ascii="宋体" w:hAnsi="宋体" w:cs="宋体"/>
                <w:bCs/>
                <w:color w:val="auto"/>
                <w:spacing w:val="-6"/>
                <w:sz w:val="24"/>
                <w:szCs w:val="24"/>
                <w:highlight w:val="none"/>
                <w:lang w:eastAsia="zh-CN"/>
              </w:rPr>
              <w:t>；</w:t>
            </w:r>
          </w:p>
          <w:p w14:paraId="78794F06">
            <w:pPr>
              <w:pStyle w:val="3"/>
              <w:ind w:firstLine="442"/>
              <w:rPr>
                <w:color w:val="auto"/>
                <w:sz w:val="24"/>
                <w:szCs w:val="24"/>
                <w:highlight w:val="none"/>
                <w:lang w:eastAsia="zh-CN"/>
              </w:rPr>
            </w:pPr>
            <w:r>
              <w:rPr>
                <w:rFonts w:ascii="宋体" w:hAnsi="宋体" w:eastAsia="宋体" w:cs="宋体"/>
                <w:sz w:val="24"/>
                <w:szCs w:val="24"/>
              </w:rPr>
              <w:drawing>
                <wp:inline distT="0" distB="0" distL="114300" distR="114300">
                  <wp:extent cx="2181860" cy="29749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5"/>
                          <a:stretch>
                            <a:fillRect/>
                          </a:stretch>
                        </pic:blipFill>
                        <pic:spPr>
                          <a:xfrm>
                            <a:off x="0" y="0"/>
                            <a:ext cx="2181860" cy="2974975"/>
                          </a:xfrm>
                          <a:prstGeom prst="rect">
                            <a:avLst/>
                          </a:prstGeom>
                          <a:noFill/>
                          <a:ln w="9525">
                            <a:noFill/>
                          </a:ln>
                        </pic:spPr>
                      </pic:pic>
                    </a:graphicData>
                  </a:graphic>
                </wp:inline>
              </w:drawing>
            </w:r>
          </w:p>
        </w:tc>
      </w:tr>
    </w:tbl>
    <w:p w14:paraId="2D911E22">
      <w:pPr>
        <w:rPr>
          <w:rFonts w:ascii="宋体" w:hAnsi="宋体" w:cs="宋体"/>
          <w:b/>
          <w:bCs/>
          <w:color w:val="auto"/>
          <w:spacing w:val="-6"/>
          <w:sz w:val="22"/>
          <w:szCs w:val="22"/>
          <w:highlight w:val="none"/>
          <w:lang w:eastAsia="zh-CN"/>
        </w:rPr>
      </w:pPr>
    </w:p>
    <w:p w14:paraId="0F38AFF7">
      <w:pPr>
        <w:spacing w:line="360" w:lineRule="auto"/>
        <w:ind w:firstLine="398" w:firstLineChars="200"/>
        <w:rPr>
          <w:rFonts w:ascii="黑体" w:hAnsi="黑体" w:eastAsia="黑体" w:cs="宋体"/>
          <w:b/>
          <w:bCs/>
          <w:color w:val="auto"/>
          <w:spacing w:val="-6"/>
          <w:highlight w:val="none"/>
          <w:u w:val="single"/>
          <w:lang w:eastAsia="zh-CN"/>
        </w:rPr>
      </w:pPr>
      <w:r>
        <w:rPr>
          <w:rFonts w:hint="eastAsia" w:ascii="黑体" w:hAnsi="黑体" w:eastAsia="黑体" w:cs="宋体"/>
          <w:b/>
          <w:bCs/>
          <w:color w:val="auto"/>
          <w:spacing w:val="-6"/>
          <w:highlight w:val="none"/>
          <w:u w:val="single"/>
          <w:lang w:eastAsia="zh-CN"/>
        </w:rPr>
        <w:t>注：报名方式</w:t>
      </w:r>
    </w:p>
    <w:p w14:paraId="1765D64D">
      <w:pPr>
        <w:spacing w:line="360" w:lineRule="auto"/>
        <w:ind w:firstLine="396" w:firstLineChars="200"/>
        <w:rPr>
          <w:color w:val="auto"/>
          <w:highlight w:val="none"/>
          <w:lang w:eastAsia="zh-CN"/>
        </w:rPr>
      </w:pPr>
      <w:r>
        <w:rPr>
          <w:rFonts w:hint="eastAsia" w:ascii="宋体" w:hAnsi="宋体" w:cs="宋体"/>
          <w:bCs/>
          <w:color w:val="auto"/>
          <w:spacing w:val="-6"/>
          <w:highlight w:val="none"/>
          <w:lang w:eastAsia="zh-CN"/>
        </w:rPr>
        <w:t>在竞争性比选公告期限内，采用邮件报名和线上扫码缴费的方式，供应商需填报此《竞争性比选文件发售登记表》，并将扫描件以电子邮件发送至</w:t>
      </w:r>
      <w:r>
        <w:rPr>
          <w:rFonts w:hint="eastAsia" w:ascii="宋体" w:hAnsi="宋体" w:cs="宋体"/>
          <w:bCs/>
          <w:color w:val="auto"/>
          <w:spacing w:val="-6"/>
          <w:highlight w:val="none"/>
          <w:lang w:val="en-US" w:eastAsia="zh-CN"/>
        </w:rPr>
        <w:t>2585689195</w:t>
      </w:r>
      <w:r>
        <w:rPr>
          <w:rFonts w:hint="eastAsia" w:ascii="宋体" w:hAnsi="宋体" w:cs="宋体"/>
          <w:bCs/>
          <w:color w:val="auto"/>
          <w:spacing w:val="-6"/>
          <w:highlight w:val="none"/>
          <w:lang w:eastAsia="zh-CN"/>
        </w:rPr>
        <w:t>@qq.com邮箱，并在邮件中注明：所获取竞争性比选文件的项目名称、供应商名称、联系人、联系电话、收件邮箱；若有疑问，请拨打</w:t>
      </w:r>
      <w:r>
        <w:rPr>
          <w:rFonts w:hint="eastAsia" w:ascii="宋体" w:hAnsi="宋体" w:cs="宋体"/>
          <w:bCs/>
          <w:color w:val="auto"/>
          <w:spacing w:val="-6"/>
          <w:highlight w:val="none"/>
          <w:lang w:val="en-US" w:eastAsia="zh-CN"/>
        </w:rPr>
        <w:t>15982844653</w:t>
      </w:r>
      <w:r>
        <w:rPr>
          <w:rFonts w:hint="eastAsia" w:ascii="宋体" w:hAnsi="宋体" w:cs="宋体"/>
          <w:bCs/>
          <w:color w:val="auto"/>
          <w:spacing w:val="-6"/>
          <w:highlight w:val="none"/>
          <w:lang w:eastAsia="zh-CN"/>
        </w:rPr>
        <w:t>进行咨询。</w:t>
      </w:r>
    </w:p>
    <w:p w14:paraId="4A6A4C6E">
      <w:pPr>
        <w:spacing w:before="68" w:line="220" w:lineRule="auto"/>
        <w:ind w:left="542"/>
        <w:rPr>
          <w:rFonts w:ascii="宋体" w:hAnsi="宋体" w:eastAsia="宋体" w:cs="宋体"/>
          <w:color w:val="auto"/>
          <w:highlight w:val="none"/>
          <w:lang w:eastAsia="zh-CN"/>
        </w:rPr>
      </w:pPr>
    </w:p>
    <w:p w14:paraId="36CDE9E7">
      <w:pPr>
        <w:spacing w:before="133" w:line="380" w:lineRule="auto"/>
        <w:ind w:left="484" w:right="465" w:firstLine="400"/>
        <w:jc w:val="both"/>
        <w:rPr>
          <w:rFonts w:ascii="宋体" w:hAnsi="宋体" w:eastAsia="宋体" w:cs="宋体"/>
          <w:color w:val="000000" w:themeColor="text1"/>
          <w:sz w:val="20"/>
          <w:szCs w:val="20"/>
          <w:highlight w:val="none"/>
          <w14:textFill>
            <w14:solidFill>
              <w14:schemeClr w14:val="tx1"/>
            </w14:solidFill>
          </w14:textFill>
        </w:rPr>
      </w:pPr>
    </w:p>
    <w:sectPr>
      <w:footerReference r:id="rId33" w:type="default"/>
      <w:pgSz w:w="11907" w:h="16840"/>
      <w:pgMar w:top="1440" w:right="1800" w:bottom="1440" w:left="180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A5D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3A0A5D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70E8">
    <w:pPr>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41DD4">
                          <w:pPr>
                            <w:pStyle w:val="6"/>
                          </w:pPr>
                          <w:r>
                            <w:fldChar w:fldCharType="begin"/>
                          </w:r>
                          <w:r>
                            <w:instrText xml:space="preserve"> PAGE  \* MERGEFORMAT </w:instrText>
                          </w:r>
                          <w:r>
                            <w:fldChar w:fldCharType="separate"/>
                          </w:r>
                          <w:r>
                            <w:t>- 18 -</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11741DD4">
                    <w:pPr>
                      <w:pStyle w:val="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75B0">
    <w:pPr>
      <w:snapToGrid w:val="0"/>
      <w:jc w:val="left"/>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1C55">
    <w:pPr>
      <w:jc w:val="center"/>
      <w:rPr>
        <w:sz w:val="21"/>
        <w:szCs w:val="24"/>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E4AD">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J5PMMBAACO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ey&#10;vM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Qnk8wwEAAI4DAAAOAAAAAAAAAAEAIAAAAB4BAABkcnMvZTJvRG9jLnhtbFBL&#10;BQYAAAAABgAGAFkBAABTBQAAAAA=&#10;">
              <v:fill on="f" focussize="0,0"/>
              <v:stroke on="f"/>
              <v:imagedata o:title=""/>
              <o:lock v:ext="edit" aspectratio="f"/>
              <v:textbox inset="0mm,0mm,0mm,0mm" style="mso-fit-shape-to-text:t;">
                <w:txbxContent>
                  <w:p w14:paraId="0938E4AD">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B64F">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89BA">
    <w:pPr>
      <w:pBdr>
        <w:bottom w:val="single" w:color="auto"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EB98">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3FFC"/>
    <w:multiLevelType w:val="singleLevel"/>
    <w:tmpl w:val="94E23FFC"/>
    <w:lvl w:ilvl="0" w:tentative="0">
      <w:start w:val="2"/>
      <w:numFmt w:val="decimal"/>
      <w:suff w:val="space"/>
      <w:lvlText w:val="%1."/>
      <w:lvlJc w:val="left"/>
    </w:lvl>
  </w:abstractNum>
  <w:abstractNum w:abstractNumId="1">
    <w:nsid w:val="C348F229"/>
    <w:multiLevelType w:val="singleLevel"/>
    <w:tmpl w:val="C348F229"/>
    <w:lvl w:ilvl="0" w:tentative="0">
      <w:start w:val="1"/>
      <w:numFmt w:val="chineseCounting"/>
      <w:lvlText w:val="第%1条"/>
      <w:lvlJc w:val="left"/>
      <w:rPr>
        <w:rFonts w:hint="eastAsia"/>
      </w:rPr>
    </w:lvl>
  </w:abstractNum>
  <w:abstractNum w:abstractNumId="2">
    <w:nsid w:val="E34F801B"/>
    <w:multiLevelType w:val="singleLevel"/>
    <w:tmpl w:val="E34F801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34364A"/>
    <w:rsid w:val="005579A2"/>
    <w:rsid w:val="009C0025"/>
    <w:rsid w:val="009C337D"/>
    <w:rsid w:val="00A95D64"/>
    <w:rsid w:val="01336752"/>
    <w:rsid w:val="01C8562B"/>
    <w:rsid w:val="03C70711"/>
    <w:rsid w:val="05595CE0"/>
    <w:rsid w:val="06472967"/>
    <w:rsid w:val="069D5F8C"/>
    <w:rsid w:val="06EB0A24"/>
    <w:rsid w:val="07282205"/>
    <w:rsid w:val="074D3623"/>
    <w:rsid w:val="07505DBC"/>
    <w:rsid w:val="08664162"/>
    <w:rsid w:val="087D3A3C"/>
    <w:rsid w:val="09375614"/>
    <w:rsid w:val="094E280F"/>
    <w:rsid w:val="09C35E1E"/>
    <w:rsid w:val="0AF81AF7"/>
    <w:rsid w:val="0B0A7EE6"/>
    <w:rsid w:val="0B582596"/>
    <w:rsid w:val="0C882ABC"/>
    <w:rsid w:val="0D554902"/>
    <w:rsid w:val="0D921D8F"/>
    <w:rsid w:val="0DE27E40"/>
    <w:rsid w:val="0E511C4A"/>
    <w:rsid w:val="0E9D2388"/>
    <w:rsid w:val="0ECA2A51"/>
    <w:rsid w:val="0EFC0E2A"/>
    <w:rsid w:val="10521CAA"/>
    <w:rsid w:val="10C62446"/>
    <w:rsid w:val="11B60016"/>
    <w:rsid w:val="12AA7B7B"/>
    <w:rsid w:val="13120644"/>
    <w:rsid w:val="13737649"/>
    <w:rsid w:val="13843A92"/>
    <w:rsid w:val="13916645"/>
    <w:rsid w:val="14082A6C"/>
    <w:rsid w:val="14AD28E0"/>
    <w:rsid w:val="16094BB9"/>
    <w:rsid w:val="167A7865"/>
    <w:rsid w:val="16D74CB7"/>
    <w:rsid w:val="1726179A"/>
    <w:rsid w:val="172C3F06"/>
    <w:rsid w:val="17A73F9C"/>
    <w:rsid w:val="185F31B6"/>
    <w:rsid w:val="18C33745"/>
    <w:rsid w:val="192109AE"/>
    <w:rsid w:val="1B5831D1"/>
    <w:rsid w:val="1BFF0C9B"/>
    <w:rsid w:val="1C4E77C9"/>
    <w:rsid w:val="1C7E4B69"/>
    <w:rsid w:val="1C9378D2"/>
    <w:rsid w:val="1C947B87"/>
    <w:rsid w:val="1D1A1507"/>
    <w:rsid w:val="1D1C1676"/>
    <w:rsid w:val="1E4029C9"/>
    <w:rsid w:val="1EC553C2"/>
    <w:rsid w:val="1F005C7D"/>
    <w:rsid w:val="1F525822"/>
    <w:rsid w:val="208A2436"/>
    <w:rsid w:val="20B27999"/>
    <w:rsid w:val="20BA11F2"/>
    <w:rsid w:val="21725B93"/>
    <w:rsid w:val="221A2170"/>
    <w:rsid w:val="226A4C31"/>
    <w:rsid w:val="22BB723B"/>
    <w:rsid w:val="230E4C02"/>
    <w:rsid w:val="23E956E6"/>
    <w:rsid w:val="264E75FD"/>
    <w:rsid w:val="26804A23"/>
    <w:rsid w:val="26AA1998"/>
    <w:rsid w:val="26AB351F"/>
    <w:rsid w:val="26DB60FD"/>
    <w:rsid w:val="28395C86"/>
    <w:rsid w:val="298A3E0B"/>
    <w:rsid w:val="29912DA0"/>
    <w:rsid w:val="2A272726"/>
    <w:rsid w:val="2BBC72C3"/>
    <w:rsid w:val="2CB27900"/>
    <w:rsid w:val="2FF40230"/>
    <w:rsid w:val="311C1429"/>
    <w:rsid w:val="31E87920"/>
    <w:rsid w:val="33AE3B69"/>
    <w:rsid w:val="34183DA1"/>
    <w:rsid w:val="359B1FE3"/>
    <w:rsid w:val="35B0664A"/>
    <w:rsid w:val="35F50D12"/>
    <w:rsid w:val="360F6BB5"/>
    <w:rsid w:val="36182ECB"/>
    <w:rsid w:val="383A6CAF"/>
    <w:rsid w:val="386473A8"/>
    <w:rsid w:val="3A1E0383"/>
    <w:rsid w:val="3A2B6F44"/>
    <w:rsid w:val="3ADF5842"/>
    <w:rsid w:val="3B812A71"/>
    <w:rsid w:val="3BDD3E55"/>
    <w:rsid w:val="3CF278A5"/>
    <w:rsid w:val="3DA01353"/>
    <w:rsid w:val="3F895187"/>
    <w:rsid w:val="3F9B5FD2"/>
    <w:rsid w:val="40AD1FCD"/>
    <w:rsid w:val="417E7512"/>
    <w:rsid w:val="41942E7F"/>
    <w:rsid w:val="41A06FEC"/>
    <w:rsid w:val="41AC7E24"/>
    <w:rsid w:val="42525DDD"/>
    <w:rsid w:val="443D1D4E"/>
    <w:rsid w:val="44C47D79"/>
    <w:rsid w:val="44DD2830"/>
    <w:rsid w:val="45050808"/>
    <w:rsid w:val="453D51DE"/>
    <w:rsid w:val="45633A36"/>
    <w:rsid w:val="45783CBB"/>
    <w:rsid w:val="45CD7313"/>
    <w:rsid w:val="45F34DBA"/>
    <w:rsid w:val="4688700D"/>
    <w:rsid w:val="46AF414D"/>
    <w:rsid w:val="487E46E3"/>
    <w:rsid w:val="48C52312"/>
    <w:rsid w:val="48CF23D3"/>
    <w:rsid w:val="49BE18E2"/>
    <w:rsid w:val="4AE315C5"/>
    <w:rsid w:val="4B6422B6"/>
    <w:rsid w:val="4BCE4C57"/>
    <w:rsid w:val="4CA14BE1"/>
    <w:rsid w:val="4CFD54AE"/>
    <w:rsid w:val="4D720CBA"/>
    <w:rsid w:val="4DEE32A2"/>
    <w:rsid w:val="4E346480"/>
    <w:rsid w:val="4ECF05AD"/>
    <w:rsid w:val="4FD250A4"/>
    <w:rsid w:val="509448C9"/>
    <w:rsid w:val="51F4430E"/>
    <w:rsid w:val="523D2FDB"/>
    <w:rsid w:val="535751D0"/>
    <w:rsid w:val="555B0462"/>
    <w:rsid w:val="55886BA1"/>
    <w:rsid w:val="56F24C1A"/>
    <w:rsid w:val="572F3778"/>
    <w:rsid w:val="57672F12"/>
    <w:rsid w:val="58E6430A"/>
    <w:rsid w:val="590E45F0"/>
    <w:rsid w:val="591250FF"/>
    <w:rsid w:val="5984098A"/>
    <w:rsid w:val="59C411B7"/>
    <w:rsid w:val="5A336735"/>
    <w:rsid w:val="5ACB34F0"/>
    <w:rsid w:val="5AF20429"/>
    <w:rsid w:val="5B423869"/>
    <w:rsid w:val="5B9573BF"/>
    <w:rsid w:val="5B9F1A59"/>
    <w:rsid w:val="5C1F3637"/>
    <w:rsid w:val="5D186A5C"/>
    <w:rsid w:val="5D647EF4"/>
    <w:rsid w:val="5DEA37ED"/>
    <w:rsid w:val="5F1F2324"/>
    <w:rsid w:val="5F81560C"/>
    <w:rsid w:val="60070A8E"/>
    <w:rsid w:val="60A07495"/>
    <w:rsid w:val="60A2320D"/>
    <w:rsid w:val="61693D2A"/>
    <w:rsid w:val="61EC7E6A"/>
    <w:rsid w:val="639627E1"/>
    <w:rsid w:val="669B4E67"/>
    <w:rsid w:val="671464E6"/>
    <w:rsid w:val="671B7875"/>
    <w:rsid w:val="680A39FF"/>
    <w:rsid w:val="6985242A"/>
    <w:rsid w:val="6A634CC0"/>
    <w:rsid w:val="6ABA4B47"/>
    <w:rsid w:val="6B5B4715"/>
    <w:rsid w:val="6BD74C0F"/>
    <w:rsid w:val="6C150D37"/>
    <w:rsid w:val="6CCC749A"/>
    <w:rsid w:val="6D0D77EE"/>
    <w:rsid w:val="6D927F7A"/>
    <w:rsid w:val="6DA5345C"/>
    <w:rsid w:val="6E380D0C"/>
    <w:rsid w:val="6E6A69B4"/>
    <w:rsid w:val="6E7049F5"/>
    <w:rsid w:val="6EB95659"/>
    <w:rsid w:val="6ED868EC"/>
    <w:rsid w:val="6FA10B33"/>
    <w:rsid w:val="71CC23C9"/>
    <w:rsid w:val="71F963D7"/>
    <w:rsid w:val="71FE5CB7"/>
    <w:rsid w:val="723143F0"/>
    <w:rsid w:val="72536115"/>
    <w:rsid w:val="726729E8"/>
    <w:rsid w:val="72965F01"/>
    <w:rsid w:val="731A2D6E"/>
    <w:rsid w:val="73593D19"/>
    <w:rsid w:val="73CD694C"/>
    <w:rsid w:val="741436E6"/>
    <w:rsid w:val="74362645"/>
    <w:rsid w:val="74363F40"/>
    <w:rsid w:val="745D4CA1"/>
    <w:rsid w:val="752718BC"/>
    <w:rsid w:val="757E592E"/>
    <w:rsid w:val="76BE1FCB"/>
    <w:rsid w:val="77541ABC"/>
    <w:rsid w:val="77EF67F0"/>
    <w:rsid w:val="78AC4D98"/>
    <w:rsid w:val="78D2172E"/>
    <w:rsid w:val="79C5595F"/>
    <w:rsid w:val="79D460CB"/>
    <w:rsid w:val="7A5B16DE"/>
    <w:rsid w:val="7A7E219D"/>
    <w:rsid w:val="7A92514B"/>
    <w:rsid w:val="7AB41D60"/>
    <w:rsid w:val="7C2124C7"/>
    <w:rsid w:val="7C5C5DD2"/>
    <w:rsid w:val="7E222736"/>
    <w:rsid w:val="7E3D5ECB"/>
    <w:rsid w:val="7ECF31AD"/>
    <w:rsid w:val="7F89586C"/>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Indent 3"/>
    <w:basedOn w:val="1"/>
    <w:qFormat/>
    <w:uiPriority w:val="99"/>
    <w:pPr>
      <w:spacing w:after="120"/>
      <w:ind w:left="420" w:leftChars="200"/>
    </w:pPr>
    <w:rPr>
      <w:sz w:val="16"/>
      <w:szCs w:val="16"/>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paragraph" w:customStyle="1" w:styleId="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列表段落1"/>
    <w:basedOn w:val="1"/>
    <w:autoRedefine/>
    <w:qFormat/>
    <w:uiPriority w:val="99"/>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6786</Words>
  <Characters>7230</Characters>
  <TotalTime>2</TotalTime>
  <ScaleCrop>false</ScaleCrop>
  <LinksUpToDate>false</LinksUpToDate>
  <CharactersWithSpaces>7354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小洁</cp:lastModifiedBy>
  <dcterms:modified xsi:type="dcterms:W3CDTF">2025-08-13T03:30:50Z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eyJoZGlkIjoiNzFhNDA4YjJhM2Y0ZWE5M2Y2OTRmYmRkMDQ4Y2VlMGEiLCJ1c2VySWQiOiI1ODE0MjYyODcifQ==</vt:lpwstr>
  </property>
  <property fmtid="{D5CDD505-2E9C-101B-9397-08002B2CF9AE}" pid="6" name="KSOProductBuildVer">
    <vt:lpwstr>2052-12.1.0.21915</vt:lpwstr>
  </property>
  <property fmtid="{D5CDD505-2E9C-101B-9397-08002B2CF9AE}" pid="7" name="ICV">
    <vt:lpwstr>4CFC29CCC9D64694B5DA908168132255_13</vt:lpwstr>
  </property>
</Properties>
</file>