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4E3E">
      <w:pPr>
        <w:jc w:val="center"/>
        <w:rPr>
          <w:rFonts w:hint="eastAsia" w:ascii="仿宋" w:hAnsi="仿宋" w:eastAsia="仿宋" w:cs="仿宋"/>
          <w:b/>
          <w:bCs/>
          <w:color w:val="auto"/>
          <w:sz w:val="24"/>
          <w:szCs w:val="24"/>
          <w:highlight w:val="none"/>
        </w:rPr>
      </w:pPr>
    </w:p>
    <w:p w14:paraId="44888AE8">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项 目 名 称 ：</w:t>
      </w:r>
      <w:r>
        <w:rPr>
          <w:rFonts w:hint="eastAsia" w:ascii="仿宋" w:hAnsi="仿宋" w:eastAsia="仿宋" w:cs="仿宋"/>
          <w:b/>
          <w:bCs/>
          <w:color w:val="auto"/>
          <w:sz w:val="36"/>
          <w:szCs w:val="36"/>
          <w:highlight w:val="none"/>
          <w:lang w:eastAsia="zh-CN"/>
        </w:rPr>
        <w:t>2025年度大足区空气国控站周边数据监测分析研判调度服务</w:t>
      </w:r>
    </w:p>
    <w:p w14:paraId="2BE7B283">
      <w:pPr>
        <w:pStyle w:val="19"/>
        <w:rPr>
          <w:rFonts w:hint="eastAsia" w:ascii="仿宋" w:hAnsi="仿宋" w:eastAsia="仿宋" w:cs="仿宋"/>
          <w:color w:val="auto"/>
          <w:sz w:val="36"/>
          <w:szCs w:val="36"/>
          <w:highlight w:val="none"/>
        </w:rPr>
      </w:pPr>
    </w:p>
    <w:p w14:paraId="0D230DD5">
      <w:pPr>
        <w:pStyle w:val="16"/>
        <w:rPr>
          <w:rFonts w:hint="eastAsia" w:ascii="仿宋" w:hAnsi="仿宋" w:eastAsia="仿宋" w:cs="仿宋"/>
          <w:color w:val="auto"/>
          <w:sz w:val="36"/>
          <w:szCs w:val="36"/>
          <w:highlight w:val="none"/>
        </w:rPr>
      </w:pPr>
    </w:p>
    <w:p w14:paraId="1AC0AE21">
      <w:pPr>
        <w:pStyle w:val="16"/>
        <w:rPr>
          <w:rFonts w:hint="eastAsia" w:ascii="仿宋" w:hAnsi="仿宋" w:eastAsia="仿宋" w:cs="仿宋"/>
          <w:color w:val="auto"/>
          <w:sz w:val="36"/>
          <w:szCs w:val="36"/>
          <w:highlight w:val="none"/>
        </w:rPr>
      </w:pPr>
    </w:p>
    <w:p w14:paraId="4E6BFA0E">
      <w:pPr>
        <w:pStyle w:val="16"/>
        <w:rPr>
          <w:rFonts w:hint="eastAsia" w:ascii="仿宋" w:hAnsi="仿宋" w:eastAsia="仿宋" w:cs="仿宋"/>
          <w:color w:val="auto"/>
          <w:sz w:val="36"/>
          <w:szCs w:val="36"/>
          <w:highlight w:val="none"/>
        </w:rPr>
      </w:pPr>
    </w:p>
    <w:p w14:paraId="33F08E94">
      <w:pPr>
        <w:pStyle w:val="16"/>
        <w:rPr>
          <w:rFonts w:hint="eastAsia" w:ascii="仿宋" w:hAnsi="仿宋" w:eastAsia="仿宋" w:cs="仿宋"/>
          <w:color w:val="auto"/>
          <w:sz w:val="36"/>
          <w:szCs w:val="36"/>
          <w:highlight w:val="none"/>
        </w:rPr>
      </w:pPr>
    </w:p>
    <w:p w14:paraId="456B9128">
      <w:pPr>
        <w:jc w:val="center"/>
        <w:rPr>
          <w:rFonts w:hint="eastAsia" w:ascii="仿宋" w:hAnsi="仿宋" w:eastAsia="仿宋" w:cs="仿宋"/>
          <w:color w:val="auto"/>
          <w:sz w:val="36"/>
          <w:szCs w:val="36"/>
          <w:highlight w:val="none"/>
        </w:rPr>
      </w:pPr>
    </w:p>
    <w:p w14:paraId="6AFF5706">
      <w:pPr>
        <w:jc w:val="center"/>
        <w:outlineLvl w:val="0"/>
        <w:rPr>
          <w:rFonts w:hint="eastAsia" w:ascii="仿宋" w:hAnsi="仿宋" w:eastAsia="仿宋" w:cs="仿宋"/>
          <w:b/>
          <w:bCs/>
          <w:color w:val="auto"/>
          <w:spacing w:val="80"/>
          <w:sz w:val="96"/>
          <w:szCs w:val="96"/>
          <w:highlight w:val="none"/>
        </w:rPr>
      </w:pPr>
      <w:r>
        <w:rPr>
          <w:rFonts w:hint="eastAsia" w:ascii="仿宋" w:hAnsi="仿宋" w:eastAsia="仿宋" w:cs="仿宋"/>
          <w:b/>
          <w:bCs/>
          <w:color w:val="auto"/>
          <w:spacing w:val="80"/>
          <w:sz w:val="96"/>
          <w:szCs w:val="96"/>
          <w:highlight w:val="none"/>
          <w:lang w:val="en-US" w:eastAsia="zh-CN"/>
        </w:rPr>
        <w:t>询比采购</w:t>
      </w:r>
      <w:r>
        <w:rPr>
          <w:rFonts w:hint="eastAsia" w:ascii="仿宋" w:hAnsi="仿宋" w:eastAsia="仿宋" w:cs="仿宋"/>
          <w:b/>
          <w:bCs/>
          <w:color w:val="auto"/>
          <w:spacing w:val="80"/>
          <w:sz w:val="96"/>
          <w:szCs w:val="96"/>
          <w:highlight w:val="none"/>
        </w:rPr>
        <w:t>文件</w:t>
      </w:r>
    </w:p>
    <w:p w14:paraId="4C423F83">
      <w:pPr>
        <w:spacing w:line="700" w:lineRule="exact"/>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（综合评分法）</w:t>
      </w:r>
    </w:p>
    <w:p w14:paraId="2B6B3919">
      <w:pPr>
        <w:spacing w:line="700" w:lineRule="exact"/>
        <w:jc w:val="center"/>
        <w:rPr>
          <w:rFonts w:hint="eastAsia" w:ascii="仿宋" w:hAnsi="仿宋" w:eastAsia="仿宋" w:cs="仿宋"/>
          <w:color w:val="auto"/>
          <w:sz w:val="36"/>
          <w:szCs w:val="36"/>
          <w:highlight w:val="none"/>
        </w:rPr>
      </w:pPr>
    </w:p>
    <w:p w14:paraId="583FB1BD">
      <w:pPr>
        <w:spacing w:line="700" w:lineRule="exact"/>
        <w:rPr>
          <w:rFonts w:hint="eastAsia" w:ascii="仿宋" w:hAnsi="仿宋" w:eastAsia="仿宋" w:cs="仿宋"/>
          <w:color w:val="auto"/>
          <w:sz w:val="36"/>
          <w:szCs w:val="36"/>
          <w:highlight w:val="none"/>
        </w:rPr>
      </w:pPr>
    </w:p>
    <w:p w14:paraId="7867C13E">
      <w:pPr>
        <w:jc w:val="center"/>
        <w:rPr>
          <w:rFonts w:hint="eastAsia" w:ascii="仿宋" w:hAnsi="仿宋" w:eastAsia="仿宋" w:cs="仿宋"/>
          <w:b/>
          <w:bCs/>
          <w:color w:val="auto"/>
          <w:sz w:val="36"/>
          <w:szCs w:val="36"/>
          <w:highlight w:val="none"/>
        </w:rPr>
      </w:pPr>
    </w:p>
    <w:p w14:paraId="12D6ACF8">
      <w:pPr>
        <w:jc w:val="center"/>
        <w:rPr>
          <w:rFonts w:hint="eastAsia" w:ascii="仿宋" w:hAnsi="仿宋" w:eastAsia="仿宋" w:cs="仿宋"/>
          <w:b/>
          <w:bCs/>
          <w:color w:val="auto"/>
          <w:sz w:val="36"/>
          <w:szCs w:val="36"/>
          <w:highlight w:val="none"/>
        </w:rPr>
      </w:pPr>
    </w:p>
    <w:p w14:paraId="409CCCB4">
      <w:pPr>
        <w:spacing w:line="480" w:lineRule="exact"/>
        <w:ind w:left="3336" w:leftChars="384" w:hanging="2530" w:hangingChars="700"/>
        <w:jc w:val="left"/>
        <w:rPr>
          <w:rFonts w:hint="eastAsia" w:ascii="仿宋" w:hAnsi="仿宋" w:eastAsia="仿宋" w:cs="仿宋"/>
          <w:b/>
          <w:bCs/>
          <w:color w:val="auto"/>
          <w:sz w:val="36"/>
          <w:szCs w:val="36"/>
          <w:highlight w:val="none"/>
        </w:rPr>
      </w:pPr>
    </w:p>
    <w:p w14:paraId="6D459220">
      <w:pPr>
        <w:spacing w:line="70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14:paraId="09E19B51">
      <w:pPr>
        <w:spacing w:line="700" w:lineRule="exact"/>
        <w:ind w:firstLine="1800" w:firstLineChars="500"/>
        <w:rPr>
          <w:rFonts w:hint="eastAsia" w:ascii="仿宋" w:hAnsi="仿宋" w:eastAsia="仿宋" w:cs="仿宋"/>
          <w:color w:val="auto"/>
          <w:sz w:val="36"/>
          <w:szCs w:val="36"/>
          <w:highlight w:val="none"/>
        </w:rPr>
      </w:pPr>
    </w:p>
    <w:p w14:paraId="7A3CE493">
      <w:pPr>
        <w:spacing w:line="700" w:lineRule="exact"/>
        <w:ind w:firstLine="1446" w:firstLineChars="40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 购 人：</w:t>
      </w:r>
      <w:r>
        <w:rPr>
          <w:rFonts w:hint="eastAsia" w:ascii="仿宋" w:hAnsi="仿宋" w:eastAsia="仿宋" w:cs="仿宋"/>
          <w:b/>
          <w:bCs/>
          <w:color w:val="auto"/>
          <w:sz w:val="36"/>
          <w:szCs w:val="36"/>
          <w:highlight w:val="none"/>
          <w:lang w:eastAsia="zh-CN"/>
        </w:rPr>
        <w:t>重庆市大足区生态环境局</w:t>
      </w:r>
    </w:p>
    <w:p w14:paraId="65B9C34B">
      <w:pPr>
        <w:spacing w:line="700" w:lineRule="exact"/>
        <w:ind w:firstLine="1265" w:firstLineChars="35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lang w:eastAsia="zh-CN"/>
        </w:rPr>
        <w:t>重庆方郡建设工程咨询有限公司</w:t>
      </w:r>
    </w:p>
    <w:p w14:paraId="4C3EF375">
      <w:pPr>
        <w:spacing w:line="720" w:lineRule="exact"/>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七</w:t>
      </w:r>
      <w:r>
        <w:rPr>
          <w:rFonts w:hint="eastAsia" w:ascii="仿宋" w:hAnsi="仿宋" w:eastAsia="仿宋" w:cs="仿宋"/>
          <w:b/>
          <w:bCs/>
          <w:color w:val="auto"/>
          <w:sz w:val="36"/>
          <w:szCs w:val="36"/>
          <w:highlight w:val="none"/>
        </w:rPr>
        <w:t>月</w:t>
      </w:r>
    </w:p>
    <w:p w14:paraId="0DA00789">
      <w:pPr>
        <w:spacing w:line="4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目   录</w:t>
      </w:r>
    </w:p>
    <w:p w14:paraId="573E902E">
      <w:pPr>
        <w:pStyle w:val="17"/>
        <w:tabs>
          <w:tab w:val="right" w:leader="dot" w:pos="9412"/>
        </w:tabs>
        <w:rPr>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_Toc16555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_Toc16555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14:paraId="27382CFE">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_Toc519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 xml:space="preserve">一、 </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内容</w:t>
      </w:r>
      <w:r>
        <w:rPr>
          <w:color w:val="auto"/>
          <w:highlight w:val="none"/>
        </w:rPr>
        <w:tab/>
      </w:r>
      <w:r>
        <w:rPr>
          <w:color w:val="auto"/>
          <w:highlight w:val="none"/>
        </w:rPr>
        <w:fldChar w:fldCharType="begin"/>
      </w:r>
      <w:r>
        <w:rPr>
          <w:color w:val="auto"/>
          <w:highlight w:val="none"/>
        </w:rPr>
        <w:instrText xml:space="preserve"> PAGEREF _Toc519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14:paraId="29EA80AE">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_Toc11709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_Toc11709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14:paraId="1BED2C7C">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_Toc16875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_Toc16875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14:paraId="1BA6B0FD">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_Toc31055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有关说明</w:t>
      </w:r>
      <w:r>
        <w:rPr>
          <w:color w:val="auto"/>
          <w:highlight w:val="none"/>
        </w:rPr>
        <w:tab/>
      </w:r>
      <w:r>
        <w:rPr>
          <w:color w:val="auto"/>
          <w:highlight w:val="none"/>
        </w:rPr>
        <w:fldChar w:fldCharType="begin"/>
      </w:r>
      <w:r>
        <w:rPr>
          <w:color w:val="auto"/>
          <w:highlight w:val="none"/>
        </w:rPr>
        <w:instrText xml:space="preserve"> PAGEREF _Toc31055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4"/>
          <w:highlight w:val="none"/>
        </w:rPr>
        <w:fldChar w:fldCharType="end"/>
      </w:r>
    </w:p>
    <w:p w14:paraId="51B8D24A">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_Toc31768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保证金</w:t>
      </w:r>
      <w:r>
        <w:rPr>
          <w:color w:val="auto"/>
          <w:highlight w:val="none"/>
        </w:rPr>
        <w:tab/>
      </w:r>
      <w:r>
        <w:rPr>
          <w:color w:val="auto"/>
          <w:highlight w:val="none"/>
        </w:rPr>
        <w:fldChar w:fldCharType="begin"/>
      </w:r>
      <w:r>
        <w:rPr>
          <w:color w:val="auto"/>
          <w:highlight w:val="none"/>
        </w:rPr>
        <w:instrText xml:space="preserve"> PAGEREF _Toc31768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4"/>
          <w:highlight w:val="none"/>
        </w:rPr>
        <w:fldChar w:fldCharType="end"/>
      </w:r>
    </w:p>
    <w:p w14:paraId="08B120CE">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_Toc19330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、其它有关规定</w:t>
      </w:r>
      <w:r>
        <w:rPr>
          <w:color w:val="auto"/>
          <w:highlight w:val="none"/>
        </w:rPr>
        <w:tab/>
      </w:r>
      <w:r>
        <w:rPr>
          <w:color w:val="auto"/>
          <w:highlight w:val="none"/>
        </w:rPr>
        <w:fldChar w:fldCharType="begin"/>
      </w:r>
      <w:r>
        <w:rPr>
          <w:color w:val="auto"/>
          <w:highlight w:val="none"/>
        </w:rPr>
        <w:instrText xml:space="preserve"> PAGEREF _Toc19330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61374540">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_Toc7396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、联系方式</w:t>
      </w:r>
      <w:r>
        <w:rPr>
          <w:color w:val="auto"/>
          <w:highlight w:val="none"/>
        </w:rPr>
        <w:tab/>
      </w:r>
      <w:r>
        <w:rPr>
          <w:color w:val="auto"/>
          <w:highlight w:val="none"/>
        </w:rPr>
        <w:fldChar w:fldCharType="begin"/>
      </w:r>
      <w:r>
        <w:rPr>
          <w:color w:val="auto"/>
          <w:highlight w:val="none"/>
        </w:rPr>
        <w:instrText xml:space="preserve"> PAGEREF _Toc7396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4"/>
          <w:highlight w:val="none"/>
        </w:rPr>
        <w:fldChar w:fldCharType="end"/>
      </w:r>
    </w:p>
    <w:p w14:paraId="75B92640">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_Toc21772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 xml:space="preserve">第二篇  </w:t>
      </w:r>
      <w:r>
        <w:rPr>
          <w:rFonts w:hint="eastAsia" w:ascii="仿宋" w:hAnsi="仿宋" w:eastAsia="仿宋" w:cs="仿宋"/>
          <w:bCs/>
          <w:color w:val="auto"/>
          <w:szCs w:val="28"/>
          <w:highlight w:val="none"/>
          <w:lang w:eastAsia="zh-CN"/>
        </w:rPr>
        <w:t>项目服务需求</w:t>
      </w:r>
      <w:r>
        <w:rPr>
          <w:color w:val="auto"/>
          <w:highlight w:val="none"/>
        </w:rPr>
        <w:tab/>
      </w:r>
      <w:r>
        <w:rPr>
          <w:color w:val="auto"/>
          <w:highlight w:val="none"/>
        </w:rPr>
        <w:fldChar w:fldCharType="begin"/>
      </w:r>
      <w:r>
        <w:rPr>
          <w:color w:val="auto"/>
          <w:highlight w:val="none"/>
        </w:rPr>
        <w:instrText xml:space="preserve"> PAGEREF _Toc21772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4"/>
          <w:highlight w:val="none"/>
        </w:rPr>
        <w:fldChar w:fldCharType="end"/>
      </w:r>
    </w:p>
    <w:p w14:paraId="1B9B72BD">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_Toc9757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_Toc9757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25621D0A">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_Toc2813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服务期限</w:t>
      </w:r>
      <w:r>
        <w:rPr>
          <w:rFonts w:hint="eastAsia" w:ascii="仿宋" w:hAnsi="仿宋" w:eastAsia="仿宋" w:cs="仿宋"/>
          <w:color w:val="auto"/>
          <w:szCs w:val="24"/>
          <w:highlight w:val="none"/>
        </w:rPr>
        <w:t>、地点及验收方式</w:t>
      </w:r>
      <w:r>
        <w:rPr>
          <w:color w:val="auto"/>
          <w:highlight w:val="none"/>
        </w:rPr>
        <w:tab/>
      </w:r>
      <w:r>
        <w:rPr>
          <w:color w:val="auto"/>
          <w:highlight w:val="none"/>
        </w:rPr>
        <w:fldChar w:fldCharType="begin"/>
      </w:r>
      <w:r>
        <w:rPr>
          <w:color w:val="auto"/>
          <w:highlight w:val="none"/>
        </w:rPr>
        <w:instrText xml:space="preserve"> PAGEREF _Toc2813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508CD895">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_Toc17937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、付款方式</w:t>
      </w:r>
      <w:r>
        <w:rPr>
          <w:rFonts w:hint="eastAsia" w:ascii="仿宋" w:hAnsi="仿宋" w:eastAsia="仿宋" w:cs="仿宋"/>
          <w:color w:val="auto"/>
          <w:szCs w:val="24"/>
          <w:highlight w:val="none"/>
          <w:lang w:val="en-US" w:eastAsia="zh-CN"/>
        </w:rPr>
        <w:t>及结算</w:t>
      </w:r>
      <w:r>
        <w:rPr>
          <w:color w:val="auto"/>
          <w:highlight w:val="none"/>
        </w:rPr>
        <w:tab/>
      </w:r>
      <w:r>
        <w:rPr>
          <w:color w:val="auto"/>
          <w:highlight w:val="none"/>
        </w:rPr>
        <w:fldChar w:fldCharType="begin"/>
      </w:r>
      <w:r>
        <w:rPr>
          <w:color w:val="auto"/>
          <w:highlight w:val="none"/>
        </w:rPr>
        <w:instrText xml:space="preserve"> PAGEREF _Toc17937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40E41B82">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_Toc16872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、知识产权</w:t>
      </w:r>
      <w:r>
        <w:rPr>
          <w:color w:val="auto"/>
          <w:highlight w:val="none"/>
        </w:rPr>
        <w:tab/>
      </w:r>
      <w:r>
        <w:rPr>
          <w:color w:val="auto"/>
          <w:highlight w:val="none"/>
        </w:rPr>
        <w:fldChar w:fldCharType="begin"/>
      </w:r>
      <w:r>
        <w:rPr>
          <w:color w:val="auto"/>
          <w:highlight w:val="none"/>
        </w:rPr>
        <w:instrText xml:space="preserve"> PAGEREF _Toc16872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20AE8466">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_Toc18590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_Toc18590 \h </w:instrText>
      </w:r>
      <w:r>
        <w:rPr>
          <w:color w:val="auto"/>
          <w:highlight w:val="none"/>
        </w:rPr>
        <w:fldChar w:fldCharType="separate"/>
      </w:r>
      <w:r>
        <w:rPr>
          <w:color w:val="auto"/>
          <w:highlight w:val="none"/>
        </w:rPr>
        <w:t>- 7 -</w:t>
      </w:r>
      <w:r>
        <w:rPr>
          <w:color w:val="auto"/>
          <w:highlight w:val="none"/>
        </w:rPr>
        <w:fldChar w:fldCharType="end"/>
      </w:r>
      <w:r>
        <w:rPr>
          <w:rFonts w:hint="eastAsia" w:ascii="仿宋" w:hAnsi="仿宋" w:eastAsia="仿宋" w:cs="仿宋"/>
          <w:color w:val="auto"/>
          <w:szCs w:val="24"/>
          <w:highlight w:val="none"/>
        </w:rPr>
        <w:fldChar w:fldCharType="end"/>
      </w:r>
    </w:p>
    <w:p w14:paraId="3DA051DB">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_Toc379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 xml:space="preserve">第四篇  </w:t>
      </w:r>
      <w:r>
        <w:rPr>
          <w:rFonts w:hint="eastAsia" w:ascii="仿宋" w:hAnsi="仿宋" w:eastAsia="仿宋" w:cs="仿宋"/>
          <w:bCs/>
          <w:color w:val="auto"/>
          <w:szCs w:val="28"/>
          <w:highlight w:val="none"/>
          <w:lang w:eastAsia="zh-CN"/>
        </w:rPr>
        <w:t>询比</w:t>
      </w:r>
      <w:r>
        <w:rPr>
          <w:rFonts w:hint="eastAsia" w:ascii="仿宋" w:hAnsi="仿宋" w:eastAsia="仿宋" w:cs="仿宋"/>
          <w:bCs/>
          <w:color w:val="auto"/>
          <w:szCs w:val="28"/>
          <w:highlight w:val="none"/>
        </w:rPr>
        <w:t>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_Toc379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14:paraId="1D40AD49">
      <w:pPr>
        <w:pStyle w:val="17"/>
        <w:tabs>
          <w:tab w:val="right" w:leader="dot" w:pos="9412"/>
        </w:tabs>
        <w:ind w:firstLine="420" w:firstLineChars="200"/>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_Toc31961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程序及方法</w:t>
      </w:r>
      <w:r>
        <w:rPr>
          <w:color w:val="auto"/>
          <w:highlight w:val="none"/>
        </w:rPr>
        <w:tab/>
      </w:r>
      <w:r>
        <w:rPr>
          <w:color w:val="auto"/>
          <w:highlight w:val="none"/>
        </w:rPr>
        <w:fldChar w:fldCharType="begin"/>
      </w:r>
      <w:r>
        <w:rPr>
          <w:color w:val="auto"/>
          <w:highlight w:val="none"/>
        </w:rPr>
        <w:instrText xml:space="preserve"> PAGEREF _Toc31961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4"/>
          <w:highlight w:val="none"/>
        </w:rPr>
        <w:fldChar w:fldCharType="end"/>
      </w:r>
    </w:p>
    <w:p w14:paraId="1E438ED1">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_Toc18984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_Toc18984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4"/>
          <w:highlight w:val="none"/>
        </w:rPr>
        <w:fldChar w:fldCharType="end"/>
      </w:r>
    </w:p>
    <w:p w14:paraId="2F47407C">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_Toc12660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三、无效响应</w:t>
      </w:r>
      <w:r>
        <w:rPr>
          <w:color w:val="auto"/>
          <w:highlight w:val="none"/>
        </w:rPr>
        <w:tab/>
      </w:r>
      <w:r>
        <w:rPr>
          <w:color w:val="auto"/>
          <w:highlight w:val="none"/>
        </w:rPr>
        <w:fldChar w:fldCharType="begin"/>
      </w:r>
      <w:r>
        <w:rPr>
          <w:color w:val="auto"/>
          <w:highlight w:val="none"/>
        </w:rPr>
        <w:instrText xml:space="preserve"> PAGEREF _Toc12660 \h </w:instrText>
      </w:r>
      <w:r>
        <w:rPr>
          <w:color w:val="auto"/>
          <w:highlight w:val="none"/>
        </w:rPr>
        <w:fldChar w:fldCharType="separate"/>
      </w:r>
      <w:r>
        <w:rPr>
          <w:color w:val="auto"/>
          <w:highlight w:val="none"/>
        </w:rPr>
        <w:t>- 10 -</w:t>
      </w:r>
      <w:r>
        <w:rPr>
          <w:color w:val="auto"/>
          <w:highlight w:val="none"/>
        </w:rPr>
        <w:fldChar w:fldCharType="end"/>
      </w:r>
      <w:r>
        <w:rPr>
          <w:rFonts w:hint="eastAsia" w:ascii="仿宋" w:hAnsi="仿宋" w:eastAsia="仿宋" w:cs="仿宋"/>
          <w:color w:val="auto"/>
          <w:szCs w:val="24"/>
          <w:highlight w:val="none"/>
        </w:rPr>
        <w:fldChar w:fldCharType="end"/>
      </w:r>
    </w:p>
    <w:p w14:paraId="3D4E3CC5">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_Toc31448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四、采购终止</w:t>
      </w:r>
      <w:r>
        <w:rPr>
          <w:color w:val="auto"/>
          <w:highlight w:val="none"/>
        </w:rPr>
        <w:tab/>
      </w:r>
      <w:r>
        <w:rPr>
          <w:color w:val="auto"/>
          <w:highlight w:val="none"/>
        </w:rPr>
        <w:fldChar w:fldCharType="begin"/>
      </w:r>
      <w:r>
        <w:rPr>
          <w:color w:val="auto"/>
          <w:highlight w:val="none"/>
        </w:rPr>
        <w:instrText xml:space="preserve"> PAGEREF _Toc31448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4"/>
          <w:highlight w:val="none"/>
        </w:rPr>
        <w:fldChar w:fldCharType="end"/>
      </w:r>
    </w:p>
    <w:p w14:paraId="52D91DE4">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_Toc19269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_Toc19269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4"/>
          <w:highlight w:val="none"/>
        </w:rPr>
        <w:fldChar w:fldCharType="end"/>
      </w:r>
    </w:p>
    <w:p w14:paraId="3BC6DD3B">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_Toc5347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费用</w:t>
      </w:r>
      <w:r>
        <w:rPr>
          <w:color w:val="auto"/>
          <w:highlight w:val="none"/>
        </w:rPr>
        <w:tab/>
      </w:r>
      <w:r>
        <w:rPr>
          <w:color w:val="auto"/>
          <w:highlight w:val="none"/>
        </w:rPr>
        <w:fldChar w:fldCharType="begin"/>
      </w:r>
      <w:r>
        <w:rPr>
          <w:color w:val="auto"/>
          <w:highlight w:val="none"/>
        </w:rPr>
        <w:instrText xml:space="preserve"> PAGEREF _Toc5347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4"/>
          <w:highlight w:val="none"/>
        </w:rPr>
        <w:fldChar w:fldCharType="end"/>
      </w:r>
    </w:p>
    <w:p w14:paraId="0F9C8DEA">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_Toc1350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w:t>
      </w:r>
      <w:r>
        <w:rPr>
          <w:rFonts w:hint="eastAsia" w:ascii="仿宋" w:hAnsi="仿宋" w:eastAsia="仿宋" w:cs="仿宋"/>
          <w:color w:val="auto"/>
          <w:szCs w:val="24"/>
          <w:highlight w:val="none"/>
          <w:lang w:eastAsia="zh-CN"/>
        </w:rPr>
        <w:t>采购文件</w:t>
      </w:r>
      <w:r>
        <w:rPr>
          <w:color w:val="auto"/>
          <w:highlight w:val="none"/>
        </w:rPr>
        <w:tab/>
      </w:r>
      <w:r>
        <w:rPr>
          <w:color w:val="auto"/>
          <w:highlight w:val="none"/>
        </w:rPr>
        <w:fldChar w:fldCharType="begin"/>
      </w:r>
      <w:r>
        <w:rPr>
          <w:color w:val="auto"/>
          <w:highlight w:val="none"/>
        </w:rPr>
        <w:instrText xml:space="preserve"> PAGEREF _Toc1350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4"/>
          <w:highlight w:val="none"/>
        </w:rPr>
        <w:fldChar w:fldCharType="end"/>
      </w:r>
    </w:p>
    <w:p w14:paraId="2783B4BA">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_Toc4762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eastAsia="zh-CN"/>
        </w:rPr>
        <w:t>询比</w:t>
      </w:r>
      <w:r>
        <w:rPr>
          <w:rFonts w:hint="eastAsia" w:ascii="仿宋" w:hAnsi="仿宋" w:eastAsia="仿宋" w:cs="仿宋"/>
          <w:color w:val="auto"/>
          <w:szCs w:val="24"/>
          <w:highlight w:val="none"/>
        </w:rPr>
        <w:t>要求</w:t>
      </w:r>
      <w:r>
        <w:rPr>
          <w:color w:val="auto"/>
          <w:highlight w:val="none"/>
        </w:rPr>
        <w:tab/>
      </w:r>
      <w:r>
        <w:rPr>
          <w:color w:val="auto"/>
          <w:highlight w:val="none"/>
        </w:rPr>
        <w:fldChar w:fldCharType="begin"/>
      </w:r>
      <w:r>
        <w:rPr>
          <w:color w:val="auto"/>
          <w:highlight w:val="none"/>
        </w:rPr>
        <w:instrText xml:space="preserve"> PAGEREF _Toc4762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4"/>
          <w:highlight w:val="none"/>
        </w:rPr>
        <w:fldChar w:fldCharType="end"/>
      </w:r>
    </w:p>
    <w:p w14:paraId="3258AAEB">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_Toc15512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_Toc15512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4"/>
          <w:highlight w:val="none"/>
        </w:rPr>
        <w:fldChar w:fldCharType="end"/>
      </w:r>
    </w:p>
    <w:p w14:paraId="2A1AB4F0">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_Toc16479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_Toc16479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4"/>
          <w:highlight w:val="none"/>
        </w:rPr>
        <w:fldChar w:fldCharType="end"/>
      </w:r>
    </w:p>
    <w:p w14:paraId="33B46254">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_Toc2230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_Toc2230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4"/>
          <w:highlight w:val="none"/>
        </w:rPr>
        <w:fldChar w:fldCharType="end"/>
      </w:r>
    </w:p>
    <w:p w14:paraId="669DD2DB">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_Toc27103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_Toc27103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4"/>
          <w:highlight w:val="none"/>
        </w:rPr>
        <w:fldChar w:fldCharType="end"/>
      </w:r>
    </w:p>
    <w:p w14:paraId="3815422B">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_Toc14410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第六篇  政府采购合同</w:t>
      </w:r>
      <w:r>
        <w:rPr>
          <w:color w:val="auto"/>
          <w:highlight w:val="none"/>
        </w:rPr>
        <w:tab/>
      </w:r>
      <w:r>
        <w:rPr>
          <w:color w:val="auto"/>
          <w:highlight w:val="none"/>
        </w:rPr>
        <w:fldChar w:fldCharType="begin"/>
      </w:r>
      <w:r>
        <w:rPr>
          <w:color w:val="auto"/>
          <w:highlight w:val="none"/>
        </w:rPr>
        <w:instrText xml:space="preserve"> PAGEREF _Toc14410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4"/>
          <w:highlight w:val="none"/>
        </w:rPr>
        <w:fldChar w:fldCharType="end"/>
      </w:r>
    </w:p>
    <w:p w14:paraId="4147AFC9">
      <w:pPr>
        <w:pStyle w:val="17"/>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_Toc22017 </w:instrText>
      </w:r>
      <w:r>
        <w:rPr>
          <w:rFonts w:hint="eastAsia" w:ascii="仿宋" w:hAnsi="仿宋" w:eastAsia="仿宋" w:cs="仿宋"/>
          <w:color w:val="auto"/>
          <w:szCs w:val="24"/>
          <w:highlight w:val="none"/>
        </w:rPr>
        <w:fldChar w:fldCharType="separate"/>
      </w:r>
      <w:r>
        <w:rPr>
          <w:rFonts w:hint="eastAsia" w:ascii="仿宋" w:hAnsi="仿宋" w:eastAsia="仿宋" w:cs="仿宋"/>
          <w:bCs/>
          <w:color w:val="auto"/>
          <w:szCs w:val="28"/>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_Toc22017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szCs w:val="24"/>
          <w:highlight w:val="none"/>
        </w:rPr>
        <w:fldChar w:fldCharType="end"/>
      </w:r>
    </w:p>
    <w:p w14:paraId="32820893">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_Toc1507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_Toc1507 \h </w:instrText>
      </w:r>
      <w:r>
        <w:rPr>
          <w:color w:val="auto"/>
          <w:highlight w:val="none"/>
        </w:rPr>
        <w:fldChar w:fldCharType="separate"/>
      </w:r>
      <w:r>
        <w:rPr>
          <w:color w:val="auto"/>
          <w:highlight w:val="none"/>
        </w:rPr>
        <w:t>- 17 -</w:t>
      </w:r>
      <w:r>
        <w:rPr>
          <w:color w:val="auto"/>
          <w:highlight w:val="none"/>
        </w:rPr>
        <w:fldChar w:fldCharType="end"/>
      </w:r>
      <w:r>
        <w:rPr>
          <w:rFonts w:hint="eastAsia" w:ascii="仿宋" w:hAnsi="仿宋" w:eastAsia="仿宋" w:cs="仿宋"/>
          <w:color w:val="auto"/>
          <w:szCs w:val="24"/>
          <w:highlight w:val="none"/>
        </w:rPr>
        <w:fldChar w:fldCharType="end"/>
      </w:r>
    </w:p>
    <w:p w14:paraId="10E4A7D4">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_Toc12120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4"/>
          <w:highlight w:val="none"/>
        </w:rPr>
        <w:fldChar w:fldCharType="end"/>
      </w:r>
    </w:p>
    <w:p w14:paraId="4635348D">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_Toc19228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_Toc19228 \h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cs="仿宋"/>
          <w:color w:val="auto"/>
          <w:szCs w:val="24"/>
          <w:highlight w:val="none"/>
        </w:rPr>
        <w:fldChar w:fldCharType="end"/>
      </w:r>
    </w:p>
    <w:p w14:paraId="60CA1DC7">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_Toc9498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四、资格条件</w:t>
      </w:r>
      <w:r>
        <w:rPr>
          <w:color w:val="auto"/>
          <w:highlight w:val="none"/>
        </w:rPr>
        <w:tab/>
      </w:r>
      <w:r>
        <w:rPr>
          <w:color w:val="auto"/>
          <w:highlight w:val="none"/>
        </w:rPr>
        <w:fldChar w:fldCharType="begin"/>
      </w:r>
      <w:r>
        <w:rPr>
          <w:color w:val="auto"/>
          <w:highlight w:val="none"/>
        </w:rPr>
        <w:instrText xml:space="preserve"> PAGEREF _Toc9498 \h </w:instrText>
      </w:r>
      <w:r>
        <w:rPr>
          <w:color w:val="auto"/>
          <w:highlight w:val="none"/>
        </w:rPr>
        <w:fldChar w:fldCharType="separate"/>
      </w:r>
      <w:r>
        <w:rPr>
          <w:color w:val="auto"/>
          <w:highlight w:val="none"/>
        </w:rPr>
        <w:t>- 24 -</w:t>
      </w:r>
      <w:r>
        <w:rPr>
          <w:color w:val="auto"/>
          <w:highlight w:val="none"/>
        </w:rPr>
        <w:fldChar w:fldCharType="end"/>
      </w:r>
      <w:r>
        <w:rPr>
          <w:rFonts w:hint="eastAsia" w:ascii="仿宋" w:hAnsi="仿宋" w:eastAsia="仿宋" w:cs="仿宋"/>
          <w:color w:val="auto"/>
          <w:szCs w:val="24"/>
          <w:highlight w:val="none"/>
        </w:rPr>
        <w:fldChar w:fldCharType="end"/>
      </w:r>
    </w:p>
    <w:p w14:paraId="2A225880">
      <w:pPr>
        <w:pStyle w:val="8"/>
        <w:tabs>
          <w:tab w:val="right" w:leader="dot" w:pos="9412"/>
        </w:tabs>
        <w:rPr>
          <w:color w:val="auto"/>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_Toc28208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五、其他资料</w:t>
      </w:r>
      <w:r>
        <w:rPr>
          <w:color w:val="auto"/>
          <w:highlight w:val="none"/>
        </w:rPr>
        <w:tab/>
      </w:r>
      <w:r>
        <w:rPr>
          <w:color w:val="auto"/>
          <w:highlight w:val="none"/>
        </w:rPr>
        <w:fldChar w:fldCharType="begin"/>
      </w:r>
      <w:r>
        <w:rPr>
          <w:color w:val="auto"/>
          <w:highlight w:val="none"/>
        </w:rPr>
        <w:instrText xml:space="preserve"> PAGEREF _Toc28208 \h </w:instrText>
      </w:r>
      <w:r>
        <w:rPr>
          <w:color w:val="auto"/>
          <w:highlight w:val="none"/>
        </w:rPr>
        <w:fldChar w:fldCharType="separate"/>
      </w:r>
      <w:r>
        <w:rPr>
          <w:color w:val="auto"/>
          <w:highlight w:val="none"/>
        </w:rPr>
        <w:t>- 29 -</w:t>
      </w:r>
      <w:r>
        <w:rPr>
          <w:color w:val="auto"/>
          <w:highlight w:val="none"/>
        </w:rPr>
        <w:fldChar w:fldCharType="end"/>
      </w:r>
      <w:r>
        <w:rPr>
          <w:rFonts w:hint="eastAsia" w:ascii="仿宋" w:hAnsi="仿宋" w:eastAsia="仿宋" w:cs="仿宋"/>
          <w:color w:val="auto"/>
          <w:szCs w:val="24"/>
          <w:highlight w:val="none"/>
        </w:rPr>
        <w:fldChar w:fldCharType="end"/>
      </w:r>
    </w:p>
    <w:p w14:paraId="07B3286E">
      <w:pPr>
        <w:pStyle w:val="17"/>
        <w:tabs>
          <w:tab w:val="right" w:leader="dot" w:pos="9402"/>
        </w:tabs>
        <w:spacing w:line="480" w:lineRule="exact"/>
        <w:ind w:left="420"/>
        <w:jc w:val="center"/>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fldChar w:fldCharType="end"/>
      </w:r>
    </w:p>
    <w:p w14:paraId="7FA815BF">
      <w:pPr>
        <w:bidi w:val="0"/>
        <w:rPr>
          <w:rFonts w:hint="eastAsia" w:ascii="仿宋" w:hAnsi="仿宋" w:eastAsia="仿宋" w:cs="仿宋"/>
          <w:color w:val="auto"/>
          <w:sz w:val="24"/>
          <w:szCs w:val="24"/>
          <w:highlight w:val="none"/>
        </w:rPr>
      </w:pPr>
    </w:p>
    <w:p w14:paraId="4342B34C">
      <w:pPr>
        <w:bidi w:val="0"/>
        <w:rPr>
          <w:rFonts w:hint="eastAsia" w:ascii="仿宋" w:hAnsi="仿宋" w:eastAsia="仿宋" w:cs="仿宋"/>
          <w:color w:val="auto"/>
          <w:sz w:val="24"/>
          <w:szCs w:val="24"/>
          <w:highlight w:val="none"/>
        </w:rPr>
      </w:pPr>
    </w:p>
    <w:p w14:paraId="108506E6">
      <w:pPr>
        <w:bidi w:val="0"/>
        <w:rPr>
          <w:rFonts w:hint="eastAsia" w:ascii="仿宋" w:hAnsi="仿宋" w:eastAsia="仿宋" w:cs="仿宋"/>
          <w:color w:val="auto"/>
          <w:sz w:val="24"/>
          <w:szCs w:val="24"/>
          <w:highlight w:val="none"/>
        </w:rPr>
      </w:pPr>
    </w:p>
    <w:p w14:paraId="65699EC5">
      <w:pPr>
        <w:bidi w:val="0"/>
        <w:rPr>
          <w:rFonts w:hint="eastAsia" w:ascii="仿宋" w:hAnsi="仿宋" w:eastAsia="仿宋" w:cs="仿宋"/>
          <w:color w:val="auto"/>
          <w:sz w:val="24"/>
          <w:szCs w:val="24"/>
          <w:highlight w:val="none"/>
        </w:rPr>
      </w:pPr>
    </w:p>
    <w:p w14:paraId="6D0B6A2E">
      <w:pPr>
        <w:bidi w:val="0"/>
        <w:rPr>
          <w:rFonts w:hint="eastAsia" w:ascii="仿宋" w:hAnsi="仿宋" w:eastAsia="仿宋" w:cs="仿宋"/>
          <w:color w:val="auto"/>
          <w:sz w:val="24"/>
          <w:szCs w:val="24"/>
          <w:highlight w:val="none"/>
        </w:rPr>
      </w:pPr>
    </w:p>
    <w:p w14:paraId="3B75726B">
      <w:pPr>
        <w:bidi w:val="0"/>
        <w:rPr>
          <w:rFonts w:hint="eastAsia" w:ascii="仿宋" w:hAnsi="仿宋" w:eastAsia="仿宋" w:cs="仿宋"/>
          <w:color w:val="auto"/>
          <w:sz w:val="24"/>
          <w:szCs w:val="24"/>
          <w:highlight w:val="none"/>
        </w:rPr>
      </w:pPr>
    </w:p>
    <w:p w14:paraId="6493B1F5">
      <w:pPr>
        <w:tabs>
          <w:tab w:val="left" w:pos="6787"/>
        </w:tabs>
        <w:bidi w:val="0"/>
        <w:jc w:val="left"/>
        <w:rPr>
          <w:rFonts w:hint="eastAsia" w:ascii="仿宋" w:hAnsi="仿宋" w:eastAsia="仿宋" w:cs="仿宋"/>
          <w:color w:val="auto"/>
          <w:sz w:val="24"/>
          <w:szCs w:val="24"/>
          <w:highlight w:val="none"/>
          <w:lang w:eastAsia="zh-CN"/>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3"/>
        </w:sectPr>
      </w:pPr>
    </w:p>
    <w:p w14:paraId="733E3BFA">
      <w:pPr>
        <w:pStyle w:val="4"/>
        <w:spacing w:line="360" w:lineRule="auto"/>
        <w:jc w:val="center"/>
        <w:rPr>
          <w:rFonts w:hint="eastAsia" w:ascii="仿宋" w:hAnsi="仿宋" w:eastAsia="仿宋" w:cs="仿宋"/>
          <w:b/>
          <w:bCs/>
          <w:color w:val="auto"/>
          <w:sz w:val="28"/>
          <w:szCs w:val="28"/>
          <w:highlight w:val="none"/>
        </w:rPr>
      </w:pPr>
      <w:bookmarkStart w:id="0" w:name="_Toc11641050"/>
      <w:bookmarkStart w:id="1" w:name="_Toc12789052"/>
      <w:bookmarkStart w:id="2" w:name="_Toc16555"/>
      <w:r>
        <w:rPr>
          <w:rFonts w:hint="eastAsia" w:ascii="仿宋" w:hAnsi="仿宋" w:eastAsia="仿宋" w:cs="仿宋"/>
          <w:b/>
          <w:bCs/>
          <w:color w:val="auto"/>
          <w:sz w:val="28"/>
          <w:szCs w:val="28"/>
          <w:highlight w:val="none"/>
        </w:rPr>
        <w:t>第一篇  采购邀请书</w:t>
      </w:r>
      <w:bookmarkEnd w:id="0"/>
      <w:bookmarkEnd w:id="1"/>
      <w:bookmarkEnd w:id="2"/>
    </w:p>
    <w:p w14:paraId="08C8124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lang w:eastAsia="zh-CN"/>
        </w:rPr>
        <w:t>重庆市大足区生态环境局</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lang w:eastAsia="zh-CN"/>
        </w:rPr>
        <w:t>2025年度大足区空气国控站周边数据监测分析研判调度服务</w:t>
      </w:r>
      <w:r>
        <w:rPr>
          <w:rFonts w:hint="eastAsia" w:ascii="仿宋" w:hAnsi="仿宋" w:eastAsia="仿宋" w:cs="仿宋"/>
          <w:color w:val="auto"/>
          <w:sz w:val="24"/>
          <w:szCs w:val="24"/>
          <w:highlight w:val="none"/>
        </w:rPr>
        <w:t>项目进行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采购。欢迎有资格的供应商前来参与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615F1A97">
      <w:pPr>
        <w:pStyle w:val="5"/>
        <w:numPr>
          <w:ilvl w:val="0"/>
          <w:numId w:val="1"/>
        </w:numPr>
        <w:spacing w:before="0" w:after="0" w:line="400" w:lineRule="exact"/>
        <w:rPr>
          <w:rFonts w:hint="eastAsia" w:ascii="仿宋" w:hAnsi="仿宋" w:eastAsia="仿宋" w:cs="仿宋"/>
          <w:color w:val="auto"/>
          <w:sz w:val="24"/>
          <w:szCs w:val="24"/>
          <w:highlight w:val="none"/>
        </w:rPr>
      </w:pPr>
      <w:bookmarkStart w:id="3" w:name="_Toc317775175"/>
      <w:bookmarkStart w:id="4" w:name="_Toc519"/>
      <w:bookmarkStart w:id="5" w:name="_Toc313893526"/>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内容</w:t>
      </w:r>
      <w:bookmarkEnd w:id="3"/>
      <w:bookmarkEnd w:id="4"/>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381"/>
        <w:gridCol w:w="2323"/>
        <w:gridCol w:w="1500"/>
        <w:gridCol w:w="1427"/>
      </w:tblGrid>
      <w:tr w14:paraId="1682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5" w:type="dxa"/>
            <w:tcBorders>
              <w:top w:val="single" w:color="auto" w:sz="4" w:space="0"/>
              <w:left w:val="single" w:color="auto" w:sz="4" w:space="0"/>
              <w:right w:val="single" w:color="auto" w:sz="4" w:space="0"/>
            </w:tcBorders>
            <w:noWrap w:val="0"/>
            <w:vAlign w:val="center"/>
          </w:tcPr>
          <w:p w14:paraId="06C4AFCF">
            <w:pPr>
              <w:widowControl/>
              <w:jc w:val="center"/>
              <w:rPr>
                <w:rFonts w:hint="eastAsia" w:ascii="仿宋" w:hAnsi="仿宋" w:eastAsia="仿宋" w:cs="仿宋"/>
                <w:b/>
                <w:bCs/>
                <w:color w:val="auto"/>
                <w:kern w:val="0"/>
                <w:sz w:val="24"/>
                <w:szCs w:val="24"/>
                <w:highlight w:val="none"/>
              </w:rPr>
            </w:pPr>
            <w:bookmarkStart w:id="6" w:name="_Toc373860293"/>
            <w:bookmarkStart w:id="7" w:name="_Toc317775178"/>
            <w:r>
              <w:rPr>
                <w:rFonts w:hint="eastAsia" w:ascii="仿宋" w:hAnsi="仿宋" w:eastAsia="仿宋" w:cs="仿宋"/>
                <w:b/>
                <w:bCs/>
                <w:color w:val="auto"/>
                <w:kern w:val="0"/>
                <w:sz w:val="24"/>
                <w:szCs w:val="24"/>
                <w:highlight w:val="none"/>
              </w:rPr>
              <w:t>序号</w:t>
            </w:r>
          </w:p>
        </w:tc>
        <w:tc>
          <w:tcPr>
            <w:tcW w:w="3381" w:type="dxa"/>
            <w:tcBorders>
              <w:top w:val="single" w:color="auto" w:sz="4" w:space="0"/>
              <w:left w:val="single" w:color="auto" w:sz="4" w:space="0"/>
              <w:right w:val="single" w:color="auto" w:sz="4" w:space="0"/>
            </w:tcBorders>
            <w:noWrap w:val="0"/>
            <w:vAlign w:val="center"/>
          </w:tcPr>
          <w:p w14:paraId="7793392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2323" w:type="dxa"/>
            <w:tcBorders>
              <w:top w:val="single" w:color="auto" w:sz="4" w:space="0"/>
              <w:left w:val="single" w:color="auto" w:sz="4" w:space="0"/>
              <w:right w:val="single" w:color="auto" w:sz="4" w:space="0"/>
            </w:tcBorders>
            <w:noWrap w:val="0"/>
            <w:vAlign w:val="top"/>
          </w:tcPr>
          <w:p w14:paraId="2A2C33E2">
            <w:pPr>
              <w:jc w:val="center"/>
              <w:rPr>
                <w:rFonts w:hint="eastAsia" w:ascii="仿宋" w:hAnsi="仿宋" w:eastAsia="仿宋" w:cs="仿宋"/>
                <w:b/>
                <w:color w:val="auto"/>
                <w:sz w:val="24"/>
                <w:szCs w:val="24"/>
                <w:highlight w:val="none"/>
              </w:rPr>
            </w:pPr>
          </w:p>
          <w:p w14:paraId="4FCB05F4">
            <w:pPr>
              <w:jc w:val="center"/>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万元</w:t>
            </w:r>
            <w:r>
              <w:rPr>
                <w:rFonts w:hint="eastAsia" w:ascii="仿宋" w:hAnsi="仿宋" w:eastAsia="仿宋" w:cs="仿宋"/>
                <w:b/>
                <w:color w:val="auto"/>
                <w:sz w:val="24"/>
                <w:szCs w:val="24"/>
                <w:highlight w:val="none"/>
              </w:rPr>
              <w:t>）</w:t>
            </w:r>
          </w:p>
        </w:tc>
        <w:tc>
          <w:tcPr>
            <w:tcW w:w="1500" w:type="dxa"/>
            <w:tcBorders>
              <w:top w:val="single" w:color="auto" w:sz="4" w:space="0"/>
              <w:left w:val="single" w:color="auto" w:sz="4" w:space="0"/>
              <w:right w:val="single" w:color="auto" w:sz="4" w:space="0"/>
            </w:tcBorders>
            <w:noWrap w:val="0"/>
            <w:vAlign w:val="top"/>
          </w:tcPr>
          <w:p w14:paraId="5C26FA11">
            <w:pPr>
              <w:widowControl/>
              <w:jc w:val="center"/>
              <w:rPr>
                <w:rFonts w:hint="eastAsia" w:ascii="仿宋" w:hAnsi="仿宋" w:eastAsia="仿宋" w:cs="仿宋"/>
                <w:b/>
                <w:bCs/>
                <w:color w:val="auto"/>
                <w:kern w:val="0"/>
                <w:sz w:val="24"/>
                <w:szCs w:val="24"/>
                <w:highlight w:val="none"/>
              </w:rPr>
            </w:pPr>
          </w:p>
          <w:p w14:paraId="4215BC6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保证金</w:t>
            </w:r>
          </w:p>
          <w:p w14:paraId="103BCE02">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427" w:type="dxa"/>
            <w:tcBorders>
              <w:top w:val="single" w:color="auto" w:sz="4" w:space="0"/>
              <w:left w:val="single" w:color="auto" w:sz="4" w:space="0"/>
              <w:right w:val="single" w:color="auto" w:sz="4" w:space="0"/>
            </w:tcBorders>
            <w:noWrap w:val="0"/>
            <w:vAlign w:val="center"/>
          </w:tcPr>
          <w:p w14:paraId="0BD73B6F">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r>
      <w:tr w14:paraId="514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0BD568">
            <w:pPr>
              <w:widowControl/>
              <w:jc w:val="center"/>
              <w:rPr>
                <w:rFonts w:hint="eastAsia" w:ascii="仿宋" w:hAnsi="仿宋" w:eastAsia="仿宋" w:cs="仿宋"/>
                <w:color w:val="auto"/>
                <w:kern w:val="0"/>
                <w:sz w:val="24"/>
                <w:szCs w:val="24"/>
                <w:highlight w:val="none"/>
              </w:rPr>
            </w:pPr>
            <w:bookmarkStart w:id="8" w:name="_Hlk344477914" w:colFirst="0" w:colLast="6"/>
            <w:r>
              <w:rPr>
                <w:rFonts w:hint="eastAsia" w:ascii="仿宋" w:hAnsi="仿宋" w:eastAsia="仿宋" w:cs="仿宋"/>
                <w:color w:val="auto"/>
                <w:kern w:val="0"/>
                <w:sz w:val="24"/>
                <w:szCs w:val="24"/>
                <w:highlight w:val="none"/>
              </w:rPr>
              <w:t>1</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21771091">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2025年度大足区空气国控站周边数据监测分析研判调度服务</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E0733A">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0" w:type="dxa"/>
            <w:tcBorders>
              <w:top w:val="single" w:color="auto" w:sz="4" w:space="0"/>
              <w:left w:val="single" w:color="auto" w:sz="4" w:space="0"/>
              <w:right w:val="single" w:color="auto" w:sz="4" w:space="0"/>
            </w:tcBorders>
            <w:noWrap w:val="0"/>
            <w:vAlign w:val="center"/>
          </w:tcPr>
          <w:p w14:paraId="5B87D0BC">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c>
          <w:tcPr>
            <w:tcW w:w="1427" w:type="dxa"/>
            <w:tcBorders>
              <w:top w:val="single" w:color="auto" w:sz="4" w:space="0"/>
              <w:left w:val="single" w:color="auto" w:sz="4" w:space="0"/>
              <w:right w:val="single" w:color="auto" w:sz="4" w:space="0"/>
            </w:tcBorders>
            <w:noWrap w:val="0"/>
            <w:vAlign w:val="center"/>
          </w:tcPr>
          <w:p w14:paraId="314C2BB8">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bookmarkEnd w:id="8"/>
    </w:tbl>
    <w:p w14:paraId="653B8B8C">
      <w:pPr>
        <w:pStyle w:val="5"/>
        <w:spacing w:before="0" w:after="0" w:line="400" w:lineRule="exact"/>
        <w:rPr>
          <w:rFonts w:hint="eastAsia" w:ascii="仿宋" w:hAnsi="仿宋" w:eastAsia="仿宋" w:cs="仿宋"/>
          <w:color w:val="auto"/>
          <w:sz w:val="24"/>
          <w:szCs w:val="24"/>
          <w:highlight w:val="none"/>
        </w:rPr>
      </w:pPr>
      <w:bookmarkStart w:id="9" w:name="_Toc11709"/>
      <w:r>
        <w:rPr>
          <w:rFonts w:hint="eastAsia" w:ascii="仿宋" w:hAnsi="仿宋" w:eastAsia="仿宋" w:cs="仿宋"/>
          <w:color w:val="auto"/>
          <w:sz w:val="24"/>
          <w:szCs w:val="24"/>
          <w:highlight w:val="none"/>
        </w:rPr>
        <w:t>二、资金来源</w:t>
      </w:r>
      <w:bookmarkEnd w:id="9"/>
    </w:p>
    <w:p w14:paraId="5A0CCC08">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w:t>
      </w:r>
    </w:p>
    <w:p w14:paraId="6A5F72DF">
      <w:pPr>
        <w:pStyle w:val="5"/>
        <w:spacing w:before="0" w:after="0" w:line="400" w:lineRule="exact"/>
        <w:rPr>
          <w:rFonts w:hint="eastAsia" w:ascii="仿宋" w:hAnsi="仿宋" w:eastAsia="仿宋" w:cs="仿宋"/>
          <w:color w:val="auto"/>
          <w:sz w:val="24"/>
          <w:szCs w:val="24"/>
          <w:highlight w:val="none"/>
        </w:rPr>
      </w:pPr>
      <w:bookmarkStart w:id="10" w:name="_Toc16875"/>
      <w:r>
        <w:rPr>
          <w:rFonts w:hint="eastAsia" w:ascii="仿宋" w:hAnsi="仿宋" w:eastAsia="仿宋" w:cs="仿宋"/>
          <w:color w:val="auto"/>
          <w:sz w:val="24"/>
          <w:szCs w:val="24"/>
          <w:highlight w:val="none"/>
        </w:rPr>
        <w:t>三、供应商资格条件</w:t>
      </w:r>
      <w:bookmarkEnd w:id="10"/>
    </w:p>
    <w:p w14:paraId="4D8C745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5AEDE63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72BCDBB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BCB6D9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80D4F8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319BA6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277940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5B5046C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bookmarkEnd w:id="6"/>
      <w:bookmarkEnd w:id="7"/>
      <w:bookmarkStart w:id="11" w:name="_Toc16787"/>
      <w:bookmarkStart w:id="12" w:name="_Toc373860294"/>
      <w:r>
        <w:rPr>
          <w:rFonts w:hint="eastAsia" w:ascii="仿宋" w:hAnsi="仿宋" w:eastAsia="仿宋" w:cs="仿宋"/>
          <w:color w:val="auto"/>
          <w:sz w:val="24"/>
          <w:szCs w:val="24"/>
          <w:highlight w:val="none"/>
        </w:rPr>
        <w:t>。</w:t>
      </w:r>
    </w:p>
    <w:p w14:paraId="281E34A8">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（二）特定资格条件</w:t>
      </w:r>
    </w:p>
    <w:p w14:paraId="2151DA21">
      <w:pPr>
        <w:pStyle w:val="5"/>
        <w:spacing w:before="0" w:after="0" w:line="400" w:lineRule="exact"/>
        <w:ind w:firstLine="720" w:firstLineChars="300"/>
        <w:rPr>
          <w:rFonts w:hint="eastAsia" w:ascii="仿宋" w:hAnsi="仿宋" w:eastAsia="仿宋" w:cs="仿宋"/>
          <w:b w:val="0"/>
          <w:color w:val="auto"/>
          <w:kern w:val="2"/>
          <w:sz w:val="24"/>
          <w:szCs w:val="24"/>
          <w:highlight w:val="none"/>
          <w:lang w:val="en-US" w:eastAsia="zh-CN" w:bidi="ar-SA"/>
        </w:rPr>
      </w:pPr>
      <w:bookmarkStart w:id="13" w:name="_Toc19291"/>
      <w:bookmarkStart w:id="14" w:name="_Toc12338"/>
      <w:r>
        <w:rPr>
          <w:rFonts w:hint="eastAsia" w:ascii="仿宋" w:hAnsi="仿宋" w:eastAsia="仿宋" w:cs="仿宋"/>
          <w:b w:val="0"/>
          <w:color w:val="auto"/>
          <w:kern w:val="2"/>
          <w:sz w:val="24"/>
          <w:szCs w:val="24"/>
          <w:highlight w:val="none"/>
          <w:lang w:val="en-US" w:eastAsia="zh-CN" w:bidi="ar-SA"/>
        </w:rPr>
        <w:t>无</w:t>
      </w:r>
      <w:bookmarkEnd w:id="13"/>
      <w:bookmarkEnd w:id="14"/>
    </w:p>
    <w:p w14:paraId="36D5B5F3">
      <w:pPr>
        <w:pStyle w:val="5"/>
        <w:spacing w:before="0" w:after="0" w:line="400" w:lineRule="exact"/>
        <w:rPr>
          <w:rFonts w:hint="eastAsia" w:ascii="仿宋" w:hAnsi="仿宋" w:eastAsia="仿宋" w:cs="仿宋"/>
          <w:color w:val="auto"/>
          <w:sz w:val="24"/>
          <w:szCs w:val="24"/>
          <w:highlight w:val="none"/>
        </w:rPr>
      </w:pPr>
      <w:bookmarkStart w:id="15" w:name="_Toc31055"/>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有关说明</w:t>
      </w:r>
      <w:bookmarkEnd w:id="11"/>
      <w:bookmarkEnd w:id="15"/>
    </w:p>
    <w:p w14:paraId="2442D439">
      <w:pPr>
        <w:snapToGrid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（一）本项目</w:t>
      </w:r>
      <w:r>
        <w:rPr>
          <w:rFonts w:hint="eastAsia" w:ascii="仿宋" w:hAnsi="仿宋" w:eastAsia="仿宋" w:cs="仿宋"/>
          <w:bCs/>
          <w:color w:val="auto"/>
          <w:sz w:val="24"/>
          <w:szCs w:val="24"/>
          <w:highlight w:val="none"/>
          <w:lang w:eastAsia="zh-CN"/>
        </w:rPr>
        <w:t>询比</w:t>
      </w:r>
      <w:r>
        <w:rPr>
          <w:rFonts w:hint="eastAsia" w:ascii="仿宋" w:hAnsi="仿宋" w:eastAsia="仿宋" w:cs="仿宋"/>
          <w:bCs/>
          <w:color w:val="auto"/>
          <w:sz w:val="24"/>
          <w:szCs w:val="24"/>
          <w:highlight w:val="none"/>
        </w:rPr>
        <w:t>公告于</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rPr>
        <w:t>日在行采家网（https://www.gec12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.com/）发布。</w:t>
      </w:r>
    </w:p>
    <w:p w14:paraId="4956EC4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供应商需通过行采家网（https://www.gec12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.com/）进行注册，成为正式供应商方能参与采购活动。</w:t>
      </w:r>
    </w:p>
    <w:p w14:paraId="71645DE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公告期限：自采购公告发布之日起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个工作日。</w:t>
      </w:r>
    </w:p>
    <w:p w14:paraId="710AD76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 报名和递交投标文件时间、地点</w:t>
      </w:r>
    </w:p>
    <w:p w14:paraId="18C21E7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1.报名和</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发售期：</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eastAsia="zh-CN"/>
        </w:rPr>
        <w:t>2025</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17  </w:t>
      </w:r>
      <w:r>
        <w:rPr>
          <w:rFonts w:hint="eastAsia" w:ascii="仿宋" w:hAnsi="仿宋" w:eastAsia="仿宋" w:cs="仿宋"/>
          <w:bCs/>
          <w:color w:val="auto"/>
          <w:sz w:val="24"/>
          <w:szCs w:val="24"/>
          <w:highlight w:val="none"/>
        </w:rPr>
        <w:t>日17:00（工作时间）</w:t>
      </w:r>
    </w:p>
    <w:p w14:paraId="525DE49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售价：人民币500元/份（售后不退）</w:t>
      </w:r>
    </w:p>
    <w:p w14:paraId="4130A6F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购买方式</w:t>
      </w:r>
    </w:p>
    <w:p w14:paraId="0E78AE7A">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在招标文件发售期内，投标人与招标代理公司负责人联系购买招标文件，并将《</w:t>
      </w: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采购文件发售登记表》（加盖投标人公章）扫描后发送至314852909@qq.com（邮箱）。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"mailto:**日至2024年5月***日，将报名资料（发售登记表）加盖单位公章扫描后，以QQ邮箱方式发送至302626167@qq.com或现场递交投标文件时递交。"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rPr>
        <w:t>发送后请电话联系招标代理机构工作人员缴纳</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购买费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fldChar w:fldCharType="end"/>
      </w:r>
    </w:p>
    <w:p w14:paraId="5BDDE8F8">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3.线上报名</w:t>
      </w:r>
    </w:p>
    <w:p w14:paraId="31B022B7">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3.1线上报名时间：公告发布后即可报名；线上报名截止时间：2025年 7 月18日12:00。</w:t>
      </w:r>
    </w:p>
    <w:p w14:paraId="4D09F374">
      <w:pPr>
        <w:spacing w:line="440" w:lineRule="exact"/>
        <w:ind w:firstLine="480" w:firstLineChars="200"/>
        <w:rPr>
          <w:rFonts w:hint="eastAsia" w:ascii="仿宋" w:hAnsi="仿宋" w:eastAsia="仿宋" w:cs="仿宋"/>
          <w:bCs/>
          <w:color w:val="auto"/>
          <w:sz w:val="24"/>
          <w:szCs w:val="24"/>
          <w:highlight w:val="none"/>
          <w:lang w:val="en-US" w:eastAsia="zh-CN"/>
        </w:rPr>
      </w:pPr>
      <w:bookmarkStart w:id="16" w:name="_Toc15591"/>
      <w:bookmarkStart w:id="17" w:name="_Toc4625"/>
      <w:bookmarkStart w:id="18" w:name="_Toc11459"/>
      <w:bookmarkStart w:id="19" w:name="_Toc16654"/>
      <w:r>
        <w:rPr>
          <w:rFonts w:hint="eastAsia" w:ascii="仿宋" w:hAnsi="仿宋" w:eastAsia="仿宋" w:cs="仿宋"/>
          <w:bCs/>
          <w:color w:val="auto"/>
          <w:sz w:val="24"/>
          <w:szCs w:val="24"/>
          <w:highlight w:val="none"/>
          <w:lang w:val="en-US" w:eastAsia="zh-CN"/>
        </w:rPr>
        <w:t>3.2线上报价要求：按本项目规定的时间在“行采家（https://www.gec123.com/）”进行网上报价，未在规定时间内报价的投标人不具备竞标资格。</w:t>
      </w:r>
      <w:bookmarkEnd w:id="16"/>
      <w:bookmarkEnd w:id="17"/>
      <w:bookmarkEnd w:id="18"/>
    </w:p>
    <w:p w14:paraId="7BE5C789">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注：线上报价时，按平台要求进行报价和上传投标文件，平台会收取相应的平台保证金，平台保证金收取及退还相关问题请各潜在投标人报价前自行咨询平台客服</w:t>
      </w:r>
      <w:bookmarkStart w:id="170" w:name="_GoBack"/>
      <w:bookmarkEnd w:id="170"/>
      <w:r>
        <w:rPr>
          <w:rFonts w:hint="eastAsia" w:ascii="仿宋" w:hAnsi="仿宋" w:eastAsia="仿宋" w:cs="仿宋"/>
          <w:bCs/>
          <w:color w:val="auto"/>
          <w:sz w:val="24"/>
          <w:szCs w:val="24"/>
          <w:highlight w:val="none"/>
          <w:lang w:val="en-US" w:eastAsia="zh-CN"/>
        </w:rPr>
        <w:t>，此费用与投标保证金无关。</w:t>
      </w:r>
    </w:p>
    <w:p w14:paraId="0584B104">
      <w:pPr>
        <w:spacing w:line="44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4.线下投标</w:t>
      </w:r>
    </w:p>
    <w:p w14:paraId="18442891">
      <w:pPr>
        <w:spacing w:line="440" w:lineRule="exact"/>
        <w:ind w:firstLine="480" w:firstLineChars="200"/>
        <w:rPr>
          <w:rFonts w:hint="eastAsia" w:ascii="仿宋" w:hAnsi="仿宋" w:eastAsia="仿宋" w:cs="仿宋"/>
          <w:bCs/>
          <w:color w:val="auto"/>
          <w:sz w:val="24"/>
          <w:szCs w:val="24"/>
          <w:highlight w:val="none"/>
          <w:lang w:val="en-US" w:eastAsia="zh-CN"/>
        </w:rPr>
      </w:pPr>
      <w:bookmarkStart w:id="20" w:name="_Toc17982"/>
      <w:bookmarkStart w:id="21" w:name="_Toc24480"/>
      <w:bookmarkStart w:id="22" w:name="_Toc25543"/>
      <w:r>
        <w:rPr>
          <w:rFonts w:hint="eastAsia" w:ascii="仿宋" w:hAnsi="仿宋" w:eastAsia="仿宋" w:cs="仿宋"/>
          <w:bCs/>
          <w:color w:val="auto"/>
          <w:sz w:val="24"/>
          <w:szCs w:val="24"/>
          <w:highlight w:val="none"/>
          <w:lang w:val="en-US" w:eastAsia="zh-CN"/>
        </w:rPr>
        <w:t>4.1线下递交投标文件开始时间：2025年 7 月 18  日14时30分（北京时间）</w:t>
      </w:r>
      <w:bookmarkEnd w:id="19"/>
      <w:r>
        <w:rPr>
          <w:rFonts w:hint="eastAsia" w:ascii="仿宋" w:hAnsi="仿宋" w:eastAsia="仿宋" w:cs="仿宋"/>
          <w:bCs/>
          <w:color w:val="auto"/>
          <w:sz w:val="24"/>
          <w:szCs w:val="24"/>
          <w:highlight w:val="none"/>
          <w:lang w:val="en-US" w:eastAsia="zh-CN"/>
        </w:rPr>
        <w:t>。</w:t>
      </w:r>
      <w:bookmarkEnd w:id="20"/>
      <w:bookmarkEnd w:id="21"/>
      <w:bookmarkEnd w:id="22"/>
    </w:p>
    <w:p w14:paraId="0724FB4D">
      <w:pPr>
        <w:spacing w:line="440" w:lineRule="exact"/>
        <w:ind w:firstLine="480" w:firstLineChars="200"/>
        <w:rPr>
          <w:rFonts w:hint="eastAsia" w:ascii="仿宋" w:hAnsi="仿宋" w:eastAsia="仿宋" w:cs="仿宋"/>
          <w:bCs/>
          <w:color w:val="auto"/>
          <w:sz w:val="24"/>
          <w:szCs w:val="24"/>
          <w:highlight w:val="none"/>
          <w:lang w:val="en-US" w:eastAsia="zh-CN"/>
        </w:rPr>
      </w:pPr>
      <w:bookmarkStart w:id="23" w:name="_Toc14504"/>
      <w:bookmarkStart w:id="24" w:name="_Toc15349"/>
      <w:bookmarkStart w:id="25" w:name="_Toc535"/>
      <w:bookmarkStart w:id="26" w:name="_Toc29361"/>
      <w:r>
        <w:rPr>
          <w:rFonts w:hint="eastAsia" w:ascii="仿宋" w:hAnsi="仿宋" w:eastAsia="仿宋" w:cs="仿宋"/>
          <w:bCs/>
          <w:color w:val="auto"/>
          <w:sz w:val="24"/>
          <w:szCs w:val="24"/>
          <w:highlight w:val="none"/>
          <w:lang w:val="en-US" w:eastAsia="zh-CN"/>
        </w:rPr>
        <w:t>4.2线下递交投标文件截止时间：2025年 7月  18  日15时00分（北京时间）。</w:t>
      </w:r>
      <w:bookmarkEnd w:id="23"/>
      <w:bookmarkEnd w:id="24"/>
      <w:bookmarkEnd w:id="25"/>
      <w:bookmarkEnd w:id="26"/>
    </w:p>
    <w:p w14:paraId="71C032ED">
      <w:pPr>
        <w:spacing w:line="440" w:lineRule="exact"/>
        <w:ind w:firstLine="480" w:firstLineChars="200"/>
        <w:rPr>
          <w:rFonts w:hint="eastAsia" w:ascii="仿宋" w:hAnsi="仿宋" w:eastAsia="仿宋" w:cs="仿宋"/>
          <w:bCs/>
          <w:color w:val="auto"/>
          <w:sz w:val="24"/>
          <w:szCs w:val="24"/>
          <w:highlight w:val="none"/>
          <w:lang w:val="en-US" w:eastAsia="zh-CN"/>
        </w:rPr>
      </w:pPr>
      <w:bookmarkStart w:id="27" w:name="_Toc22533"/>
      <w:bookmarkStart w:id="28" w:name="_Toc10721"/>
      <w:bookmarkStart w:id="29" w:name="_Toc2154"/>
      <w:bookmarkStart w:id="30" w:name="_Toc21759"/>
      <w:r>
        <w:rPr>
          <w:rFonts w:hint="eastAsia" w:ascii="仿宋" w:hAnsi="仿宋" w:eastAsia="仿宋" w:cs="仿宋"/>
          <w:bCs/>
          <w:color w:val="auto"/>
          <w:sz w:val="24"/>
          <w:szCs w:val="24"/>
          <w:highlight w:val="none"/>
          <w:lang w:val="en-US" w:eastAsia="zh-CN"/>
        </w:rPr>
        <w:t>4.3线下开标时间：2025年7 月  18 日15时00分（北京时间）。</w:t>
      </w:r>
      <w:bookmarkEnd w:id="27"/>
      <w:bookmarkEnd w:id="28"/>
      <w:bookmarkEnd w:id="29"/>
      <w:bookmarkEnd w:id="30"/>
    </w:p>
    <w:p w14:paraId="246E9CAA">
      <w:pPr>
        <w:spacing w:line="440" w:lineRule="exact"/>
        <w:ind w:firstLine="480" w:firstLineChars="200"/>
        <w:rPr>
          <w:rFonts w:hint="default" w:ascii="仿宋" w:hAnsi="仿宋" w:eastAsia="仿宋" w:cs="仿宋"/>
          <w:bCs/>
          <w:color w:val="auto"/>
          <w:sz w:val="24"/>
          <w:szCs w:val="24"/>
          <w:highlight w:val="none"/>
          <w:lang w:val="en-US" w:eastAsia="zh-CN"/>
        </w:rPr>
      </w:pPr>
      <w:bookmarkStart w:id="31" w:name="_Toc30776"/>
      <w:bookmarkStart w:id="32" w:name="_Toc27602"/>
      <w:bookmarkStart w:id="33" w:name="_Toc12770"/>
      <w:bookmarkStart w:id="34" w:name="_Toc10990"/>
      <w:r>
        <w:rPr>
          <w:rFonts w:hint="eastAsia" w:ascii="仿宋" w:hAnsi="仿宋" w:eastAsia="仿宋" w:cs="仿宋"/>
          <w:bCs/>
          <w:color w:val="auto"/>
          <w:sz w:val="24"/>
          <w:szCs w:val="24"/>
          <w:highlight w:val="none"/>
          <w:lang w:val="en-US" w:eastAsia="zh-CN"/>
        </w:rPr>
        <w:t>4.4线下投标和开标地点：</w:t>
      </w:r>
      <w:bookmarkEnd w:id="31"/>
      <w:r>
        <w:rPr>
          <w:rFonts w:hint="eastAsia" w:ascii="仿宋" w:hAnsi="仿宋" w:eastAsia="仿宋" w:cs="仿宋"/>
          <w:bCs/>
          <w:color w:val="auto"/>
          <w:sz w:val="24"/>
          <w:szCs w:val="24"/>
          <w:highlight w:val="none"/>
          <w:lang w:val="en-US" w:eastAsia="zh-CN"/>
        </w:rPr>
        <w:t>重庆市大足区</w:t>
      </w:r>
      <w:bookmarkEnd w:id="32"/>
      <w:bookmarkEnd w:id="33"/>
      <w:bookmarkEnd w:id="34"/>
      <w:r>
        <w:rPr>
          <w:rFonts w:hint="eastAsia" w:ascii="仿宋" w:hAnsi="仿宋" w:eastAsia="仿宋" w:cs="仿宋"/>
          <w:bCs/>
          <w:color w:val="auto"/>
          <w:sz w:val="24"/>
          <w:szCs w:val="24"/>
          <w:highlight w:val="none"/>
          <w:lang w:val="en-US" w:eastAsia="zh-CN"/>
        </w:rPr>
        <w:t>棠香街道龙南路13号2-1</w:t>
      </w:r>
    </w:p>
    <w:p w14:paraId="361124A1">
      <w:pPr>
        <w:spacing w:line="440" w:lineRule="exact"/>
        <w:ind w:firstLine="480" w:firstLineChars="200"/>
        <w:rPr>
          <w:rFonts w:hint="eastAsia" w:ascii="仿宋" w:hAnsi="仿宋" w:eastAsia="仿宋" w:cs="仿宋"/>
          <w:bCs/>
          <w:color w:val="auto"/>
          <w:sz w:val="24"/>
          <w:szCs w:val="24"/>
          <w:highlight w:val="none"/>
          <w:lang w:val="en-US" w:eastAsia="zh-CN"/>
        </w:rPr>
      </w:pPr>
      <w:bookmarkStart w:id="35" w:name="_Toc12131"/>
      <w:bookmarkStart w:id="36" w:name="_Toc26863"/>
      <w:bookmarkStart w:id="37" w:name="_Toc6579"/>
      <w:bookmarkStart w:id="38" w:name="_Toc29851"/>
      <w:r>
        <w:rPr>
          <w:rFonts w:hint="eastAsia" w:ascii="仿宋" w:hAnsi="仿宋" w:eastAsia="仿宋" w:cs="仿宋"/>
          <w:bCs/>
          <w:color w:val="auto"/>
          <w:sz w:val="24"/>
          <w:szCs w:val="24"/>
          <w:highlight w:val="none"/>
          <w:lang w:val="en-US" w:eastAsia="zh-CN"/>
        </w:rPr>
        <w:t>逾期送达的、未送达指定地点的或者不按照招标文件要求密封的投标文件，招标人将予以拒收。</w:t>
      </w:r>
      <w:bookmarkEnd w:id="35"/>
      <w:bookmarkEnd w:id="36"/>
      <w:bookmarkEnd w:id="37"/>
      <w:bookmarkEnd w:id="38"/>
    </w:p>
    <w:p w14:paraId="79D3A082">
      <w:pPr>
        <w:pStyle w:val="5"/>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9" w:name="_Toc19355"/>
      <w:bookmarkStart w:id="40" w:name="_Toc31768"/>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保证金</w:t>
      </w:r>
      <w:bookmarkEnd w:id="12"/>
      <w:bookmarkEnd w:id="39"/>
      <w:bookmarkEnd w:id="40"/>
    </w:p>
    <w:p w14:paraId="301D09EC">
      <w:pPr>
        <w:spacing w:line="440" w:lineRule="exact"/>
        <w:ind w:firstLine="480" w:firstLineChars="200"/>
        <w:rPr>
          <w:rFonts w:hint="eastAsia" w:ascii="仿宋" w:hAnsi="仿宋" w:eastAsia="仿宋" w:cs="仿宋"/>
          <w:color w:val="auto"/>
          <w:sz w:val="24"/>
          <w:szCs w:val="24"/>
          <w:highlight w:val="none"/>
        </w:rPr>
      </w:pPr>
      <w:bookmarkStart w:id="41" w:name="_Toc1037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应足额缴纳投标保证金（投标保证金金额详见本篇，一、招标项目内容），并汇至所投</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对应的的账号上，投标保证金的到账截止时间</w:t>
      </w:r>
      <w:r>
        <w:rPr>
          <w:rFonts w:hint="eastAsia" w:ascii="仿宋" w:hAnsi="仿宋" w:eastAsia="仿宋" w:cs="仿宋"/>
          <w:color w:val="auto"/>
          <w:sz w:val="24"/>
          <w:szCs w:val="24"/>
          <w:highlight w:val="none"/>
          <w:lang w:val="en-US" w:eastAsia="zh-CN"/>
        </w:rPr>
        <w:t>同</w:t>
      </w:r>
      <w:r>
        <w:rPr>
          <w:rFonts w:hint="eastAsia" w:ascii="仿宋" w:hAnsi="仿宋" w:eastAsia="仿宋" w:cs="仿宋"/>
          <w:color w:val="auto"/>
          <w:sz w:val="24"/>
          <w:szCs w:val="24"/>
          <w:highlight w:val="none"/>
        </w:rPr>
        <w:t>投标文件递交截止时间。</w:t>
      </w:r>
    </w:p>
    <w:p w14:paraId="6DE6F92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应按照项目账户递交保证金。</w:t>
      </w:r>
    </w:p>
    <w:p w14:paraId="3FEB7F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eastAsia="zh-CN"/>
        </w:rPr>
        <w:t>重庆方郡建设工程咨询有限公司大足分公司</w:t>
      </w:r>
      <w:r>
        <w:rPr>
          <w:rFonts w:hint="eastAsia" w:ascii="仿宋" w:hAnsi="仿宋" w:eastAsia="仿宋" w:cs="仿宋"/>
          <w:color w:val="auto"/>
          <w:sz w:val="24"/>
          <w:szCs w:val="24"/>
          <w:highlight w:val="none"/>
        </w:rPr>
        <w:t xml:space="preserve"> </w:t>
      </w:r>
    </w:p>
    <w:p w14:paraId="6DF6C604">
      <w:pPr>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开户行：中国建设银行股份有限公司大足支行</w:t>
      </w:r>
    </w:p>
    <w:p w14:paraId="187DDDAD">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号：50050100434100000904</w:t>
      </w:r>
    </w:p>
    <w:p w14:paraId="254F3D92">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在银行转账（电汇）时，须充分考虑银行转账（电汇）的时间差风险，如同城转账、异地转账或汇款、跨行转账或电汇的时间要求。</w:t>
      </w:r>
    </w:p>
    <w:p w14:paraId="61D242C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在缴纳投标保证金时，到款账户为上述指定的投标保证金专用账户。</w:t>
      </w:r>
    </w:p>
    <w:p w14:paraId="42B2106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）保证金退还方式</w:t>
      </w:r>
    </w:p>
    <w:p w14:paraId="22B61EB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1.未中标投标人的投标保证金，自中标通知书发出之日起5个工作日内，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p w14:paraId="2271E12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2.中标人的投标保证金，自采购合同签订之日起5个工作日内，</w:t>
      </w:r>
      <w:r>
        <w:rPr>
          <w:rFonts w:hint="eastAsia" w:ascii="仿宋" w:hAnsi="仿宋" w:eastAsia="仿宋" w:cs="仿宋"/>
          <w:color w:val="auto"/>
          <w:sz w:val="24"/>
          <w:szCs w:val="24"/>
          <w:highlight w:val="none"/>
          <w:lang w:bidi="ar"/>
        </w:rPr>
        <w:t>招标代理公司</w:t>
      </w:r>
      <w:r>
        <w:rPr>
          <w:rFonts w:hint="eastAsia" w:ascii="仿宋" w:hAnsi="仿宋" w:eastAsia="仿宋" w:cs="仿宋"/>
          <w:color w:val="auto"/>
          <w:sz w:val="24"/>
          <w:szCs w:val="24"/>
          <w:highlight w:val="none"/>
        </w:rPr>
        <w:t>按资金来款渠道直接退还。</w:t>
      </w:r>
    </w:p>
    <w:bookmarkEnd w:id="41"/>
    <w:p w14:paraId="110A5DF3">
      <w:pPr>
        <w:pStyle w:val="5"/>
        <w:spacing w:before="0" w:after="0" w:line="400" w:lineRule="exact"/>
        <w:ind w:firstLine="481"/>
        <w:rPr>
          <w:rFonts w:hint="eastAsia" w:ascii="仿宋" w:hAnsi="仿宋" w:eastAsia="仿宋" w:cs="仿宋"/>
          <w:color w:val="auto"/>
          <w:sz w:val="24"/>
          <w:szCs w:val="24"/>
          <w:highlight w:val="none"/>
        </w:rPr>
      </w:pPr>
      <w:bookmarkStart w:id="42" w:name="_Toc26067"/>
      <w:bookmarkStart w:id="43" w:name="_Toc19330"/>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、其它有关规定</w:t>
      </w:r>
      <w:bookmarkEnd w:id="42"/>
      <w:bookmarkEnd w:id="43"/>
    </w:p>
    <w:p w14:paraId="486ECB5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（一）单位负责人为同一人或者存在直接控股、管理关系的不同供应商，不得参加同一合同项（分包）下的政府采购活动，否则均为无效响应。</w:t>
      </w:r>
    </w:p>
    <w:p w14:paraId="0604279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41B3BF2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（三）本项目的补遗文件（如果有）一律在行采家网上发布，请各投标人注意下载或到采购代理机构领取；无论投标人下载或领取与否，均视同投标人已知晓本项目补遗文件的内容。</w:t>
      </w:r>
    </w:p>
    <w:p w14:paraId="7A43AF2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0339DC6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的所有费用均应由供应商自行承担。</w:t>
      </w:r>
    </w:p>
    <w:p w14:paraId="7A5F75E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（六）列入失信被执行人、重大税收违法案件当事人名单、政府采购严重违法失信行为记录名单等及其他不符合《中华人民共和国政府采购法》第二十二条规定条件的供应商，将拒绝其参与政府采购活动。</w:t>
      </w:r>
    </w:p>
    <w:p w14:paraId="3A32E945">
      <w:pPr>
        <w:pStyle w:val="5"/>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4" w:name="_Toc4573"/>
      <w:bookmarkStart w:id="45" w:name="_Toc7396"/>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bookmarkEnd w:id="44"/>
      <w:bookmarkEnd w:id="45"/>
    </w:p>
    <w:p w14:paraId="4D9252CB">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重庆市大足区生态环境局</w:t>
      </w:r>
    </w:p>
    <w:p w14:paraId="6CAE96D8">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胡</w:t>
      </w:r>
      <w:r>
        <w:rPr>
          <w:rFonts w:hint="eastAsia" w:ascii="仿宋" w:hAnsi="仿宋" w:eastAsia="仿宋" w:cs="仿宋"/>
          <w:color w:val="auto"/>
          <w:sz w:val="24"/>
          <w:szCs w:val="24"/>
          <w:highlight w:val="none"/>
          <w:lang w:val="en-US" w:eastAsia="zh-CN"/>
        </w:rPr>
        <w:t>老师</w:t>
      </w:r>
    </w:p>
    <w:p w14:paraId="4B5E88D6">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19923802285</w:t>
      </w:r>
    </w:p>
    <w:p w14:paraId="36229D30">
      <w:pPr>
        <w:snapToGrid w:val="0"/>
        <w:spacing w:line="400" w:lineRule="exact"/>
        <w:ind w:firstLine="480" w:firstLineChars="200"/>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重庆市大足区五星大道中段24号</w:t>
      </w:r>
    </w:p>
    <w:p w14:paraId="21D183EB">
      <w:pPr>
        <w:rPr>
          <w:rFonts w:hint="eastAsia" w:ascii="仿宋" w:hAnsi="仿宋" w:eastAsia="仿宋" w:cs="仿宋"/>
          <w:color w:val="auto"/>
          <w:sz w:val="24"/>
          <w:szCs w:val="24"/>
          <w:highlight w:val="none"/>
        </w:rPr>
      </w:pPr>
    </w:p>
    <w:p w14:paraId="3E5BE498">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重庆方郡建设工程咨询有限公司</w:t>
      </w:r>
    </w:p>
    <w:p w14:paraId="4876F88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蒲</w:t>
      </w:r>
      <w:r>
        <w:rPr>
          <w:rFonts w:hint="eastAsia" w:ascii="仿宋" w:hAnsi="仿宋" w:eastAsia="仿宋" w:cs="仿宋"/>
          <w:color w:val="auto"/>
          <w:sz w:val="24"/>
          <w:szCs w:val="24"/>
          <w:highlight w:val="none"/>
        </w:rPr>
        <w:t>老师</w:t>
      </w:r>
    </w:p>
    <w:p w14:paraId="1FDE7F90">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话：17783067066</w:t>
      </w:r>
    </w:p>
    <w:p w14:paraId="7C3E8F4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址：重庆市北部新区洪湖西路18号上峰上座15楼</w:t>
      </w:r>
    </w:p>
    <w:p w14:paraId="115A94B6">
      <w:pPr>
        <w:rPr>
          <w:rFonts w:hint="eastAsia" w:ascii="仿宋" w:hAnsi="仿宋" w:eastAsia="仿宋" w:cs="仿宋"/>
          <w:b w:val="0"/>
          <w:color w:val="auto"/>
          <w:sz w:val="24"/>
          <w:szCs w:val="24"/>
          <w:highlight w:val="none"/>
        </w:rPr>
      </w:pPr>
    </w:p>
    <w:p w14:paraId="06268280">
      <w:pPr>
        <w:ind w:firstLine="1920" w:firstLineChars="800"/>
        <w:rPr>
          <w:rFonts w:hint="eastAsia" w:ascii="仿宋" w:hAnsi="仿宋" w:eastAsia="仿宋" w:cs="仿宋"/>
          <w:b w:val="0"/>
          <w:color w:val="auto"/>
          <w:sz w:val="24"/>
          <w:szCs w:val="24"/>
          <w:highlight w:val="none"/>
        </w:rPr>
      </w:pPr>
    </w:p>
    <w:p w14:paraId="14907183">
      <w:pPr>
        <w:ind w:firstLine="1920" w:firstLineChars="800"/>
        <w:rPr>
          <w:rFonts w:hint="eastAsia" w:ascii="仿宋" w:hAnsi="仿宋" w:eastAsia="仿宋" w:cs="仿宋"/>
          <w:b w:val="0"/>
          <w:color w:val="auto"/>
          <w:sz w:val="24"/>
          <w:szCs w:val="24"/>
          <w:highlight w:val="none"/>
        </w:rPr>
      </w:pPr>
    </w:p>
    <w:p w14:paraId="60069532">
      <w:pPr>
        <w:ind w:firstLine="1920" w:firstLineChars="800"/>
        <w:rPr>
          <w:rFonts w:hint="eastAsia" w:ascii="仿宋" w:hAnsi="仿宋" w:eastAsia="仿宋" w:cs="仿宋"/>
          <w:b w:val="0"/>
          <w:color w:val="auto"/>
          <w:sz w:val="24"/>
          <w:szCs w:val="24"/>
          <w:highlight w:val="none"/>
        </w:rPr>
      </w:pPr>
    </w:p>
    <w:p w14:paraId="2F60D969">
      <w:pPr>
        <w:ind w:firstLine="1920" w:firstLineChars="800"/>
        <w:rPr>
          <w:rFonts w:hint="eastAsia" w:ascii="仿宋" w:hAnsi="仿宋" w:eastAsia="仿宋" w:cs="仿宋"/>
          <w:b w:val="0"/>
          <w:color w:val="auto"/>
          <w:sz w:val="24"/>
          <w:szCs w:val="24"/>
          <w:highlight w:val="none"/>
        </w:rPr>
      </w:pPr>
    </w:p>
    <w:p w14:paraId="3F399E54">
      <w:pPr>
        <w:rPr>
          <w:rFonts w:hint="eastAsia" w:ascii="仿宋" w:hAnsi="仿宋" w:eastAsia="仿宋" w:cs="仿宋"/>
          <w:b w:val="0"/>
          <w:color w:val="auto"/>
          <w:sz w:val="24"/>
          <w:szCs w:val="24"/>
          <w:highlight w:val="none"/>
        </w:rPr>
      </w:pPr>
    </w:p>
    <w:p w14:paraId="6BA70A15">
      <w:pPr>
        <w:ind w:firstLine="1920" w:firstLineChars="800"/>
        <w:rPr>
          <w:rFonts w:hint="eastAsia" w:ascii="仿宋" w:hAnsi="仿宋" w:eastAsia="仿宋" w:cs="仿宋"/>
          <w:b w:val="0"/>
          <w:color w:val="auto"/>
          <w:sz w:val="24"/>
          <w:szCs w:val="24"/>
          <w:highlight w:val="none"/>
        </w:rPr>
      </w:pPr>
    </w:p>
    <w:p w14:paraId="7AFF17E5">
      <w:pPr>
        <w:pStyle w:val="4"/>
        <w:spacing w:line="360" w:lineRule="auto"/>
        <w:jc w:val="center"/>
        <w:rPr>
          <w:rFonts w:hint="eastAsia" w:ascii="仿宋" w:hAnsi="仿宋" w:eastAsia="仿宋" w:cs="仿宋"/>
          <w:b/>
          <w:bCs/>
          <w:color w:val="auto"/>
          <w:sz w:val="28"/>
          <w:szCs w:val="28"/>
          <w:highlight w:val="none"/>
          <w:lang w:eastAsia="zh-CN"/>
        </w:rPr>
      </w:pPr>
      <w:bookmarkStart w:id="46" w:name="_Toc21772"/>
      <w:r>
        <w:rPr>
          <w:rFonts w:hint="eastAsia" w:ascii="仿宋" w:hAnsi="仿宋" w:eastAsia="仿宋" w:cs="仿宋"/>
          <w:b/>
          <w:bCs/>
          <w:color w:val="auto"/>
          <w:sz w:val="28"/>
          <w:szCs w:val="28"/>
          <w:highlight w:val="none"/>
        </w:rPr>
        <w:t xml:space="preserve">第二篇  </w:t>
      </w:r>
      <w:r>
        <w:rPr>
          <w:rFonts w:hint="eastAsia" w:ascii="仿宋" w:hAnsi="仿宋" w:eastAsia="仿宋" w:cs="仿宋"/>
          <w:b/>
          <w:bCs/>
          <w:color w:val="auto"/>
          <w:sz w:val="28"/>
          <w:szCs w:val="28"/>
          <w:highlight w:val="none"/>
          <w:lang w:eastAsia="zh-CN"/>
        </w:rPr>
        <w:t>项目服务需求</w:t>
      </w:r>
      <w:bookmarkEnd w:id="46"/>
    </w:p>
    <w:p w14:paraId="7C7728B4">
      <w:pPr>
        <w:snapToGrid w:val="0"/>
        <w:spacing w:line="360" w:lineRule="auto"/>
        <w:rPr>
          <w:rFonts w:hint="eastAsia" w:ascii="仿宋" w:hAnsi="仿宋" w:eastAsia="仿宋" w:cs="仿宋"/>
          <w:b/>
          <w:color w:val="auto"/>
          <w:sz w:val="24"/>
          <w:szCs w:val="24"/>
          <w:highlight w:val="none"/>
          <w:lang w:eastAsia="zh-CN"/>
        </w:rPr>
      </w:pPr>
      <w:bookmarkStart w:id="47" w:name="_Toc344475116"/>
      <w:bookmarkStart w:id="48" w:name="_Toc313536013"/>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47"/>
      <w:bookmarkEnd w:id="48"/>
      <w:r>
        <w:rPr>
          <w:rFonts w:hint="eastAsia" w:ascii="仿宋" w:hAnsi="仿宋" w:eastAsia="仿宋" w:cs="仿宋"/>
          <w:b/>
          <w:color w:val="auto"/>
          <w:sz w:val="24"/>
          <w:szCs w:val="24"/>
          <w:highlight w:val="none"/>
          <w:lang w:eastAsia="zh-CN"/>
        </w:rPr>
        <w:t>项目概况</w:t>
      </w:r>
    </w:p>
    <w:p w14:paraId="15D60F86">
      <w:pPr>
        <w:keepNext w:val="0"/>
        <w:keepLines w:val="0"/>
        <w:widowControl/>
        <w:suppressLineNumbers w:val="0"/>
        <w:spacing w:line="360" w:lineRule="auto"/>
        <w:jc w:val="left"/>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 xml:space="preserve"> </w:t>
      </w:r>
      <w:r>
        <w:rPr>
          <w:rFonts w:hint="eastAsia" w:ascii="仿宋" w:hAnsi="仿宋" w:eastAsia="仿宋" w:cs="仿宋"/>
          <w:i w:val="0"/>
          <w:iCs w:val="0"/>
          <w:color w:val="auto"/>
          <w:kern w:val="2"/>
          <w:sz w:val="24"/>
          <w:szCs w:val="24"/>
          <w:highlight w:val="none"/>
          <w:u w:val="none"/>
          <w:lang w:val="en-US" w:eastAsia="zh-CN" w:bidi="ar-SA"/>
        </w:rPr>
        <w:t xml:space="preserve"> </w:t>
      </w:r>
      <w:r>
        <w:rPr>
          <w:rFonts w:hint="eastAsia" w:ascii="仿宋" w:hAnsi="仿宋" w:eastAsia="仿宋" w:cs="仿宋"/>
          <w:i w:val="0"/>
          <w:iCs w:val="0"/>
          <w:color w:val="auto"/>
          <w:kern w:val="2"/>
          <w:sz w:val="24"/>
          <w:szCs w:val="24"/>
          <w:highlight w:val="none"/>
          <w:u w:val="none"/>
          <w:lang w:val="en-US" w:eastAsia="zh-CN" w:bidi="ar-SA"/>
        </w:rPr>
        <w:t xml:space="preserve"> 为进一步改善大足区颗粒物空气质量，对站点周边进行摸排，对周围环境进行一个细致的梳理，从根源出发，发现站点附近的污染源并提出有效的解决方案。一是安排专人对每日数据进行定时观察和统计，二是对站房周边进行细致摸排后，结合数据高值阶段，对产生高值数据可疑的污染点位架设比对设备，监测完成后出具监测比对报告，报告内容包含数据偏差性和周边污染情况调研并提出相应的解决方案。</w:t>
      </w:r>
    </w:p>
    <w:p w14:paraId="30F76DB4">
      <w:pPr>
        <w:snapToGrid w:val="0"/>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二、项目服务内容及要求</w:t>
      </w:r>
    </w:p>
    <w:p w14:paraId="579CB98C">
      <w:pPr>
        <w:pStyle w:val="39"/>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1.保证监测设备精密度、运行维护等方面需达到国家、省、市空气质量标准考核站要求。</w:t>
      </w:r>
    </w:p>
    <w:p w14:paraId="78E7C368">
      <w:pPr>
        <w:pStyle w:val="39"/>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2.需要在国控站点周边1公里范围内挑选三处工况适宜的地点，共计三处地点各架设一台PM2.5在线监测设备，要求测算15天以上有效数据，监测方法要求满足《环境空气颗粒物 (PM10和PM2.5)连续自动监测系统技术要求及检测方法》(HJ 653)，并出具比对监测报告,根据比对结果测算评估国控站点PM2.5的数据准确度和有效性。</w:t>
      </w:r>
    </w:p>
    <w:p w14:paraId="32696338">
      <w:pPr>
        <w:pStyle w:val="39"/>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3.建立完善的质量管理体系，保证比对监测服务质量并配备满足项目需求的手工比对服务人员。</w:t>
      </w:r>
    </w:p>
    <w:p w14:paraId="5298A7FF">
      <w:pPr>
        <w:pStyle w:val="39"/>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4.在编制过程中，如果国家有关部门颁布了新的技术标准或规范，供应商应采用新的标准和规范进行编制。</w:t>
      </w:r>
    </w:p>
    <w:p w14:paraId="0E060CA5">
      <w:pPr>
        <w:pStyle w:val="39"/>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5.符合国家及重庆市主管部门颁发的现行有关政策、法律、法规、规程、规范和标准等，并通过上级主管部门审查。</w:t>
      </w:r>
    </w:p>
    <w:p w14:paraId="3A2948E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br w:type="page"/>
      </w:r>
    </w:p>
    <w:p w14:paraId="791006FA">
      <w:pPr>
        <w:pStyle w:val="4"/>
        <w:spacing w:line="360" w:lineRule="auto"/>
        <w:jc w:val="center"/>
        <w:rPr>
          <w:rFonts w:hint="eastAsia" w:ascii="仿宋" w:hAnsi="仿宋" w:eastAsia="仿宋" w:cs="仿宋"/>
          <w:b/>
          <w:bCs/>
          <w:color w:val="auto"/>
          <w:sz w:val="28"/>
          <w:szCs w:val="28"/>
          <w:highlight w:val="none"/>
        </w:rPr>
      </w:pPr>
      <w:bookmarkStart w:id="49" w:name="_Toc9757"/>
      <w:r>
        <w:rPr>
          <w:rFonts w:hint="eastAsia" w:ascii="仿宋" w:hAnsi="仿宋" w:eastAsia="仿宋" w:cs="仿宋"/>
          <w:b/>
          <w:bCs/>
          <w:color w:val="auto"/>
          <w:sz w:val="28"/>
          <w:szCs w:val="28"/>
          <w:highlight w:val="none"/>
        </w:rPr>
        <w:t>第三篇  项目商务需求</w:t>
      </w:r>
      <w:bookmarkEnd w:id="49"/>
    </w:p>
    <w:p w14:paraId="73CE39F2">
      <w:pPr>
        <w:pStyle w:val="5"/>
        <w:spacing w:before="0" w:after="0" w:line="360" w:lineRule="auto"/>
        <w:rPr>
          <w:rFonts w:hint="eastAsia" w:ascii="仿宋" w:hAnsi="仿宋" w:eastAsia="仿宋" w:cs="仿宋"/>
          <w:color w:val="auto"/>
          <w:sz w:val="24"/>
          <w:szCs w:val="24"/>
          <w:highlight w:val="none"/>
        </w:rPr>
      </w:pPr>
      <w:bookmarkStart w:id="50" w:name="_Toc344475120"/>
      <w:r>
        <w:rPr>
          <w:rFonts w:hint="eastAsia" w:ascii="仿宋" w:hAnsi="仿宋" w:eastAsia="仿宋" w:cs="仿宋"/>
          <w:color w:val="auto"/>
          <w:sz w:val="24"/>
          <w:szCs w:val="24"/>
          <w:highlight w:val="none"/>
        </w:rPr>
        <w:t xml:space="preserve">  </w:t>
      </w:r>
      <w:bookmarkEnd w:id="50"/>
      <w:bookmarkStart w:id="51" w:name="_Toc31648"/>
      <w:bookmarkStart w:id="52" w:name="_Toc12209"/>
      <w:bookmarkStart w:id="53" w:name="_Toc28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rPr>
        <w:t>、地点及验收方式</w:t>
      </w:r>
      <w:bookmarkEnd w:id="51"/>
      <w:bookmarkEnd w:id="52"/>
      <w:bookmarkEnd w:id="53"/>
    </w:p>
    <w:p w14:paraId="6D242B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rPr>
        <w:t>：</w:t>
      </w:r>
    </w:p>
    <w:p w14:paraId="2D5EEC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日历天。</w:t>
      </w:r>
    </w:p>
    <w:p w14:paraId="0A7B9C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（二）服务地点：采购人指定地点。</w:t>
      </w:r>
    </w:p>
    <w:p w14:paraId="2286D22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（三）</w:t>
      </w:r>
      <w:bookmarkStart w:id="54" w:name="_Toc10451"/>
      <w:bookmarkStart w:id="55" w:name="_Toc344475121"/>
      <w:r>
        <w:rPr>
          <w:rFonts w:hint="eastAsia" w:ascii="仿宋" w:hAnsi="仿宋" w:eastAsia="仿宋" w:cs="仿宋"/>
          <w:color w:val="auto"/>
          <w:sz w:val="24"/>
          <w:szCs w:val="24"/>
          <w:highlight w:val="none"/>
        </w:rPr>
        <w:t>验收方式：</w:t>
      </w:r>
      <w:r>
        <w:rPr>
          <w:rFonts w:hint="eastAsia" w:ascii="仿宋" w:hAnsi="仿宋" w:eastAsia="仿宋" w:cs="仿宋"/>
          <w:color w:val="auto"/>
          <w:kern w:val="2"/>
          <w:sz w:val="24"/>
          <w:szCs w:val="24"/>
          <w:highlight w:val="none"/>
          <w:lang w:val="zh-CN" w:eastAsia="zh-CN" w:bidi="ar-SA"/>
        </w:rPr>
        <w:t>按照采购文件的内容及要求、供应商的响应文件及承诺以及合同约定标准进行验收。</w:t>
      </w:r>
    </w:p>
    <w:bookmarkEnd w:id="54"/>
    <w:bookmarkEnd w:id="55"/>
    <w:p w14:paraId="242363FC">
      <w:pPr>
        <w:pStyle w:val="11"/>
        <w:spacing w:line="360" w:lineRule="auto"/>
        <w:ind w:firstLine="482" w:firstLineChars="200"/>
        <w:rPr>
          <w:rFonts w:hint="eastAsia" w:ascii="仿宋" w:hAnsi="仿宋" w:eastAsia="仿宋" w:cs="仿宋"/>
          <w:b/>
          <w:bCs/>
          <w:color w:val="auto"/>
          <w:sz w:val="24"/>
          <w:szCs w:val="24"/>
          <w:highlight w:val="none"/>
        </w:rPr>
      </w:pPr>
      <w:bookmarkStart w:id="56" w:name="_Toc13274"/>
      <w:bookmarkStart w:id="57" w:name="_Toc12796"/>
      <w:bookmarkStart w:id="58" w:name="_Toc344475122"/>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报价要求</w:t>
      </w:r>
      <w:bookmarkEnd w:id="56"/>
      <w:bookmarkEnd w:id="57"/>
    </w:p>
    <w:p w14:paraId="058D221D">
      <w:pPr>
        <w:pStyle w:val="11"/>
        <w:spacing w:line="360" w:lineRule="auto"/>
        <w:ind w:firstLine="480" w:firstLineChars="200"/>
        <w:rPr>
          <w:rFonts w:hint="eastAsia" w:ascii="仿宋" w:hAnsi="仿宋" w:eastAsia="仿宋" w:cs="仿宋"/>
          <w:color w:val="auto"/>
          <w:sz w:val="24"/>
          <w:szCs w:val="24"/>
          <w:highlight w:val="none"/>
          <w:lang w:eastAsia="zh-CN"/>
        </w:rPr>
      </w:pPr>
      <w:bookmarkStart w:id="59" w:name="_Toc15788"/>
      <w:bookmarkStart w:id="60" w:name="_Toc6606"/>
      <w:r>
        <w:rPr>
          <w:rFonts w:hint="eastAsia" w:ascii="仿宋" w:hAnsi="仿宋" w:eastAsia="仿宋" w:cs="仿宋"/>
          <w:color w:val="auto"/>
          <w:sz w:val="24"/>
          <w:szCs w:val="24"/>
          <w:highlight w:val="none"/>
          <w:lang w:eastAsia="zh-CN"/>
        </w:rPr>
        <w:t>本次报价须为</w:t>
      </w:r>
      <w:r>
        <w:rPr>
          <w:rFonts w:hint="eastAsia" w:ascii="仿宋" w:hAnsi="仿宋" w:eastAsia="仿宋" w:cs="仿宋"/>
          <w:color w:val="auto"/>
          <w:sz w:val="24"/>
          <w:szCs w:val="24"/>
          <w:highlight w:val="none"/>
          <w:lang w:val="en-US" w:eastAsia="zh-CN"/>
        </w:rPr>
        <w:t>人民币报价</w:t>
      </w:r>
      <w:r>
        <w:rPr>
          <w:rFonts w:hint="eastAsia" w:ascii="仿宋" w:hAnsi="仿宋" w:eastAsia="仿宋" w:cs="仿宋"/>
          <w:color w:val="auto"/>
          <w:sz w:val="24"/>
          <w:szCs w:val="24"/>
          <w:highlight w:val="none"/>
          <w:lang w:eastAsia="zh-CN"/>
        </w:rPr>
        <w:t>，报价包括但不仅限于完成本项目所需的检测费、人工、税费、代理服务费等一切费用。因成交供应商自身原因造成漏报、少报皆由其自行承担责任，采购人不再补偿。</w:t>
      </w:r>
    </w:p>
    <w:p w14:paraId="67F901A4">
      <w:pPr>
        <w:pStyle w:val="5"/>
        <w:spacing w:before="0" w:after="0" w:line="360" w:lineRule="auto"/>
        <w:ind w:firstLine="482" w:firstLineChars="200"/>
        <w:rPr>
          <w:rFonts w:hint="eastAsia" w:ascii="仿宋" w:hAnsi="仿宋" w:eastAsia="仿宋" w:cs="仿宋"/>
          <w:color w:val="auto"/>
          <w:sz w:val="24"/>
          <w:szCs w:val="24"/>
          <w:highlight w:val="none"/>
          <w:lang w:val="en-US" w:eastAsia="zh-CN"/>
        </w:rPr>
      </w:pPr>
      <w:bookmarkStart w:id="61" w:name="_Toc17937"/>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、付款方式</w:t>
      </w:r>
      <w:bookmarkEnd w:id="61"/>
    </w:p>
    <w:bookmarkEnd w:id="58"/>
    <w:bookmarkEnd w:id="59"/>
    <w:bookmarkEnd w:id="60"/>
    <w:p w14:paraId="6734916F">
      <w:pPr>
        <w:pStyle w:val="5"/>
        <w:spacing w:before="0" w:after="0" w:line="360" w:lineRule="auto"/>
        <w:ind w:firstLine="480" w:firstLineChars="200"/>
        <w:rPr>
          <w:rFonts w:hint="eastAsia" w:ascii="仿宋" w:hAnsi="仿宋" w:eastAsia="仿宋" w:cs="仿宋"/>
          <w:b w:val="0"/>
          <w:color w:val="auto"/>
          <w:kern w:val="2"/>
          <w:sz w:val="24"/>
          <w:szCs w:val="24"/>
          <w:highlight w:val="none"/>
          <w:lang w:val="en-US" w:eastAsia="zh-CN" w:bidi="ar-SA"/>
        </w:rPr>
      </w:pPr>
      <w:bookmarkStart w:id="62" w:name="_Toc344475123"/>
      <w:bookmarkStart w:id="63" w:name="_Toc1211"/>
      <w:bookmarkStart w:id="64" w:name="_Toc4250"/>
      <w:bookmarkStart w:id="65" w:name="_Toc16872"/>
      <w:r>
        <w:rPr>
          <w:rFonts w:hint="eastAsia" w:ascii="仿宋" w:hAnsi="仿宋" w:eastAsia="仿宋" w:cs="仿宋"/>
          <w:b w:val="0"/>
          <w:color w:val="auto"/>
          <w:kern w:val="2"/>
          <w:sz w:val="24"/>
          <w:szCs w:val="24"/>
          <w:highlight w:val="none"/>
          <w:lang w:val="en-US" w:eastAsia="zh-CN" w:bidi="ar-SA"/>
        </w:rPr>
        <w:t>项目验收合格后乙方开具发票，甲方根据内部审批流程支付相应款项。</w:t>
      </w:r>
    </w:p>
    <w:p w14:paraId="31AC9771">
      <w:pPr>
        <w:pStyle w:val="5"/>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、知识产权</w:t>
      </w:r>
      <w:bookmarkEnd w:id="62"/>
      <w:bookmarkEnd w:id="63"/>
      <w:bookmarkEnd w:id="64"/>
      <w:bookmarkEnd w:id="65"/>
    </w:p>
    <w:p w14:paraId="1F3DDCC5">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92E0FA6">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注：（若涉及软件开发等服务类项目知识产权的，知识产权归采购人所有）。</w:t>
      </w:r>
    </w:p>
    <w:p w14:paraId="4A9E11CB">
      <w:pPr>
        <w:pStyle w:val="5"/>
        <w:spacing w:before="0" w:after="0" w:line="360" w:lineRule="auto"/>
        <w:ind w:firstLine="482" w:firstLineChars="200"/>
        <w:rPr>
          <w:rFonts w:hint="eastAsia" w:ascii="仿宋" w:hAnsi="仿宋" w:eastAsia="仿宋" w:cs="仿宋"/>
          <w:color w:val="auto"/>
          <w:sz w:val="24"/>
          <w:szCs w:val="24"/>
          <w:highlight w:val="none"/>
        </w:rPr>
      </w:pPr>
      <w:bookmarkStart w:id="66" w:name="_Toc22576"/>
      <w:bookmarkStart w:id="67" w:name="_Toc17728"/>
      <w:bookmarkStart w:id="68" w:name="_Toc18590"/>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bookmarkStart w:id="69" w:name="_Toc344475125"/>
      <w:r>
        <w:rPr>
          <w:rFonts w:hint="eastAsia" w:ascii="仿宋" w:hAnsi="仿宋" w:eastAsia="仿宋" w:cs="仿宋"/>
          <w:color w:val="auto"/>
          <w:sz w:val="24"/>
          <w:szCs w:val="24"/>
          <w:highlight w:val="none"/>
        </w:rPr>
        <w:t>其他</w:t>
      </w:r>
      <w:bookmarkEnd w:id="66"/>
      <w:bookmarkEnd w:id="67"/>
      <w:bookmarkEnd w:id="68"/>
    </w:p>
    <w:bookmarkEnd w:id="69"/>
    <w:p w14:paraId="1DE960A6">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其他条款的要求。</w:t>
      </w:r>
    </w:p>
    <w:p w14:paraId="11C6CCD9">
      <w:pPr>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5F1C0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ACAB164">
      <w:pPr>
        <w:pStyle w:val="4"/>
        <w:pageBreakBefore/>
        <w:spacing w:before="0" w:after="0" w:line="360" w:lineRule="auto"/>
        <w:jc w:val="center"/>
        <w:rPr>
          <w:rFonts w:hint="eastAsia" w:ascii="仿宋" w:hAnsi="仿宋" w:eastAsia="仿宋" w:cs="仿宋"/>
          <w:b/>
          <w:bCs/>
          <w:color w:val="auto"/>
          <w:sz w:val="28"/>
          <w:szCs w:val="28"/>
          <w:highlight w:val="none"/>
        </w:rPr>
      </w:pPr>
      <w:bookmarkStart w:id="70" w:name="_Toc379"/>
      <w:r>
        <w:rPr>
          <w:rFonts w:hint="eastAsia" w:ascii="仿宋" w:hAnsi="仿宋" w:eastAsia="仿宋" w:cs="仿宋"/>
          <w:b/>
          <w:bCs/>
          <w:color w:val="auto"/>
          <w:sz w:val="28"/>
          <w:szCs w:val="28"/>
          <w:highlight w:val="none"/>
        </w:rPr>
        <w:t xml:space="preserve">第四篇  </w:t>
      </w:r>
      <w:r>
        <w:rPr>
          <w:rFonts w:hint="eastAsia" w:ascii="仿宋" w:hAnsi="仿宋" w:eastAsia="仿宋" w:cs="仿宋"/>
          <w:b/>
          <w:bCs/>
          <w:color w:val="auto"/>
          <w:sz w:val="28"/>
          <w:szCs w:val="28"/>
          <w:highlight w:val="none"/>
          <w:lang w:eastAsia="zh-CN"/>
        </w:rPr>
        <w:t>询比</w:t>
      </w:r>
      <w:r>
        <w:rPr>
          <w:rFonts w:hint="eastAsia" w:ascii="仿宋" w:hAnsi="仿宋" w:eastAsia="仿宋" w:cs="仿宋"/>
          <w:b/>
          <w:bCs/>
          <w:color w:val="auto"/>
          <w:sz w:val="28"/>
          <w:szCs w:val="28"/>
          <w:highlight w:val="none"/>
        </w:rPr>
        <w:t>程序及方法、评审标准、无效响应和采购终止</w:t>
      </w:r>
      <w:bookmarkEnd w:id="70"/>
    </w:p>
    <w:p w14:paraId="0AF6C911">
      <w:pPr>
        <w:pStyle w:val="4"/>
        <w:adjustRightInd w:val="0"/>
        <w:snapToGrid w:val="0"/>
        <w:spacing w:line="400" w:lineRule="exact"/>
        <w:ind w:firstLine="482" w:firstLineChars="200"/>
        <w:rPr>
          <w:rFonts w:hint="eastAsia" w:ascii="仿宋" w:hAnsi="仿宋" w:eastAsia="仿宋" w:cs="仿宋"/>
          <w:color w:val="auto"/>
          <w:sz w:val="24"/>
          <w:szCs w:val="24"/>
          <w:highlight w:val="none"/>
        </w:rPr>
      </w:pPr>
      <w:bookmarkStart w:id="71" w:name="_Toc9430"/>
      <w:bookmarkStart w:id="72" w:name="_Toc31961"/>
      <w:bookmarkStart w:id="73" w:name="_Toc7641"/>
      <w:bookmarkStart w:id="74" w:name="_Toc798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w:t>
      </w:r>
      <w:bookmarkEnd w:id="71"/>
      <w:bookmarkEnd w:id="72"/>
      <w:bookmarkEnd w:id="73"/>
      <w:bookmarkEnd w:id="74"/>
    </w:p>
    <w:p w14:paraId="583EAB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规定的时间和地点进行，供应商须有法定代表人（或其授权代表）或自然人参加并签到。</w:t>
      </w:r>
    </w:p>
    <w:p w14:paraId="720D8C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对各供应商的资格条件、响应文件的有效性、完整性和响应程度进行审查。</w:t>
      </w:r>
    </w:p>
    <w:p w14:paraId="4884F132">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资格性审查。依据法律法规和</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的规定，对响应文件中的资格证明、等进行审查，以确定供应商是否具备</w:t>
      </w:r>
      <w:r>
        <w:rPr>
          <w:rFonts w:hint="eastAsia" w:ascii="仿宋" w:hAnsi="仿宋" w:eastAsia="仿宋" w:cs="仿宋"/>
          <w:color w:val="auto"/>
          <w:kern w:val="0"/>
          <w:sz w:val="24"/>
          <w:szCs w:val="24"/>
          <w:highlight w:val="none"/>
          <w:lang w:eastAsia="zh-CN"/>
        </w:rPr>
        <w:t>询比</w:t>
      </w:r>
      <w:r>
        <w:rPr>
          <w:rFonts w:hint="eastAsia" w:ascii="仿宋" w:hAnsi="仿宋" w:eastAsia="仿宋" w:cs="仿宋"/>
          <w:color w:val="auto"/>
          <w:kern w:val="0"/>
          <w:sz w:val="24"/>
          <w:szCs w:val="24"/>
          <w:highlight w:val="none"/>
        </w:rPr>
        <w:t>资格。资格性审查资料表如下：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716"/>
      </w:tblGrid>
      <w:tr w14:paraId="3EB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0D148841">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10EC0869">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检查因素</w:t>
            </w:r>
          </w:p>
        </w:tc>
        <w:tc>
          <w:tcPr>
            <w:tcW w:w="4716" w:type="dxa"/>
            <w:tcBorders>
              <w:top w:val="single" w:color="auto" w:sz="4" w:space="0"/>
              <w:left w:val="single" w:color="auto" w:sz="4" w:space="0"/>
              <w:bottom w:val="single" w:color="auto" w:sz="4" w:space="0"/>
              <w:right w:val="single" w:color="auto" w:sz="4" w:space="0"/>
            </w:tcBorders>
            <w:noWrap/>
            <w:vAlign w:val="center"/>
          </w:tcPr>
          <w:p w14:paraId="2EA02735">
            <w:pPr>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检查内容</w:t>
            </w:r>
          </w:p>
        </w:tc>
      </w:tr>
      <w:tr w14:paraId="28AE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705E548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w:t>
            </w:r>
          </w:p>
        </w:tc>
        <w:tc>
          <w:tcPr>
            <w:tcW w:w="709" w:type="dxa"/>
            <w:vMerge w:val="restart"/>
            <w:noWrap/>
            <w:vAlign w:val="center"/>
          </w:tcPr>
          <w:p w14:paraId="64ED6504">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《中华人民共和国政府采购法》第二十二条规定</w:t>
            </w:r>
          </w:p>
        </w:tc>
        <w:tc>
          <w:tcPr>
            <w:tcW w:w="3118" w:type="dxa"/>
            <w:noWrap/>
            <w:vAlign w:val="center"/>
          </w:tcPr>
          <w:p w14:paraId="572E234D">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1.具有独立承担民事责任的能力</w:t>
            </w:r>
          </w:p>
        </w:tc>
        <w:tc>
          <w:tcPr>
            <w:tcW w:w="4716" w:type="dxa"/>
            <w:noWrap/>
            <w:vAlign w:val="center"/>
          </w:tcPr>
          <w:p w14:paraId="38910D6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53239BC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2.供应商法定代表人身份证明和法定代表人授权代表委托书。</w:t>
            </w:r>
          </w:p>
        </w:tc>
      </w:tr>
      <w:tr w14:paraId="31A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CCDC663">
            <w:pPr>
              <w:jc w:val="center"/>
              <w:rPr>
                <w:rFonts w:hint="eastAsia" w:ascii="仿宋" w:hAnsi="仿宋" w:eastAsia="仿宋" w:cs="仿宋"/>
                <w:color w:val="auto"/>
                <w:sz w:val="22"/>
                <w:szCs w:val="22"/>
                <w:highlight w:val="none"/>
              </w:rPr>
            </w:pPr>
          </w:p>
        </w:tc>
        <w:tc>
          <w:tcPr>
            <w:tcW w:w="709" w:type="dxa"/>
            <w:vMerge w:val="continue"/>
            <w:noWrap/>
            <w:vAlign w:val="center"/>
          </w:tcPr>
          <w:p w14:paraId="19582801">
            <w:pPr>
              <w:rPr>
                <w:rFonts w:hint="eastAsia" w:ascii="仿宋" w:hAnsi="仿宋" w:eastAsia="仿宋" w:cs="仿宋"/>
                <w:color w:val="auto"/>
                <w:sz w:val="22"/>
                <w:szCs w:val="22"/>
                <w:highlight w:val="none"/>
                <w:lang w:val="zh-CN"/>
              </w:rPr>
            </w:pPr>
          </w:p>
        </w:tc>
        <w:tc>
          <w:tcPr>
            <w:tcW w:w="3118" w:type="dxa"/>
            <w:noWrap/>
            <w:vAlign w:val="center"/>
          </w:tcPr>
          <w:p w14:paraId="4A0434A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2.</w:t>
            </w:r>
            <w:r>
              <w:rPr>
                <w:rFonts w:hint="eastAsia" w:ascii="仿宋" w:hAnsi="仿宋" w:eastAsia="仿宋" w:cs="仿宋"/>
                <w:color w:val="auto"/>
                <w:sz w:val="22"/>
                <w:szCs w:val="22"/>
                <w:highlight w:val="none"/>
              </w:rPr>
              <w:t>具有良好的商业信誉和健全的财务会计制度</w:t>
            </w:r>
          </w:p>
        </w:tc>
        <w:tc>
          <w:tcPr>
            <w:tcW w:w="4716" w:type="dxa"/>
            <w:vMerge w:val="restart"/>
            <w:noWrap/>
            <w:vAlign w:val="center"/>
          </w:tcPr>
          <w:p w14:paraId="45A53DBD">
            <w:pP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供应商提供“基本资格条件承诺函”（格式详见第七篇）</w:t>
            </w:r>
          </w:p>
        </w:tc>
      </w:tr>
      <w:tr w14:paraId="6DA4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A5BEE9">
            <w:pPr>
              <w:jc w:val="center"/>
              <w:rPr>
                <w:rFonts w:hint="eastAsia" w:ascii="仿宋" w:hAnsi="仿宋" w:eastAsia="仿宋" w:cs="仿宋"/>
                <w:color w:val="auto"/>
                <w:sz w:val="22"/>
                <w:szCs w:val="22"/>
                <w:highlight w:val="none"/>
              </w:rPr>
            </w:pPr>
          </w:p>
        </w:tc>
        <w:tc>
          <w:tcPr>
            <w:tcW w:w="709" w:type="dxa"/>
            <w:vMerge w:val="continue"/>
            <w:noWrap/>
            <w:vAlign w:val="center"/>
          </w:tcPr>
          <w:p w14:paraId="46F65C2D">
            <w:pPr>
              <w:rPr>
                <w:rFonts w:hint="eastAsia" w:ascii="仿宋" w:hAnsi="仿宋" w:eastAsia="仿宋" w:cs="仿宋"/>
                <w:color w:val="auto"/>
                <w:sz w:val="22"/>
                <w:szCs w:val="22"/>
                <w:highlight w:val="none"/>
                <w:lang w:val="zh-CN"/>
              </w:rPr>
            </w:pPr>
          </w:p>
        </w:tc>
        <w:tc>
          <w:tcPr>
            <w:tcW w:w="3118" w:type="dxa"/>
            <w:noWrap/>
            <w:vAlign w:val="center"/>
          </w:tcPr>
          <w:p w14:paraId="25B98439">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3.具有履行合同所必需的设备和专业技术能力</w:t>
            </w:r>
          </w:p>
        </w:tc>
        <w:tc>
          <w:tcPr>
            <w:tcW w:w="4716" w:type="dxa"/>
            <w:vMerge w:val="continue"/>
            <w:noWrap/>
            <w:vAlign w:val="center"/>
          </w:tcPr>
          <w:p w14:paraId="012F3D40">
            <w:pPr>
              <w:rPr>
                <w:rFonts w:hint="eastAsia" w:ascii="仿宋" w:hAnsi="仿宋" w:eastAsia="仿宋" w:cs="仿宋"/>
                <w:color w:val="auto"/>
                <w:sz w:val="22"/>
                <w:szCs w:val="22"/>
                <w:highlight w:val="none"/>
              </w:rPr>
            </w:pPr>
          </w:p>
        </w:tc>
      </w:tr>
      <w:tr w14:paraId="751F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4A381799">
            <w:pPr>
              <w:jc w:val="center"/>
              <w:rPr>
                <w:rFonts w:hint="eastAsia" w:ascii="仿宋" w:hAnsi="仿宋" w:eastAsia="仿宋" w:cs="仿宋"/>
                <w:color w:val="auto"/>
                <w:sz w:val="22"/>
                <w:szCs w:val="22"/>
                <w:highlight w:val="none"/>
              </w:rPr>
            </w:pPr>
          </w:p>
        </w:tc>
        <w:tc>
          <w:tcPr>
            <w:tcW w:w="709" w:type="dxa"/>
            <w:vMerge w:val="continue"/>
            <w:noWrap/>
            <w:vAlign w:val="center"/>
          </w:tcPr>
          <w:p w14:paraId="50E527C4">
            <w:pPr>
              <w:rPr>
                <w:rFonts w:hint="eastAsia" w:ascii="仿宋" w:hAnsi="仿宋" w:eastAsia="仿宋" w:cs="仿宋"/>
                <w:color w:val="auto"/>
                <w:sz w:val="22"/>
                <w:szCs w:val="22"/>
                <w:highlight w:val="none"/>
                <w:lang w:val="zh-CN"/>
              </w:rPr>
            </w:pPr>
          </w:p>
        </w:tc>
        <w:tc>
          <w:tcPr>
            <w:tcW w:w="3118" w:type="dxa"/>
            <w:noWrap/>
            <w:vAlign w:val="center"/>
          </w:tcPr>
          <w:p w14:paraId="7908E59E">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4.有依法缴纳税收和社会保障金的良好记录</w:t>
            </w:r>
          </w:p>
        </w:tc>
        <w:tc>
          <w:tcPr>
            <w:tcW w:w="4716" w:type="dxa"/>
            <w:vMerge w:val="continue"/>
            <w:noWrap/>
            <w:vAlign w:val="center"/>
          </w:tcPr>
          <w:p w14:paraId="53C117C5">
            <w:pPr>
              <w:rPr>
                <w:rFonts w:hint="eastAsia" w:ascii="仿宋" w:hAnsi="仿宋" w:eastAsia="仿宋" w:cs="仿宋"/>
                <w:color w:val="auto"/>
                <w:sz w:val="22"/>
                <w:szCs w:val="22"/>
                <w:highlight w:val="none"/>
              </w:rPr>
            </w:pPr>
          </w:p>
        </w:tc>
      </w:tr>
      <w:tr w14:paraId="2D5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1694D9B">
            <w:pPr>
              <w:jc w:val="center"/>
              <w:rPr>
                <w:rFonts w:hint="eastAsia" w:ascii="仿宋" w:hAnsi="仿宋" w:eastAsia="仿宋" w:cs="仿宋"/>
                <w:color w:val="auto"/>
                <w:sz w:val="22"/>
                <w:szCs w:val="22"/>
                <w:highlight w:val="none"/>
              </w:rPr>
            </w:pPr>
          </w:p>
        </w:tc>
        <w:tc>
          <w:tcPr>
            <w:tcW w:w="709" w:type="dxa"/>
            <w:vMerge w:val="continue"/>
            <w:noWrap/>
            <w:vAlign w:val="center"/>
          </w:tcPr>
          <w:p w14:paraId="2F2D2912">
            <w:pPr>
              <w:rPr>
                <w:rFonts w:hint="eastAsia" w:ascii="仿宋" w:hAnsi="仿宋" w:eastAsia="仿宋" w:cs="仿宋"/>
                <w:color w:val="auto"/>
                <w:sz w:val="22"/>
                <w:szCs w:val="22"/>
                <w:highlight w:val="none"/>
                <w:lang w:val="zh-CN"/>
              </w:rPr>
            </w:pPr>
          </w:p>
        </w:tc>
        <w:tc>
          <w:tcPr>
            <w:tcW w:w="3118" w:type="dxa"/>
            <w:noWrap/>
            <w:vAlign w:val="center"/>
          </w:tcPr>
          <w:p w14:paraId="1C141965">
            <w:pP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5.参加政府采购活动前三年内，在经营活动中没有重大违法记录</w:t>
            </w:r>
          </w:p>
        </w:tc>
        <w:tc>
          <w:tcPr>
            <w:tcW w:w="4716" w:type="dxa"/>
            <w:vMerge w:val="continue"/>
            <w:noWrap/>
            <w:vAlign w:val="center"/>
          </w:tcPr>
          <w:p w14:paraId="1BD3A734">
            <w:pPr>
              <w:rPr>
                <w:rFonts w:hint="eastAsia" w:ascii="仿宋" w:hAnsi="仿宋" w:eastAsia="仿宋" w:cs="仿宋"/>
                <w:b/>
                <w:color w:val="auto"/>
                <w:sz w:val="22"/>
                <w:szCs w:val="22"/>
                <w:highlight w:val="none"/>
              </w:rPr>
            </w:pPr>
          </w:p>
        </w:tc>
      </w:tr>
      <w:tr w14:paraId="043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476649F2">
            <w:pPr>
              <w:jc w:val="center"/>
              <w:rPr>
                <w:rFonts w:hint="eastAsia" w:ascii="仿宋" w:hAnsi="仿宋" w:eastAsia="仿宋" w:cs="仿宋"/>
                <w:color w:val="auto"/>
                <w:sz w:val="22"/>
                <w:szCs w:val="22"/>
                <w:highlight w:val="none"/>
              </w:rPr>
            </w:pPr>
          </w:p>
        </w:tc>
        <w:tc>
          <w:tcPr>
            <w:tcW w:w="709" w:type="dxa"/>
            <w:vMerge w:val="continue"/>
            <w:noWrap/>
            <w:vAlign w:val="center"/>
          </w:tcPr>
          <w:p w14:paraId="4191A345">
            <w:pPr>
              <w:rPr>
                <w:rFonts w:hint="eastAsia" w:ascii="仿宋" w:hAnsi="仿宋" w:eastAsia="仿宋" w:cs="仿宋"/>
                <w:color w:val="auto"/>
                <w:sz w:val="22"/>
                <w:szCs w:val="22"/>
                <w:highlight w:val="none"/>
              </w:rPr>
            </w:pPr>
          </w:p>
        </w:tc>
        <w:tc>
          <w:tcPr>
            <w:tcW w:w="3118" w:type="dxa"/>
            <w:noWrap/>
            <w:vAlign w:val="center"/>
          </w:tcPr>
          <w:p w14:paraId="3DF70AAC">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6.法律、行政法规规定的其他条件</w:t>
            </w:r>
          </w:p>
        </w:tc>
        <w:tc>
          <w:tcPr>
            <w:tcW w:w="4716" w:type="dxa"/>
            <w:noWrap/>
            <w:vAlign w:val="center"/>
          </w:tcPr>
          <w:p w14:paraId="17D86BB8">
            <w:pPr>
              <w:rPr>
                <w:rFonts w:hint="eastAsia" w:ascii="仿宋" w:hAnsi="仿宋" w:eastAsia="仿宋" w:cs="仿宋"/>
                <w:color w:val="auto"/>
                <w:sz w:val="22"/>
                <w:szCs w:val="22"/>
                <w:highlight w:val="none"/>
              </w:rPr>
            </w:pPr>
          </w:p>
        </w:tc>
      </w:tr>
      <w:tr w14:paraId="121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45C998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w:t>
            </w:r>
          </w:p>
        </w:tc>
        <w:tc>
          <w:tcPr>
            <w:tcW w:w="3827" w:type="dxa"/>
            <w:gridSpan w:val="2"/>
            <w:noWrap/>
            <w:vAlign w:val="center"/>
          </w:tcPr>
          <w:p w14:paraId="6E93EF0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本项目的特定资格要求</w:t>
            </w:r>
          </w:p>
        </w:tc>
        <w:tc>
          <w:tcPr>
            <w:tcW w:w="4716" w:type="dxa"/>
            <w:noWrap/>
            <w:vAlign w:val="center"/>
          </w:tcPr>
          <w:p w14:paraId="5EF6C50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按“第一篇 三、供应商资格要求（二）本项目的特定资格要求”的要求提交（如果有）。</w:t>
            </w:r>
          </w:p>
        </w:tc>
      </w:tr>
      <w:tr w14:paraId="5B5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66063E0">
            <w:pPr>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三）</w:t>
            </w:r>
          </w:p>
        </w:tc>
        <w:tc>
          <w:tcPr>
            <w:tcW w:w="3827" w:type="dxa"/>
            <w:gridSpan w:val="2"/>
            <w:noWrap/>
            <w:vAlign w:val="center"/>
          </w:tcPr>
          <w:p w14:paraId="7368FB13">
            <w:pPr>
              <w:widowControl w:val="0"/>
              <w:spacing w:line="280" w:lineRule="exact"/>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4716" w:type="dxa"/>
            <w:noWrap/>
            <w:vAlign w:val="center"/>
          </w:tcPr>
          <w:p w14:paraId="03D103F5">
            <w:pPr>
              <w:widowControl w:val="0"/>
              <w:spacing w:line="280" w:lineRule="exact"/>
              <w:ind w:firstLine="0" w:firstLineChars="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按照采购文件的规定提交投标保证金</w:t>
            </w:r>
            <w:r>
              <w:rPr>
                <w:rFonts w:hint="eastAsia" w:ascii="仿宋" w:hAnsi="仿宋" w:eastAsia="仿宋" w:cs="仿宋"/>
                <w:color w:val="auto"/>
                <w:sz w:val="22"/>
                <w:szCs w:val="22"/>
                <w:highlight w:val="none"/>
                <w:lang w:eastAsia="zh-CN"/>
              </w:rPr>
              <w:t>。</w:t>
            </w:r>
          </w:p>
        </w:tc>
      </w:tr>
    </w:tbl>
    <w:p w14:paraId="0851D4E0">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注：供应商按“多证合一”登记制度办理营业执照的，组织机构代码证和税务登记证（副本）以供应商所提供的营业执照（副本）复印件为准。</w:t>
      </w:r>
    </w:p>
    <w:p w14:paraId="6380194C">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的实质性要求作出响应。符合性审查资料表如下：</w:t>
      </w:r>
    </w:p>
    <w:tbl>
      <w:tblPr>
        <w:tblStyle w:val="20"/>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1924"/>
        <w:gridCol w:w="5247"/>
      </w:tblGrid>
      <w:tr w14:paraId="6144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4" w:type="dxa"/>
            <w:noWrap/>
            <w:vAlign w:val="center"/>
          </w:tcPr>
          <w:p w14:paraId="752F220C">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437" w:type="dxa"/>
            <w:gridSpan w:val="2"/>
            <w:noWrap/>
            <w:vAlign w:val="center"/>
          </w:tcPr>
          <w:p w14:paraId="269185C7">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评审因素</w:t>
            </w:r>
          </w:p>
        </w:tc>
        <w:tc>
          <w:tcPr>
            <w:tcW w:w="5247" w:type="dxa"/>
            <w:noWrap/>
            <w:vAlign w:val="center"/>
          </w:tcPr>
          <w:p w14:paraId="1015CFC1">
            <w:pPr>
              <w:spacing w:line="24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评审标准</w:t>
            </w:r>
          </w:p>
        </w:tc>
      </w:tr>
      <w:tr w14:paraId="326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4" w:type="dxa"/>
            <w:vMerge w:val="restart"/>
            <w:noWrap/>
            <w:vAlign w:val="center"/>
          </w:tcPr>
          <w:p w14:paraId="3F0CC2A3">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513" w:type="dxa"/>
            <w:vMerge w:val="restart"/>
            <w:noWrap/>
            <w:vAlign w:val="center"/>
          </w:tcPr>
          <w:p w14:paraId="3EBA92C8">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有效性审查</w:t>
            </w:r>
          </w:p>
        </w:tc>
        <w:tc>
          <w:tcPr>
            <w:tcW w:w="1924" w:type="dxa"/>
            <w:noWrap/>
            <w:vAlign w:val="center"/>
          </w:tcPr>
          <w:p w14:paraId="25413DDE">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响应文件签署</w:t>
            </w:r>
          </w:p>
        </w:tc>
        <w:tc>
          <w:tcPr>
            <w:tcW w:w="5247" w:type="dxa"/>
            <w:noWrap/>
            <w:vAlign w:val="center"/>
          </w:tcPr>
          <w:p w14:paraId="51635040">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响应文件上法定代表人或其授权代表人的签字齐全。</w:t>
            </w:r>
          </w:p>
        </w:tc>
      </w:tr>
      <w:tr w14:paraId="015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continue"/>
            <w:noWrap/>
            <w:vAlign w:val="center"/>
          </w:tcPr>
          <w:p w14:paraId="468FC9ED">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436FAD37">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45BE680">
            <w:pPr>
              <w:spacing w:line="2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法定代表人身份证明及授权委托书</w:t>
            </w:r>
          </w:p>
        </w:tc>
        <w:tc>
          <w:tcPr>
            <w:tcW w:w="5247" w:type="dxa"/>
            <w:noWrap/>
            <w:vAlign w:val="center"/>
          </w:tcPr>
          <w:p w14:paraId="62839DC5">
            <w:pPr>
              <w:spacing w:line="2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法定代表人身份证明及授权委托书有效，符合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规定的格式，签字或盖章齐全。</w:t>
            </w:r>
          </w:p>
        </w:tc>
      </w:tr>
      <w:tr w14:paraId="71B8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54" w:type="dxa"/>
            <w:vMerge w:val="continue"/>
            <w:noWrap/>
            <w:vAlign w:val="center"/>
          </w:tcPr>
          <w:p w14:paraId="098D6863">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12F7A5BF">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638079F">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方案</w:t>
            </w:r>
          </w:p>
        </w:tc>
        <w:tc>
          <w:tcPr>
            <w:tcW w:w="5247" w:type="dxa"/>
            <w:noWrap/>
            <w:vAlign w:val="center"/>
          </w:tcPr>
          <w:p w14:paraId="70E3148E">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每个分包只能有一个</w:t>
            </w: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方案。</w:t>
            </w:r>
          </w:p>
        </w:tc>
      </w:tr>
      <w:tr w14:paraId="4B3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4" w:type="dxa"/>
            <w:vMerge w:val="continue"/>
            <w:noWrap/>
            <w:vAlign w:val="center"/>
          </w:tcPr>
          <w:p w14:paraId="140F37FB">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3AE9BEC2">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75A38CF3">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报价唯一</w:t>
            </w:r>
          </w:p>
        </w:tc>
        <w:tc>
          <w:tcPr>
            <w:tcW w:w="5247" w:type="dxa"/>
            <w:noWrap/>
            <w:vAlign w:val="center"/>
          </w:tcPr>
          <w:p w14:paraId="2FFAD737">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zh-CN"/>
              </w:rPr>
              <w:t>只能在采购预算范围内报价，</w:t>
            </w:r>
            <w:r>
              <w:rPr>
                <w:rFonts w:hint="eastAsia" w:ascii="仿宋" w:hAnsi="仿宋" w:eastAsia="仿宋" w:cs="仿宋"/>
                <w:color w:val="auto"/>
                <w:sz w:val="22"/>
                <w:szCs w:val="22"/>
                <w:highlight w:val="none"/>
              </w:rPr>
              <w:t>只能有一个有效报价，不得提交选择性报价。</w:t>
            </w:r>
          </w:p>
        </w:tc>
      </w:tr>
      <w:tr w14:paraId="5F4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4" w:type="dxa"/>
            <w:vMerge w:val="restart"/>
            <w:noWrap/>
            <w:vAlign w:val="center"/>
          </w:tcPr>
          <w:p w14:paraId="35C95268">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513" w:type="dxa"/>
            <w:vMerge w:val="restart"/>
            <w:noWrap/>
            <w:vAlign w:val="center"/>
          </w:tcPr>
          <w:p w14:paraId="769D840C">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完整性审查</w:t>
            </w:r>
          </w:p>
        </w:tc>
        <w:tc>
          <w:tcPr>
            <w:tcW w:w="1924" w:type="dxa"/>
            <w:noWrap/>
            <w:vAlign w:val="center"/>
          </w:tcPr>
          <w:p w14:paraId="72A4FA88">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文件份数</w:t>
            </w:r>
          </w:p>
        </w:tc>
        <w:tc>
          <w:tcPr>
            <w:tcW w:w="5247" w:type="dxa"/>
            <w:noWrap/>
            <w:vAlign w:val="center"/>
          </w:tcPr>
          <w:p w14:paraId="68CB277D">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文件正、副本数量符合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lang w:val="zh-CN"/>
              </w:rPr>
              <w:t>要求。</w:t>
            </w:r>
          </w:p>
        </w:tc>
      </w:tr>
      <w:tr w14:paraId="4DB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4" w:type="dxa"/>
            <w:vMerge w:val="continue"/>
            <w:noWrap/>
            <w:vAlign w:val="center"/>
          </w:tcPr>
          <w:p w14:paraId="1C40FD90">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1C107FC7">
            <w:pPr>
              <w:spacing w:line="240" w:lineRule="exact"/>
              <w:rPr>
                <w:rFonts w:hint="eastAsia" w:ascii="仿宋" w:hAnsi="仿宋" w:eastAsia="仿宋" w:cs="仿宋"/>
                <w:color w:val="auto"/>
                <w:kern w:val="0"/>
                <w:sz w:val="22"/>
                <w:szCs w:val="22"/>
                <w:highlight w:val="none"/>
              </w:rPr>
            </w:pPr>
          </w:p>
        </w:tc>
        <w:tc>
          <w:tcPr>
            <w:tcW w:w="1924" w:type="dxa"/>
            <w:noWrap/>
            <w:vAlign w:val="center"/>
          </w:tcPr>
          <w:p w14:paraId="3677612C">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文件内容</w:t>
            </w:r>
          </w:p>
        </w:tc>
        <w:tc>
          <w:tcPr>
            <w:tcW w:w="5247" w:type="dxa"/>
            <w:noWrap/>
            <w:vAlign w:val="center"/>
          </w:tcPr>
          <w:p w14:paraId="7199AD4F">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w:t>
            </w:r>
            <w:r>
              <w:rPr>
                <w:rFonts w:hint="eastAsia" w:ascii="仿宋" w:hAnsi="仿宋" w:eastAsia="仿宋" w:cs="仿宋"/>
                <w:color w:val="auto"/>
                <w:sz w:val="22"/>
                <w:szCs w:val="22"/>
                <w:highlight w:val="none"/>
                <w:lang w:val="zh-CN"/>
              </w:rPr>
              <w:t>文件内容齐全、无遗漏。</w:t>
            </w:r>
          </w:p>
        </w:tc>
      </w:tr>
      <w:tr w14:paraId="7E6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restart"/>
            <w:noWrap/>
            <w:vAlign w:val="center"/>
          </w:tcPr>
          <w:p w14:paraId="2A244C1F">
            <w:pPr>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513" w:type="dxa"/>
            <w:vMerge w:val="restart"/>
            <w:noWrap/>
            <w:vAlign w:val="center"/>
          </w:tcPr>
          <w:p w14:paraId="51757F81">
            <w:pPr>
              <w:spacing w:line="240" w:lineRule="exact"/>
              <w:rPr>
                <w:rFonts w:hint="eastAsia" w:ascii="仿宋" w:hAnsi="仿宋" w:eastAsia="仿宋" w:cs="仿宋"/>
                <w:color w:val="auto"/>
                <w:sz w:val="22"/>
                <w:szCs w:val="22"/>
                <w:highlight w:val="none"/>
                <w:lang w:val="zh-CN"/>
              </w:rPr>
            </w:pP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的响应程度审查</w:t>
            </w:r>
          </w:p>
        </w:tc>
        <w:tc>
          <w:tcPr>
            <w:tcW w:w="1924" w:type="dxa"/>
            <w:noWrap/>
            <w:vAlign w:val="center"/>
          </w:tcPr>
          <w:p w14:paraId="00FA2A4D">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响应文件内容</w:t>
            </w:r>
          </w:p>
        </w:tc>
        <w:tc>
          <w:tcPr>
            <w:tcW w:w="5247" w:type="dxa"/>
            <w:noWrap/>
            <w:vAlign w:val="center"/>
          </w:tcPr>
          <w:p w14:paraId="07DB6E49">
            <w:pPr>
              <w:pStyle w:val="10"/>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对</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kern w:val="0"/>
                <w:sz w:val="22"/>
                <w:szCs w:val="22"/>
                <w:highlight w:val="none"/>
              </w:rPr>
              <w:t>第</w:t>
            </w:r>
            <w:r>
              <w:rPr>
                <w:rFonts w:hint="eastAsia" w:ascii="仿宋" w:hAnsi="仿宋" w:eastAsia="仿宋" w:cs="仿宋"/>
                <w:color w:val="auto"/>
                <w:kern w:val="0"/>
                <w:sz w:val="22"/>
                <w:szCs w:val="22"/>
                <w:highlight w:val="none"/>
                <w:lang w:eastAsia="zh-CN"/>
              </w:rPr>
              <w:t>二</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eastAsia="zh-CN"/>
              </w:rPr>
              <w:t>三</w:t>
            </w:r>
            <w:r>
              <w:rPr>
                <w:rFonts w:hint="eastAsia" w:ascii="仿宋" w:hAnsi="仿宋" w:eastAsia="仿宋" w:cs="仿宋"/>
                <w:color w:val="auto"/>
                <w:kern w:val="0"/>
                <w:sz w:val="22"/>
                <w:szCs w:val="22"/>
                <w:highlight w:val="none"/>
              </w:rPr>
              <w:t>篇规定的条款</w:t>
            </w:r>
            <w:r>
              <w:rPr>
                <w:rFonts w:hint="eastAsia" w:ascii="仿宋" w:hAnsi="仿宋" w:eastAsia="仿宋" w:cs="仿宋"/>
                <w:color w:val="auto"/>
                <w:kern w:val="0"/>
                <w:sz w:val="22"/>
                <w:szCs w:val="22"/>
                <w:highlight w:val="none"/>
                <w:lang w:eastAsia="zh-CN"/>
              </w:rPr>
              <w:t>询比</w:t>
            </w:r>
            <w:r>
              <w:rPr>
                <w:rFonts w:hint="eastAsia" w:ascii="仿宋" w:hAnsi="仿宋" w:eastAsia="仿宋" w:cs="仿宋"/>
                <w:color w:val="auto"/>
                <w:kern w:val="0"/>
                <w:sz w:val="22"/>
                <w:szCs w:val="22"/>
                <w:highlight w:val="none"/>
              </w:rPr>
              <w:t>内容作出响应（差异表）。</w:t>
            </w:r>
          </w:p>
        </w:tc>
      </w:tr>
      <w:tr w14:paraId="057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continue"/>
            <w:noWrap/>
            <w:vAlign w:val="center"/>
          </w:tcPr>
          <w:p w14:paraId="410FDA58">
            <w:pPr>
              <w:spacing w:line="240" w:lineRule="exact"/>
              <w:jc w:val="center"/>
              <w:rPr>
                <w:rFonts w:hint="eastAsia" w:ascii="仿宋" w:hAnsi="仿宋" w:eastAsia="仿宋" w:cs="仿宋"/>
                <w:color w:val="auto"/>
                <w:kern w:val="0"/>
                <w:sz w:val="22"/>
                <w:szCs w:val="22"/>
                <w:highlight w:val="none"/>
              </w:rPr>
            </w:pPr>
          </w:p>
        </w:tc>
        <w:tc>
          <w:tcPr>
            <w:tcW w:w="1513" w:type="dxa"/>
            <w:vMerge w:val="continue"/>
            <w:noWrap/>
            <w:vAlign w:val="center"/>
          </w:tcPr>
          <w:p w14:paraId="04C5D812">
            <w:pPr>
              <w:spacing w:line="240" w:lineRule="exact"/>
              <w:rPr>
                <w:rFonts w:hint="eastAsia" w:ascii="仿宋" w:hAnsi="仿宋" w:eastAsia="仿宋" w:cs="仿宋"/>
                <w:color w:val="auto"/>
                <w:sz w:val="22"/>
                <w:szCs w:val="22"/>
                <w:highlight w:val="none"/>
                <w:lang w:val="zh-CN"/>
              </w:rPr>
            </w:pPr>
          </w:p>
        </w:tc>
        <w:tc>
          <w:tcPr>
            <w:tcW w:w="1924" w:type="dxa"/>
            <w:noWrap/>
            <w:vAlign w:val="center"/>
          </w:tcPr>
          <w:p w14:paraId="0A126B05">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询比</w:t>
            </w:r>
            <w:r>
              <w:rPr>
                <w:rFonts w:hint="eastAsia" w:ascii="仿宋" w:hAnsi="仿宋" w:eastAsia="仿宋" w:cs="仿宋"/>
                <w:color w:val="auto"/>
                <w:kern w:val="0"/>
                <w:sz w:val="22"/>
                <w:szCs w:val="22"/>
                <w:highlight w:val="none"/>
              </w:rPr>
              <w:t>有效期</w:t>
            </w:r>
          </w:p>
        </w:tc>
        <w:tc>
          <w:tcPr>
            <w:tcW w:w="5247" w:type="dxa"/>
            <w:noWrap/>
            <w:vAlign w:val="center"/>
          </w:tcPr>
          <w:p w14:paraId="4215BE20">
            <w:pPr>
              <w:spacing w:line="240" w:lineRule="exac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w:t>
            </w:r>
            <w:r>
              <w:rPr>
                <w:rFonts w:hint="eastAsia" w:ascii="仿宋" w:hAnsi="仿宋" w:eastAsia="仿宋" w:cs="仿宋"/>
                <w:color w:val="auto"/>
                <w:kern w:val="0"/>
                <w:sz w:val="22"/>
                <w:szCs w:val="22"/>
                <w:highlight w:val="none"/>
                <w:lang w:eastAsia="zh-CN"/>
              </w:rPr>
              <w:t>采购文件</w:t>
            </w:r>
            <w:r>
              <w:rPr>
                <w:rFonts w:hint="eastAsia" w:ascii="仿宋" w:hAnsi="仿宋" w:eastAsia="仿宋" w:cs="仿宋"/>
                <w:color w:val="auto"/>
                <w:sz w:val="22"/>
                <w:szCs w:val="22"/>
                <w:highlight w:val="none"/>
                <w:lang w:val="zh-CN"/>
              </w:rPr>
              <w:t>规定。</w:t>
            </w:r>
          </w:p>
        </w:tc>
      </w:tr>
    </w:tbl>
    <w:p w14:paraId="73CA0312">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75" w:name="_Toc17523"/>
      <w:bookmarkStart w:id="76" w:name="_Toc12818"/>
      <w:bookmarkStart w:id="77" w:name="_Toc16935"/>
      <w:r>
        <w:rPr>
          <w:rFonts w:hint="eastAsia" w:ascii="仿宋" w:hAnsi="仿宋" w:eastAsia="仿宋" w:cs="仿宋"/>
          <w:b w:val="0"/>
          <w:color w:val="auto"/>
          <w:kern w:val="0"/>
          <w:sz w:val="24"/>
          <w:szCs w:val="24"/>
          <w:highlight w:val="none"/>
          <w:lang w:val="en-US" w:eastAsia="zh-CN" w:bidi="ar-SA"/>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bookmarkEnd w:id="75"/>
      <w:bookmarkEnd w:id="76"/>
      <w:bookmarkEnd w:id="77"/>
    </w:p>
    <w:p w14:paraId="4B617F09">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78" w:name="_Toc4318"/>
      <w:bookmarkStart w:id="79" w:name="_Toc19124"/>
      <w:bookmarkStart w:id="80" w:name="_Toc18884"/>
      <w:r>
        <w:rPr>
          <w:rFonts w:hint="eastAsia" w:ascii="仿宋" w:hAnsi="仿宋" w:eastAsia="仿宋" w:cs="仿宋"/>
          <w:b w:val="0"/>
          <w:color w:val="auto"/>
          <w:kern w:val="0"/>
          <w:sz w:val="24"/>
          <w:szCs w:val="24"/>
          <w:highlight w:val="none"/>
          <w:lang w:val="en-US" w:eastAsia="zh-CN" w:bidi="ar-SA"/>
        </w:rPr>
        <w:t>②评审小组要求供应商澄清、说明或者更正响应文件应当以书面形式作出。供应商的澄清、说明或者更正应当由法定代表人或其授权代表签字或者加盖公章。由授权代表签字的，应当附法定代表人授权书。</w:t>
      </w:r>
      <w:bookmarkEnd w:id="78"/>
      <w:bookmarkEnd w:id="79"/>
      <w:bookmarkEnd w:id="80"/>
    </w:p>
    <w:p w14:paraId="2F047929">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81" w:name="_Toc23487"/>
      <w:bookmarkStart w:id="82" w:name="_Toc17177"/>
      <w:bookmarkStart w:id="83" w:name="_Toc15489"/>
      <w:r>
        <w:rPr>
          <w:rFonts w:hint="eastAsia" w:ascii="仿宋" w:hAnsi="仿宋" w:eastAsia="仿宋" w:cs="仿宋"/>
          <w:b w:val="0"/>
          <w:color w:val="auto"/>
          <w:kern w:val="0"/>
          <w:sz w:val="24"/>
          <w:szCs w:val="24"/>
          <w:highlight w:val="none"/>
          <w:lang w:val="en-US" w:eastAsia="zh-CN" w:bidi="ar-SA"/>
        </w:rPr>
        <w:t>③在评审过程中评审的任何一方不得向他人透露与评审有关的技术资料、价格或其他信息。</w:t>
      </w:r>
      <w:bookmarkEnd w:id="81"/>
      <w:bookmarkEnd w:id="82"/>
      <w:bookmarkEnd w:id="83"/>
    </w:p>
    <w:p w14:paraId="5B5162D7">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84" w:name="_Toc23869"/>
      <w:bookmarkStart w:id="85" w:name="_Toc17406"/>
      <w:bookmarkStart w:id="86" w:name="_Toc12637"/>
      <w:r>
        <w:rPr>
          <w:rFonts w:hint="eastAsia" w:ascii="仿宋" w:hAnsi="仿宋" w:eastAsia="仿宋" w:cs="仿宋"/>
          <w:b w:val="0"/>
          <w:color w:val="auto"/>
          <w:kern w:val="0"/>
          <w:sz w:val="24"/>
          <w:szCs w:val="24"/>
          <w:highlight w:val="none"/>
          <w:lang w:val="en-US" w:eastAsia="zh-CN" w:bidi="ar-SA"/>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bookmarkEnd w:id="84"/>
      <w:bookmarkEnd w:id="85"/>
      <w:bookmarkEnd w:id="86"/>
    </w:p>
    <w:p w14:paraId="2E742D4B">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87" w:name="_Toc13671"/>
      <w:bookmarkStart w:id="88" w:name="_Toc22814"/>
      <w:bookmarkStart w:id="89" w:name="_Toc10897"/>
      <w:r>
        <w:rPr>
          <w:rFonts w:hint="eastAsia" w:ascii="仿宋" w:hAnsi="仿宋" w:eastAsia="仿宋" w:cs="仿宋"/>
          <w:b w:val="0"/>
          <w:color w:val="auto"/>
          <w:kern w:val="0"/>
          <w:sz w:val="24"/>
          <w:szCs w:val="24"/>
          <w:highlight w:val="none"/>
          <w:lang w:val="en-US" w:eastAsia="zh-CN" w:bidi="ar-SA"/>
        </w:rPr>
        <w:t>⑤供应商在评审时作出的所有书面承诺须由法定代表人或其授权代表签字。</w:t>
      </w:r>
      <w:bookmarkEnd w:id="87"/>
      <w:bookmarkEnd w:id="88"/>
      <w:bookmarkEnd w:id="89"/>
    </w:p>
    <w:p w14:paraId="45676C61">
      <w:pPr>
        <w:pStyle w:val="5"/>
        <w:spacing w:before="0" w:after="0" w:line="440" w:lineRule="exact"/>
        <w:rPr>
          <w:rFonts w:hint="eastAsia" w:ascii="仿宋" w:hAnsi="仿宋" w:eastAsia="仿宋" w:cs="仿宋"/>
          <w:b w:val="0"/>
          <w:color w:val="auto"/>
          <w:kern w:val="0"/>
          <w:sz w:val="24"/>
          <w:szCs w:val="24"/>
          <w:highlight w:val="none"/>
          <w:lang w:val="en-US" w:eastAsia="zh-CN" w:bidi="ar-SA"/>
        </w:rPr>
      </w:pPr>
      <w:bookmarkStart w:id="90" w:name="_Toc30441"/>
      <w:bookmarkStart w:id="91" w:name="_Toc9369"/>
      <w:bookmarkStart w:id="92" w:name="_Toc32056"/>
      <w:r>
        <w:rPr>
          <w:rFonts w:hint="eastAsia" w:ascii="仿宋" w:hAnsi="仿宋" w:eastAsia="仿宋" w:cs="仿宋"/>
          <w:b w:val="0"/>
          <w:color w:val="auto"/>
          <w:kern w:val="0"/>
          <w:sz w:val="24"/>
          <w:szCs w:val="24"/>
          <w:highlight w:val="none"/>
          <w:lang w:val="en-US" w:eastAsia="zh-CN" w:bidi="ar-SA"/>
        </w:rPr>
        <w:t>⑥评审小组各成员独立对每个实质性响应文件进行评价、打分，然后汇总每个供应商每项评分因素的得分，并根据综合评分情况按照评审得分由高到低顺序推荐3名以上成交候选供应商，得分最高的为第一成交候选供应商，并编写评审报告。若供应商的评审得分相同的，按照最后报价由低到高的顺序排列推荐。评审得分且最后报价相同的，按照服务指标优劣顺序排列推荐。若所推荐的成交供应商的技术部分为0分，将失去成为成交候选供应商的资格。</w:t>
      </w:r>
      <w:bookmarkEnd w:id="90"/>
      <w:bookmarkEnd w:id="91"/>
      <w:bookmarkEnd w:id="92"/>
    </w:p>
    <w:p w14:paraId="1704E46B">
      <w:pPr>
        <w:pStyle w:val="5"/>
        <w:spacing w:before="0" w:after="0" w:line="440" w:lineRule="exact"/>
        <w:rPr>
          <w:rFonts w:hint="eastAsia" w:ascii="仿宋" w:hAnsi="仿宋" w:eastAsia="仿宋" w:cs="仿宋"/>
          <w:color w:val="auto"/>
          <w:sz w:val="24"/>
          <w:szCs w:val="24"/>
          <w:highlight w:val="none"/>
        </w:rPr>
      </w:pPr>
      <w:bookmarkStart w:id="93" w:name="_Toc18984"/>
      <w:r>
        <w:rPr>
          <w:rFonts w:hint="eastAsia" w:ascii="仿宋" w:hAnsi="仿宋" w:eastAsia="仿宋" w:cs="仿宋"/>
          <w:color w:val="auto"/>
          <w:sz w:val="24"/>
          <w:szCs w:val="24"/>
          <w:highlight w:val="none"/>
        </w:rPr>
        <w:t>二、</w:t>
      </w:r>
      <w:bookmarkStart w:id="94" w:name="_Toc102227320"/>
      <w:bookmarkStart w:id="95" w:name="_Toc342913394"/>
      <w:r>
        <w:rPr>
          <w:rFonts w:hint="eastAsia" w:ascii="仿宋" w:hAnsi="仿宋" w:eastAsia="仿宋" w:cs="仿宋"/>
          <w:color w:val="auto"/>
          <w:sz w:val="24"/>
          <w:szCs w:val="24"/>
          <w:highlight w:val="none"/>
        </w:rPr>
        <w:t>评审标准</w:t>
      </w:r>
      <w:bookmarkEnd w:id="93"/>
    </w:p>
    <w:tbl>
      <w:tblPr>
        <w:tblStyle w:val="20"/>
        <w:tblW w:w="934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27"/>
        <w:gridCol w:w="887"/>
        <w:gridCol w:w="750"/>
        <w:gridCol w:w="6136"/>
      </w:tblGrid>
      <w:tr w14:paraId="077D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641" w:type="dxa"/>
            <w:noWrap w:val="0"/>
            <w:vAlign w:val="center"/>
          </w:tcPr>
          <w:p w14:paraId="135C971F">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序号</w:t>
            </w:r>
          </w:p>
        </w:tc>
        <w:tc>
          <w:tcPr>
            <w:tcW w:w="1814" w:type="dxa"/>
            <w:gridSpan w:val="2"/>
            <w:noWrap w:val="0"/>
            <w:vAlign w:val="center"/>
          </w:tcPr>
          <w:p w14:paraId="30947E03">
            <w:pPr>
              <w:spacing w:line="360" w:lineRule="auto"/>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03F0AD41">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及权重</w:t>
            </w:r>
          </w:p>
        </w:tc>
        <w:tc>
          <w:tcPr>
            <w:tcW w:w="750" w:type="dxa"/>
            <w:noWrap w:val="0"/>
            <w:vAlign w:val="center"/>
          </w:tcPr>
          <w:p w14:paraId="224C06D1">
            <w:pPr>
              <w:spacing w:line="360" w:lineRule="auto"/>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w:t>
            </w:r>
          </w:p>
          <w:p w14:paraId="516EC228">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值</w:t>
            </w:r>
          </w:p>
        </w:tc>
        <w:tc>
          <w:tcPr>
            <w:tcW w:w="6136" w:type="dxa"/>
            <w:noWrap w:val="0"/>
            <w:vAlign w:val="center"/>
          </w:tcPr>
          <w:p w14:paraId="0404FFA8">
            <w:pPr>
              <w:pStyle w:val="32"/>
              <w:spacing w:before="0" w:after="0"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r>
      <w:tr w14:paraId="3DDF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641" w:type="dxa"/>
            <w:noWrap w:val="0"/>
            <w:vAlign w:val="center"/>
          </w:tcPr>
          <w:p w14:paraId="062F6C29">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4" w:type="dxa"/>
            <w:gridSpan w:val="2"/>
            <w:noWrap w:val="0"/>
            <w:vAlign w:val="center"/>
          </w:tcPr>
          <w:p w14:paraId="5D5AD5DE">
            <w:pPr>
              <w:spacing w:line="36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w:t>
            </w:r>
          </w:p>
          <w:p w14:paraId="3BCC742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w:t>
            </w:r>
          </w:p>
        </w:tc>
        <w:tc>
          <w:tcPr>
            <w:tcW w:w="750" w:type="dxa"/>
            <w:noWrap w:val="0"/>
            <w:vAlign w:val="center"/>
          </w:tcPr>
          <w:p w14:paraId="01505312">
            <w:p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6136" w:type="dxa"/>
            <w:noWrap w:val="0"/>
            <w:vAlign w:val="center"/>
          </w:tcPr>
          <w:p w14:paraId="4C3EB9A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有效的</w:t>
            </w: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报价中的最低</w:t>
            </w:r>
            <w:r>
              <w:rPr>
                <w:rFonts w:hint="eastAsia" w:ascii="仿宋" w:hAnsi="仿宋" w:eastAsia="仿宋" w:cs="仿宋"/>
                <w:color w:val="auto"/>
                <w:sz w:val="21"/>
                <w:szCs w:val="21"/>
                <w:highlight w:val="none"/>
                <w:lang w:eastAsia="zh-CN"/>
              </w:rPr>
              <w:t>折扣</w:t>
            </w:r>
            <w:r>
              <w:rPr>
                <w:rFonts w:hint="eastAsia" w:ascii="仿宋" w:hAnsi="仿宋" w:eastAsia="仿宋" w:cs="仿宋"/>
                <w:color w:val="auto"/>
                <w:sz w:val="21"/>
                <w:szCs w:val="21"/>
                <w:highlight w:val="none"/>
              </w:rPr>
              <w:t>价为评标基准价，其价格分为满分。其他</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的价格分统一按照下列公式计算：</w:t>
            </w:r>
          </w:p>
          <w:p w14:paraId="30D9D7B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询比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询比折扣</w:t>
            </w:r>
            <w:r>
              <w:rPr>
                <w:rFonts w:hint="eastAsia" w:ascii="仿宋" w:hAnsi="仿宋" w:eastAsia="仿宋" w:cs="仿宋"/>
                <w:color w:val="auto"/>
                <w:sz w:val="21"/>
                <w:szCs w:val="21"/>
                <w:highlight w:val="none"/>
              </w:rPr>
              <w:t>报价）×价格权重×100。</w:t>
            </w:r>
          </w:p>
        </w:tc>
      </w:tr>
      <w:tr w14:paraId="579F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trPr>
        <w:tc>
          <w:tcPr>
            <w:tcW w:w="641" w:type="dxa"/>
            <w:vMerge w:val="restart"/>
            <w:noWrap w:val="0"/>
            <w:vAlign w:val="center"/>
          </w:tcPr>
          <w:p w14:paraId="33676C9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927" w:type="dxa"/>
            <w:vMerge w:val="restart"/>
            <w:noWrap w:val="0"/>
            <w:vAlign w:val="center"/>
          </w:tcPr>
          <w:p w14:paraId="431BE383">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技术部分（70分）</w:t>
            </w:r>
          </w:p>
        </w:tc>
        <w:tc>
          <w:tcPr>
            <w:tcW w:w="887" w:type="dxa"/>
            <w:vMerge w:val="restart"/>
            <w:noWrap w:val="0"/>
            <w:vAlign w:val="center"/>
          </w:tcPr>
          <w:p w14:paraId="0F304344">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方案</w:t>
            </w:r>
          </w:p>
        </w:tc>
        <w:tc>
          <w:tcPr>
            <w:tcW w:w="750" w:type="dxa"/>
            <w:noWrap w:val="0"/>
            <w:vAlign w:val="center"/>
          </w:tcPr>
          <w:p w14:paraId="45B93C7F">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项目理解分析（20分）</w:t>
            </w:r>
          </w:p>
          <w:p w14:paraId="7C80E6FF">
            <w:pPr>
              <w:spacing w:line="360" w:lineRule="auto"/>
              <w:rPr>
                <w:rFonts w:hint="default" w:ascii="仿宋" w:hAnsi="仿宋" w:eastAsia="仿宋" w:cs="仿宋"/>
                <w:b w:val="0"/>
                <w:bCs w:val="0"/>
                <w:color w:val="auto"/>
                <w:sz w:val="21"/>
                <w:szCs w:val="21"/>
                <w:highlight w:val="none"/>
                <w:lang w:val="en-US" w:eastAsia="zh-CN"/>
              </w:rPr>
            </w:pPr>
          </w:p>
        </w:tc>
        <w:tc>
          <w:tcPr>
            <w:tcW w:w="6136" w:type="dxa"/>
            <w:noWrap w:val="0"/>
            <w:vAlign w:val="center"/>
          </w:tcPr>
          <w:p w14:paraId="71EBF98A">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项目的实际情况，分析本项目的服务特点，包括但不限于：①项目背景分析；②项目实施的侧重点等。以上项内容完全满足本项目需求得20分；每缺少一项扣10分；每项内容有不完整或有缺陷的扣5分，直至每项分值扣完为止。 注：缺陷是指项目名称、实施地点、实施要求等描述错误，或内容非专门针对本项目、不完全适用于本项目、前后矛盾、涉及的规范及标准错误、不可能实现等任意一种情形。</w:t>
            </w:r>
          </w:p>
        </w:tc>
      </w:tr>
      <w:tr w14:paraId="01CA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1" w:type="dxa"/>
            <w:vMerge w:val="continue"/>
            <w:noWrap w:val="0"/>
            <w:vAlign w:val="center"/>
          </w:tcPr>
          <w:p w14:paraId="3408104C">
            <w:pPr>
              <w:spacing w:line="360" w:lineRule="auto"/>
              <w:rPr>
                <w:color w:val="auto"/>
                <w:highlight w:val="none"/>
              </w:rPr>
            </w:pPr>
          </w:p>
        </w:tc>
        <w:tc>
          <w:tcPr>
            <w:tcW w:w="927" w:type="dxa"/>
            <w:vMerge w:val="continue"/>
            <w:noWrap w:val="0"/>
            <w:vAlign w:val="center"/>
          </w:tcPr>
          <w:p w14:paraId="77647952">
            <w:pPr>
              <w:spacing w:line="360" w:lineRule="auto"/>
              <w:rPr>
                <w:color w:val="auto"/>
                <w:highlight w:val="none"/>
              </w:rPr>
            </w:pPr>
          </w:p>
        </w:tc>
        <w:tc>
          <w:tcPr>
            <w:tcW w:w="887" w:type="dxa"/>
            <w:vMerge w:val="continue"/>
            <w:noWrap w:val="0"/>
            <w:vAlign w:val="center"/>
          </w:tcPr>
          <w:p w14:paraId="32734C46">
            <w:pPr>
              <w:spacing w:line="360" w:lineRule="auto"/>
              <w:rPr>
                <w:color w:val="auto"/>
                <w:highlight w:val="none"/>
              </w:rPr>
            </w:pPr>
          </w:p>
        </w:tc>
        <w:tc>
          <w:tcPr>
            <w:tcW w:w="750" w:type="dxa"/>
            <w:noWrap w:val="0"/>
            <w:vAlign w:val="center"/>
          </w:tcPr>
          <w:p w14:paraId="6893F8FD">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服务方案（25分）</w:t>
            </w:r>
          </w:p>
          <w:p w14:paraId="71A926DC">
            <w:pPr>
              <w:spacing w:line="360" w:lineRule="auto"/>
              <w:rPr>
                <w:rFonts w:hint="default" w:ascii="仿宋" w:hAnsi="仿宋" w:eastAsia="仿宋" w:cs="仿宋"/>
                <w:b w:val="0"/>
                <w:bCs w:val="0"/>
                <w:color w:val="auto"/>
                <w:sz w:val="21"/>
                <w:szCs w:val="21"/>
                <w:highlight w:val="none"/>
                <w:lang w:val="en-US" w:eastAsia="zh-CN"/>
              </w:rPr>
            </w:pPr>
          </w:p>
        </w:tc>
        <w:tc>
          <w:tcPr>
            <w:tcW w:w="6136" w:type="dxa"/>
            <w:noWrap w:val="0"/>
            <w:vAlign w:val="center"/>
          </w:tcPr>
          <w:p w14:paraId="3FC41738">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供应商对本项目制定的服务方案包括但不限于：①分析质量控措施；②分析质量控措施；③报告审核；④服务理念；⑤健全的组织机构。以上内容完全满足、符合得25分；每缺少一项扣5分；每项内容有不完整或有缺陷的扣2.5分，直至每项分值扣完为止。 注：缺陷是指项目名称、实施地点、实施要求等描述错误，或内容非专门针对本项目、不完全适用于本项目、前后矛盾、涉及的规范及标准错误、不可能实现等任意一种情形。</w:t>
            </w:r>
          </w:p>
        </w:tc>
      </w:tr>
      <w:tr w14:paraId="7C87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1" w:type="dxa"/>
            <w:vMerge w:val="continue"/>
            <w:noWrap w:val="0"/>
            <w:vAlign w:val="center"/>
          </w:tcPr>
          <w:p w14:paraId="0DEAB6EC">
            <w:pPr>
              <w:spacing w:line="360" w:lineRule="auto"/>
              <w:rPr>
                <w:rFonts w:hint="default" w:ascii="仿宋" w:hAnsi="仿宋" w:eastAsia="仿宋" w:cs="仿宋"/>
                <w:b w:val="0"/>
                <w:bCs w:val="0"/>
                <w:color w:val="auto"/>
                <w:sz w:val="21"/>
                <w:szCs w:val="21"/>
                <w:highlight w:val="none"/>
                <w:lang w:val="en-US" w:eastAsia="zh-CN"/>
              </w:rPr>
            </w:pPr>
          </w:p>
        </w:tc>
        <w:tc>
          <w:tcPr>
            <w:tcW w:w="927" w:type="dxa"/>
            <w:vMerge w:val="continue"/>
            <w:noWrap w:val="0"/>
            <w:vAlign w:val="center"/>
          </w:tcPr>
          <w:p w14:paraId="51D967FD">
            <w:pPr>
              <w:spacing w:line="360" w:lineRule="auto"/>
              <w:rPr>
                <w:rFonts w:hint="default" w:ascii="仿宋" w:hAnsi="仿宋" w:eastAsia="仿宋" w:cs="仿宋"/>
                <w:b w:val="0"/>
                <w:bCs w:val="0"/>
                <w:color w:val="auto"/>
                <w:sz w:val="21"/>
                <w:szCs w:val="21"/>
                <w:highlight w:val="none"/>
                <w:lang w:val="en-US" w:eastAsia="zh-CN"/>
              </w:rPr>
            </w:pPr>
          </w:p>
        </w:tc>
        <w:tc>
          <w:tcPr>
            <w:tcW w:w="887" w:type="dxa"/>
            <w:vMerge w:val="continue"/>
            <w:noWrap w:val="0"/>
            <w:vAlign w:val="center"/>
          </w:tcPr>
          <w:p w14:paraId="0FFFF8C5">
            <w:pPr>
              <w:spacing w:line="360" w:lineRule="auto"/>
              <w:rPr>
                <w:rFonts w:hint="default" w:ascii="仿宋" w:hAnsi="仿宋" w:eastAsia="仿宋" w:cs="仿宋"/>
                <w:b w:val="0"/>
                <w:bCs w:val="0"/>
                <w:color w:val="auto"/>
                <w:sz w:val="21"/>
                <w:szCs w:val="21"/>
                <w:highlight w:val="none"/>
                <w:lang w:val="en-US" w:eastAsia="zh-CN"/>
              </w:rPr>
            </w:pPr>
          </w:p>
        </w:tc>
        <w:tc>
          <w:tcPr>
            <w:tcW w:w="750" w:type="dxa"/>
            <w:noWrap w:val="0"/>
            <w:vAlign w:val="center"/>
          </w:tcPr>
          <w:p w14:paraId="00F66DC0">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实施方案（25分）</w:t>
            </w:r>
          </w:p>
          <w:p w14:paraId="5DB657A0">
            <w:pPr>
              <w:spacing w:line="360" w:lineRule="auto"/>
              <w:rPr>
                <w:rFonts w:hint="default" w:ascii="仿宋" w:hAnsi="仿宋" w:eastAsia="仿宋" w:cs="仿宋"/>
                <w:b w:val="0"/>
                <w:bCs w:val="0"/>
                <w:color w:val="auto"/>
                <w:sz w:val="21"/>
                <w:szCs w:val="21"/>
                <w:highlight w:val="none"/>
                <w:lang w:val="en-US" w:eastAsia="zh-CN"/>
              </w:rPr>
            </w:pPr>
          </w:p>
        </w:tc>
        <w:tc>
          <w:tcPr>
            <w:tcW w:w="6136" w:type="dxa"/>
            <w:noWrap w:val="0"/>
            <w:vAlign w:val="center"/>
          </w:tcPr>
          <w:p w14:paraId="3A7DE54F">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供应商针对本项目提供的实施方案包括但不限于：①项目前期准备；②项目总体计划；③管理流程；④工作进度安排；⑤安全保障。以上内容完全满足得25分；每缺少一项扣5分；每项内容有不完整或有缺陷的扣2.5分，直至每项分值扣完为止。 注：缺陷是指项目名称、实施地点、实施要求等描述错误，或内容非专门针对本项目、不完全适用于本项目、前后矛盾、涉及的规范及标准错误、不可能实现等任意一种情形。</w:t>
            </w:r>
          </w:p>
        </w:tc>
      </w:tr>
      <w:tr w14:paraId="182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641" w:type="dxa"/>
            <w:noWrap w:val="0"/>
            <w:vAlign w:val="center"/>
          </w:tcPr>
          <w:p w14:paraId="463F8D74">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927" w:type="dxa"/>
            <w:noWrap w:val="0"/>
            <w:vAlign w:val="center"/>
          </w:tcPr>
          <w:p w14:paraId="28370A7F">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商务部分（10分）</w:t>
            </w:r>
          </w:p>
        </w:tc>
        <w:tc>
          <w:tcPr>
            <w:tcW w:w="887" w:type="dxa"/>
            <w:noWrap w:val="0"/>
            <w:vAlign w:val="center"/>
          </w:tcPr>
          <w:p w14:paraId="59B5CF3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w:t>
            </w:r>
          </w:p>
        </w:tc>
        <w:tc>
          <w:tcPr>
            <w:tcW w:w="750" w:type="dxa"/>
            <w:noWrap w:val="0"/>
            <w:vAlign w:val="center"/>
          </w:tcPr>
          <w:p w14:paraId="0BCF9590">
            <w:pPr>
              <w:spacing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w:t>
            </w:r>
          </w:p>
        </w:tc>
        <w:tc>
          <w:tcPr>
            <w:tcW w:w="6136" w:type="dxa"/>
            <w:noWrap w:val="0"/>
            <w:vAlign w:val="center"/>
          </w:tcPr>
          <w:p w14:paraId="6C315D09">
            <w:pPr>
              <w:pStyle w:val="18"/>
              <w:numPr>
                <w:ilvl w:val="0"/>
                <w:numId w:val="0"/>
              </w:numPr>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2021年1月1日（合同签订时间为准）以来，供应商提供具有类似项目业绩的，每提供一个得2分，最多得10分。</w:t>
            </w:r>
          </w:p>
          <w:p w14:paraId="144BEF0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提供合同复印件加盖单位鲜章，原件备查。</w:t>
            </w:r>
          </w:p>
        </w:tc>
      </w:tr>
      <w:bookmarkEnd w:id="94"/>
      <w:bookmarkEnd w:id="95"/>
    </w:tbl>
    <w:p w14:paraId="4C415DF6">
      <w:pPr>
        <w:pStyle w:val="4"/>
        <w:adjustRightInd w:val="0"/>
        <w:snapToGrid w:val="0"/>
        <w:spacing w:line="400" w:lineRule="exact"/>
        <w:ind w:firstLine="241" w:firstLineChars="100"/>
        <w:rPr>
          <w:rFonts w:hint="eastAsia" w:ascii="仿宋" w:hAnsi="仿宋" w:eastAsia="仿宋" w:cs="仿宋"/>
          <w:color w:val="auto"/>
          <w:sz w:val="24"/>
          <w:szCs w:val="24"/>
          <w:highlight w:val="none"/>
        </w:rPr>
      </w:pPr>
      <w:bookmarkStart w:id="96" w:name="_Toc12660"/>
      <w:bookmarkStart w:id="97" w:name="_Toc18211"/>
      <w:bookmarkStart w:id="98" w:name="_Toc1544"/>
      <w:bookmarkStart w:id="99" w:name="_Toc3505"/>
      <w:r>
        <w:rPr>
          <w:rFonts w:hint="eastAsia" w:ascii="仿宋" w:hAnsi="仿宋" w:eastAsia="仿宋" w:cs="仿宋"/>
          <w:color w:val="auto"/>
          <w:sz w:val="24"/>
          <w:szCs w:val="24"/>
          <w:highlight w:val="none"/>
        </w:rPr>
        <w:t>三、无效响应</w:t>
      </w:r>
      <w:bookmarkEnd w:id="96"/>
      <w:bookmarkEnd w:id="97"/>
      <w:bookmarkEnd w:id="98"/>
      <w:bookmarkEnd w:id="99"/>
    </w:p>
    <w:p w14:paraId="58076EE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3007D72">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4F763EA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440FBDD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24934FA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7439ED39">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2C3293C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（六）单位负责人为同一人或者存在直接控股、管理关系的不同供应商，参加同一合同项下的政府采购活动的；</w:t>
      </w:r>
    </w:p>
    <w:p w14:paraId="64629A08">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0D2957F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（八）供应商的实施时间、技术要求及</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有效期不满足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w:t>
      </w:r>
    </w:p>
    <w:p w14:paraId="1B7626E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7C59CA9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（十）供应商以联合体形式参与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w:t>
      </w:r>
    </w:p>
    <w:p w14:paraId="762A5E64">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（十一）供应商进行合同分包的；</w:t>
      </w:r>
    </w:p>
    <w:p w14:paraId="06EB7F1F">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1DDB4BA2">
      <w:pPr>
        <w:pStyle w:val="4"/>
        <w:adjustRightInd w:val="0"/>
        <w:snapToGrid w:val="0"/>
        <w:spacing w:line="400" w:lineRule="exact"/>
        <w:ind w:firstLine="482" w:firstLineChars="200"/>
        <w:rPr>
          <w:rFonts w:hint="eastAsia" w:ascii="仿宋" w:hAnsi="仿宋" w:eastAsia="仿宋" w:cs="仿宋"/>
          <w:color w:val="auto"/>
          <w:sz w:val="24"/>
          <w:szCs w:val="24"/>
          <w:highlight w:val="none"/>
        </w:rPr>
      </w:pPr>
      <w:bookmarkStart w:id="100" w:name="_Toc31448"/>
      <w:bookmarkStart w:id="101" w:name="_Toc13569"/>
      <w:bookmarkStart w:id="102" w:name="_Toc9869"/>
      <w:bookmarkStart w:id="103" w:name="_Toc22023"/>
      <w:r>
        <w:rPr>
          <w:rFonts w:hint="eastAsia" w:ascii="仿宋" w:hAnsi="仿宋" w:eastAsia="仿宋" w:cs="仿宋"/>
          <w:color w:val="auto"/>
          <w:sz w:val="24"/>
          <w:szCs w:val="24"/>
          <w:highlight w:val="none"/>
        </w:rPr>
        <w:t>四、采购终止</w:t>
      </w:r>
      <w:bookmarkEnd w:id="100"/>
      <w:bookmarkEnd w:id="101"/>
      <w:bookmarkEnd w:id="102"/>
      <w:bookmarkEnd w:id="103"/>
    </w:p>
    <w:p w14:paraId="58985405">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采购活动，发布项目终止公告并说明原因，重新开展采购活动：</w:t>
      </w:r>
    </w:p>
    <w:p w14:paraId="619AD02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采购方式适用情形的；</w:t>
      </w:r>
    </w:p>
    <w:p w14:paraId="7848B9F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4466B142">
      <w:pPr>
        <w:snapToGrid w:val="0"/>
        <w:spacing w:line="380" w:lineRule="exact"/>
        <w:ind w:firstLine="465"/>
        <w:rPr>
          <w:rFonts w:hint="eastAsia" w:ascii="仿宋" w:hAnsi="仿宋" w:eastAsia="仿宋" w:cs="仿宋"/>
          <w:color w:val="auto"/>
          <w:sz w:val="24"/>
          <w:szCs w:val="24"/>
          <w:highlight w:val="none"/>
        </w:rPr>
        <w:sectPr>
          <w:footerReference r:id="rId8"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p>
    <w:p w14:paraId="082BFA94">
      <w:pPr>
        <w:pStyle w:val="4"/>
        <w:spacing w:line="360" w:lineRule="auto"/>
        <w:jc w:val="center"/>
        <w:rPr>
          <w:rFonts w:hint="eastAsia" w:ascii="仿宋" w:hAnsi="仿宋" w:eastAsia="仿宋" w:cs="仿宋"/>
          <w:b/>
          <w:bCs/>
          <w:color w:val="auto"/>
          <w:sz w:val="28"/>
          <w:szCs w:val="28"/>
          <w:highlight w:val="none"/>
        </w:rPr>
      </w:pPr>
      <w:bookmarkStart w:id="104" w:name="_Toc102227313"/>
      <w:bookmarkStart w:id="105" w:name="_Toc19269"/>
      <w:r>
        <w:rPr>
          <w:rFonts w:hint="eastAsia" w:ascii="仿宋" w:hAnsi="仿宋" w:eastAsia="仿宋" w:cs="仿宋"/>
          <w:b/>
          <w:bCs/>
          <w:color w:val="auto"/>
          <w:sz w:val="28"/>
          <w:szCs w:val="28"/>
          <w:highlight w:val="none"/>
        </w:rPr>
        <w:t>第五篇  供应商须知</w:t>
      </w:r>
      <w:bookmarkEnd w:id="104"/>
      <w:bookmarkEnd w:id="105"/>
    </w:p>
    <w:p w14:paraId="567336B1">
      <w:pPr>
        <w:pStyle w:val="5"/>
        <w:spacing w:before="0" w:after="0" w:line="440" w:lineRule="exact"/>
        <w:rPr>
          <w:rFonts w:hint="eastAsia" w:ascii="仿宋" w:hAnsi="仿宋" w:eastAsia="仿宋" w:cs="仿宋"/>
          <w:color w:val="auto"/>
          <w:sz w:val="24"/>
          <w:szCs w:val="24"/>
          <w:highlight w:val="none"/>
        </w:rPr>
      </w:pPr>
      <w:bookmarkStart w:id="106" w:name="_Toc342913389"/>
      <w:bookmarkStart w:id="107" w:name="_Toc5347"/>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费用</w:t>
      </w:r>
      <w:bookmarkEnd w:id="106"/>
      <w:bookmarkEnd w:id="107"/>
    </w:p>
    <w:p w14:paraId="35551B3D">
      <w:pPr>
        <w:pStyle w:val="3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的供应商应承担其编制响应文件与递交响应文件所涉及的一切费用，不论</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结果如何，采购人和采购代理机构在任何情况下无义务也无责任承担这些费用。</w:t>
      </w:r>
    </w:p>
    <w:p w14:paraId="713A9BF2">
      <w:pPr>
        <w:pStyle w:val="5"/>
        <w:tabs>
          <w:tab w:val="left" w:pos="2640"/>
        </w:tabs>
        <w:spacing w:before="0" w:after="0" w:line="400" w:lineRule="exact"/>
        <w:rPr>
          <w:rFonts w:hint="eastAsia" w:ascii="仿宋" w:hAnsi="仿宋" w:eastAsia="仿宋" w:cs="仿宋"/>
          <w:color w:val="auto"/>
          <w:sz w:val="24"/>
          <w:szCs w:val="24"/>
          <w:highlight w:val="none"/>
        </w:rPr>
      </w:pPr>
      <w:bookmarkStart w:id="108" w:name="_Toc342913391"/>
      <w:bookmarkStart w:id="109" w:name="_Toc1350"/>
      <w:r>
        <w:rPr>
          <w:rFonts w:hint="eastAsia" w:ascii="仿宋" w:hAnsi="仿宋" w:eastAsia="仿宋" w:cs="仿宋"/>
          <w:color w:val="auto"/>
          <w:sz w:val="24"/>
          <w:szCs w:val="24"/>
          <w:highlight w:val="none"/>
        </w:rPr>
        <w:t>二、</w:t>
      </w:r>
      <w:bookmarkEnd w:id="108"/>
      <w:r>
        <w:rPr>
          <w:rFonts w:hint="eastAsia" w:ascii="仿宋" w:hAnsi="仿宋" w:eastAsia="仿宋" w:cs="仿宋"/>
          <w:color w:val="auto"/>
          <w:sz w:val="24"/>
          <w:szCs w:val="24"/>
          <w:highlight w:val="none"/>
          <w:lang w:eastAsia="zh-CN"/>
        </w:rPr>
        <w:t>采购文件</w:t>
      </w:r>
      <w:bookmarkEnd w:id="109"/>
    </w:p>
    <w:p w14:paraId="430B187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由采购邀请书、</w:t>
      </w:r>
      <w:r>
        <w:rPr>
          <w:rFonts w:hint="eastAsia" w:ascii="仿宋" w:hAnsi="仿宋" w:eastAsia="仿宋" w:cs="仿宋"/>
          <w:color w:val="auto"/>
          <w:sz w:val="24"/>
          <w:szCs w:val="24"/>
          <w:highlight w:val="none"/>
          <w:lang w:eastAsia="zh-CN"/>
        </w:rPr>
        <w:t>项目服务需求</w:t>
      </w:r>
      <w:r>
        <w:rPr>
          <w:rFonts w:hint="eastAsia" w:ascii="仿宋" w:hAnsi="仿宋" w:eastAsia="仿宋" w:cs="仿宋"/>
          <w:color w:val="auto"/>
          <w:sz w:val="24"/>
          <w:szCs w:val="24"/>
          <w:highlight w:val="none"/>
        </w:rPr>
        <w:t>、项目商务需求、</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程序及方法、评审标准、无效响应和采购终止、供应商须知</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政府采购合同</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响应文件编制要求七部分组成。</w:t>
      </w:r>
    </w:p>
    <w:p w14:paraId="6720C8B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不可分割的部分。</w:t>
      </w:r>
    </w:p>
    <w:p w14:paraId="3C86495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的解释</w:t>
      </w:r>
    </w:p>
    <w:p w14:paraId="0D1777E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。一经进入</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程序，即视为供应商已详细阅读全部文件资料，完全理解</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所有条款内容并同意放弃对这方面有不明白及误解的权利。</w:t>
      </w:r>
      <w:bookmarkStart w:id="110" w:name="_Toc318166429"/>
      <w:bookmarkStart w:id="111" w:name="_Toc318159160"/>
      <w:bookmarkStart w:id="112" w:name="_Toc318159349"/>
      <w:bookmarkStart w:id="113" w:name="_Toc318159780"/>
    </w:p>
    <w:p w14:paraId="40199C3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根据与供应商进行</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可能实质性变动的内容为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第二、三、四篇全部内容。</w:t>
      </w:r>
    </w:p>
    <w:p w14:paraId="3543ED0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和响应文件（含有效的书面承诺）。</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的响应，仅基于响应文件本身而不靠外部证据。</w:t>
      </w:r>
    </w:p>
    <w:bookmarkEnd w:id="110"/>
    <w:bookmarkEnd w:id="111"/>
    <w:bookmarkEnd w:id="112"/>
    <w:bookmarkEnd w:id="113"/>
    <w:p w14:paraId="0A62E47A">
      <w:pPr>
        <w:pStyle w:val="5"/>
        <w:spacing w:before="0" w:after="0" w:line="400" w:lineRule="exact"/>
        <w:rPr>
          <w:rFonts w:hint="eastAsia" w:ascii="仿宋" w:hAnsi="仿宋" w:eastAsia="仿宋" w:cs="仿宋"/>
          <w:color w:val="auto"/>
          <w:sz w:val="24"/>
          <w:szCs w:val="24"/>
          <w:highlight w:val="none"/>
        </w:rPr>
      </w:pPr>
      <w:bookmarkStart w:id="114" w:name="_Toc342913392"/>
      <w:bookmarkStart w:id="115" w:name="_Toc179714297"/>
      <w:bookmarkStart w:id="116" w:name="_Toc4762"/>
      <w:bookmarkStart w:id="117" w:name="_Toc10222731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w:t>
      </w:r>
      <w:bookmarkEnd w:id="114"/>
      <w:bookmarkEnd w:id="115"/>
      <w:bookmarkEnd w:id="116"/>
      <w:bookmarkEnd w:id="117"/>
    </w:p>
    <w:p w14:paraId="10BC7FA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2CB622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的要求编制响应文件，并对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提出的要求和条件作出实质性响应，响应文件原则上采用软面订本，同时应编制完整的页码、目录。</w:t>
      </w:r>
    </w:p>
    <w:p w14:paraId="484B1A6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023199A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9C85DBE">
      <w:pPr>
        <w:numPr>
          <w:ilvl w:val="0"/>
          <w:numId w:val="2"/>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w:t>
      </w:r>
    </w:p>
    <w:p w14:paraId="263647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p w14:paraId="1478E7C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有效期：响应文件及有关承诺文件有效期为提交响应文件截止时间起90天。</w:t>
      </w:r>
    </w:p>
    <w:p w14:paraId="04CB1B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5A51598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339D068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按上述修正错误的原则及方法修正供应商的报价，供应商同意并签字确认后，修正后的报价对供应商具有约束作用。如果供应商不接受修正后的价格，将失去成为成交供应商的资格。</w:t>
      </w:r>
    </w:p>
    <w:p w14:paraId="622E8DF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（五）提交响应文件的份数和签署</w:t>
      </w:r>
    </w:p>
    <w:p w14:paraId="74344C2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1.响应文件一式肆份，其中正本一份，副本二份</w:t>
      </w:r>
      <w:r>
        <w:rPr>
          <w:rFonts w:hint="eastAsia" w:ascii="仿宋" w:hAnsi="仿宋" w:eastAsia="仿宋" w:cs="仿宋"/>
          <w:color w:val="auto"/>
          <w:sz w:val="24"/>
          <w:szCs w:val="24"/>
          <w:highlight w:val="none"/>
          <w:lang w:eastAsia="zh-CN"/>
        </w:rPr>
        <w:t>，电子文件一份（须为盖章后的正本扫描件）</w:t>
      </w:r>
      <w:r>
        <w:rPr>
          <w:rFonts w:hint="eastAsia" w:ascii="仿宋" w:hAnsi="仿宋" w:eastAsia="仿宋" w:cs="仿宋"/>
          <w:color w:val="auto"/>
          <w:sz w:val="24"/>
          <w:szCs w:val="24"/>
          <w:highlight w:val="none"/>
        </w:rPr>
        <w:t>；副本可为正本的复印件，应与正本一致，如出现不一致情况以正本为准。</w:t>
      </w:r>
    </w:p>
    <w:p w14:paraId="2168B89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2.在响应文件正本中，</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第七篇响应文件编制要求中规定签字、盖章的地方必须按其规定签字、盖章。</w:t>
      </w:r>
    </w:p>
    <w:p w14:paraId="626999A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（六）响应文件的递交</w:t>
      </w:r>
    </w:p>
    <w:p w14:paraId="3710C10F">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1.响应文件的密封与标记</w:t>
      </w:r>
    </w:p>
    <w:p w14:paraId="2671B6A1">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1.1响应文件的正本、副本均应密封送达</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地点，应在封套上注明项目名称、供应商名称。若正本、副本分别进行密封的，还应在封套上注明“正本”、“副本”、字样。</w:t>
      </w:r>
    </w:p>
    <w:p w14:paraId="4DA1771A">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1.2封套的封口处应加盖供应商公章或由法定代表人授权代表签字。</w:t>
      </w:r>
    </w:p>
    <w:p w14:paraId="5F6890BB">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2.如果响应文件通过邮寄递交，供应商应将响应文件用内、外两层封套密封。</w:t>
      </w:r>
    </w:p>
    <w:p w14:paraId="2C9A6195">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2.1内层封套的封装与标记同 “1、”款规定。</w:t>
      </w:r>
    </w:p>
    <w:p w14:paraId="5ED0028D">
      <w:pPr>
        <w:pStyle w:val="9"/>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2.2外层封套装入“1、”款所述全部内封资料，并注明项目</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。同时应写明供应商的名称、地址，以便将迟交的响应文件原封退还。</w:t>
      </w:r>
    </w:p>
    <w:p w14:paraId="293F3D4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3.如果未按上述规定进行密封和标记，采购代理机构对响应文件误投、丢失或提前拆封不负责任。</w:t>
      </w:r>
    </w:p>
    <w:p w14:paraId="3FF6D66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（七）供应商参与人员</w:t>
      </w:r>
    </w:p>
    <w:p w14:paraId="383ED74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各个供应商应当派1-2名代表参与</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，至少1人应为法定代表人或具有法定代表人授权委托书的授权代表。</w:t>
      </w:r>
    </w:p>
    <w:p w14:paraId="610DB832">
      <w:pPr>
        <w:pStyle w:val="5"/>
        <w:spacing w:before="0" w:after="0" w:line="400" w:lineRule="exact"/>
        <w:rPr>
          <w:rFonts w:hint="eastAsia" w:ascii="仿宋" w:hAnsi="仿宋" w:eastAsia="仿宋" w:cs="仿宋"/>
          <w:color w:val="auto"/>
          <w:sz w:val="24"/>
          <w:szCs w:val="24"/>
          <w:highlight w:val="none"/>
        </w:rPr>
      </w:pPr>
      <w:bookmarkStart w:id="118" w:name="_Toc15512"/>
      <w:r>
        <w:rPr>
          <w:rFonts w:hint="eastAsia" w:ascii="仿宋" w:hAnsi="仿宋" w:eastAsia="仿宋" w:cs="仿宋"/>
          <w:color w:val="auto"/>
          <w:sz w:val="24"/>
          <w:szCs w:val="24"/>
          <w:highlight w:val="none"/>
        </w:rPr>
        <w:t>四、成交供应商的确认和变更</w:t>
      </w:r>
      <w:bookmarkEnd w:id="118"/>
    </w:p>
    <w:p w14:paraId="12ADBF3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1FD4AC7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直接确定成交供应商。采购人逾期未确定成交供应商且不提出异议的，视为确定评审报告提出的排序第一的供应商为成交供应商。</w:t>
      </w:r>
    </w:p>
    <w:p w14:paraId="766F2FD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02371C8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630FFD4E">
      <w:pPr>
        <w:pStyle w:val="5"/>
        <w:spacing w:before="0" w:after="0" w:line="400" w:lineRule="exact"/>
        <w:rPr>
          <w:rFonts w:hint="eastAsia" w:ascii="仿宋" w:hAnsi="仿宋" w:eastAsia="仿宋" w:cs="仿宋"/>
          <w:color w:val="auto"/>
          <w:sz w:val="24"/>
          <w:szCs w:val="24"/>
          <w:highlight w:val="none"/>
        </w:rPr>
      </w:pPr>
      <w:bookmarkStart w:id="119" w:name="_Toc102227321"/>
      <w:bookmarkStart w:id="120" w:name="_Toc16479"/>
      <w:bookmarkStart w:id="121" w:name="_Toc342913395"/>
      <w:r>
        <w:rPr>
          <w:rFonts w:hint="eastAsia" w:ascii="仿宋" w:hAnsi="仿宋" w:eastAsia="仿宋" w:cs="仿宋"/>
          <w:color w:val="auto"/>
          <w:sz w:val="24"/>
          <w:szCs w:val="24"/>
          <w:highlight w:val="none"/>
        </w:rPr>
        <w:t>五、成交通知</w:t>
      </w:r>
      <w:bookmarkEnd w:id="119"/>
      <w:bookmarkEnd w:id="120"/>
      <w:bookmarkEnd w:id="121"/>
    </w:p>
    <w:p w14:paraId="322762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（一）成交供应商确定后，采购代理机构将在行采家（https://www.gec12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.com/）上发布成交结果公告。</w:t>
      </w:r>
    </w:p>
    <w:p w14:paraId="3977DF4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》一经发出即发生法律效力。</w:t>
      </w:r>
    </w:p>
    <w:p w14:paraId="0E25DB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》将作为签订合同的依据。</w:t>
      </w:r>
    </w:p>
    <w:p w14:paraId="302713F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w:t>
      </w:r>
    </w:p>
    <w:p w14:paraId="5578C193">
      <w:pPr>
        <w:pStyle w:val="5"/>
        <w:spacing w:before="0" w:after="0" w:line="400" w:lineRule="exact"/>
        <w:rPr>
          <w:rFonts w:hint="eastAsia" w:ascii="仿宋" w:hAnsi="仿宋" w:eastAsia="仿宋" w:cs="仿宋"/>
          <w:color w:val="auto"/>
          <w:sz w:val="24"/>
          <w:szCs w:val="24"/>
          <w:highlight w:val="none"/>
        </w:rPr>
      </w:pPr>
      <w:bookmarkStart w:id="122" w:name="_Toc2230"/>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、采购代理服务费</w:t>
      </w:r>
      <w:bookmarkEnd w:id="122"/>
    </w:p>
    <w:p w14:paraId="54964841">
      <w:pPr>
        <w:spacing w:before="114" w:line="295" w:lineRule="auto"/>
        <w:ind w:left="124" w:right="113" w:firstLine="477"/>
        <w:rPr>
          <w:rFonts w:hint="eastAsia" w:ascii="仿宋" w:hAnsi="仿宋" w:eastAsia="仿宋" w:cs="仿宋"/>
          <w:color w:val="auto"/>
          <w:sz w:val="24"/>
          <w:szCs w:val="24"/>
          <w:highlight w:val="none"/>
          <w:lang w:val="en-US" w:eastAsia="zh-CN"/>
        </w:rPr>
      </w:pPr>
      <w:bookmarkStart w:id="123" w:name="OLE_LINK7"/>
      <w:bookmarkStart w:id="124" w:name="OLE_LINK8"/>
      <w:bookmarkStart w:id="125" w:name="_Toc507411004"/>
      <w:r>
        <w:rPr>
          <w:rFonts w:hint="eastAsia" w:ascii="仿宋" w:hAnsi="仿宋" w:eastAsia="仿宋" w:cs="仿宋"/>
          <w:color w:val="auto"/>
          <w:sz w:val="24"/>
          <w:szCs w:val="24"/>
          <w:highlight w:val="none"/>
          <w:lang w:val="en-US" w:eastAsia="zh-CN"/>
        </w:rPr>
        <w:t>1、成交供应商在领取中标通知书前</w:t>
      </w:r>
      <w:r>
        <w:rPr>
          <w:rFonts w:hint="eastAsia" w:ascii="仿宋" w:hAnsi="仿宋" w:eastAsia="仿宋" w:cs="仿宋"/>
          <w:color w:val="auto"/>
          <w:sz w:val="24"/>
          <w:szCs w:val="24"/>
          <w:highlight w:val="none"/>
        </w:rPr>
        <w:t>向代理机构缴纳采购代理服务费，采购代理服务费</w:t>
      </w:r>
      <w:r>
        <w:rPr>
          <w:rFonts w:hint="eastAsia" w:ascii="仿宋" w:hAnsi="仿宋" w:eastAsia="仿宋" w:cs="仿宋"/>
          <w:color w:val="auto"/>
          <w:sz w:val="24"/>
          <w:szCs w:val="24"/>
          <w:highlight w:val="none"/>
          <w:lang w:val="en-US" w:eastAsia="zh-CN"/>
        </w:rPr>
        <w:t>为3500.00元。</w:t>
      </w:r>
    </w:p>
    <w:bookmarkEnd w:id="123"/>
    <w:bookmarkEnd w:id="124"/>
    <w:p w14:paraId="1F155F0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、成交供应商如未按上述规定缴付采购代理服务费，其保证金将不予退还。</w:t>
      </w:r>
    </w:p>
    <w:bookmarkEnd w:id="125"/>
    <w:p w14:paraId="0342748F">
      <w:pPr>
        <w:pStyle w:val="5"/>
        <w:spacing w:before="0" w:after="0" w:line="400" w:lineRule="exact"/>
        <w:rPr>
          <w:rFonts w:hint="eastAsia" w:ascii="仿宋" w:hAnsi="仿宋" w:eastAsia="仿宋" w:cs="仿宋"/>
          <w:color w:val="auto"/>
          <w:sz w:val="24"/>
          <w:szCs w:val="24"/>
          <w:highlight w:val="none"/>
        </w:rPr>
      </w:pPr>
      <w:bookmarkStart w:id="126" w:name="_Toc102227322"/>
      <w:bookmarkStart w:id="127" w:name="_Toc342913396"/>
      <w:bookmarkStart w:id="128" w:name="_Toc27103"/>
      <w:bookmarkStart w:id="129" w:name="_Toc12789059"/>
      <w:bookmarkStart w:id="130" w:name="_Toc1164105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、签订</w:t>
      </w:r>
      <w:bookmarkEnd w:id="126"/>
      <w:r>
        <w:rPr>
          <w:rFonts w:hint="eastAsia" w:ascii="仿宋" w:hAnsi="仿宋" w:eastAsia="仿宋" w:cs="仿宋"/>
          <w:color w:val="auto"/>
          <w:sz w:val="24"/>
          <w:szCs w:val="24"/>
          <w:highlight w:val="none"/>
        </w:rPr>
        <w:t>合同</w:t>
      </w:r>
      <w:bookmarkEnd w:id="127"/>
      <w:bookmarkEnd w:id="128"/>
    </w:p>
    <w:p w14:paraId="1CBAB9C4">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和成交供应商响应文件的约定，与成交供应商签订书面合同。所签订的合同不得对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和供应商的响应文件作实质性修改。</w:t>
      </w:r>
    </w:p>
    <w:p w14:paraId="6015F635">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、供应商的响应文件及澄清文件等，均为签订政府采购合同的依据。</w:t>
      </w:r>
    </w:p>
    <w:p w14:paraId="1ADBA613">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75F11C6A">
      <w:pPr>
        <w:spacing w:line="400" w:lineRule="exact"/>
        <w:ind w:firstLine="360" w:firstLineChars="150"/>
        <w:rPr>
          <w:rFonts w:hint="eastAsia" w:ascii="仿宋" w:hAnsi="仿宋" w:eastAsia="仿宋" w:cs="仿宋"/>
          <w:b w:val="0"/>
          <w:color w:val="auto"/>
          <w:sz w:val="24"/>
          <w:szCs w:val="24"/>
          <w:highlight w:val="none"/>
        </w:rPr>
        <w:sectPr>
          <w:footerReference r:id="rId9"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（四）合同原则上应按照《重庆市政府采购合同》签订，相关单位要求适用合同通用格式版本的，应按其要求另行签订其他合同。</w:t>
      </w:r>
    </w:p>
    <w:p w14:paraId="1BAC4C17">
      <w:pPr>
        <w:pStyle w:val="4"/>
        <w:spacing w:before="0" w:after="0" w:line="360" w:lineRule="auto"/>
        <w:jc w:val="center"/>
        <w:rPr>
          <w:rFonts w:hint="eastAsia" w:ascii="仿宋" w:hAnsi="仿宋" w:eastAsia="仿宋" w:cs="仿宋"/>
          <w:b/>
          <w:bCs/>
          <w:color w:val="auto"/>
          <w:sz w:val="28"/>
          <w:szCs w:val="28"/>
          <w:highlight w:val="none"/>
        </w:rPr>
      </w:pPr>
      <w:bookmarkStart w:id="131" w:name="_Toc14410"/>
      <w:r>
        <w:rPr>
          <w:rFonts w:hint="eastAsia" w:ascii="仿宋" w:hAnsi="仿宋" w:eastAsia="仿宋" w:cs="仿宋"/>
          <w:b/>
          <w:bCs/>
          <w:color w:val="auto"/>
          <w:sz w:val="28"/>
          <w:szCs w:val="28"/>
          <w:highlight w:val="none"/>
        </w:rPr>
        <w:t xml:space="preserve">第六篇  </w:t>
      </w:r>
      <w:bookmarkEnd w:id="129"/>
      <w:bookmarkEnd w:id="130"/>
      <w:r>
        <w:rPr>
          <w:rFonts w:hint="eastAsia" w:ascii="仿宋" w:hAnsi="仿宋" w:eastAsia="仿宋" w:cs="仿宋"/>
          <w:b/>
          <w:bCs/>
          <w:color w:val="auto"/>
          <w:sz w:val="28"/>
          <w:szCs w:val="28"/>
          <w:highlight w:val="none"/>
        </w:rPr>
        <w:t>政府采购合同</w:t>
      </w:r>
      <w:bookmarkEnd w:id="131"/>
    </w:p>
    <w:p w14:paraId="21284CDC">
      <w:pPr>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重庆市政府采购合同</w:t>
      </w:r>
    </w:p>
    <w:p w14:paraId="2F5F62A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（项目号：     ）</w:t>
      </w:r>
    </w:p>
    <w:p w14:paraId="4ED3C872">
      <w:pPr>
        <w:spacing w:line="500" w:lineRule="exact"/>
        <w:jc w:val="center"/>
        <w:rPr>
          <w:rFonts w:hint="eastAsia" w:ascii="仿宋" w:hAnsi="仿宋" w:eastAsia="仿宋" w:cs="仿宋"/>
          <w:color w:val="auto"/>
          <w:sz w:val="24"/>
          <w:szCs w:val="24"/>
          <w:highlight w:val="none"/>
        </w:rPr>
      </w:pPr>
    </w:p>
    <w:p w14:paraId="7110704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甲方（需方）：___________________________      计价单位：____________</w:t>
      </w:r>
    </w:p>
    <w:p w14:paraId="58DABEDF">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乙方（供方）：___________________________      计量单位：_____________</w:t>
      </w:r>
    </w:p>
    <w:p w14:paraId="593CDA6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670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95C7DC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4" w:type="dxa"/>
            <w:vAlign w:val="center"/>
          </w:tcPr>
          <w:p w14:paraId="124458A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98" w:type="dxa"/>
            <w:gridSpan w:val="2"/>
            <w:vAlign w:val="center"/>
          </w:tcPr>
          <w:p w14:paraId="42438BCC">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1134" w:type="dxa"/>
            <w:vAlign w:val="center"/>
          </w:tcPr>
          <w:p w14:paraId="018DC302">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3CD86B2F">
            <w:pPr>
              <w:spacing w:line="240" w:lineRule="atLeas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服务期限</w:t>
            </w:r>
          </w:p>
        </w:tc>
        <w:tc>
          <w:tcPr>
            <w:tcW w:w="1582" w:type="dxa"/>
            <w:vAlign w:val="center"/>
          </w:tcPr>
          <w:p w14:paraId="063DEE9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04A6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5EC2134">
            <w:pPr>
              <w:spacing w:line="240" w:lineRule="atLeast"/>
              <w:jc w:val="center"/>
              <w:rPr>
                <w:rFonts w:hint="eastAsia" w:ascii="仿宋" w:hAnsi="仿宋" w:eastAsia="仿宋" w:cs="仿宋"/>
                <w:color w:val="auto"/>
                <w:sz w:val="24"/>
                <w:szCs w:val="24"/>
                <w:highlight w:val="none"/>
              </w:rPr>
            </w:pPr>
          </w:p>
        </w:tc>
        <w:tc>
          <w:tcPr>
            <w:tcW w:w="984" w:type="dxa"/>
            <w:vAlign w:val="center"/>
          </w:tcPr>
          <w:p w14:paraId="38A68565">
            <w:pPr>
              <w:spacing w:line="240" w:lineRule="atLeast"/>
              <w:jc w:val="center"/>
              <w:rPr>
                <w:rFonts w:hint="eastAsia" w:ascii="仿宋" w:hAnsi="仿宋" w:eastAsia="仿宋" w:cs="仿宋"/>
                <w:color w:val="auto"/>
                <w:sz w:val="24"/>
                <w:szCs w:val="24"/>
                <w:highlight w:val="none"/>
              </w:rPr>
            </w:pPr>
          </w:p>
        </w:tc>
        <w:tc>
          <w:tcPr>
            <w:tcW w:w="1298" w:type="dxa"/>
            <w:gridSpan w:val="2"/>
            <w:vAlign w:val="center"/>
          </w:tcPr>
          <w:p w14:paraId="5A1A0995">
            <w:pPr>
              <w:spacing w:line="240" w:lineRule="atLeast"/>
              <w:jc w:val="center"/>
              <w:rPr>
                <w:rFonts w:hint="eastAsia" w:ascii="仿宋" w:hAnsi="仿宋" w:eastAsia="仿宋" w:cs="仿宋"/>
                <w:color w:val="auto"/>
                <w:sz w:val="24"/>
                <w:szCs w:val="24"/>
                <w:highlight w:val="none"/>
              </w:rPr>
            </w:pPr>
          </w:p>
        </w:tc>
        <w:tc>
          <w:tcPr>
            <w:tcW w:w="1134" w:type="dxa"/>
            <w:vAlign w:val="center"/>
          </w:tcPr>
          <w:p w14:paraId="2D8448E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EFF2FCA">
            <w:pPr>
              <w:spacing w:line="240" w:lineRule="atLeast"/>
              <w:jc w:val="center"/>
              <w:rPr>
                <w:rFonts w:hint="eastAsia" w:ascii="仿宋" w:hAnsi="仿宋" w:eastAsia="仿宋" w:cs="仿宋"/>
                <w:color w:val="auto"/>
                <w:sz w:val="24"/>
                <w:szCs w:val="24"/>
                <w:highlight w:val="none"/>
              </w:rPr>
            </w:pPr>
          </w:p>
        </w:tc>
        <w:tc>
          <w:tcPr>
            <w:tcW w:w="1582" w:type="dxa"/>
            <w:vAlign w:val="center"/>
          </w:tcPr>
          <w:p w14:paraId="63078999">
            <w:pPr>
              <w:spacing w:line="240" w:lineRule="atLeast"/>
              <w:jc w:val="center"/>
              <w:rPr>
                <w:rFonts w:hint="eastAsia" w:ascii="仿宋" w:hAnsi="仿宋" w:eastAsia="仿宋" w:cs="仿宋"/>
                <w:color w:val="auto"/>
                <w:sz w:val="24"/>
                <w:szCs w:val="24"/>
                <w:highlight w:val="none"/>
              </w:rPr>
            </w:pPr>
          </w:p>
        </w:tc>
      </w:tr>
      <w:tr w14:paraId="3B87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602B324">
            <w:pPr>
              <w:spacing w:line="240" w:lineRule="atLeast"/>
              <w:jc w:val="center"/>
              <w:rPr>
                <w:rFonts w:hint="eastAsia" w:ascii="仿宋" w:hAnsi="仿宋" w:eastAsia="仿宋" w:cs="仿宋"/>
                <w:color w:val="auto"/>
                <w:sz w:val="24"/>
                <w:szCs w:val="24"/>
                <w:highlight w:val="none"/>
              </w:rPr>
            </w:pPr>
          </w:p>
        </w:tc>
        <w:tc>
          <w:tcPr>
            <w:tcW w:w="984" w:type="dxa"/>
            <w:vAlign w:val="center"/>
          </w:tcPr>
          <w:p w14:paraId="4DB7897C">
            <w:pPr>
              <w:spacing w:line="240" w:lineRule="atLeast"/>
              <w:jc w:val="center"/>
              <w:rPr>
                <w:rFonts w:hint="eastAsia" w:ascii="仿宋" w:hAnsi="仿宋" w:eastAsia="仿宋" w:cs="仿宋"/>
                <w:color w:val="auto"/>
                <w:sz w:val="24"/>
                <w:szCs w:val="24"/>
                <w:highlight w:val="none"/>
              </w:rPr>
            </w:pPr>
          </w:p>
        </w:tc>
        <w:tc>
          <w:tcPr>
            <w:tcW w:w="1298" w:type="dxa"/>
            <w:gridSpan w:val="2"/>
            <w:vAlign w:val="center"/>
          </w:tcPr>
          <w:p w14:paraId="53D60120">
            <w:pPr>
              <w:spacing w:line="240" w:lineRule="atLeast"/>
              <w:jc w:val="center"/>
              <w:rPr>
                <w:rFonts w:hint="eastAsia" w:ascii="仿宋" w:hAnsi="仿宋" w:eastAsia="仿宋" w:cs="仿宋"/>
                <w:color w:val="auto"/>
                <w:sz w:val="24"/>
                <w:szCs w:val="24"/>
                <w:highlight w:val="none"/>
              </w:rPr>
            </w:pPr>
          </w:p>
        </w:tc>
        <w:tc>
          <w:tcPr>
            <w:tcW w:w="1134" w:type="dxa"/>
            <w:vAlign w:val="center"/>
          </w:tcPr>
          <w:p w14:paraId="714A7248">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19BAAAFA">
            <w:pPr>
              <w:spacing w:line="240" w:lineRule="atLeast"/>
              <w:jc w:val="center"/>
              <w:rPr>
                <w:rFonts w:hint="eastAsia" w:ascii="仿宋" w:hAnsi="仿宋" w:eastAsia="仿宋" w:cs="仿宋"/>
                <w:color w:val="auto"/>
                <w:sz w:val="24"/>
                <w:szCs w:val="24"/>
                <w:highlight w:val="none"/>
              </w:rPr>
            </w:pPr>
          </w:p>
        </w:tc>
        <w:tc>
          <w:tcPr>
            <w:tcW w:w="1582" w:type="dxa"/>
            <w:vAlign w:val="center"/>
          </w:tcPr>
          <w:p w14:paraId="540DB6A1">
            <w:pPr>
              <w:spacing w:line="240" w:lineRule="atLeast"/>
              <w:jc w:val="center"/>
              <w:rPr>
                <w:rFonts w:hint="eastAsia" w:ascii="仿宋" w:hAnsi="仿宋" w:eastAsia="仿宋" w:cs="仿宋"/>
                <w:color w:val="auto"/>
                <w:sz w:val="24"/>
                <w:szCs w:val="24"/>
                <w:highlight w:val="none"/>
              </w:rPr>
            </w:pPr>
          </w:p>
        </w:tc>
      </w:tr>
      <w:tr w14:paraId="1D5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vAlign w:val="center"/>
          </w:tcPr>
          <w:p w14:paraId="6C89D40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14DD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vAlign w:val="center"/>
          </w:tcPr>
          <w:p w14:paraId="7FCC513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7FF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tcPr>
          <w:p w14:paraId="7F2EEE42">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w:t>
            </w:r>
          </w:p>
        </w:tc>
      </w:tr>
      <w:tr w14:paraId="3DB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tcPr>
          <w:p w14:paraId="3E0D046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二、考核方式</w:t>
            </w:r>
          </w:p>
        </w:tc>
      </w:tr>
      <w:tr w14:paraId="104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tcPr>
          <w:p w14:paraId="649EABC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p w14:paraId="64E54CF6">
            <w:pPr>
              <w:pStyle w:val="10"/>
              <w:spacing w:line="240" w:lineRule="atLeast"/>
              <w:rPr>
                <w:rFonts w:hint="eastAsia" w:ascii="仿宋" w:hAnsi="仿宋" w:eastAsia="仿宋" w:cs="仿宋"/>
                <w:color w:val="auto"/>
                <w:sz w:val="24"/>
                <w:szCs w:val="24"/>
                <w:highlight w:val="none"/>
              </w:rPr>
            </w:pPr>
          </w:p>
        </w:tc>
      </w:tr>
      <w:tr w14:paraId="7749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tcPr>
          <w:p w14:paraId="19F1026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78C6960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按《合同法》、《政府采购法》执行，或按双方约定。</w:t>
            </w:r>
          </w:p>
        </w:tc>
      </w:tr>
      <w:tr w14:paraId="1AA5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D0595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421B5E8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1.采购文件及其补遗文件、响应文件和承诺是本合同不可分割的部分。</w:t>
            </w:r>
          </w:p>
          <w:p w14:paraId="5D9EFD1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2.本合同如发生争议由双方协商解决，协商不成向需方所在人民法院提请诉讼。</w:t>
            </w:r>
          </w:p>
          <w:p w14:paraId="0B0BE0D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需方__份，供方__份，采购代理机构__份，具同等法律效力。</w:t>
            </w:r>
          </w:p>
          <w:p w14:paraId="31FED17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7A06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3A191A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236FE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A29D90F">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5D5DDEA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4984" w:type="dxa"/>
            <w:gridSpan w:val="4"/>
          </w:tcPr>
          <w:p w14:paraId="11AC4C1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3F6D0E8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36644FE">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A1A241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628C8CA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095567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F514A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5C7B0CAC">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509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tcPr>
          <w:p w14:paraId="561F773E">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443CCEE">
            <w:pPr>
              <w:spacing w:line="240" w:lineRule="atLeast"/>
              <w:rPr>
                <w:rFonts w:hint="eastAsia" w:ascii="仿宋" w:hAnsi="仿宋" w:eastAsia="仿宋" w:cs="仿宋"/>
                <w:color w:val="auto"/>
                <w:sz w:val="24"/>
                <w:szCs w:val="24"/>
                <w:highlight w:val="none"/>
              </w:rPr>
            </w:pPr>
          </w:p>
          <w:p w14:paraId="44F812BF">
            <w:pPr>
              <w:spacing w:line="240" w:lineRule="atLeast"/>
              <w:rPr>
                <w:rFonts w:hint="eastAsia" w:ascii="仿宋" w:hAnsi="仿宋" w:eastAsia="仿宋" w:cs="仿宋"/>
                <w:color w:val="auto"/>
                <w:sz w:val="24"/>
                <w:szCs w:val="24"/>
                <w:highlight w:val="none"/>
              </w:rPr>
            </w:pPr>
          </w:p>
        </w:tc>
      </w:tr>
    </w:tbl>
    <w:p w14:paraId="53A11728">
      <w:pPr>
        <w:rPr>
          <w:rFonts w:hint="eastAsia" w:ascii="仿宋" w:hAnsi="仿宋" w:eastAsia="仿宋" w:cs="仿宋"/>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签约时间：    年  月  日                  签约地点：</w:t>
      </w:r>
    </w:p>
    <w:p w14:paraId="3904C6A6">
      <w:pPr>
        <w:rPr>
          <w:rFonts w:hint="eastAsia" w:ascii="仿宋" w:hAnsi="仿宋" w:eastAsia="仿宋" w:cs="仿宋"/>
          <w:b/>
          <w:color w:val="auto"/>
          <w:sz w:val="24"/>
          <w:szCs w:val="24"/>
          <w:highlight w:val="none"/>
        </w:rPr>
      </w:pPr>
      <w:bookmarkStart w:id="132" w:name="_Hlt41879464"/>
      <w:bookmarkEnd w:id="132"/>
    </w:p>
    <w:p w14:paraId="46BAC056">
      <w:pPr>
        <w:pStyle w:val="4"/>
        <w:spacing w:before="0" w:after="0" w:line="360" w:lineRule="auto"/>
        <w:jc w:val="center"/>
        <w:rPr>
          <w:rFonts w:hint="eastAsia" w:ascii="仿宋" w:hAnsi="仿宋" w:eastAsia="仿宋" w:cs="仿宋"/>
          <w:b/>
          <w:bCs/>
          <w:color w:val="auto"/>
          <w:sz w:val="28"/>
          <w:szCs w:val="28"/>
          <w:highlight w:val="none"/>
        </w:rPr>
      </w:pPr>
      <w:bookmarkStart w:id="133" w:name="_Toc22017"/>
      <w:r>
        <w:rPr>
          <w:rFonts w:hint="eastAsia" w:ascii="仿宋" w:hAnsi="仿宋" w:eastAsia="仿宋" w:cs="仿宋"/>
          <w:b/>
          <w:bCs/>
          <w:color w:val="auto"/>
          <w:sz w:val="28"/>
          <w:szCs w:val="28"/>
          <w:highlight w:val="none"/>
        </w:rPr>
        <w:t>第七篇  响应文件编制要求</w:t>
      </w:r>
      <w:bookmarkEnd w:id="133"/>
    </w:p>
    <w:p w14:paraId="36FDC9C3">
      <w:pPr>
        <w:spacing w:line="400" w:lineRule="exact"/>
        <w:ind w:firstLine="480" w:firstLineChars="200"/>
        <w:rPr>
          <w:rFonts w:hint="eastAsia" w:ascii="仿宋" w:hAnsi="仿宋" w:eastAsia="仿宋" w:cs="仿宋"/>
          <w:color w:val="auto"/>
          <w:sz w:val="24"/>
          <w:szCs w:val="24"/>
          <w:highlight w:val="none"/>
        </w:rPr>
      </w:pPr>
      <w:bookmarkStart w:id="134" w:name="_Toc342913419"/>
      <w:bookmarkStart w:id="135" w:name="_Toc313888360"/>
      <w:bookmarkStart w:id="136" w:name="_Toc313008356"/>
      <w:bookmarkStart w:id="137" w:name="_Toc12789073"/>
      <w:bookmarkStart w:id="138" w:name="_Toc283382454"/>
      <w:r>
        <w:rPr>
          <w:rFonts w:hint="eastAsia" w:ascii="仿宋" w:hAnsi="仿宋" w:eastAsia="仿宋" w:cs="仿宋"/>
          <w:color w:val="auto"/>
          <w:sz w:val="24"/>
          <w:szCs w:val="24"/>
          <w:highlight w:val="none"/>
        </w:rPr>
        <w:t>一、经济部分</w:t>
      </w:r>
    </w:p>
    <w:p w14:paraId="4209857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报价函</w:t>
      </w:r>
    </w:p>
    <w:p w14:paraId="7A7DC6D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787748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二、服务部分</w:t>
      </w:r>
    </w:p>
    <w:p w14:paraId="164694B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756A10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w:t>
      </w:r>
    </w:p>
    <w:p w14:paraId="1665337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三、商务部分</w:t>
      </w:r>
    </w:p>
    <w:p w14:paraId="150AF3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（一）商务要求响应情况：服务期及地点、验收方式</w:t>
      </w:r>
    </w:p>
    <w:p w14:paraId="4675C22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w:t>
      </w:r>
    </w:p>
    <w:p w14:paraId="50E1446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（三）其它优惠服务承诺</w:t>
      </w:r>
    </w:p>
    <w:p w14:paraId="4CC343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5861846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865EE9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4E26676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28C49DE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228F011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（五）特定资格条件证书或证明文件（如有）</w:t>
      </w:r>
    </w:p>
    <w:p w14:paraId="5A4EF8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（六）落实政府采购政策需满足的资格要求（如有）</w:t>
      </w:r>
    </w:p>
    <w:p w14:paraId="40BC430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五、其他资料</w:t>
      </w:r>
    </w:p>
    <w:p w14:paraId="722370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w:t>
      </w:r>
    </w:p>
    <w:p w14:paraId="79233C2D">
      <w:pPr>
        <w:snapToGrid w:val="0"/>
        <w:spacing w:line="360" w:lineRule="auto"/>
        <w:rPr>
          <w:rFonts w:hint="eastAsia" w:ascii="仿宋" w:hAnsi="仿宋" w:eastAsia="仿宋" w:cs="仿宋"/>
          <w:color w:val="auto"/>
          <w:sz w:val="24"/>
          <w:szCs w:val="24"/>
          <w:highlight w:val="none"/>
          <w:bdr w:val="single" w:color="auto" w:sz="4" w:space="0"/>
        </w:rPr>
        <w:sectPr>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3E788B0B">
      <w:pPr>
        <w:pStyle w:val="5"/>
        <w:spacing w:before="0" w:after="0" w:line="360" w:lineRule="auto"/>
        <w:rPr>
          <w:rFonts w:hint="eastAsia" w:ascii="仿宋" w:hAnsi="仿宋" w:eastAsia="仿宋" w:cs="仿宋"/>
          <w:color w:val="auto"/>
          <w:sz w:val="24"/>
          <w:szCs w:val="24"/>
          <w:highlight w:val="none"/>
        </w:rPr>
      </w:pPr>
      <w:bookmarkStart w:id="139" w:name="_Toc5259"/>
      <w:bookmarkStart w:id="140" w:name="_Toc1507"/>
      <w:bookmarkStart w:id="141" w:name="_Toc31300"/>
      <w:r>
        <w:rPr>
          <w:rFonts w:hint="eastAsia" w:ascii="仿宋" w:hAnsi="仿宋" w:eastAsia="仿宋" w:cs="仿宋"/>
          <w:color w:val="auto"/>
          <w:sz w:val="24"/>
          <w:szCs w:val="24"/>
          <w:highlight w:val="none"/>
        </w:rPr>
        <w:t>一、经济部分</w:t>
      </w:r>
      <w:bookmarkEnd w:id="134"/>
      <w:bookmarkEnd w:id="135"/>
      <w:bookmarkEnd w:id="136"/>
      <w:bookmarkEnd w:id="139"/>
      <w:bookmarkEnd w:id="140"/>
      <w:bookmarkEnd w:id="141"/>
    </w:p>
    <w:bookmarkEnd w:id="137"/>
    <w:bookmarkEnd w:id="138"/>
    <w:p w14:paraId="29E90EB8">
      <w:pPr>
        <w:tabs>
          <w:tab w:val="left" w:pos="6300"/>
        </w:tabs>
        <w:snapToGrid w:val="0"/>
        <w:spacing w:line="312" w:lineRule="auto"/>
        <w:jc w:val="center"/>
        <w:outlineLvl w:val="0"/>
        <w:rPr>
          <w:rFonts w:hint="eastAsia" w:ascii="仿宋" w:hAnsi="仿宋" w:eastAsia="仿宋" w:cs="仿宋"/>
          <w:b/>
          <w:color w:val="auto"/>
          <w:sz w:val="24"/>
          <w:szCs w:val="24"/>
          <w:highlight w:val="none"/>
        </w:rPr>
      </w:pPr>
    </w:p>
    <w:p w14:paraId="460350E3">
      <w:pPr>
        <w:tabs>
          <w:tab w:val="left" w:pos="6300"/>
        </w:tabs>
        <w:snapToGrid w:val="0"/>
        <w:spacing w:line="312"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14:paraId="5825C79B">
      <w:pPr>
        <w:tabs>
          <w:tab w:val="left" w:pos="6300"/>
        </w:tabs>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p>
    <w:p w14:paraId="302D834E">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w:t>
      </w:r>
    </w:p>
    <w:p w14:paraId="5FBC162F">
      <w:pPr>
        <w:numPr>
          <w:ilvl w:val="0"/>
          <w:numId w:val="0"/>
        </w:num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中的一切要求，提供本项目的服务，</w:t>
      </w:r>
      <w:r>
        <w:rPr>
          <w:rFonts w:hint="eastAsia" w:ascii="仿宋" w:hAnsi="仿宋" w:eastAsia="仿宋" w:cs="仿宋"/>
          <w:color w:val="auto"/>
          <w:sz w:val="24"/>
          <w:szCs w:val="24"/>
          <w:highlight w:val="none"/>
          <w:lang w:val="en-US" w:eastAsia="zh-CN"/>
        </w:rPr>
        <w:t>投标总价报价</w:t>
      </w:r>
      <w:r>
        <w:rPr>
          <w:rFonts w:hint="eastAsia" w:ascii="仿宋" w:hAnsi="仿宋" w:eastAsia="仿宋" w:cs="仿宋"/>
          <w:color w:val="auto"/>
          <w:sz w:val="24"/>
          <w:szCs w:val="24"/>
          <w:highlight w:val="none"/>
        </w:rPr>
        <w:t>为大写：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68246B">
      <w:pPr>
        <w:numPr>
          <w:ilvl w:val="0"/>
          <w:numId w:val="0"/>
        </w:num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，电子文件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2EC853D">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的有效期为90天。</w:t>
      </w:r>
    </w:p>
    <w:p w14:paraId="275B9F00">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54DCFB06">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》之规定给予惩罚。</w:t>
      </w:r>
    </w:p>
    <w:p w14:paraId="7E2AB608">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6DC6F909">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5DED9BCA">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5981DFA6">
      <w:pPr>
        <w:tabs>
          <w:tab w:val="left" w:pos="6300"/>
        </w:tabs>
        <w:snapToGrid w:val="0"/>
        <w:spacing w:line="312" w:lineRule="auto"/>
        <w:ind w:firstLine="570"/>
        <w:rPr>
          <w:rFonts w:hint="eastAsia" w:ascii="仿宋" w:hAnsi="仿宋" w:eastAsia="仿宋" w:cs="仿宋"/>
          <w:color w:val="auto"/>
          <w:sz w:val="24"/>
          <w:szCs w:val="24"/>
          <w:highlight w:val="none"/>
        </w:rPr>
      </w:pPr>
    </w:p>
    <w:p w14:paraId="03ABD5F4">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13F527F">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58618920">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858EAC3">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6BD4E47A">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6C4CBC15">
      <w:pPr>
        <w:snapToGrid w:val="0"/>
        <w:spacing w:line="312"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 xml:space="preserve">                                                  年   月   日</w:t>
      </w:r>
    </w:p>
    <w:p w14:paraId="0B1BBBF3">
      <w:pPr>
        <w:tabs>
          <w:tab w:val="left" w:pos="2895"/>
        </w:tabs>
        <w:spacing w:line="400" w:lineRule="exact"/>
        <w:ind w:firstLine="240" w:firstLineChars="100"/>
        <w:rPr>
          <w:rFonts w:hint="eastAsia" w:ascii="仿宋" w:hAnsi="仿宋" w:eastAsia="仿宋" w:cs="仿宋"/>
          <w:color w:val="auto"/>
          <w:sz w:val="24"/>
          <w:szCs w:val="24"/>
          <w:highlight w:val="none"/>
        </w:rPr>
      </w:pPr>
      <w:bookmarkStart w:id="142" w:name="_Toc313888361"/>
      <w:bookmarkStart w:id="143" w:name="_Toc342913420"/>
      <w:bookmarkStart w:id="144" w:name="_Toc313008357"/>
      <w:r>
        <w:rPr>
          <w:rFonts w:hint="eastAsia" w:ascii="仿宋" w:hAnsi="仿宋" w:eastAsia="仿宋" w:cs="仿宋"/>
          <w:color w:val="auto"/>
          <w:sz w:val="24"/>
          <w:szCs w:val="24"/>
          <w:highlight w:val="none"/>
        </w:rPr>
        <w:t>（二）明细报价表</w:t>
      </w:r>
    </w:p>
    <w:p w14:paraId="7FB5917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4A33F81">
      <w:pPr>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ECD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22E23F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57" w:type="dxa"/>
            <w:vAlign w:val="center"/>
          </w:tcPr>
          <w:p w14:paraId="77BFCBF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127" w:type="dxa"/>
            <w:vAlign w:val="center"/>
          </w:tcPr>
          <w:p w14:paraId="6172956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相关信息</w:t>
            </w:r>
          </w:p>
        </w:tc>
        <w:tc>
          <w:tcPr>
            <w:tcW w:w="1235" w:type="dxa"/>
            <w:vAlign w:val="center"/>
          </w:tcPr>
          <w:p w14:paraId="6744A4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35" w:type="dxa"/>
            <w:vAlign w:val="center"/>
          </w:tcPr>
          <w:p w14:paraId="19AF2C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235" w:type="dxa"/>
            <w:vAlign w:val="center"/>
          </w:tcPr>
          <w:p w14:paraId="0FF7EAA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r>
      <w:tr w14:paraId="482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C43010">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7" w:type="dxa"/>
            <w:vAlign w:val="center"/>
          </w:tcPr>
          <w:p w14:paraId="55F83E45">
            <w:pPr>
              <w:jc w:val="center"/>
              <w:rPr>
                <w:rFonts w:hint="eastAsia" w:ascii="仿宋" w:hAnsi="仿宋" w:eastAsia="仿宋" w:cs="仿宋"/>
                <w:color w:val="auto"/>
                <w:sz w:val="24"/>
                <w:szCs w:val="24"/>
                <w:highlight w:val="none"/>
              </w:rPr>
            </w:pPr>
          </w:p>
        </w:tc>
        <w:tc>
          <w:tcPr>
            <w:tcW w:w="3127" w:type="dxa"/>
          </w:tcPr>
          <w:p w14:paraId="099EF06B">
            <w:pPr>
              <w:jc w:val="center"/>
              <w:rPr>
                <w:rFonts w:hint="eastAsia" w:ascii="仿宋" w:hAnsi="仿宋" w:eastAsia="仿宋" w:cs="仿宋"/>
                <w:color w:val="auto"/>
                <w:sz w:val="24"/>
                <w:szCs w:val="24"/>
                <w:highlight w:val="none"/>
              </w:rPr>
            </w:pPr>
          </w:p>
        </w:tc>
        <w:tc>
          <w:tcPr>
            <w:tcW w:w="1235" w:type="dxa"/>
            <w:vAlign w:val="center"/>
          </w:tcPr>
          <w:p w14:paraId="75CF7031">
            <w:pPr>
              <w:jc w:val="center"/>
              <w:rPr>
                <w:rFonts w:hint="eastAsia" w:ascii="仿宋" w:hAnsi="仿宋" w:eastAsia="仿宋" w:cs="仿宋"/>
                <w:color w:val="auto"/>
                <w:sz w:val="24"/>
                <w:szCs w:val="24"/>
                <w:highlight w:val="none"/>
              </w:rPr>
            </w:pPr>
          </w:p>
        </w:tc>
        <w:tc>
          <w:tcPr>
            <w:tcW w:w="1235" w:type="dxa"/>
          </w:tcPr>
          <w:p w14:paraId="3AF252B9">
            <w:pPr>
              <w:jc w:val="center"/>
              <w:rPr>
                <w:rFonts w:hint="eastAsia" w:ascii="仿宋" w:hAnsi="仿宋" w:eastAsia="仿宋" w:cs="仿宋"/>
                <w:color w:val="auto"/>
                <w:sz w:val="24"/>
                <w:szCs w:val="24"/>
                <w:highlight w:val="none"/>
              </w:rPr>
            </w:pPr>
          </w:p>
        </w:tc>
        <w:tc>
          <w:tcPr>
            <w:tcW w:w="1235" w:type="dxa"/>
          </w:tcPr>
          <w:p w14:paraId="0B904252">
            <w:pPr>
              <w:jc w:val="center"/>
              <w:rPr>
                <w:rFonts w:hint="eastAsia" w:ascii="仿宋" w:hAnsi="仿宋" w:eastAsia="仿宋" w:cs="仿宋"/>
                <w:color w:val="auto"/>
                <w:sz w:val="24"/>
                <w:szCs w:val="24"/>
                <w:highlight w:val="none"/>
              </w:rPr>
            </w:pPr>
          </w:p>
        </w:tc>
      </w:tr>
      <w:tr w14:paraId="26FB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1A65918">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7" w:type="dxa"/>
            <w:vAlign w:val="center"/>
          </w:tcPr>
          <w:p w14:paraId="4099A29D">
            <w:pPr>
              <w:jc w:val="center"/>
              <w:rPr>
                <w:rFonts w:hint="eastAsia" w:ascii="仿宋" w:hAnsi="仿宋" w:eastAsia="仿宋" w:cs="仿宋"/>
                <w:color w:val="auto"/>
                <w:sz w:val="24"/>
                <w:szCs w:val="24"/>
                <w:highlight w:val="none"/>
              </w:rPr>
            </w:pPr>
          </w:p>
        </w:tc>
        <w:tc>
          <w:tcPr>
            <w:tcW w:w="3127" w:type="dxa"/>
          </w:tcPr>
          <w:p w14:paraId="21F9FBF1">
            <w:pPr>
              <w:jc w:val="center"/>
              <w:rPr>
                <w:rFonts w:hint="eastAsia" w:ascii="仿宋" w:hAnsi="仿宋" w:eastAsia="仿宋" w:cs="仿宋"/>
                <w:color w:val="auto"/>
                <w:sz w:val="24"/>
                <w:szCs w:val="24"/>
                <w:highlight w:val="none"/>
              </w:rPr>
            </w:pPr>
          </w:p>
        </w:tc>
        <w:tc>
          <w:tcPr>
            <w:tcW w:w="1235" w:type="dxa"/>
            <w:vAlign w:val="center"/>
          </w:tcPr>
          <w:p w14:paraId="5A670E1F">
            <w:pPr>
              <w:jc w:val="center"/>
              <w:rPr>
                <w:rFonts w:hint="eastAsia" w:ascii="仿宋" w:hAnsi="仿宋" w:eastAsia="仿宋" w:cs="仿宋"/>
                <w:color w:val="auto"/>
                <w:sz w:val="24"/>
                <w:szCs w:val="24"/>
                <w:highlight w:val="none"/>
              </w:rPr>
            </w:pPr>
          </w:p>
        </w:tc>
        <w:tc>
          <w:tcPr>
            <w:tcW w:w="1235" w:type="dxa"/>
          </w:tcPr>
          <w:p w14:paraId="3E5A7DDB">
            <w:pPr>
              <w:jc w:val="center"/>
              <w:rPr>
                <w:rFonts w:hint="eastAsia" w:ascii="仿宋" w:hAnsi="仿宋" w:eastAsia="仿宋" w:cs="仿宋"/>
                <w:color w:val="auto"/>
                <w:sz w:val="24"/>
                <w:szCs w:val="24"/>
                <w:highlight w:val="none"/>
              </w:rPr>
            </w:pPr>
          </w:p>
        </w:tc>
        <w:tc>
          <w:tcPr>
            <w:tcW w:w="1235" w:type="dxa"/>
          </w:tcPr>
          <w:p w14:paraId="1EFB02D5">
            <w:pPr>
              <w:jc w:val="center"/>
              <w:rPr>
                <w:rFonts w:hint="eastAsia" w:ascii="仿宋" w:hAnsi="仿宋" w:eastAsia="仿宋" w:cs="仿宋"/>
                <w:color w:val="auto"/>
                <w:sz w:val="24"/>
                <w:szCs w:val="24"/>
                <w:highlight w:val="none"/>
              </w:rPr>
            </w:pPr>
          </w:p>
        </w:tc>
      </w:tr>
      <w:tr w14:paraId="021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D24F40">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7" w:type="dxa"/>
            <w:vAlign w:val="center"/>
          </w:tcPr>
          <w:p w14:paraId="3A66290C">
            <w:pPr>
              <w:jc w:val="center"/>
              <w:rPr>
                <w:rFonts w:hint="eastAsia" w:ascii="仿宋" w:hAnsi="仿宋" w:eastAsia="仿宋" w:cs="仿宋"/>
                <w:color w:val="auto"/>
                <w:sz w:val="24"/>
                <w:szCs w:val="24"/>
                <w:highlight w:val="none"/>
              </w:rPr>
            </w:pPr>
          </w:p>
        </w:tc>
        <w:tc>
          <w:tcPr>
            <w:tcW w:w="3127" w:type="dxa"/>
          </w:tcPr>
          <w:p w14:paraId="2A4D6325">
            <w:pPr>
              <w:jc w:val="center"/>
              <w:rPr>
                <w:rFonts w:hint="eastAsia" w:ascii="仿宋" w:hAnsi="仿宋" w:eastAsia="仿宋" w:cs="仿宋"/>
                <w:color w:val="auto"/>
                <w:sz w:val="24"/>
                <w:szCs w:val="24"/>
                <w:highlight w:val="none"/>
              </w:rPr>
            </w:pPr>
          </w:p>
        </w:tc>
        <w:tc>
          <w:tcPr>
            <w:tcW w:w="1235" w:type="dxa"/>
            <w:vAlign w:val="center"/>
          </w:tcPr>
          <w:p w14:paraId="3720201B">
            <w:pPr>
              <w:jc w:val="center"/>
              <w:rPr>
                <w:rFonts w:hint="eastAsia" w:ascii="仿宋" w:hAnsi="仿宋" w:eastAsia="仿宋" w:cs="仿宋"/>
                <w:color w:val="auto"/>
                <w:sz w:val="24"/>
                <w:szCs w:val="24"/>
                <w:highlight w:val="none"/>
              </w:rPr>
            </w:pPr>
          </w:p>
        </w:tc>
        <w:tc>
          <w:tcPr>
            <w:tcW w:w="1235" w:type="dxa"/>
          </w:tcPr>
          <w:p w14:paraId="21F7EB27">
            <w:pPr>
              <w:jc w:val="center"/>
              <w:rPr>
                <w:rFonts w:hint="eastAsia" w:ascii="仿宋" w:hAnsi="仿宋" w:eastAsia="仿宋" w:cs="仿宋"/>
                <w:color w:val="auto"/>
                <w:sz w:val="24"/>
                <w:szCs w:val="24"/>
                <w:highlight w:val="none"/>
              </w:rPr>
            </w:pPr>
          </w:p>
        </w:tc>
        <w:tc>
          <w:tcPr>
            <w:tcW w:w="1235" w:type="dxa"/>
          </w:tcPr>
          <w:p w14:paraId="73FEE9EC">
            <w:pPr>
              <w:jc w:val="center"/>
              <w:rPr>
                <w:rFonts w:hint="eastAsia" w:ascii="仿宋" w:hAnsi="仿宋" w:eastAsia="仿宋" w:cs="仿宋"/>
                <w:color w:val="auto"/>
                <w:sz w:val="24"/>
                <w:szCs w:val="24"/>
                <w:highlight w:val="none"/>
              </w:rPr>
            </w:pPr>
          </w:p>
        </w:tc>
      </w:tr>
      <w:tr w14:paraId="7EE2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5D7B28">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7" w:type="dxa"/>
            <w:vAlign w:val="center"/>
          </w:tcPr>
          <w:p w14:paraId="49120B61">
            <w:pPr>
              <w:jc w:val="center"/>
              <w:rPr>
                <w:rFonts w:hint="eastAsia" w:ascii="仿宋" w:hAnsi="仿宋" w:eastAsia="仿宋" w:cs="仿宋"/>
                <w:color w:val="auto"/>
                <w:sz w:val="24"/>
                <w:szCs w:val="24"/>
                <w:highlight w:val="none"/>
              </w:rPr>
            </w:pPr>
          </w:p>
        </w:tc>
        <w:tc>
          <w:tcPr>
            <w:tcW w:w="3127" w:type="dxa"/>
          </w:tcPr>
          <w:p w14:paraId="3DDE162C">
            <w:pPr>
              <w:jc w:val="center"/>
              <w:rPr>
                <w:rFonts w:hint="eastAsia" w:ascii="仿宋" w:hAnsi="仿宋" w:eastAsia="仿宋" w:cs="仿宋"/>
                <w:color w:val="auto"/>
                <w:sz w:val="24"/>
                <w:szCs w:val="24"/>
                <w:highlight w:val="none"/>
              </w:rPr>
            </w:pPr>
          </w:p>
        </w:tc>
        <w:tc>
          <w:tcPr>
            <w:tcW w:w="1235" w:type="dxa"/>
            <w:vAlign w:val="center"/>
          </w:tcPr>
          <w:p w14:paraId="58CC1062">
            <w:pPr>
              <w:jc w:val="center"/>
              <w:rPr>
                <w:rFonts w:hint="eastAsia" w:ascii="仿宋" w:hAnsi="仿宋" w:eastAsia="仿宋" w:cs="仿宋"/>
                <w:color w:val="auto"/>
                <w:sz w:val="24"/>
                <w:szCs w:val="24"/>
                <w:highlight w:val="none"/>
              </w:rPr>
            </w:pPr>
          </w:p>
        </w:tc>
        <w:tc>
          <w:tcPr>
            <w:tcW w:w="1235" w:type="dxa"/>
          </w:tcPr>
          <w:p w14:paraId="6DDD792F">
            <w:pPr>
              <w:jc w:val="center"/>
              <w:rPr>
                <w:rFonts w:hint="eastAsia" w:ascii="仿宋" w:hAnsi="仿宋" w:eastAsia="仿宋" w:cs="仿宋"/>
                <w:color w:val="auto"/>
                <w:sz w:val="24"/>
                <w:szCs w:val="24"/>
                <w:highlight w:val="none"/>
              </w:rPr>
            </w:pPr>
          </w:p>
        </w:tc>
        <w:tc>
          <w:tcPr>
            <w:tcW w:w="1235" w:type="dxa"/>
          </w:tcPr>
          <w:p w14:paraId="088C8E0E">
            <w:pPr>
              <w:jc w:val="center"/>
              <w:rPr>
                <w:rFonts w:hint="eastAsia" w:ascii="仿宋" w:hAnsi="仿宋" w:eastAsia="仿宋" w:cs="仿宋"/>
                <w:color w:val="auto"/>
                <w:sz w:val="24"/>
                <w:szCs w:val="24"/>
                <w:highlight w:val="none"/>
              </w:rPr>
            </w:pPr>
          </w:p>
        </w:tc>
      </w:tr>
      <w:tr w14:paraId="6DA0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F6E03C4">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7" w:type="dxa"/>
            <w:vAlign w:val="center"/>
          </w:tcPr>
          <w:p w14:paraId="6D5CFA00">
            <w:pPr>
              <w:jc w:val="center"/>
              <w:rPr>
                <w:rFonts w:hint="eastAsia" w:ascii="仿宋" w:hAnsi="仿宋" w:eastAsia="仿宋" w:cs="仿宋"/>
                <w:color w:val="auto"/>
                <w:sz w:val="24"/>
                <w:szCs w:val="24"/>
                <w:highlight w:val="none"/>
              </w:rPr>
            </w:pPr>
          </w:p>
        </w:tc>
        <w:tc>
          <w:tcPr>
            <w:tcW w:w="3127" w:type="dxa"/>
          </w:tcPr>
          <w:p w14:paraId="036B80F5">
            <w:pPr>
              <w:jc w:val="center"/>
              <w:rPr>
                <w:rFonts w:hint="eastAsia" w:ascii="仿宋" w:hAnsi="仿宋" w:eastAsia="仿宋" w:cs="仿宋"/>
                <w:color w:val="auto"/>
                <w:sz w:val="24"/>
                <w:szCs w:val="24"/>
                <w:highlight w:val="none"/>
              </w:rPr>
            </w:pPr>
          </w:p>
        </w:tc>
        <w:tc>
          <w:tcPr>
            <w:tcW w:w="1235" w:type="dxa"/>
            <w:vAlign w:val="center"/>
          </w:tcPr>
          <w:p w14:paraId="19DB20D7">
            <w:pPr>
              <w:jc w:val="center"/>
              <w:rPr>
                <w:rFonts w:hint="eastAsia" w:ascii="仿宋" w:hAnsi="仿宋" w:eastAsia="仿宋" w:cs="仿宋"/>
                <w:color w:val="auto"/>
                <w:sz w:val="24"/>
                <w:szCs w:val="24"/>
                <w:highlight w:val="none"/>
              </w:rPr>
            </w:pPr>
          </w:p>
        </w:tc>
        <w:tc>
          <w:tcPr>
            <w:tcW w:w="1235" w:type="dxa"/>
          </w:tcPr>
          <w:p w14:paraId="36CE7530">
            <w:pPr>
              <w:jc w:val="center"/>
              <w:rPr>
                <w:rFonts w:hint="eastAsia" w:ascii="仿宋" w:hAnsi="仿宋" w:eastAsia="仿宋" w:cs="仿宋"/>
                <w:color w:val="auto"/>
                <w:sz w:val="24"/>
                <w:szCs w:val="24"/>
                <w:highlight w:val="none"/>
              </w:rPr>
            </w:pPr>
          </w:p>
        </w:tc>
        <w:tc>
          <w:tcPr>
            <w:tcW w:w="1235" w:type="dxa"/>
          </w:tcPr>
          <w:p w14:paraId="1700E39E">
            <w:pPr>
              <w:jc w:val="center"/>
              <w:rPr>
                <w:rFonts w:hint="eastAsia" w:ascii="仿宋" w:hAnsi="仿宋" w:eastAsia="仿宋" w:cs="仿宋"/>
                <w:color w:val="auto"/>
                <w:sz w:val="24"/>
                <w:szCs w:val="24"/>
                <w:highlight w:val="none"/>
              </w:rPr>
            </w:pPr>
          </w:p>
        </w:tc>
      </w:tr>
      <w:tr w14:paraId="2DA3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D827C81">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7" w:type="dxa"/>
            <w:vAlign w:val="center"/>
          </w:tcPr>
          <w:p w14:paraId="4DFF9B7B">
            <w:pPr>
              <w:jc w:val="center"/>
              <w:rPr>
                <w:rFonts w:hint="eastAsia" w:ascii="仿宋" w:hAnsi="仿宋" w:eastAsia="仿宋" w:cs="仿宋"/>
                <w:color w:val="auto"/>
                <w:sz w:val="24"/>
                <w:szCs w:val="24"/>
                <w:highlight w:val="none"/>
              </w:rPr>
            </w:pPr>
          </w:p>
        </w:tc>
        <w:tc>
          <w:tcPr>
            <w:tcW w:w="3127" w:type="dxa"/>
          </w:tcPr>
          <w:p w14:paraId="2FA701BD">
            <w:pPr>
              <w:jc w:val="center"/>
              <w:rPr>
                <w:rFonts w:hint="eastAsia" w:ascii="仿宋" w:hAnsi="仿宋" w:eastAsia="仿宋" w:cs="仿宋"/>
                <w:color w:val="auto"/>
                <w:sz w:val="24"/>
                <w:szCs w:val="24"/>
                <w:highlight w:val="none"/>
              </w:rPr>
            </w:pPr>
          </w:p>
        </w:tc>
        <w:tc>
          <w:tcPr>
            <w:tcW w:w="1235" w:type="dxa"/>
            <w:vAlign w:val="center"/>
          </w:tcPr>
          <w:p w14:paraId="1051FF91">
            <w:pPr>
              <w:jc w:val="center"/>
              <w:rPr>
                <w:rFonts w:hint="eastAsia" w:ascii="仿宋" w:hAnsi="仿宋" w:eastAsia="仿宋" w:cs="仿宋"/>
                <w:color w:val="auto"/>
                <w:sz w:val="24"/>
                <w:szCs w:val="24"/>
                <w:highlight w:val="none"/>
              </w:rPr>
            </w:pPr>
          </w:p>
        </w:tc>
        <w:tc>
          <w:tcPr>
            <w:tcW w:w="1235" w:type="dxa"/>
          </w:tcPr>
          <w:p w14:paraId="0931C7DB">
            <w:pPr>
              <w:jc w:val="center"/>
              <w:rPr>
                <w:rFonts w:hint="eastAsia" w:ascii="仿宋" w:hAnsi="仿宋" w:eastAsia="仿宋" w:cs="仿宋"/>
                <w:color w:val="auto"/>
                <w:sz w:val="24"/>
                <w:szCs w:val="24"/>
                <w:highlight w:val="none"/>
              </w:rPr>
            </w:pPr>
          </w:p>
        </w:tc>
        <w:tc>
          <w:tcPr>
            <w:tcW w:w="1235" w:type="dxa"/>
          </w:tcPr>
          <w:p w14:paraId="1FF4C3DB">
            <w:pPr>
              <w:jc w:val="center"/>
              <w:rPr>
                <w:rFonts w:hint="eastAsia" w:ascii="仿宋" w:hAnsi="仿宋" w:eastAsia="仿宋" w:cs="仿宋"/>
                <w:color w:val="auto"/>
                <w:sz w:val="24"/>
                <w:szCs w:val="24"/>
                <w:highlight w:val="none"/>
              </w:rPr>
            </w:pPr>
          </w:p>
        </w:tc>
      </w:tr>
      <w:tr w14:paraId="281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2F8D49E">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7" w:type="dxa"/>
            <w:vAlign w:val="center"/>
          </w:tcPr>
          <w:p w14:paraId="75AA085F">
            <w:pPr>
              <w:jc w:val="center"/>
              <w:rPr>
                <w:rFonts w:hint="eastAsia" w:ascii="仿宋" w:hAnsi="仿宋" w:eastAsia="仿宋" w:cs="仿宋"/>
                <w:color w:val="auto"/>
                <w:sz w:val="24"/>
                <w:szCs w:val="24"/>
                <w:highlight w:val="none"/>
              </w:rPr>
            </w:pPr>
          </w:p>
        </w:tc>
        <w:tc>
          <w:tcPr>
            <w:tcW w:w="3127" w:type="dxa"/>
          </w:tcPr>
          <w:p w14:paraId="72CDF9B5">
            <w:pPr>
              <w:jc w:val="center"/>
              <w:rPr>
                <w:rFonts w:hint="eastAsia" w:ascii="仿宋" w:hAnsi="仿宋" w:eastAsia="仿宋" w:cs="仿宋"/>
                <w:color w:val="auto"/>
                <w:sz w:val="24"/>
                <w:szCs w:val="24"/>
                <w:highlight w:val="none"/>
              </w:rPr>
            </w:pPr>
          </w:p>
        </w:tc>
        <w:tc>
          <w:tcPr>
            <w:tcW w:w="1235" w:type="dxa"/>
            <w:vAlign w:val="center"/>
          </w:tcPr>
          <w:p w14:paraId="2AEA96C3">
            <w:pPr>
              <w:jc w:val="center"/>
              <w:rPr>
                <w:rFonts w:hint="eastAsia" w:ascii="仿宋" w:hAnsi="仿宋" w:eastAsia="仿宋" w:cs="仿宋"/>
                <w:color w:val="auto"/>
                <w:sz w:val="24"/>
                <w:szCs w:val="24"/>
                <w:highlight w:val="none"/>
              </w:rPr>
            </w:pPr>
          </w:p>
        </w:tc>
        <w:tc>
          <w:tcPr>
            <w:tcW w:w="1235" w:type="dxa"/>
          </w:tcPr>
          <w:p w14:paraId="7A9B0A9C">
            <w:pPr>
              <w:jc w:val="center"/>
              <w:rPr>
                <w:rFonts w:hint="eastAsia" w:ascii="仿宋" w:hAnsi="仿宋" w:eastAsia="仿宋" w:cs="仿宋"/>
                <w:color w:val="auto"/>
                <w:sz w:val="24"/>
                <w:szCs w:val="24"/>
                <w:highlight w:val="none"/>
              </w:rPr>
            </w:pPr>
          </w:p>
        </w:tc>
        <w:tc>
          <w:tcPr>
            <w:tcW w:w="1235" w:type="dxa"/>
          </w:tcPr>
          <w:p w14:paraId="531655FE">
            <w:pPr>
              <w:jc w:val="center"/>
              <w:rPr>
                <w:rFonts w:hint="eastAsia" w:ascii="仿宋" w:hAnsi="仿宋" w:eastAsia="仿宋" w:cs="仿宋"/>
                <w:color w:val="auto"/>
                <w:sz w:val="24"/>
                <w:szCs w:val="24"/>
                <w:highlight w:val="none"/>
              </w:rPr>
            </w:pPr>
          </w:p>
        </w:tc>
      </w:tr>
      <w:tr w14:paraId="7B3E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5F77B8">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57" w:type="dxa"/>
            <w:vAlign w:val="center"/>
          </w:tcPr>
          <w:p w14:paraId="670AAE9C">
            <w:pPr>
              <w:jc w:val="center"/>
              <w:rPr>
                <w:rFonts w:hint="eastAsia" w:ascii="仿宋" w:hAnsi="仿宋" w:eastAsia="仿宋" w:cs="仿宋"/>
                <w:color w:val="auto"/>
                <w:sz w:val="24"/>
                <w:szCs w:val="24"/>
                <w:highlight w:val="none"/>
              </w:rPr>
            </w:pPr>
          </w:p>
        </w:tc>
        <w:tc>
          <w:tcPr>
            <w:tcW w:w="3127" w:type="dxa"/>
          </w:tcPr>
          <w:p w14:paraId="6B3C173E">
            <w:pPr>
              <w:jc w:val="center"/>
              <w:rPr>
                <w:rFonts w:hint="eastAsia" w:ascii="仿宋" w:hAnsi="仿宋" w:eastAsia="仿宋" w:cs="仿宋"/>
                <w:color w:val="auto"/>
                <w:sz w:val="24"/>
                <w:szCs w:val="24"/>
                <w:highlight w:val="none"/>
              </w:rPr>
            </w:pPr>
          </w:p>
        </w:tc>
        <w:tc>
          <w:tcPr>
            <w:tcW w:w="1235" w:type="dxa"/>
            <w:vAlign w:val="center"/>
          </w:tcPr>
          <w:p w14:paraId="01226C68">
            <w:pPr>
              <w:jc w:val="center"/>
              <w:rPr>
                <w:rFonts w:hint="eastAsia" w:ascii="仿宋" w:hAnsi="仿宋" w:eastAsia="仿宋" w:cs="仿宋"/>
                <w:color w:val="auto"/>
                <w:sz w:val="24"/>
                <w:szCs w:val="24"/>
                <w:highlight w:val="none"/>
              </w:rPr>
            </w:pPr>
          </w:p>
        </w:tc>
        <w:tc>
          <w:tcPr>
            <w:tcW w:w="1235" w:type="dxa"/>
          </w:tcPr>
          <w:p w14:paraId="7F447AD3">
            <w:pPr>
              <w:jc w:val="center"/>
              <w:rPr>
                <w:rFonts w:hint="eastAsia" w:ascii="仿宋" w:hAnsi="仿宋" w:eastAsia="仿宋" w:cs="仿宋"/>
                <w:color w:val="auto"/>
                <w:sz w:val="24"/>
                <w:szCs w:val="24"/>
                <w:highlight w:val="none"/>
              </w:rPr>
            </w:pPr>
          </w:p>
        </w:tc>
        <w:tc>
          <w:tcPr>
            <w:tcW w:w="1235" w:type="dxa"/>
          </w:tcPr>
          <w:p w14:paraId="3E5AF66B">
            <w:pPr>
              <w:jc w:val="center"/>
              <w:rPr>
                <w:rFonts w:hint="eastAsia" w:ascii="仿宋" w:hAnsi="仿宋" w:eastAsia="仿宋" w:cs="仿宋"/>
                <w:color w:val="auto"/>
                <w:sz w:val="24"/>
                <w:szCs w:val="24"/>
                <w:highlight w:val="none"/>
              </w:rPr>
            </w:pPr>
          </w:p>
        </w:tc>
      </w:tr>
      <w:tr w14:paraId="2539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024790">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57" w:type="dxa"/>
            <w:vAlign w:val="center"/>
          </w:tcPr>
          <w:p w14:paraId="2E5E98B7">
            <w:pPr>
              <w:jc w:val="center"/>
              <w:rPr>
                <w:rFonts w:hint="eastAsia" w:ascii="仿宋" w:hAnsi="仿宋" w:eastAsia="仿宋" w:cs="仿宋"/>
                <w:color w:val="auto"/>
                <w:sz w:val="24"/>
                <w:szCs w:val="24"/>
                <w:highlight w:val="none"/>
              </w:rPr>
            </w:pPr>
          </w:p>
        </w:tc>
        <w:tc>
          <w:tcPr>
            <w:tcW w:w="3127" w:type="dxa"/>
          </w:tcPr>
          <w:p w14:paraId="339D9318">
            <w:pPr>
              <w:jc w:val="center"/>
              <w:rPr>
                <w:rFonts w:hint="eastAsia" w:ascii="仿宋" w:hAnsi="仿宋" w:eastAsia="仿宋" w:cs="仿宋"/>
                <w:color w:val="auto"/>
                <w:sz w:val="24"/>
                <w:szCs w:val="24"/>
                <w:highlight w:val="none"/>
              </w:rPr>
            </w:pPr>
          </w:p>
        </w:tc>
        <w:tc>
          <w:tcPr>
            <w:tcW w:w="1235" w:type="dxa"/>
            <w:vAlign w:val="center"/>
          </w:tcPr>
          <w:p w14:paraId="3654EC2C">
            <w:pPr>
              <w:jc w:val="center"/>
              <w:rPr>
                <w:rFonts w:hint="eastAsia" w:ascii="仿宋" w:hAnsi="仿宋" w:eastAsia="仿宋" w:cs="仿宋"/>
                <w:color w:val="auto"/>
                <w:sz w:val="24"/>
                <w:szCs w:val="24"/>
                <w:highlight w:val="none"/>
              </w:rPr>
            </w:pPr>
          </w:p>
        </w:tc>
        <w:tc>
          <w:tcPr>
            <w:tcW w:w="1235" w:type="dxa"/>
          </w:tcPr>
          <w:p w14:paraId="0ACA3506">
            <w:pPr>
              <w:jc w:val="center"/>
              <w:rPr>
                <w:rFonts w:hint="eastAsia" w:ascii="仿宋" w:hAnsi="仿宋" w:eastAsia="仿宋" w:cs="仿宋"/>
                <w:color w:val="auto"/>
                <w:sz w:val="24"/>
                <w:szCs w:val="24"/>
                <w:highlight w:val="none"/>
              </w:rPr>
            </w:pPr>
          </w:p>
        </w:tc>
        <w:tc>
          <w:tcPr>
            <w:tcW w:w="1235" w:type="dxa"/>
          </w:tcPr>
          <w:p w14:paraId="62CE071A">
            <w:pPr>
              <w:jc w:val="center"/>
              <w:rPr>
                <w:rFonts w:hint="eastAsia" w:ascii="仿宋" w:hAnsi="仿宋" w:eastAsia="仿宋" w:cs="仿宋"/>
                <w:color w:val="auto"/>
                <w:sz w:val="24"/>
                <w:szCs w:val="24"/>
                <w:highlight w:val="none"/>
              </w:rPr>
            </w:pPr>
          </w:p>
        </w:tc>
      </w:tr>
      <w:tr w14:paraId="51B2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4B280C8">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57" w:type="dxa"/>
            <w:vAlign w:val="center"/>
          </w:tcPr>
          <w:p w14:paraId="0AD138EE">
            <w:pPr>
              <w:jc w:val="center"/>
              <w:rPr>
                <w:rFonts w:hint="eastAsia" w:ascii="仿宋" w:hAnsi="仿宋" w:eastAsia="仿宋" w:cs="仿宋"/>
                <w:color w:val="auto"/>
                <w:sz w:val="24"/>
                <w:szCs w:val="24"/>
                <w:highlight w:val="none"/>
              </w:rPr>
            </w:pPr>
          </w:p>
        </w:tc>
        <w:tc>
          <w:tcPr>
            <w:tcW w:w="3127" w:type="dxa"/>
          </w:tcPr>
          <w:p w14:paraId="2F7BA41D">
            <w:pPr>
              <w:jc w:val="center"/>
              <w:rPr>
                <w:rFonts w:hint="eastAsia" w:ascii="仿宋" w:hAnsi="仿宋" w:eastAsia="仿宋" w:cs="仿宋"/>
                <w:color w:val="auto"/>
                <w:sz w:val="24"/>
                <w:szCs w:val="24"/>
                <w:highlight w:val="none"/>
              </w:rPr>
            </w:pPr>
          </w:p>
        </w:tc>
        <w:tc>
          <w:tcPr>
            <w:tcW w:w="1235" w:type="dxa"/>
            <w:vAlign w:val="center"/>
          </w:tcPr>
          <w:p w14:paraId="23F1FEC0">
            <w:pPr>
              <w:jc w:val="center"/>
              <w:rPr>
                <w:rFonts w:hint="eastAsia" w:ascii="仿宋" w:hAnsi="仿宋" w:eastAsia="仿宋" w:cs="仿宋"/>
                <w:color w:val="auto"/>
                <w:sz w:val="24"/>
                <w:szCs w:val="24"/>
                <w:highlight w:val="none"/>
              </w:rPr>
            </w:pPr>
          </w:p>
        </w:tc>
        <w:tc>
          <w:tcPr>
            <w:tcW w:w="1235" w:type="dxa"/>
          </w:tcPr>
          <w:p w14:paraId="1EC12E84">
            <w:pPr>
              <w:jc w:val="center"/>
              <w:rPr>
                <w:rFonts w:hint="eastAsia" w:ascii="仿宋" w:hAnsi="仿宋" w:eastAsia="仿宋" w:cs="仿宋"/>
                <w:color w:val="auto"/>
                <w:sz w:val="24"/>
                <w:szCs w:val="24"/>
                <w:highlight w:val="none"/>
              </w:rPr>
            </w:pPr>
          </w:p>
        </w:tc>
        <w:tc>
          <w:tcPr>
            <w:tcW w:w="1235" w:type="dxa"/>
          </w:tcPr>
          <w:p w14:paraId="64EC5655">
            <w:pPr>
              <w:jc w:val="center"/>
              <w:rPr>
                <w:rFonts w:hint="eastAsia" w:ascii="仿宋" w:hAnsi="仿宋" w:eastAsia="仿宋" w:cs="仿宋"/>
                <w:color w:val="auto"/>
                <w:sz w:val="24"/>
                <w:szCs w:val="24"/>
                <w:highlight w:val="none"/>
              </w:rPr>
            </w:pPr>
          </w:p>
        </w:tc>
      </w:tr>
      <w:tr w14:paraId="305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4D8107">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57" w:type="dxa"/>
            <w:vAlign w:val="center"/>
          </w:tcPr>
          <w:p w14:paraId="4F1C6BC6">
            <w:pPr>
              <w:jc w:val="center"/>
              <w:rPr>
                <w:rFonts w:hint="eastAsia" w:ascii="仿宋" w:hAnsi="仿宋" w:eastAsia="仿宋" w:cs="仿宋"/>
                <w:color w:val="auto"/>
                <w:sz w:val="24"/>
                <w:szCs w:val="24"/>
                <w:highlight w:val="none"/>
              </w:rPr>
            </w:pPr>
          </w:p>
        </w:tc>
        <w:tc>
          <w:tcPr>
            <w:tcW w:w="3127" w:type="dxa"/>
          </w:tcPr>
          <w:p w14:paraId="4D54C1D3">
            <w:pPr>
              <w:jc w:val="center"/>
              <w:rPr>
                <w:rFonts w:hint="eastAsia" w:ascii="仿宋" w:hAnsi="仿宋" w:eastAsia="仿宋" w:cs="仿宋"/>
                <w:color w:val="auto"/>
                <w:sz w:val="24"/>
                <w:szCs w:val="24"/>
                <w:highlight w:val="none"/>
              </w:rPr>
            </w:pPr>
          </w:p>
        </w:tc>
        <w:tc>
          <w:tcPr>
            <w:tcW w:w="1235" w:type="dxa"/>
            <w:vAlign w:val="center"/>
          </w:tcPr>
          <w:p w14:paraId="582C9055">
            <w:pPr>
              <w:jc w:val="center"/>
              <w:rPr>
                <w:rFonts w:hint="eastAsia" w:ascii="仿宋" w:hAnsi="仿宋" w:eastAsia="仿宋" w:cs="仿宋"/>
                <w:color w:val="auto"/>
                <w:sz w:val="24"/>
                <w:szCs w:val="24"/>
                <w:highlight w:val="none"/>
              </w:rPr>
            </w:pPr>
          </w:p>
        </w:tc>
        <w:tc>
          <w:tcPr>
            <w:tcW w:w="1235" w:type="dxa"/>
          </w:tcPr>
          <w:p w14:paraId="161C62D8">
            <w:pPr>
              <w:jc w:val="center"/>
              <w:rPr>
                <w:rFonts w:hint="eastAsia" w:ascii="仿宋" w:hAnsi="仿宋" w:eastAsia="仿宋" w:cs="仿宋"/>
                <w:color w:val="auto"/>
                <w:sz w:val="24"/>
                <w:szCs w:val="24"/>
                <w:highlight w:val="none"/>
              </w:rPr>
            </w:pPr>
          </w:p>
        </w:tc>
        <w:tc>
          <w:tcPr>
            <w:tcW w:w="1235" w:type="dxa"/>
          </w:tcPr>
          <w:p w14:paraId="52ADBEAC">
            <w:pPr>
              <w:jc w:val="center"/>
              <w:rPr>
                <w:rFonts w:hint="eastAsia" w:ascii="仿宋" w:hAnsi="仿宋" w:eastAsia="仿宋" w:cs="仿宋"/>
                <w:color w:val="auto"/>
                <w:sz w:val="24"/>
                <w:szCs w:val="24"/>
                <w:highlight w:val="none"/>
              </w:rPr>
            </w:pPr>
          </w:p>
        </w:tc>
      </w:tr>
      <w:tr w14:paraId="58F9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C5EF1E">
            <w:pPr>
              <w:pStyle w:val="7"/>
              <w:spacing w:line="240" w:lineRule="atLeast"/>
              <w:ind w:left="392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557" w:type="dxa"/>
            <w:vAlign w:val="center"/>
          </w:tcPr>
          <w:p w14:paraId="40628E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w:t>
            </w:r>
          </w:p>
        </w:tc>
        <w:tc>
          <w:tcPr>
            <w:tcW w:w="6832" w:type="dxa"/>
            <w:gridSpan w:val="4"/>
          </w:tcPr>
          <w:p w14:paraId="5FDFA12C">
            <w:pPr>
              <w:rPr>
                <w:rFonts w:hint="eastAsia" w:ascii="仿宋" w:hAnsi="仿宋" w:eastAsia="仿宋" w:cs="仿宋"/>
                <w:color w:val="auto"/>
                <w:sz w:val="24"/>
                <w:szCs w:val="24"/>
                <w:highlight w:val="none"/>
              </w:rPr>
            </w:pPr>
          </w:p>
        </w:tc>
      </w:tr>
    </w:tbl>
    <w:p w14:paraId="78F13DA6">
      <w:pPr>
        <w:snapToGrid w:val="0"/>
        <w:spacing w:line="500" w:lineRule="exact"/>
        <w:ind w:firstLine="480" w:firstLineChars="200"/>
        <w:rPr>
          <w:rFonts w:hint="eastAsia" w:ascii="仿宋" w:hAnsi="仿宋" w:eastAsia="仿宋" w:cs="仿宋"/>
          <w:color w:val="auto"/>
          <w:sz w:val="24"/>
          <w:szCs w:val="24"/>
          <w:highlight w:val="none"/>
        </w:rPr>
      </w:pPr>
    </w:p>
    <w:p w14:paraId="7D20D1E8">
      <w:pPr>
        <w:pStyle w:val="5"/>
        <w:spacing w:before="0" w:after="0" w:line="360" w:lineRule="auto"/>
        <w:rPr>
          <w:rFonts w:hint="eastAsia" w:ascii="仿宋" w:hAnsi="仿宋" w:eastAsia="仿宋" w:cs="仿宋"/>
          <w:color w:val="auto"/>
          <w:sz w:val="24"/>
          <w:szCs w:val="24"/>
          <w:highlight w:val="none"/>
        </w:rPr>
      </w:pPr>
    </w:p>
    <w:p w14:paraId="556FBDFB">
      <w:pPr>
        <w:rPr>
          <w:rFonts w:hint="eastAsia" w:ascii="仿宋" w:hAnsi="仿宋" w:eastAsia="仿宋" w:cs="仿宋"/>
          <w:color w:val="auto"/>
          <w:sz w:val="24"/>
          <w:szCs w:val="24"/>
          <w:highlight w:val="none"/>
        </w:rPr>
      </w:pPr>
    </w:p>
    <w:p w14:paraId="4807084E">
      <w:pPr>
        <w:rPr>
          <w:rFonts w:hint="eastAsia" w:ascii="仿宋" w:hAnsi="仿宋" w:eastAsia="仿宋" w:cs="仿宋"/>
          <w:color w:val="auto"/>
          <w:sz w:val="24"/>
          <w:szCs w:val="24"/>
          <w:highlight w:val="none"/>
        </w:rPr>
      </w:pPr>
    </w:p>
    <w:p w14:paraId="6E52F269">
      <w:pPr>
        <w:pStyle w:val="2"/>
        <w:rPr>
          <w:rFonts w:hint="eastAsia" w:ascii="仿宋" w:hAnsi="仿宋" w:eastAsia="仿宋" w:cs="仿宋"/>
          <w:color w:val="auto"/>
          <w:sz w:val="24"/>
          <w:szCs w:val="24"/>
          <w:highlight w:val="none"/>
        </w:rPr>
      </w:pPr>
    </w:p>
    <w:p w14:paraId="40565D6F">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注：1、请供应商完整填写本表。</w:t>
      </w:r>
    </w:p>
    <w:p w14:paraId="7336DE09">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2、该表可扩展</w:t>
      </w:r>
      <w:bookmarkStart w:id="145" w:name="OLE_LINK2"/>
      <w:bookmarkStart w:id="146" w:name="OLE_LINK1"/>
      <w:r>
        <w:rPr>
          <w:rFonts w:hint="eastAsia" w:ascii="仿宋" w:hAnsi="仿宋" w:eastAsia="仿宋" w:cs="仿宋"/>
          <w:color w:val="auto"/>
          <w:sz w:val="24"/>
          <w:szCs w:val="24"/>
          <w:highlight w:val="none"/>
        </w:rPr>
        <w:t>，并逐页签字或盖章。</w:t>
      </w:r>
      <w:bookmarkEnd w:id="145"/>
      <w:bookmarkEnd w:id="146"/>
    </w:p>
    <w:p w14:paraId="7BD36270">
      <w:pPr>
        <w:pStyle w:val="14"/>
        <w:spacing w:line="360" w:lineRule="auto"/>
        <w:rPr>
          <w:rFonts w:hint="eastAsia" w:ascii="仿宋" w:hAnsi="仿宋" w:eastAsia="仿宋" w:cs="仿宋"/>
          <w:color w:val="auto"/>
          <w:sz w:val="24"/>
          <w:szCs w:val="24"/>
          <w:highlight w:val="none"/>
        </w:rPr>
      </w:pPr>
    </w:p>
    <w:p w14:paraId="5ABFF8E9">
      <w:pPr>
        <w:pStyle w:val="14"/>
        <w:spacing w:line="360" w:lineRule="auto"/>
        <w:rPr>
          <w:rFonts w:hint="eastAsia" w:ascii="仿宋" w:hAnsi="仿宋" w:eastAsia="仿宋" w:cs="仿宋"/>
          <w:color w:val="auto"/>
          <w:sz w:val="24"/>
          <w:szCs w:val="24"/>
          <w:highlight w:val="none"/>
        </w:rPr>
      </w:pPr>
    </w:p>
    <w:p w14:paraId="1C53831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0E02F157">
      <w:pPr>
        <w:spacing w:line="360" w:lineRule="auto"/>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6BAFED">
      <w:pPr>
        <w:pStyle w:val="35"/>
        <w:spacing w:before="120" w:after="120"/>
        <w:rPr>
          <w:rFonts w:hint="eastAsia" w:ascii="仿宋" w:hAnsi="仿宋" w:eastAsia="仿宋" w:cs="仿宋"/>
          <w:color w:val="auto"/>
          <w:sz w:val="24"/>
          <w:szCs w:val="24"/>
          <w:highlight w:val="none"/>
        </w:rPr>
      </w:pPr>
    </w:p>
    <w:p w14:paraId="645A87DB">
      <w:pPr>
        <w:rPr>
          <w:rFonts w:hint="eastAsia" w:ascii="仿宋" w:hAnsi="仿宋" w:eastAsia="仿宋" w:cs="仿宋"/>
          <w:color w:val="auto"/>
          <w:sz w:val="24"/>
          <w:szCs w:val="24"/>
          <w:highlight w:val="none"/>
        </w:rPr>
      </w:pPr>
    </w:p>
    <w:p w14:paraId="7475B856">
      <w:pPr>
        <w:pStyle w:val="19"/>
        <w:rPr>
          <w:rFonts w:hint="eastAsia" w:ascii="仿宋" w:hAnsi="仿宋" w:eastAsia="仿宋" w:cs="仿宋"/>
          <w:color w:val="auto"/>
          <w:sz w:val="24"/>
          <w:szCs w:val="24"/>
          <w:highlight w:val="none"/>
        </w:rPr>
      </w:pPr>
    </w:p>
    <w:p w14:paraId="376A5E99">
      <w:pPr>
        <w:pStyle w:val="5"/>
        <w:spacing w:before="0" w:after="0" w:line="360" w:lineRule="auto"/>
        <w:rPr>
          <w:rFonts w:hint="eastAsia" w:ascii="仿宋" w:hAnsi="仿宋" w:eastAsia="仿宋" w:cs="仿宋"/>
          <w:color w:val="auto"/>
          <w:sz w:val="24"/>
          <w:szCs w:val="24"/>
          <w:highlight w:val="none"/>
        </w:rPr>
      </w:pPr>
    </w:p>
    <w:p w14:paraId="0E480D05">
      <w:pPr>
        <w:rPr>
          <w:rFonts w:hint="eastAsia" w:ascii="仿宋" w:hAnsi="仿宋" w:eastAsia="仿宋" w:cs="仿宋"/>
          <w:color w:val="auto"/>
          <w:sz w:val="24"/>
          <w:szCs w:val="24"/>
          <w:highlight w:val="none"/>
        </w:rPr>
      </w:pPr>
    </w:p>
    <w:p w14:paraId="51B369F3">
      <w:pPr>
        <w:pStyle w:val="5"/>
        <w:spacing w:before="0" w:after="0" w:line="360" w:lineRule="auto"/>
        <w:rPr>
          <w:rFonts w:hint="eastAsia" w:ascii="仿宋" w:hAnsi="仿宋" w:eastAsia="仿宋" w:cs="仿宋"/>
          <w:color w:val="auto"/>
          <w:sz w:val="24"/>
          <w:szCs w:val="24"/>
          <w:highlight w:val="none"/>
        </w:rPr>
      </w:pPr>
      <w:bookmarkStart w:id="147" w:name="_Toc12120"/>
      <w:bookmarkStart w:id="148" w:name="_Toc27609"/>
      <w:bookmarkStart w:id="149" w:name="_Toc23285"/>
      <w:r>
        <w:rPr>
          <w:rFonts w:hint="eastAsia" w:ascii="仿宋" w:hAnsi="仿宋" w:eastAsia="仿宋" w:cs="仿宋"/>
          <w:color w:val="auto"/>
          <w:sz w:val="24"/>
          <w:szCs w:val="24"/>
          <w:highlight w:val="none"/>
        </w:rPr>
        <w:t>二、服务部分</w:t>
      </w:r>
      <w:bookmarkEnd w:id="142"/>
      <w:bookmarkEnd w:id="143"/>
      <w:bookmarkEnd w:id="144"/>
      <w:bookmarkEnd w:id="147"/>
      <w:bookmarkEnd w:id="148"/>
      <w:bookmarkEnd w:id="149"/>
    </w:p>
    <w:p w14:paraId="08FAA57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2AFD5A6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（二）服务响应偏离表</w:t>
      </w:r>
    </w:p>
    <w:p w14:paraId="681265D0">
      <w:pPr>
        <w:pStyle w:val="10"/>
        <w:tabs>
          <w:tab w:val="left" w:pos="6300"/>
        </w:tabs>
        <w:snapToGrid w:val="0"/>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D8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D8FA53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noWrap/>
            <w:vAlign w:val="center"/>
          </w:tcPr>
          <w:p w14:paraId="480A4B4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noWrap/>
            <w:vAlign w:val="center"/>
          </w:tcPr>
          <w:p w14:paraId="16511874">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noWrap/>
            <w:vAlign w:val="center"/>
          </w:tcPr>
          <w:p w14:paraId="2972870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40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BDF2C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591C1DE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5F1DFB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B3E77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8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498A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56CA54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5F29523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5B3AE31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10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5CD776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12287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344CB3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6F96A0C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B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72DB86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2D7759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1AA092A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2429BD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2A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5758E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6AC194A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CCBB79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0335E60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25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B8DDD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1AC81D0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2262CC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439D199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F64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F4930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145BC8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C36D7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EF098A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34A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353D14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F2506C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04A3F79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5792E4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CC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82A0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3583DF0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238C751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060C75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9E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3A041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ign w:val="center"/>
          </w:tcPr>
          <w:p w14:paraId="7C5B3BE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ign w:val="center"/>
          </w:tcPr>
          <w:p w14:paraId="733470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ign w:val="center"/>
          </w:tcPr>
          <w:p w14:paraId="338C3FC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5F916B01">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2A8A3780">
      <w:pPr>
        <w:spacing w:line="500" w:lineRule="exact"/>
        <w:rPr>
          <w:rFonts w:hint="eastAsia" w:ascii="仿宋" w:hAnsi="仿宋" w:eastAsia="仿宋" w:cs="仿宋"/>
          <w:color w:val="auto"/>
          <w:sz w:val="24"/>
          <w:szCs w:val="24"/>
          <w:highlight w:val="none"/>
        </w:rPr>
      </w:pPr>
    </w:p>
    <w:p w14:paraId="009D839D">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4C5F1A0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270369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781E06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项目服务需求</w:t>
      </w:r>
      <w:r>
        <w:rPr>
          <w:rFonts w:hint="eastAsia" w:ascii="仿宋" w:hAnsi="仿宋" w:eastAsia="仿宋" w:cs="仿宋"/>
          <w:color w:val="auto"/>
          <w:sz w:val="24"/>
          <w:szCs w:val="24"/>
          <w:highlight w:val="none"/>
        </w:rPr>
        <w:t>”中所列服务要求进行比较和响应；</w:t>
      </w:r>
    </w:p>
    <w:p w14:paraId="7A460B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0E84171C">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51BC9FE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4、可附相关支撑材料。（格式自定）</w:t>
      </w:r>
    </w:p>
    <w:p w14:paraId="12A37038">
      <w:pPr>
        <w:pStyle w:val="5"/>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150" w:name="_Toc313008358"/>
      <w:bookmarkStart w:id="151" w:name="_Toc13094"/>
      <w:bookmarkStart w:id="152" w:name="_Toc690"/>
      <w:bookmarkStart w:id="153" w:name="_Toc342913421"/>
      <w:bookmarkStart w:id="154" w:name="_Toc19228"/>
      <w:bookmarkStart w:id="155" w:name="_Toc313888362"/>
      <w:r>
        <w:rPr>
          <w:rFonts w:hint="eastAsia" w:ascii="仿宋" w:hAnsi="仿宋" w:eastAsia="仿宋" w:cs="仿宋"/>
          <w:color w:val="auto"/>
          <w:sz w:val="24"/>
          <w:szCs w:val="24"/>
          <w:highlight w:val="none"/>
        </w:rPr>
        <w:t>三、商务部分</w:t>
      </w:r>
      <w:bookmarkEnd w:id="150"/>
      <w:bookmarkEnd w:id="151"/>
      <w:bookmarkEnd w:id="152"/>
      <w:bookmarkEnd w:id="153"/>
      <w:bookmarkEnd w:id="154"/>
      <w:bookmarkEnd w:id="155"/>
    </w:p>
    <w:p w14:paraId="6308E3AB">
      <w:pPr>
        <w:snapToGrid w:val="0"/>
        <w:spacing w:line="360" w:lineRule="auto"/>
        <w:ind w:firstLine="480" w:firstLineChars="200"/>
        <w:rPr>
          <w:rFonts w:hint="eastAsia" w:ascii="仿宋" w:hAnsi="仿宋" w:eastAsia="仿宋" w:cs="仿宋"/>
          <w:b/>
          <w:color w:val="auto"/>
          <w:sz w:val="24"/>
          <w:szCs w:val="24"/>
          <w:highlight w:val="none"/>
        </w:rPr>
        <w:sectPr>
          <w:headerReference r:id="rId11"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80" w:charSpace="0"/>
        </w:sectPr>
      </w:pPr>
      <w:r>
        <w:rPr>
          <w:rFonts w:hint="eastAsia" w:ascii="仿宋" w:hAnsi="仿宋" w:eastAsia="仿宋" w:cs="仿宋"/>
          <w:color w:val="auto"/>
          <w:sz w:val="24"/>
          <w:szCs w:val="24"/>
          <w:highlight w:val="none"/>
        </w:rPr>
        <w:t>（一）商务要求响应情况：服务期及地点、报价要求等（格式自定）</w:t>
      </w:r>
    </w:p>
    <w:p w14:paraId="4ACC78CC">
      <w:pPr>
        <w:spacing w:line="360" w:lineRule="auto"/>
        <w:ind w:firstLine="480" w:firstLineChars="200"/>
        <w:rPr>
          <w:rFonts w:hint="eastAsia" w:ascii="仿宋" w:hAnsi="仿宋" w:eastAsia="仿宋" w:cs="仿宋"/>
          <w:color w:val="auto"/>
          <w:sz w:val="24"/>
          <w:szCs w:val="24"/>
          <w:highlight w:val="none"/>
        </w:rPr>
      </w:pPr>
      <w:bookmarkStart w:id="156" w:name="_Toc283382459"/>
      <w:r>
        <w:rPr>
          <w:rFonts w:hint="eastAsia" w:ascii="仿宋" w:hAnsi="仿宋" w:eastAsia="仿宋" w:cs="仿宋"/>
          <w:color w:val="auto"/>
          <w:sz w:val="24"/>
          <w:szCs w:val="24"/>
          <w:highlight w:val="none"/>
        </w:rPr>
        <w:t>（二）商务响应偏离表</w:t>
      </w:r>
    </w:p>
    <w:p w14:paraId="46AD875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B919ECD">
      <w:pPr>
        <w:pStyle w:val="10"/>
        <w:tabs>
          <w:tab w:val="left" w:pos="6300"/>
        </w:tabs>
        <w:snapToGrid w:val="0"/>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A9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4F63232">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ign w:val="center"/>
          </w:tcPr>
          <w:p w14:paraId="0F6DA02A">
            <w:pPr>
              <w:tabs>
                <w:tab w:val="left" w:pos="6300"/>
              </w:tabs>
              <w:snapToGrid w:val="0"/>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商务需求</w:t>
            </w:r>
          </w:p>
        </w:tc>
        <w:tc>
          <w:tcPr>
            <w:tcW w:w="2434" w:type="dxa"/>
            <w:noWrap/>
            <w:vAlign w:val="center"/>
          </w:tcPr>
          <w:p w14:paraId="480802B9">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ign w:val="center"/>
          </w:tcPr>
          <w:p w14:paraId="02B1B18B">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4B2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100EC2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04EBEEA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1B96437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159FF97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4FC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0D86DA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C78CED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3851F7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596D668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A8C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133862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383DD745">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00B7AD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2E7D36D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0F0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4FDDEE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09F33E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4BB924D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2383300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7316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6564668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16FF5A7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7D34B7E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32C95F7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78A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98DAA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ign w:val="center"/>
          </w:tcPr>
          <w:p w14:paraId="0747B65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ign w:val="center"/>
          </w:tcPr>
          <w:p w14:paraId="177AE49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ign w:val="center"/>
          </w:tcPr>
          <w:p w14:paraId="325C3C50">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6B19C755">
      <w:pPr>
        <w:snapToGrid w:val="0"/>
        <w:spacing w:line="360" w:lineRule="auto"/>
        <w:ind w:firstLine="465"/>
        <w:rPr>
          <w:rFonts w:hint="eastAsia" w:ascii="仿宋" w:hAnsi="仿宋" w:eastAsia="仿宋" w:cs="仿宋"/>
          <w:color w:val="auto"/>
          <w:sz w:val="24"/>
          <w:szCs w:val="24"/>
          <w:highlight w:val="none"/>
        </w:rPr>
      </w:pPr>
    </w:p>
    <w:p w14:paraId="5EB610EB">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3184DE7D">
      <w:pPr>
        <w:spacing w:line="500" w:lineRule="exact"/>
        <w:rPr>
          <w:rFonts w:hint="eastAsia" w:ascii="仿宋" w:hAnsi="仿宋" w:eastAsia="仿宋" w:cs="仿宋"/>
          <w:color w:val="auto"/>
          <w:sz w:val="24"/>
          <w:szCs w:val="24"/>
          <w:highlight w:val="none"/>
        </w:rPr>
      </w:pPr>
    </w:p>
    <w:p w14:paraId="79290984">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741F70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C6F5C2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1237F2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项目商务需求”中所列服务要求进行比较和响应；</w:t>
      </w:r>
    </w:p>
    <w:p w14:paraId="3DEFE1B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5CD5055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2A0B0B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（三）其它优惠承诺（格式自定）</w:t>
      </w:r>
    </w:p>
    <w:p w14:paraId="06708837">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End w:id="156"/>
    </w:p>
    <w:p w14:paraId="46381BF3">
      <w:pPr>
        <w:pStyle w:val="5"/>
        <w:snapToGrid w:val="0"/>
        <w:spacing w:before="0" w:after="0" w:line="360" w:lineRule="auto"/>
        <w:rPr>
          <w:rFonts w:hint="eastAsia" w:ascii="仿宋" w:hAnsi="仿宋" w:eastAsia="仿宋" w:cs="仿宋"/>
          <w:color w:val="auto"/>
          <w:sz w:val="24"/>
          <w:szCs w:val="24"/>
          <w:highlight w:val="none"/>
        </w:rPr>
      </w:pPr>
      <w:bookmarkStart w:id="157" w:name="_Toc9498"/>
      <w:bookmarkStart w:id="158" w:name="_Toc76462353"/>
      <w:bookmarkStart w:id="159" w:name="_Toc106637998"/>
      <w:bookmarkStart w:id="160" w:name="_Toc9453"/>
      <w:bookmarkStart w:id="161" w:name="_Toc17294"/>
      <w:r>
        <w:rPr>
          <w:rFonts w:hint="eastAsia" w:ascii="仿宋" w:hAnsi="仿宋" w:eastAsia="仿宋" w:cs="仿宋"/>
          <w:color w:val="auto"/>
          <w:sz w:val="24"/>
          <w:szCs w:val="24"/>
          <w:highlight w:val="none"/>
        </w:rPr>
        <w:t>四、资格条件</w:t>
      </w:r>
      <w:bookmarkEnd w:id="157"/>
      <w:bookmarkEnd w:id="158"/>
      <w:bookmarkEnd w:id="159"/>
      <w:bookmarkEnd w:id="160"/>
      <w:bookmarkEnd w:id="161"/>
    </w:p>
    <w:p w14:paraId="705106F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DA47B19">
      <w:pPr>
        <w:tabs>
          <w:tab w:val="left" w:pos="6300"/>
        </w:tabs>
        <w:snapToGrid w:val="0"/>
        <w:spacing w:line="360" w:lineRule="auto"/>
        <w:ind w:firstLine="570"/>
        <w:rPr>
          <w:rFonts w:hint="eastAsia" w:ascii="仿宋" w:hAnsi="仿宋" w:eastAsia="仿宋" w:cs="仿宋"/>
          <w:color w:val="auto"/>
          <w:sz w:val="24"/>
          <w:szCs w:val="24"/>
          <w:highlight w:val="none"/>
        </w:rPr>
      </w:pPr>
    </w:p>
    <w:p w14:paraId="42A49DE7">
      <w:pPr>
        <w:snapToGrid w:val="0"/>
        <w:spacing w:line="360" w:lineRule="auto"/>
        <w:ind w:firstLine="480" w:firstLineChars="200"/>
        <w:rPr>
          <w:rFonts w:hint="eastAsia" w:ascii="仿宋" w:hAnsi="仿宋" w:eastAsia="仿宋" w:cs="仿宋"/>
          <w:color w:val="auto"/>
          <w:sz w:val="24"/>
          <w:szCs w:val="24"/>
          <w:highlight w:val="none"/>
        </w:rPr>
      </w:pPr>
    </w:p>
    <w:p w14:paraId="393C64E7">
      <w:pPr>
        <w:snapToGrid w:val="0"/>
        <w:spacing w:line="360" w:lineRule="auto"/>
        <w:ind w:firstLine="480" w:firstLineChars="200"/>
        <w:rPr>
          <w:rFonts w:hint="eastAsia" w:ascii="仿宋" w:hAnsi="仿宋" w:eastAsia="仿宋" w:cs="仿宋"/>
          <w:color w:val="auto"/>
          <w:sz w:val="24"/>
          <w:szCs w:val="24"/>
          <w:highlight w:val="none"/>
        </w:rPr>
      </w:pPr>
    </w:p>
    <w:p w14:paraId="36D66AE8">
      <w:pPr>
        <w:snapToGrid w:val="0"/>
        <w:spacing w:line="360" w:lineRule="auto"/>
        <w:ind w:firstLine="480" w:firstLineChars="200"/>
        <w:rPr>
          <w:rFonts w:hint="eastAsia" w:ascii="仿宋" w:hAnsi="仿宋" w:eastAsia="仿宋" w:cs="仿宋"/>
          <w:color w:val="auto"/>
          <w:sz w:val="24"/>
          <w:szCs w:val="24"/>
          <w:highlight w:val="none"/>
        </w:rPr>
      </w:pPr>
    </w:p>
    <w:p w14:paraId="16A87771">
      <w:pPr>
        <w:snapToGrid w:val="0"/>
        <w:spacing w:line="360" w:lineRule="auto"/>
        <w:ind w:firstLine="480" w:firstLineChars="200"/>
        <w:rPr>
          <w:rFonts w:hint="eastAsia" w:ascii="仿宋" w:hAnsi="仿宋" w:eastAsia="仿宋" w:cs="仿宋"/>
          <w:color w:val="auto"/>
          <w:sz w:val="24"/>
          <w:szCs w:val="24"/>
          <w:highlight w:val="none"/>
        </w:rPr>
      </w:pPr>
    </w:p>
    <w:p w14:paraId="3012BCAD">
      <w:pPr>
        <w:snapToGrid w:val="0"/>
        <w:spacing w:line="360" w:lineRule="auto"/>
        <w:ind w:firstLine="480" w:firstLineChars="200"/>
        <w:rPr>
          <w:rFonts w:hint="eastAsia" w:ascii="仿宋" w:hAnsi="仿宋" w:eastAsia="仿宋" w:cs="仿宋"/>
          <w:color w:val="auto"/>
          <w:sz w:val="24"/>
          <w:szCs w:val="24"/>
          <w:highlight w:val="none"/>
        </w:rPr>
      </w:pPr>
    </w:p>
    <w:p w14:paraId="7F355F50">
      <w:pPr>
        <w:snapToGrid w:val="0"/>
        <w:spacing w:line="360" w:lineRule="auto"/>
        <w:ind w:firstLine="480" w:firstLineChars="200"/>
        <w:rPr>
          <w:rFonts w:hint="eastAsia" w:ascii="仿宋" w:hAnsi="仿宋" w:eastAsia="仿宋" w:cs="仿宋"/>
          <w:color w:val="auto"/>
          <w:sz w:val="24"/>
          <w:szCs w:val="24"/>
          <w:highlight w:val="none"/>
        </w:rPr>
      </w:pPr>
    </w:p>
    <w:p w14:paraId="5073070B">
      <w:pPr>
        <w:snapToGrid w:val="0"/>
        <w:spacing w:line="360" w:lineRule="auto"/>
        <w:ind w:firstLine="480" w:firstLineChars="200"/>
        <w:rPr>
          <w:rFonts w:hint="eastAsia" w:ascii="仿宋" w:hAnsi="仿宋" w:eastAsia="仿宋" w:cs="仿宋"/>
          <w:color w:val="auto"/>
          <w:sz w:val="24"/>
          <w:szCs w:val="24"/>
          <w:highlight w:val="none"/>
        </w:rPr>
      </w:pPr>
    </w:p>
    <w:p w14:paraId="4B09CC4A">
      <w:pPr>
        <w:snapToGrid w:val="0"/>
        <w:spacing w:line="360" w:lineRule="auto"/>
        <w:ind w:firstLine="480" w:firstLineChars="200"/>
        <w:rPr>
          <w:rFonts w:hint="eastAsia" w:ascii="仿宋" w:hAnsi="仿宋" w:eastAsia="仿宋" w:cs="仿宋"/>
          <w:color w:val="auto"/>
          <w:sz w:val="24"/>
          <w:szCs w:val="24"/>
          <w:highlight w:val="none"/>
        </w:rPr>
      </w:pPr>
    </w:p>
    <w:p w14:paraId="5D0A265A">
      <w:pPr>
        <w:snapToGrid w:val="0"/>
        <w:spacing w:line="360" w:lineRule="auto"/>
        <w:ind w:firstLine="480" w:firstLineChars="200"/>
        <w:rPr>
          <w:rFonts w:hint="eastAsia" w:ascii="仿宋" w:hAnsi="仿宋" w:eastAsia="仿宋" w:cs="仿宋"/>
          <w:color w:val="auto"/>
          <w:sz w:val="24"/>
          <w:szCs w:val="24"/>
          <w:highlight w:val="none"/>
        </w:rPr>
      </w:pPr>
    </w:p>
    <w:p w14:paraId="089FACB0">
      <w:pPr>
        <w:snapToGrid w:val="0"/>
        <w:spacing w:line="360" w:lineRule="auto"/>
        <w:ind w:firstLine="480" w:firstLineChars="200"/>
        <w:rPr>
          <w:rFonts w:hint="eastAsia" w:ascii="仿宋" w:hAnsi="仿宋" w:eastAsia="仿宋" w:cs="仿宋"/>
          <w:color w:val="auto"/>
          <w:sz w:val="24"/>
          <w:szCs w:val="24"/>
          <w:highlight w:val="none"/>
        </w:rPr>
      </w:pPr>
    </w:p>
    <w:p w14:paraId="0963AF86">
      <w:pPr>
        <w:snapToGrid w:val="0"/>
        <w:spacing w:line="360" w:lineRule="auto"/>
        <w:ind w:firstLine="480" w:firstLineChars="200"/>
        <w:rPr>
          <w:rFonts w:hint="eastAsia" w:ascii="仿宋" w:hAnsi="仿宋" w:eastAsia="仿宋" w:cs="仿宋"/>
          <w:color w:val="auto"/>
          <w:sz w:val="24"/>
          <w:szCs w:val="24"/>
          <w:highlight w:val="none"/>
        </w:rPr>
      </w:pPr>
    </w:p>
    <w:p w14:paraId="4717CDA7">
      <w:pPr>
        <w:snapToGrid w:val="0"/>
        <w:spacing w:line="360" w:lineRule="auto"/>
        <w:ind w:firstLine="480" w:firstLineChars="200"/>
        <w:rPr>
          <w:rFonts w:hint="eastAsia" w:ascii="仿宋" w:hAnsi="仿宋" w:eastAsia="仿宋" w:cs="仿宋"/>
          <w:color w:val="auto"/>
          <w:sz w:val="24"/>
          <w:szCs w:val="24"/>
          <w:highlight w:val="none"/>
        </w:rPr>
      </w:pPr>
    </w:p>
    <w:p w14:paraId="19B8F2BA">
      <w:pPr>
        <w:snapToGrid w:val="0"/>
        <w:spacing w:line="360" w:lineRule="auto"/>
        <w:ind w:firstLine="480" w:firstLineChars="200"/>
        <w:rPr>
          <w:rFonts w:hint="eastAsia" w:ascii="仿宋" w:hAnsi="仿宋" w:eastAsia="仿宋" w:cs="仿宋"/>
          <w:color w:val="auto"/>
          <w:sz w:val="24"/>
          <w:szCs w:val="24"/>
          <w:highlight w:val="none"/>
        </w:rPr>
      </w:pPr>
    </w:p>
    <w:p w14:paraId="413FAFA8">
      <w:pPr>
        <w:snapToGrid w:val="0"/>
        <w:spacing w:line="360" w:lineRule="auto"/>
        <w:ind w:firstLine="480" w:firstLineChars="200"/>
        <w:rPr>
          <w:rFonts w:hint="eastAsia" w:ascii="仿宋" w:hAnsi="仿宋" w:eastAsia="仿宋" w:cs="仿宋"/>
          <w:color w:val="auto"/>
          <w:sz w:val="24"/>
          <w:szCs w:val="24"/>
          <w:highlight w:val="none"/>
        </w:rPr>
      </w:pPr>
    </w:p>
    <w:p w14:paraId="61108B48">
      <w:pPr>
        <w:snapToGrid w:val="0"/>
        <w:spacing w:line="360" w:lineRule="auto"/>
        <w:ind w:firstLine="480" w:firstLineChars="200"/>
        <w:rPr>
          <w:rFonts w:hint="eastAsia" w:ascii="仿宋" w:hAnsi="仿宋" w:eastAsia="仿宋" w:cs="仿宋"/>
          <w:color w:val="auto"/>
          <w:sz w:val="24"/>
          <w:szCs w:val="24"/>
          <w:highlight w:val="none"/>
        </w:rPr>
      </w:pPr>
    </w:p>
    <w:p w14:paraId="7D44E1AC">
      <w:pPr>
        <w:snapToGrid w:val="0"/>
        <w:spacing w:line="360" w:lineRule="auto"/>
        <w:ind w:firstLine="480" w:firstLineChars="200"/>
        <w:rPr>
          <w:rFonts w:hint="eastAsia" w:ascii="仿宋" w:hAnsi="仿宋" w:eastAsia="仿宋" w:cs="仿宋"/>
          <w:color w:val="auto"/>
          <w:sz w:val="24"/>
          <w:szCs w:val="24"/>
          <w:highlight w:val="none"/>
        </w:rPr>
      </w:pPr>
    </w:p>
    <w:p w14:paraId="4187B522">
      <w:pPr>
        <w:snapToGrid w:val="0"/>
        <w:spacing w:line="360" w:lineRule="auto"/>
        <w:ind w:firstLine="480" w:firstLineChars="200"/>
        <w:rPr>
          <w:rFonts w:hint="eastAsia" w:ascii="仿宋" w:hAnsi="仿宋" w:eastAsia="仿宋" w:cs="仿宋"/>
          <w:color w:val="auto"/>
          <w:sz w:val="24"/>
          <w:szCs w:val="24"/>
          <w:highlight w:val="none"/>
        </w:rPr>
      </w:pPr>
    </w:p>
    <w:p w14:paraId="077E01BD">
      <w:pPr>
        <w:snapToGrid w:val="0"/>
        <w:spacing w:line="360" w:lineRule="auto"/>
        <w:ind w:firstLine="480" w:firstLineChars="200"/>
        <w:rPr>
          <w:rFonts w:hint="eastAsia" w:ascii="仿宋" w:hAnsi="仿宋" w:eastAsia="仿宋" w:cs="仿宋"/>
          <w:color w:val="auto"/>
          <w:sz w:val="24"/>
          <w:szCs w:val="24"/>
          <w:highlight w:val="none"/>
        </w:rPr>
      </w:pPr>
    </w:p>
    <w:p w14:paraId="7A608D5D">
      <w:pPr>
        <w:snapToGrid w:val="0"/>
        <w:spacing w:line="360" w:lineRule="auto"/>
        <w:ind w:firstLine="480" w:firstLineChars="200"/>
        <w:rPr>
          <w:rFonts w:hint="eastAsia" w:ascii="仿宋" w:hAnsi="仿宋" w:eastAsia="仿宋" w:cs="仿宋"/>
          <w:color w:val="auto"/>
          <w:sz w:val="24"/>
          <w:szCs w:val="24"/>
          <w:highlight w:val="none"/>
        </w:rPr>
      </w:pPr>
    </w:p>
    <w:p w14:paraId="65E163F5">
      <w:pPr>
        <w:snapToGrid w:val="0"/>
        <w:spacing w:line="360" w:lineRule="auto"/>
        <w:ind w:firstLine="480" w:firstLineChars="200"/>
        <w:rPr>
          <w:rFonts w:hint="eastAsia" w:ascii="仿宋" w:hAnsi="仿宋" w:eastAsia="仿宋" w:cs="仿宋"/>
          <w:color w:val="auto"/>
          <w:sz w:val="24"/>
          <w:szCs w:val="24"/>
          <w:highlight w:val="none"/>
        </w:rPr>
      </w:pPr>
    </w:p>
    <w:p w14:paraId="4D18AC94">
      <w:pPr>
        <w:snapToGrid w:val="0"/>
        <w:spacing w:line="360" w:lineRule="auto"/>
        <w:ind w:firstLine="480" w:firstLineChars="200"/>
        <w:rPr>
          <w:rFonts w:hint="eastAsia" w:ascii="仿宋" w:hAnsi="仿宋" w:eastAsia="仿宋" w:cs="仿宋"/>
          <w:color w:val="auto"/>
          <w:sz w:val="24"/>
          <w:szCs w:val="24"/>
          <w:highlight w:val="none"/>
        </w:rPr>
      </w:pPr>
    </w:p>
    <w:p w14:paraId="53E923EA">
      <w:pPr>
        <w:snapToGrid w:val="0"/>
        <w:spacing w:line="360" w:lineRule="auto"/>
        <w:ind w:firstLine="480" w:firstLineChars="200"/>
        <w:rPr>
          <w:rFonts w:hint="eastAsia" w:ascii="仿宋" w:hAnsi="仿宋" w:eastAsia="仿宋" w:cs="仿宋"/>
          <w:color w:val="auto"/>
          <w:sz w:val="24"/>
          <w:szCs w:val="24"/>
          <w:highlight w:val="none"/>
        </w:rPr>
      </w:pPr>
    </w:p>
    <w:p w14:paraId="48EF90BB">
      <w:pPr>
        <w:snapToGrid w:val="0"/>
        <w:spacing w:line="360" w:lineRule="auto"/>
        <w:ind w:firstLine="480" w:firstLineChars="200"/>
        <w:rPr>
          <w:rFonts w:hint="eastAsia" w:ascii="仿宋" w:hAnsi="仿宋" w:eastAsia="仿宋" w:cs="仿宋"/>
          <w:color w:val="auto"/>
          <w:sz w:val="24"/>
          <w:szCs w:val="24"/>
          <w:highlight w:val="none"/>
        </w:rPr>
      </w:pPr>
    </w:p>
    <w:p w14:paraId="0CFB7D9C">
      <w:pPr>
        <w:snapToGrid w:val="0"/>
        <w:spacing w:line="360" w:lineRule="auto"/>
        <w:ind w:firstLine="480" w:firstLineChars="200"/>
        <w:rPr>
          <w:rFonts w:hint="eastAsia" w:ascii="仿宋" w:hAnsi="仿宋" w:eastAsia="仿宋" w:cs="仿宋"/>
          <w:color w:val="auto"/>
          <w:sz w:val="24"/>
          <w:szCs w:val="24"/>
          <w:highlight w:val="none"/>
        </w:rPr>
      </w:pPr>
    </w:p>
    <w:p w14:paraId="4637B230">
      <w:pPr>
        <w:snapToGrid w:val="0"/>
        <w:spacing w:line="360" w:lineRule="auto"/>
        <w:ind w:firstLine="480" w:firstLineChars="200"/>
        <w:rPr>
          <w:rFonts w:hint="eastAsia" w:ascii="仿宋" w:hAnsi="仿宋" w:eastAsia="仿宋" w:cs="仿宋"/>
          <w:color w:val="auto"/>
          <w:sz w:val="24"/>
          <w:szCs w:val="24"/>
          <w:highlight w:val="none"/>
        </w:rPr>
      </w:pPr>
    </w:p>
    <w:p w14:paraId="021374D6">
      <w:pPr>
        <w:snapToGrid w:val="0"/>
        <w:spacing w:line="360" w:lineRule="auto"/>
        <w:ind w:firstLine="480" w:firstLineChars="200"/>
        <w:rPr>
          <w:rFonts w:hint="eastAsia" w:ascii="仿宋" w:hAnsi="仿宋" w:eastAsia="仿宋" w:cs="仿宋"/>
          <w:color w:val="auto"/>
          <w:sz w:val="24"/>
          <w:szCs w:val="24"/>
          <w:highlight w:val="none"/>
        </w:rPr>
      </w:pPr>
    </w:p>
    <w:p w14:paraId="4DA3D439">
      <w:pPr>
        <w:snapToGrid w:val="0"/>
        <w:spacing w:line="360" w:lineRule="auto"/>
        <w:ind w:firstLine="480" w:firstLineChars="200"/>
        <w:rPr>
          <w:rFonts w:hint="eastAsia" w:ascii="仿宋" w:hAnsi="仿宋" w:eastAsia="仿宋" w:cs="仿宋"/>
          <w:color w:val="auto"/>
          <w:sz w:val="24"/>
          <w:szCs w:val="24"/>
          <w:highlight w:val="none"/>
        </w:rPr>
      </w:pPr>
    </w:p>
    <w:p w14:paraId="130F0E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3CCAECB6">
      <w:pPr>
        <w:tabs>
          <w:tab w:val="left" w:pos="6300"/>
        </w:tabs>
        <w:snapToGrid w:val="0"/>
        <w:spacing w:line="360" w:lineRule="auto"/>
        <w:ind w:firstLine="570"/>
        <w:rPr>
          <w:rFonts w:hint="eastAsia" w:ascii="仿宋" w:hAnsi="仿宋" w:eastAsia="仿宋" w:cs="仿宋"/>
          <w:color w:val="auto"/>
          <w:sz w:val="24"/>
          <w:szCs w:val="24"/>
          <w:highlight w:val="none"/>
        </w:rPr>
      </w:pPr>
    </w:p>
    <w:p w14:paraId="3BFF601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14:paraId="0CC9A34F">
      <w:pPr>
        <w:tabs>
          <w:tab w:val="left" w:pos="6300"/>
        </w:tabs>
        <w:snapToGrid w:val="0"/>
        <w:spacing w:line="360" w:lineRule="auto"/>
        <w:ind w:firstLine="570"/>
        <w:rPr>
          <w:rFonts w:hint="eastAsia" w:ascii="仿宋" w:hAnsi="仿宋" w:eastAsia="仿宋" w:cs="仿宋"/>
          <w:color w:val="auto"/>
          <w:sz w:val="24"/>
          <w:szCs w:val="24"/>
          <w:highlight w:val="none"/>
        </w:rPr>
      </w:pPr>
    </w:p>
    <w:p w14:paraId="6E678C93">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p w14:paraId="523F3C6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（供应商名称）的法定代表人。</w:t>
      </w:r>
    </w:p>
    <w:p w14:paraId="28E485D8">
      <w:pPr>
        <w:tabs>
          <w:tab w:val="left" w:pos="6300"/>
        </w:tabs>
        <w:snapToGrid w:val="0"/>
        <w:spacing w:line="360" w:lineRule="auto"/>
        <w:ind w:firstLine="570"/>
        <w:rPr>
          <w:rFonts w:hint="eastAsia" w:ascii="仿宋" w:hAnsi="仿宋" w:eastAsia="仿宋" w:cs="仿宋"/>
          <w:color w:val="auto"/>
          <w:sz w:val="24"/>
          <w:szCs w:val="24"/>
          <w:highlight w:val="none"/>
        </w:rPr>
      </w:pPr>
    </w:p>
    <w:p w14:paraId="0299A71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48A9415">
      <w:pPr>
        <w:tabs>
          <w:tab w:val="left" w:pos="6300"/>
        </w:tabs>
        <w:snapToGrid w:val="0"/>
        <w:spacing w:line="360" w:lineRule="auto"/>
        <w:ind w:firstLine="570"/>
        <w:rPr>
          <w:rFonts w:hint="eastAsia" w:ascii="仿宋" w:hAnsi="仿宋" w:eastAsia="仿宋" w:cs="仿宋"/>
          <w:color w:val="auto"/>
          <w:sz w:val="24"/>
          <w:szCs w:val="24"/>
          <w:highlight w:val="none"/>
        </w:rPr>
      </w:pPr>
    </w:p>
    <w:p w14:paraId="0294E298">
      <w:pPr>
        <w:tabs>
          <w:tab w:val="left" w:pos="6300"/>
        </w:tabs>
        <w:snapToGrid w:val="0"/>
        <w:spacing w:line="360" w:lineRule="auto"/>
        <w:ind w:firstLine="570"/>
        <w:rPr>
          <w:rFonts w:hint="eastAsia" w:ascii="仿宋" w:hAnsi="仿宋" w:eastAsia="仿宋" w:cs="仿宋"/>
          <w:color w:val="auto"/>
          <w:sz w:val="24"/>
          <w:szCs w:val="24"/>
          <w:highlight w:val="none"/>
        </w:rPr>
      </w:pPr>
    </w:p>
    <w:p w14:paraId="008DC6EF">
      <w:pPr>
        <w:tabs>
          <w:tab w:val="left" w:pos="6300"/>
        </w:tabs>
        <w:snapToGrid w:val="0"/>
        <w:spacing w:line="360" w:lineRule="auto"/>
        <w:ind w:firstLine="570"/>
        <w:rPr>
          <w:rFonts w:hint="eastAsia" w:ascii="仿宋" w:hAnsi="仿宋" w:eastAsia="仿宋" w:cs="仿宋"/>
          <w:color w:val="auto"/>
          <w:sz w:val="24"/>
          <w:szCs w:val="24"/>
          <w:highlight w:val="none"/>
        </w:rPr>
      </w:pPr>
    </w:p>
    <w:p w14:paraId="75249AA3">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F6EC7CE">
      <w:pPr>
        <w:tabs>
          <w:tab w:val="left" w:pos="6300"/>
        </w:tabs>
        <w:snapToGrid w:val="0"/>
        <w:spacing w:line="360" w:lineRule="auto"/>
        <w:ind w:firstLine="570"/>
        <w:rPr>
          <w:rFonts w:hint="eastAsia" w:ascii="仿宋" w:hAnsi="仿宋" w:eastAsia="仿宋" w:cs="仿宋"/>
          <w:color w:val="auto"/>
          <w:sz w:val="24"/>
          <w:szCs w:val="24"/>
          <w:highlight w:val="none"/>
        </w:rPr>
      </w:pPr>
    </w:p>
    <w:p w14:paraId="0B8EBA2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C5D556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电子邮箱：XXXXXX@XXXXX（若授权他人办理并签署响应文件的可不填写）</w:t>
      </w:r>
    </w:p>
    <w:p w14:paraId="2F3E857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1E8540F2">
      <w:pPr>
        <w:tabs>
          <w:tab w:val="left" w:pos="6300"/>
        </w:tabs>
        <w:snapToGrid w:val="0"/>
        <w:spacing w:line="360" w:lineRule="auto"/>
        <w:ind w:firstLine="570"/>
        <w:rPr>
          <w:rFonts w:hint="eastAsia" w:ascii="仿宋" w:hAnsi="仿宋" w:eastAsia="仿宋" w:cs="仿宋"/>
          <w:color w:val="auto"/>
          <w:sz w:val="24"/>
          <w:szCs w:val="24"/>
          <w:highlight w:val="none"/>
        </w:rPr>
      </w:pPr>
    </w:p>
    <w:p w14:paraId="5E56AC6B">
      <w:pPr>
        <w:tabs>
          <w:tab w:val="left" w:pos="6300"/>
        </w:tabs>
        <w:snapToGrid w:val="0"/>
        <w:spacing w:line="360" w:lineRule="auto"/>
        <w:ind w:firstLine="570"/>
        <w:rPr>
          <w:rFonts w:hint="eastAsia" w:ascii="仿宋" w:hAnsi="仿宋" w:eastAsia="仿宋" w:cs="仿宋"/>
          <w:color w:val="auto"/>
          <w:sz w:val="24"/>
          <w:szCs w:val="24"/>
          <w:highlight w:val="none"/>
        </w:rPr>
      </w:pPr>
    </w:p>
    <w:p w14:paraId="592C944D">
      <w:pPr>
        <w:tabs>
          <w:tab w:val="left" w:pos="6300"/>
        </w:tabs>
        <w:snapToGrid w:val="0"/>
        <w:spacing w:line="360" w:lineRule="auto"/>
        <w:ind w:firstLine="570"/>
        <w:rPr>
          <w:rFonts w:hint="eastAsia" w:ascii="仿宋" w:hAnsi="仿宋" w:eastAsia="仿宋" w:cs="仿宋"/>
          <w:color w:val="auto"/>
          <w:sz w:val="24"/>
          <w:szCs w:val="24"/>
          <w:highlight w:val="none"/>
        </w:rPr>
      </w:pPr>
    </w:p>
    <w:p w14:paraId="4F4027B7">
      <w:pPr>
        <w:tabs>
          <w:tab w:val="left" w:pos="6300"/>
        </w:tabs>
        <w:snapToGrid w:val="0"/>
        <w:spacing w:line="360" w:lineRule="auto"/>
        <w:ind w:firstLine="570"/>
        <w:rPr>
          <w:rFonts w:hint="eastAsia" w:ascii="仿宋" w:hAnsi="仿宋" w:eastAsia="仿宋" w:cs="仿宋"/>
          <w:color w:val="auto"/>
          <w:sz w:val="24"/>
          <w:szCs w:val="24"/>
          <w:highlight w:val="none"/>
        </w:rPr>
      </w:pPr>
    </w:p>
    <w:p w14:paraId="7C48128E">
      <w:pPr>
        <w:tabs>
          <w:tab w:val="left" w:pos="6300"/>
        </w:tabs>
        <w:snapToGrid w:val="0"/>
        <w:spacing w:line="360" w:lineRule="auto"/>
        <w:ind w:firstLine="570"/>
        <w:rPr>
          <w:rFonts w:hint="eastAsia" w:ascii="仿宋" w:hAnsi="仿宋" w:eastAsia="仿宋" w:cs="仿宋"/>
          <w:color w:val="auto"/>
          <w:sz w:val="24"/>
          <w:szCs w:val="24"/>
          <w:highlight w:val="none"/>
        </w:rPr>
      </w:pPr>
    </w:p>
    <w:p w14:paraId="634C9EC0">
      <w:pPr>
        <w:tabs>
          <w:tab w:val="left" w:pos="6300"/>
        </w:tabs>
        <w:snapToGrid w:val="0"/>
        <w:spacing w:line="360" w:lineRule="auto"/>
        <w:ind w:firstLine="570"/>
        <w:rPr>
          <w:rFonts w:hint="eastAsia" w:ascii="仿宋" w:hAnsi="仿宋" w:eastAsia="仿宋" w:cs="仿宋"/>
          <w:color w:val="auto"/>
          <w:sz w:val="24"/>
          <w:szCs w:val="24"/>
          <w:highlight w:val="none"/>
        </w:rPr>
      </w:pPr>
    </w:p>
    <w:p w14:paraId="7D9441B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67731A04">
      <w:pPr>
        <w:tabs>
          <w:tab w:val="left" w:pos="6300"/>
        </w:tabs>
        <w:snapToGrid w:val="0"/>
        <w:spacing w:line="360" w:lineRule="auto"/>
        <w:ind w:firstLine="570"/>
        <w:rPr>
          <w:rFonts w:hint="eastAsia" w:ascii="仿宋" w:hAnsi="仿宋" w:eastAsia="仿宋" w:cs="仿宋"/>
          <w:color w:val="auto"/>
          <w:sz w:val="24"/>
          <w:szCs w:val="24"/>
          <w:highlight w:val="none"/>
        </w:rPr>
      </w:pPr>
    </w:p>
    <w:p w14:paraId="406CE07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14:paraId="6579CF88">
      <w:pPr>
        <w:tabs>
          <w:tab w:val="left" w:pos="6300"/>
        </w:tabs>
        <w:snapToGrid w:val="0"/>
        <w:spacing w:line="360" w:lineRule="auto"/>
        <w:ind w:firstLine="570"/>
        <w:rPr>
          <w:rFonts w:hint="eastAsia" w:ascii="仿宋" w:hAnsi="仿宋" w:eastAsia="仿宋" w:cs="仿宋"/>
          <w:color w:val="auto"/>
          <w:sz w:val="24"/>
          <w:szCs w:val="24"/>
          <w:highlight w:val="none"/>
        </w:rPr>
      </w:pPr>
    </w:p>
    <w:p w14:paraId="04E920B8">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p w14:paraId="6938E6E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eastAsia="zh-CN"/>
        </w:rPr>
        <w:t>询比</w:t>
      </w:r>
      <w:r>
        <w:rPr>
          <w:rFonts w:hint="eastAsia" w:ascii="仿宋" w:hAnsi="仿宋" w:eastAsia="仿宋" w:cs="仿宋"/>
          <w:color w:val="auto"/>
          <w:sz w:val="24"/>
          <w:szCs w:val="24"/>
          <w:highlight w:val="none"/>
        </w:rPr>
        <w:t>、签约等具体工作，并签署全部有关文件、协议及合同。</w:t>
      </w:r>
    </w:p>
    <w:p w14:paraId="09197FE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7714C1F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329EBB14">
      <w:pPr>
        <w:tabs>
          <w:tab w:val="left" w:pos="6300"/>
        </w:tabs>
        <w:snapToGrid w:val="0"/>
        <w:spacing w:line="360" w:lineRule="auto"/>
        <w:ind w:firstLine="570"/>
        <w:rPr>
          <w:rFonts w:hint="eastAsia" w:ascii="仿宋" w:hAnsi="仿宋" w:eastAsia="仿宋" w:cs="仿宋"/>
          <w:color w:val="auto"/>
          <w:sz w:val="24"/>
          <w:szCs w:val="24"/>
          <w:highlight w:val="none"/>
        </w:rPr>
      </w:pPr>
    </w:p>
    <w:p w14:paraId="3A42B783">
      <w:pPr>
        <w:tabs>
          <w:tab w:val="left" w:pos="6300"/>
        </w:tabs>
        <w:snapToGrid w:val="0"/>
        <w:spacing w:line="360" w:lineRule="auto"/>
        <w:ind w:firstLine="570"/>
        <w:rPr>
          <w:rFonts w:hint="eastAsia" w:ascii="仿宋" w:hAnsi="仿宋" w:eastAsia="仿宋" w:cs="仿宋"/>
          <w:color w:val="auto"/>
          <w:sz w:val="24"/>
          <w:szCs w:val="24"/>
          <w:highlight w:val="none"/>
        </w:rPr>
      </w:pPr>
    </w:p>
    <w:p w14:paraId="56D5DDA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4A495E5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p w14:paraId="41581AE2">
      <w:pPr>
        <w:tabs>
          <w:tab w:val="left" w:pos="6300"/>
        </w:tabs>
        <w:snapToGrid w:val="0"/>
        <w:spacing w:line="360" w:lineRule="auto"/>
        <w:ind w:firstLine="570"/>
        <w:rPr>
          <w:rFonts w:hint="eastAsia" w:ascii="仿宋" w:hAnsi="仿宋" w:eastAsia="仿宋" w:cs="仿宋"/>
          <w:color w:val="auto"/>
          <w:sz w:val="24"/>
          <w:szCs w:val="24"/>
          <w:highlight w:val="none"/>
        </w:rPr>
      </w:pPr>
    </w:p>
    <w:p w14:paraId="23C32FDE">
      <w:pPr>
        <w:tabs>
          <w:tab w:val="left" w:pos="6300"/>
        </w:tabs>
        <w:snapToGrid w:val="0"/>
        <w:spacing w:line="360" w:lineRule="auto"/>
        <w:ind w:firstLine="570"/>
        <w:rPr>
          <w:rFonts w:hint="eastAsia" w:ascii="仿宋" w:hAnsi="仿宋" w:eastAsia="仿宋" w:cs="仿宋"/>
          <w:color w:val="auto"/>
          <w:sz w:val="24"/>
          <w:szCs w:val="24"/>
          <w:highlight w:val="none"/>
        </w:rPr>
      </w:pPr>
    </w:p>
    <w:p w14:paraId="10F56A1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6B26D7D2">
      <w:pPr>
        <w:tabs>
          <w:tab w:val="left" w:pos="6300"/>
        </w:tabs>
        <w:snapToGrid w:val="0"/>
        <w:spacing w:line="360" w:lineRule="auto"/>
        <w:ind w:firstLine="570"/>
        <w:rPr>
          <w:rFonts w:hint="eastAsia" w:ascii="仿宋" w:hAnsi="仿宋" w:eastAsia="仿宋" w:cs="仿宋"/>
          <w:color w:val="auto"/>
          <w:sz w:val="24"/>
          <w:szCs w:val="24"/>
          <w:highlight w:val="none"/>
        </w:rPr>
      </w:pPr>
    </w:p>
    <w:p w14:paraId="6A2A8BB2">
      <w:pPr>
        <w:tabs>
          <w:tab w:val="left" w:pos="6300"/>
        </w:tabs>
        <w:snapToGrid w:val="0"/>
        <w:spacing w:line="360" w:lineRule="auto"/>
        <w:ind w:firstLine="570"/>
        <w:rPr>
          <w:rFonts w:hint="eastAsia" w:ascii="仿宋" w:hAnsi="仿宋" w:eastAsia="仿宋" w:cs="仿宋"/>
          <w:color w:val="auto"/>
          <w:sz w:val="24"/>
          <w:szCs w:val="24"/>
          <w:highlight w:val="none"/>
        </w:rPr>
      </w:pPr>
    </w:p>
    <w:p w14:paraId="7F83AC74">
      <w:pPr>
        <w:tabs>
          <w:tab w:val="left" w:pos="6300"/>
        </w:tabs>
        <w:snapToGrid w:val="0"/>
        <w:spacing w:line="360" w:lineRule="auto"/>
        <w:ind w:firstLine="570"/>
        <w:rPr>
          <w:rFonts w:hint="eastAsia" w:ascii="仿宋" w:hAnsi="仿宋" w:eastAsia="仿宋" w:cs="仿宋"/>
          <w:color w:val="auto"/>
          <w:sz w:val="24"/>
          <w:szCs w:val="24"/>
          <w:highlight w:val="none"/>
        </w:rPr>
      </w:pPr>
    </w:p>
    <w:p w14:paraId="1BFD3797">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0D804116">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123C00A">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电子邮箱：XXXXXX@XXXXX（若法定代表人办理并签署响应文件的可不填写）</w:t>
      </w:r>
    </w:p>
    <w:p w14:paraId="01CE9CFD">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82E7C6E">
      <w:pPr>
        <w:tabs>
          <w:tab w:val="left" w:pos="6300"/>
        </w:tabs>
        <w:snapToGrid w:val="0"/>
        <w:spacing w:line="360" w:lineRule="auto"/>
        <w:ind w:right="480"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1.若为法定代表人办理并签署响应文件的，不提供此文件。</w:t>
      </w:r>
    </w:p>
    <w:p w14:paraId="2DF922D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（四）基本资格条件承诺函</w:t>
      </w:r>
    </w:p>
    <w:p w14:paraId="1B7C38F7">
      <w:pPr>
        <w:tabs>
          <w:tab w:val="left" w:pos="6300"/>
        </w:tabs>
        <w:snapToGrid w:val="0"/>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基本资格条件承诺函</w:t>
      </w:r>
    </w:p>
    <w:p w14:paraId="3A1CE745">
      <w:pPr>
        <w:tabs>
          <w:tab w:val="left" w:pos="6300"/>
        </w:tabs>
        <w:snapToGrid w:val="0"/>
        <w:spacing w:line="360" w:lineRule="auto"/>
        <w:rPr>
          <w:rFonts w:hint="eastAsia" w:ascii="仿宋" w:hAnsi="仿宋" w:eastAsia="仿宋" w:cs="仿宋"/>
          <w:color w:val="auto"/>
          <w:sz w:val="24"/>
          <w:szCs w:val="24"/>
          <w:highlight w:val="none"/>
        </w:rPr>
      </w:pPr>
    </w:p>
    <w:p w14:paraId="798590F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p w14:paraId="2786D51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（供应商名称）郑重承诺：</w:t>
      </w:r>
    </w:p>
    <w:p w14:paraId="7814EE1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3D9FB2A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077262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481AC433">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567ACBFC">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391B9FB5">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36C5A7E4">
      <w:pPr>
        <w:tabs>
          <w:tab w:val="left" w:pos="6300"/>
        </w:tabs>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（供应商公章）年   月   日</w:t>
      </w:r>
    </w:p>
    <w:p w14:paraId="0BD7AAA7">
      <w:pPr>
        <w:snapToGrid w:val="0"/>
        <w:spacing w:line="360" w:lineRule="auto"/>
        <w:ind w:firstLine="480" w:firstLineChars="200"/>
        <w:rPr>
          <w:rFonts w:hint="eastAsia" w:ascii="仿宋" w:hAnsi="仿宋" w:eastAsia="仿宋" w:cs="仿宋"/>
          <w:color w:val="auto"/>
          <w:sz w:val="24"/>
          <w:szCs w:val="24"/>
          <w:highlight w:val="none"/>
        </w:rPr>
      </w:pPr>
    </w:p>
    <w:p w14:paraId="590ED6B0">
      <w:pPr>
        <w:pStyle w:val="19"/>
        <w:rPr>
          <w:rFonts w:hint="eastAsia" w:ascii="仿宋" w:hAnsi="仿宋" w:eastAsia="仿宋" w:cs="仿宋"/>
          <w:color w:val="auto"/>
          <w:sz w:val="24"/>
          <w:szCs w:val="24"/>
          <w:highlight w:val="none"/>
        </w:rPr>
      </w:pPr>
    </w:p>
    <w:p w14:paraId="664779FD">
      <w:pPr>
        <w:pStyle w:val="16"/>
        <w:rPr>
          <w:rFonts w:hint="eastAsia" w:ascii="仿宋" w:hAnsi="仿宋" w:eastAsia="仿宋" w:cs="仿宋"/>
          <w:color w:val="auto"/>
          <w:sz w:val="24"/>
          <w:szCs w:val="24"/>
          <w:highlight w:val="none"/>
        </w:rPr>
      </w:pPr>
    </w:p>
    <w:p w14:paraId="1AE385BC">
      <w:pPr>
        <w:pStyle w:val="16"/>
        <w:rPr>
          <w:rFonts w:hint="eastAsia" w:ascii="仿宋" w:hAnsi="仿宋" w:eastAsia="仿宋" w:cs="仿宋"/>
          <w:color w:val="auto"/>
          <w:sz w:val="24"/>
          <w:szCs w:val="24"/>
          <w:highlight w:val="none"/>
        </w:rPr>
      </w:pPr>
    </w:p>
    <w:p w14:paraId="16EE0728">
      <w:pPr>
        <w:pStyle w:val="16"/>
        <w:rPr>
          <w:rFonts w:hint="eastAsia" w:ascii="仿宋" w:hAnsi="仿宋" w:eastAsia="仿宋" w:cs="仿宋"/>
          <w:color w:val="auto"/>
          <w:sz w:val="24"/>
          <w:szCs w:val="24"/>
          <w:highlight w:val="none"/>
        </w:rPr>
      </w:pPr>
    </w:p>
    <w:p w14:paraId="0BD08D33">
      <w:pPr>
        <w:pStyle w:val="16"/>
        <w:rPr>
          <w:rFonts w:hint="eastAsia" w:ascii="仿宋" w:hAnsi="仿宋" w:eastAsia="仿宋" w:cs="仿宋"/>
          <w:color w:val="auto"/>
          <w:sz w:val="24"/>
          <w:szCs w:val="24"/>
          <w:highlight w:val="none"/>
        </w:rPr>
      </w:pPr>
    </w:p>
    <w:p w14:paraId="3311B9D2">
      <w:pPr>
        <w:pStyle w:val="16"/>
        <w:rPr>
          <w:rFonts w:hint="eastAsia" w:ascii="仿宋" w:hAnsi="仿宋" w:eastAsia="仿宋" w:cs="仿宋"/>
          <w:color w:val="auto"/>
          <w:sz w:val="24"/>
          <w:szCs w:val="24"/>
          <w:highlight w:val="none"/>
        </w:rPr>
      </w:pPr>
    </w:p>
    <w:p w14:paraId="14162F59">
      <w:pPr>
        <w:pStyle w:val="16"/>
        <w:rPr>
          <w:rFonts w:hint="eastAsia" w:ascii="仿宋" w:hAnsi="仿宋" w:eastAsia="仿宋" w:cs="仿宋"/>
          <w:color w:val="auto"/>
          <w:sz w:val="24"/>
          <w:szCs w:val="24"/>
          <w:highlight w:val="none"/>
        </w:rPr>
      </w:pPr>
    </w:p>
    <w:p w14:paraId="17CF330B">
      <w:pPr>
        <w:pStyle w:val="16"/>
        <w:rPr>
          <w:rFonts w:hint="eastAsia" w:ascii="仿宋" w:hAnsi="仿宋" w:eastAsia="仿宋" w:cs="仿宋"/>
          <w:color w:val="auto"/>
          <w:sz w:val="24"/>
          <w:szCs w:val="24"/>
          <w:highlight w:val="none"/>
        </w:rPr>
      </w:pPr>
    </w:p>
    <w:p w14:paraId="10C60F3E">
      <w:pPr>
        <w:pStyle w:val="16"/>
        <w:rPr>
          <w:rFonts w:hint="eastAsia" w:ascii="仿宋" w:hAnsi="仿宋" w:eastAsia="仿宋" w:cs="仿宋"/>
          <w:color w:val="auto"/>
          <w:sz w:val="24"/>
          <w:szCs w:val="24"/>
          <w:highlight w:val="none"/>
        </w:rPr>
      </w:pPr>
    </w:p>
    <w:p w14:paraId="69227A88">
      <w:pPr>
        <w:pStyle w:val="16"/>
        <w:rPr>
          <w:rFonts w:hint="eastAsia" w:ascii="仿宋" w:hAnsi="仿宋" w:eastAsia="仿宋" w:cs="仿宋"/>
          <w:color w:val="auto"/>
          <w:sz w:val="24"/>
          <w:szCs w:val="24"/>
          <w:highlight w:val="none"/>
        </w:rPr>
      </w:pPr>
    </w:p>
    <w:p w14:paraId="7BA22377">
      <w:pPr>
        <w:snapToGrid w:val="0"/>
        <w:spacing w:line="360" w:lineRule="auto"/>
        <w:ind w:firstLine="480" w:firstLineChars="200"/>
        <w:rPr>
          <w:rFonts w:hint="eastAsia" w:ascii="仿宋" w:hAnsi="仿宋" w:eastAsia="仿宋" w:cs="仿宋"/>
          <w:color w:val="auto"/>
          <w:sz w:val="24"/>
          <w:szCs w:val="24"/>
          <w:highlight w:val="none"/>
        </w:rPr>
      </w:pPr>
    </w:p>
    <w:p w14:paraId="2AA2A58F">
      <w:pPr>
        <w:snapToGrid w:val="0"/>
        <w:spacing w:line="360" w:lineRule="auto"/>
        <w:ind w:firstLine="480" w:firstLineChars="200"/>
        <w:rPr>
          <w:rFonts w:hint="eastAsia" w:ascii="仿宋" w:hAnsi="仿宋" w:eastAsia="仿宋" w:cs="仿宋"/>
          <w:color w:val="auto"/>
          <w:sz w:val="24"/>
          <w:szCs w:val="24"/>
          <w:highlight w:val="none"/>
        </w:rPr>
      </w:pPr>
    </w:p>
    <w:p w14:paraId="758516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（五）特定资格条件证明文件（如有）</w:t>
      </w:r>
    </w:p>
    <w:p w14:paraId="6D4DBA4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0E2172C9">
      <w:pPr>
        <w:pStyle w:val="19"/>
        <w:rPr>
          <w:rFonts w:hint="eastAsia" w:ascii="仿宋" w:hAnsi="仿宋" w:eastAsia="仿宋" w:cs="仿宋"/>
          <w:color w:val="auto"/>
          <w:sz w:val="24"/>
          <w:szCs w:val="24"/>
          <w:highlight w:val="none"/>
        </w:rPr>
      </w:pPr>
    </w:p>
    <w:p w14:paraId="22ED0B3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（六）落实政府采购政策需满足的资格要求（如有）</w:t>
      </w:r>
    </w:p>
    <w:p w14:paraId="1B065F9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7311BB7C">
      <w:pPr>
        <w:pStyle w:val="5"/>
        <w:snapToGrid w:val="0"/>
        <w:spacing w:before="0" w:after="0" w:line="360" w:lineRule="auto"/>
        <w:ind w:firstLine="480" w:firstLineChars="200"/>
        <w:rPr>
          <w:rFonts w:hint="eastAsia" w:ascii="仿宋" w:hAnsi="仿宋" w:eastAsia="仿宋" w:cs="仿宋"/>
          <w:color w:val="auto"/>
          <w:sz w:val="24"/>
          <w:szCs w:val="24"/>
          <w:highlight w:val="none"/>
        </w:rPr>
      </w:pPr>
      <w:bookmarkStart w:id="162" w:name="_Toc14422"/>
      <w:r>
        <w:rPr>
          <w:rFonts w:hint="eastAsia" w:ascii="仿宋" w:hAnsi="仿宋" w:eastAsia="仿宋" w:cs="仿宋"/>
          <w:b w:val="0"/>
          <w:color w:val="auto"/>
          <w:sz w:val="24"/>
          <w:szCs w:val="24"/>
          <w:highlight w:val="none"/>
        </w:rPr>
        <w:br w:type="page"/>
      </w:r>
      <w:bookmarkStart w:id="163" w:name="_Toc10133"/>
      <w:bookmarkStart w:id="164" w:name="_Toc106637999"/>
      <w:bookmarkStart w:id="165" w:name="_Toc7606"/>
      <w:bookmarkStart w:id="166" w:name="_Toc28208"/>
      <w:bookmarkStart w:id="167" w:name="_Toc76462354"/>
      <w:r>
        <w:rPr>
          <w:rFonts w:hint="eastAsia" w:ascii="仿宋" w:hAnsi="仿宋" w:eastAsia="仿宋" w:cs="仿宋"/>
          <w:color w:val="auto"/>
          <w:sz w:val="24"/>
          <w:szCs w:val="24"/>
          <w:highlight w:val="none"/>
        </w:rPr>
        <w:t>五、其他资料</w:t>
      </w:r>
      <w:bookmarkEnd w:id="162"/>
      <w:bookmarkEnd w:id="163"/>
      <w:bookmarkEnd w:id="164"/>
      <w:bookmarkEnd w:id="165"/>
      <w:bookmarkEnd w:id="166"/>
      <w:bookmarkEnd w:id="167"/>
    </w:p>
    <w:p w14:paraId="40791233">
      <w:pPr>
        <w:spacing w:line="360" w:lineRule="auto"/>
        <w:ind w:firstLine="480" w:firstLineChars="200"/>
        <w:rPr>
          <w:rFonts w:hint="eastAsia" w:ascii="仿宋" w:hAnsi="仿宋" w:eastAsia="仿宋" w:cs="仿宋"/>
          <w:color w:val="auto"/>
          <w:sz w:val="24"/>
          <w:szCs w:val="24"/>
          <w:highlight w:val="none"/>
        </w:rPr>
      </w:pPr>
    </w:p>
    <w:p w14:paraId="48C9C215">
      <w:pPr>
        <w:spacing w:line="360" w:lineRule="auto"/>
        <w:ind w:firstLine="480" w:firstLineChars="200"/>
        <w:jc w:val="center"/>
        <w:rPr>
          <w:rFonts w:hint="eastAsia" w:ascii="仿宋" w:hAnsi="仿宋" w:eastAsia="仿宋" w:cs="仿宋"/>
          <w:color w:val="auto"/>
          <w:sz w:val="24"/>
          <w:szCs w:val="24"/>
          <w:highlight w:val="none"/>
        </w:rPr>
      </w:pPr>
    </w:p>
    <w:p w14:paraId="74F702B5">
      <w:pPr>
        <w:spacing w:line="360" w:lineRule="auto"/>
        <w:ind w:firstLine="480" w:firstLineChars="200"/>
        <w:jc w:val="center"/>
        <w:rPr>
          <w:rFonts w:hint="eastAsia" w:ascii="仿宋" w:hAnsi="仿宋" w:eastAsia="仿宋" w:cs="仿宋"/>
          <w:color w:val="auto"/>
          <w:sz w:val="24"/>
          <w:szCs w:val="24"/>
          <w:highlight w:val="none"/>
        </w:rPr>
      </w:pPr>
    </w:p>
    <w:p w14:paraId="20C7140C">
      <w:pPr>
        <w:spacing w:line="360" w:lineRule="auto"/>
        <w:ind w:firstLine="480" w:firstLineChars="200"/>
        <w:jc w:val="center"/>
        <w:rPr>
          <w:rFonts w:hint="eastAsia" w:ascii="仿宋" w:hAnsi="仿宋" w:eastAsia="仿宋" w:cs="仿宋"/>
          <w:color w:val="auto"/>
          <w:sz w:val="24"/>
          <w:szCs w:val="24"/>
          <w:highlight w:val="none"/>
        </w:rPr>
      </w:pPr>
    </w:p>
    <w:p w14:paraId="1B72C8FB">
      <w:pPr>
        <w:spacing w:line="360" w:lineRule="auto"/>
        <w:ind w:firstLine="480" w:firstLineChars="200"/>
        <w:jc w:val="center"/>
        <w:rPr>
          <w:rFonts w:hint="eastAsia" w:ascii="仿宋" w:hAnsi="仿宋" w:eastAsia="仿宋" w:cs="仿宋"/>
          <w:color w:val="auto"/>
          <w:sz w:val="24"/>
          <w:szCs w:val="24"/>
          <w:highlight w:val="none"/>
        </w:rPr>
      </w:pPr>
    </w:p>
    <w:p w14:paraId="55089E16">
      <w:pPr>
        <w:spacing w:line="360" w:lineRule="auto"/>
        <w:ind w:firstLine="3600" w:firstLineChars="15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364C34F2">
      <w:pPr>
        <w:spacing w:line="360" w:lineRule="auto"/>
        <w:ind w:firstLine="480" w:firstLineChars="200"/>
        <w:jc w:val="center"/>
        <w:rPr>
          <w:rFonts w:hint="eastAsia" w:ascii="仿宋" w:hAnsi="仿宋" w:eastAsia="仿宋" w:cs="仿宋"/>
          <w:color w:val="auto"/>
          <w:sz w:val="24"/>
          <w:szCs w:val="24"/>
          <w:highlight w:val="none"/>
        </w:rPr>
      </w:pPr>
    </w:p>
    <w:p w14:paraId="438FAE42">
      <w:pPr>
        <w:pStyle w:val="16"/>
        <w:rPr>
          <w:rFonts w:hint="eastAsia" w:ascii="仿宋" w:hAnsi="仿宋" w:eastAsia="仿宋" w:cs="仿宋"/>
          <w:color w:val="auto"/>
          <w:sz w:val="24"/>
          <w:szCs w:val="24"/>
          <w:highlight w:val="none"/>
        </w:rPr>
        <w:sectPr>
          <w:pgSz w:w="11906" w:h="16838"/>
          <w:pgMar w:top="1134" w:right="1191" w:bottom="1134" w:left="130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B7C3A1">
      <w:pPr>
        <w:tabs>
          <w:tab w:val="left" w:pos="6300"/>
        </w:tabs>
        <w:snapToGrid w:val="0"/>
        <w:spacing w:line="500" w:lineRule="exact"/>
        <w:jc w:val="center"/>
        <w:outlineLvl w:val="1"/>
        <w:rPr>
          <w:rFonts w:hint="eastAsia" w:ascii="仿宋" w:hAnsi="仿宋" w:eastAsia="仿宋" w:cs="仿宋"/>
          <w:color w:val="auto"/>
          <w:sz w:val="24"/>
          <w:szCs w:val="24"/>
          <w:highlight w:val="none"/>
          <w:lang w:eastAsia="zh-CN"/>
        </w:rPr>
      </w:pPr>
      <w:bookmarkStart w:id="168" w:name="_Toc10389"/>
      <w:bookmarkStart w:id="169" w:name="_Toc9871"/>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eastAsia="zh-CN"/>
        </w:rPr>
        <w:t>重庆方郡建设工程咨询有限公司比选文件</w:t>
      </w:r>
      <w:bookmarkEnd w:id="168"/>
      <w:bookmarkEnd w:id="169"/>
    </w:p>
    <w:p w14:paraId="3A32B428">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发售登记表</w:t>
      </w:r>
    </w:p>
    <w:tbl>
      <w:tblPr>
        <w:tblStyle w:val="20"/>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7AD0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4479A9BC">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407" w:type="dxa"/>
            <w:gridSpan w:val="3"/>
            <w:noWrap w:val="0"/>
            <w:vAlign w:val="center"/>
          </w:tcPr>
          <w:p w14:paraId="765395B1">
            <w:pPr>
              <w:tabs>
                <w:tab w:val="left" w:pos="6300"/>
              </w:tabs>
              <w:snapToGrid w:val="0"/>
              <w:spacing w:line="500" w:lineRule="exact"/>
              <w:jc w:val="center"/>
              <w:rPr>
                <w:rFonts w:hint="eastAsia" w:ascii="仿宋" w:hAnsi="仿宋" w:eastAsia="仿宋" w:cs="仿宋"/>
                <w:color w:val="auto"/>
                <w:sz w:val="24"/>
                <w:szCs w:val="24"/>
                <w:highlight w:val="none"/>
              </w:rPr>
            </w:pPr>
          </w:p>
        </w:tc>
      </w:tr>
      <w:tr w14:paraId="46F70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757FE60">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p>
        </w:tc>
        <w:tc>
          <w:tcPr>
            <w:tcW w:w="7407" w:type="dxa"/>
            <w:gridSpan w:val="3"/>
            <w:noWrap w:val="0"/>
            <w:vAlign w:val="center"/>
          </w:tcPr>
          <w:p w14:paraId="546BBFDC">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tc>
      </w:tr>
      <w:tr w14:paraId="42071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2E95660B">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91" w:type="dxa"/>
            <w:noWrap w:val="0"/>
            <w:vAlign w:val="center"/>
          </w:tcPr>
          <w:p w14:paraId="43B1FB92">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1051" w:type="dxa"/>
            <w:noWrap w:val="0"/>
            <w:vAlign w:val="center"/>
          </w:tcPr>
          <w:p w14:paraId="1970EFCC">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965" w:type="dxa"/>
            <w:noWrap w:val="0"/>
            <w:vAlign w:val="center"/>
          </w:tcPr>
          <w:p w14:paraId="648818D1">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46A62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12866FDF">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391" w:type="dxa"/>
            <w:noWrap w:val="0"/>
            <w:vAlign w:val="center"/>
          </w:tcPr>
          <w:p w14:paraId="3246EEC8">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1051" w:type="dxa"/>
            <w:noWrap w:val="0"/>
            <w:vAlign w:val="center"/>
          </w:tcPr>
          <w:p w14:paraId="5403BE11">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965" w:type="dxa"/>
            <w:noWrap w:val="0"/>
            <w:vAlign w:val="center"/>
          </w:tcPr>
          <w:p w14:paraId="29D89E09">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5BDB44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5609BA3">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407" w:type="dxa"/>
            <w:gridSpan w:val="3"/>
            <w:noWrap w:val="0"/>
            <w:vAlign w:val="center"/>
          </w:tcPr>
          <w:p w14:paraId="7B115D9A">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688C04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14CD33B4">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407" w:type="dxa"/>
            <w:gridSpan w:val="3"/>
            <w:noWrap w:val="0"/>
            <w:vAlign w:val="center"/>
          </w:tcPr>
          <w:p w14:paraId="237011C3">
            <w:pPr>
              <w:tabs>
                <w:tab w:val="left" w:pos="6300"/>
              </w:tabs>
              <w:snapToGrid w:val="0"/>
              <w:spacing w:line="500" w:lineRule="exact"/>
              <w:ind w:firstLine="570"/>
              <w:rPr>
                <w:rFonts w:hint="eastAsia" w:ascii="仿宋" w:hAnsi="仿宋" w:eastAsia="仿宋" w:cs="仿宋"/>
                <w:color w:val="auto"/>
                <w:sz w:val="24"/>
                <w:szCs w:val="24"/>
                <w:highlight w:val="none"/>
              </w:rPr>
            </w:pPr>
          </w:p>
        </w:tc>
      </w:tr>
    </w:tbl>
    <w:p w14:paraId="4FE2558E">
      <w:pPr>
        <w:tabs>
          <w:tab w:val="left" w:pos="6300"/>
        </w:tabs>
        <w:snapToGrid w:val="0"/>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00元/份         发售人：</w:t>
      </w:r>
      <w:r>
        <w:rPr>
          <w:rFonts w:hint="eastAsia" w:ascii="仿宋" w:hAnsi="仿宋" w:eastAsia="仿宋" w:cs="仿宋"/>
          <w:color w:val="auto"/>
          <w:sz w:val="24"/>
          <w:szCs w:val="24"/>
          <w:highlight w:val="none"/>
          <w:lang w:eastAsia="zh-CN"/>
        </w:rPr>
        <w:t>重庆方郡建设工程咨询有限公司</w:t>
      </w:r>
      <w:r>
        <w:rPr>
          <w:rFonts w:hint="eastAsia" w:ascii="仿宋" w:hAnsi="仿宋" w:eastAsia="仿宋" w:cs="仿宋"/>
          <w:color w:val="auto"/>
          <w:sz w:val="24"/>
          <w:szCs w:val="24"/>
          <w:highlight w:val="none"/>
        </w:rPr>
        <w:t xml:space="preserve">    </w:t>
      </w:r>
    </w:p>
    <w:p w14:paraId="485A22B7">
      <w:pPr>
        <w:tabs>
          <w:tab w:val="left" w:pos="6300"/>
        </w:tabs>
        <w:snapToGrid w:val="0"/>
        <w:spacing w:line="500" w:lineRule="exact"/>
        <w:ind w:firstLine="570"/>
        <w:rPr>
          <w:rFonts w:hint="eastAsia" w:ascii="仿宋" w:hAnsi="仿宋" w:eastAsia="仿宋" w:cs="仿宋"/>
          <w:color w:val="auto"/>
          <w:sz w:val="24"/>
          <w:szCs w:val="24"/>
          <w:highlight w:val="none"/>
        </w:rPr>
      </w:pPr>
    </w:p>
    <w:p w14:paraId="16664E26">
      <w:pPr>
        <w:tabs>
          <w:tab w:val="left" w:pos="5535"/>
        </w:tabs>
        <w:jc w:val="center"/>
        <w:rPr>
          <w:rFonts w:hint="eastAsia" w:ascii="仿宋" w:hAnsi="仿宋" w:eastAsia="仿宋" w:cs="仿宋"/>
          <w:color w:val="auto"/>
          <w:sz w:val="24"/>
          <w:szCs w:val="24"/>
          <w:highlight w:val="none"/>
        </w:rPr>
      </w:pPr>
    </w:p>
    <w:p w14:paraId="4B6B5D57">
      <w:pPr>
        <w:pStyle w:val="16"/>
        <w:rPr>
          <w:rFonts w:hint="eastAsia" w:ascii="仿宋" w:hAnsi="仿宋" w:eastAsia="仿宋" w:cs="仿宋"/>
          <w:color w:val="auto"/>
          <w:sz w:val="24"/>
          <w:szCs w:val="24"/>
          <w:highlight w:val="none"/>
        </w:rPr>
      </w:pPr>
    </w:p>
    <w:sectPr>
      <w:footerReference r:id="rId12" w:type="default"/>
      <w:pgSz w:w="11906" w:h="16838"/>
      <w:pgMar w:top="1700" w:right="1134" w:bottom="1304" w:left="106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E47F70B-A77D-46FA-BB64-54BCC759AFC7}"/>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3775B3AF-79BF-486C-A83F-42D8DCBE51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C22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3E4C2">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83E4C2">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76EE">
    <w:pPr>
      <w:pStyle w:val="12"/>
      <w:framePr w:wrap="around" w:vAnchor="text" w:hAnchor="margin" w:xAlign="center" w:y="1"/>
      <w:rPr>
        <w:rStyle w:val="23"/>
      </w:rPr>
    </w:pPr>
    <w:r>
      <w:fldChar w:fldCharType="begin"/>
    </w:r>
    <w:r>
      <w:rPr>
        <w:rStyle w:val="23"/>
      </w:rPr>
      <w:instrText xml:space="preserve">PAGE  </w:instrText>
    </w:r>
    <w:r>
      <w:fldChar w:fldCharType="separate"/>
    </w:r>
    <w:r>
      <w:t xml:space="preserve"> </w:t>
    </w:r>
    <w:r>
      <w:fldChar w:fldCharType="end"/>
    </w:r>
  </w:p>
  <w:p w14:paraId="0344073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7353">
    <w:pPr>
      <w:pStyle w:val="12"/>
      <w:framePr w:wrap="around" w:vAnchor="text" w:hAnchor="margin" w:xAlign="center" w:y="1"/>
      <w:rPr>
        <w:rStyle w:val="23"/>
      </w:rPr>
    </w:pPr>
  </w:p>
  <w:p w14:paraId="71A5A3F7">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FE17">
    <w:pPr>
      <w:pStyle w:val="12"/>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F38E74">
                          <w:pPr>
                            <w:pStyle w:val="1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2F38E74">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F279">
    <w:pPr>
      <w:pStyle w:val="12"/>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25EFC">
                          <w:pPr>
                            <w:pStyle w:val="12"/>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325EFC">
                    <w:pPr>
                      <w:pStyle w:val="12"/>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FD8C">
    <w:pPr>
      <w:pStyle w:val="12"/>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A1FB6">
                          <w:pPr>
                            <w:pStyle w:val="12"/>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9A1FB6">
                    <w:pPr>
                      <w:pStyle w:val="12"/>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1BB4">
    <w:pPr>
      <w:pStyle w:val="12"/>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134D3">
                          <w:pPr>
                            <w:pStyle w:val="12"/>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3134D3">
                    <w:pPr>
                      <w:pStyle w:val="12"/>
                    </w:pPr>
                    <w:r>
                      <w:rPr>
                        <w:rFonts w:hint="eastAsia"/>
                        <w:lang w:val="en-US" w:eastAsia="zh-CN"/>
                      </w:rPr>
                      <w:t xml:space="preserve">      </w:t>
                    </w:r>
                    <w:r>
                      <w:fldChar w:fldCharType="begin"/>
                    </w:r>
                    <w:r>
                      <w:instrText xml:space="preserve"> PAGE  \* MERGEFORMAT </w:instrText>
                    </w:r>
                    <w:r>
                      <w:fldChar w:fldCharType="separate"/>
                    </w:r>
                    <w:r>
                      <w:t>- 42 -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E0B5C6">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EE0B5C6">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BF9AF">
    <w:pPr>
      <w:pStyle w:val="13"/>
      <w:pBdr>
        <w:bottom w:val="single" w:color="auto" w:sz="4" w:space="0"/>
      </w:pBdr>
      <w:tabs>
        <w:tab w:val="left" w:pos="6802"/>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val="en-US"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9F38">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A5AD">
    <w:pPr>
      <w:pStyle w:val="13"/>
      <w:pBdr>
        <w:bottom w:val="single" w:color="auto" w:sz="4" w:space="1"/>
      </w:pBdr>
      <w:tabs>
        <w:tab w:val="left" w:pos="6847"/>
        <w:tab w:val="clear" w:pos="4153"/>
      </w:tabs>
      <w:jc w:val="both"/>
      <w:rPr>
        <w:rFonts w:hint="eastAsia" w:ascii="方正仿宋_GBK" w:eastAsia="方正仿宋_GBK"/>
        <w:sz w:val="21"/>
        <w:szCs w:val="21"/>
        <w:lang w:eastAsia="zh-CN"/>
      </w:rPr>
    </w:pPr>
    <w:r>
      <w:rPr>
        <w:rFonts w:hint="eastAsia" w:ascii="方正仿宋_GBK" w:eastAsia="方正仿宋_GBK"/>
        <w:sz w:val="21"/>
        <w:szCs w:val="21"/>
        <w:lang w:eastAsia="zh-CN"/>
      </w:rPr>
      <w:t>重庆方郡建设工程咨询有限公司</w:t>
    </w:r>
    <w:r>
      <w:rPr>
        <w:rFonts w:hint="eastAsia" w:ascii="方正仿宋_GBK" w:eastAsia="方正仿宋_GBK"/>
        <w:sz w:val="21"/>
        <w:szCs w:val="21"/>
        <w:lang w:eastAsia="zh-CN"/>
      </w:rPr>
      <w:tab/>
    </w:r>
    <w:r>
      <w:rPr>
        <w:rFonts w:hint="eastAsia" w:ascii="方正仿宋_GBK" w:eastAsia="方正仿宋_GBK"/>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E622"/>
    <w:multiLevelType w:val="singleLevel"/>
    <w:tmpl w:val="E842E622"/>
    <w:lvl w:ilvl="0" w:tentative="0">
      <w:start w:val="2"/>
      <w:numFmt w:val="chineseCounting"/>
      <w:suff w:val="nothing"/>
      <w:lvlText w:val="（%1）"/>
      <w:lvlJc w:val="left"/>
      <w:pPr>
        <w:tabs>
          <w:tab w:val="left" w:pos="0"/>
        </w:tabs>
        <w:ind w:left="0" w:firstLine="0"/>
      </w:pPr>
      <w:rPr>
        <w:rFonts w:hint="eastAsia"/>
      </w:rPr>
    </w:lvl>
  </w:abstractNum>
  <w:abstractNum w:abstractNumId="1">
    <w:nsid w:val="5C11C75E"/>
    <w:multiLevelType w:val="singleLevel"/>
    <w:tmpl w:val="5C11C75E"/>
    <w:lvl w:ilvl="0" w:tentative="0">
      <w:start w:val="1"/>
      <w:numFmt w:val="chineseCounting"/>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zgzODFkMmVkODgwZWYxZjVmNDNmMTU4YzQwNmYifQ=="/>
  </w:docVars>
  <w:rsids>
    <w:rsidRoot w:val="3F537928"/>
    <w:rsid w:val="00005402"/>
    <w:rsid w:val="002A4378"/>
    <w:rsid w:val="005C74AD"/>
    <w:rsid w:val="006801DB"/>
    <w:rsid w:val="007522A4"/>
    <w:rsid w:val="008F6EB2"/>
    <w:rsid w:val="0098388D"/>
    <w:rsid w:val="00C15E67"/>
    <w:rsid w:val="00C65098"/>
    <w:rsid w:val="00FB7944"/>
    <w:rsid w:val="01540014"/>
    <w:rsid w:val="0166083E"/>
    <w:rsid w:val="016C71F3"/>
    <w:rsid w:val="016F283F"/>
    <w:rsid w:val="018067FB"/>
    <w:rsid w:val="018362EB"/>
    <w:rsid w:val="01935532"/>
    <w:rsid w:val="01A87AFF"/>
    <w:rsid w:val="01A93FA3"/>
    <w:rsid w:val="01AA7D1B"/>
    <w:rsid w:val="01D134FA"/>
    <w:rsid w:val="01EC3E90"/>
    <w:rsid w:val="02301FCF"/>
    <w:rsid w:val="02581525"/>
    <w:rsid w:val="02624152"/>
    <w:rsid w:val="02775E4F"/>
    <w:rsid w:val="02974BC7"/>
    <w:rsid w:val="029E60A6"/>
    <w:rsid w:val="02B26E88"/>
    <w:rsid w:val="02B349AE"/>
    <w:rsid w:val="02DA1F3A"/>
    <w:rsid w:val="02E35293"/>
    <w:rsid w:val="03065425"/>
    <w:rsid w:val="03391357"/>
    <w:rsid w:val="034D095E"/>
    <w:rsid w:val="03652091"/>
    <w:rsid w:val="03B41E8C"/>
    <w:rsid w:val="03CB2AB6"/>
    <w:rsid w:val="042E07AD"/>
    <w:rsid w:val="045F303F"/>
    <w:rsid w:val="049D3B67"/>
    <w:rsid w:val="049D76C3"/>
    <w:rsid w:val="052120A3"/>
    <w:rsid w:val="053A3164"/>
    <w:rsid w:val="05C3315A"/>
    <w:rsid w:val="05DB4947"/>
    <w:rsid w:val="06654211"/>
    <w:rsid w:val="06B34F7C"/>
    <w:rsid w:val="06B55198"/>
    <w:rsid w:val="06BA630B"/>
    <w:rsid w:val="06DF2882"/>
    <w:rsid w:val="06FD269B"/>
    <w:rsid w:val="07320597"/>
    <w:rsid w:val="075C3866"/>
    <w:rsid w:val="075E138C"/>
    <w:rsid w:val="077E1A2E"/>
    <w:rsid w:val="07893F2F"/>
    <w:rsid w:val="080A1514"/>
    <w:rsid w:val="08202AE5"/>
    <w:rsid w:val="08395955"/>
    <w:rsid w:val="08BA6A96"/>
    <w:rsid w:val="08E6152E"/>
    <w:rsid w:val="09023F99"/>
    <w:rsid w:val="090B4360"/>
    <w:rsid w:val="091E5277"/>
    <w:rsid w:val="093305F6"/>
    <w:rsid w:val="0950709A"/>
    <w:rsid w:val="095A5B83"/>
    <w:rsid w:val="099866AB"/>
    <w:rsid w:val="0A283ED3"/>
    <w:rsid w:val="0A4F0F19"/>
    <w:rsid w:val="0A5E78F5"/>
    <w:rsid w:val="0A825391"/>
    <w:rsid w:val="0A8F7AAE"/>
    <w:rsid w:val="0AC41E4E"/>
    <w:rsid w:val="0AF81AF7"/>
    <w:rsid w:val="0BB35A1E"/>
    <w:rsid w:val="0C1A0C5A"/>
    <w:rsid w:val="0C454CD8"/>
    <w:rsid w:val="0C915D60"/>
    <w:rsid w:val="0CA02447"/>
    <w:rsid w:val="0CB63A18"/>
    <w:rsid w:val="0CD90F6C"/>
    <w:rsid w:val="0D0A78C0"/>
    <w:rsid w:val="0D682F64"/>
    <w:rsid w:val="0D95362E"/>
    <w:rsid w:val="0DC108C7"/>
    <w:rsid w:val="0DDF0D4D"/>
    <w:rsid w:val="0DE3083D"/>
    <w:rsid w:val="0DFA5B87"/>
    <w:rsid w:val="0E0013EF"/>
    <w:rsid w:val="0EF56A7A"/>
    <w:rsid w:val="0F4E7F38"/>
    <w:rsid w:val="0F5D461F"/>
    <w:rsid w:val="0F7116DC"/>
    <w:rsid w:val="0F8A6A96"/>
    <w:rsid w:val="0FA20284"/>
    <w:rsid w:val="0FCD3553"/>
    <w:rsid w:val="1032785A"/>
    <w:rsid w:val="1036724E"/>
    <w:rsid w:val="10480E2B"/>
    <w:rsid w:val="104A11DC"/>
    <w:rsid w:val="109B71AD"/>
    <w:rsid w:val="10C55FD8"/>
    <w:rsid w:val="11194576"/>
    <w:rsid w:val="11227717"/>
    <w:rsid w:val="11391285"/>
    <w:rsid w:val="11472E91"/>
    <w:rsid w:val="118916FB"/>
    <w:rsid w:val="11B61DC5"/>
    <w:rsid w:val="11F1104F"/>
    <w:rsid w:val="11F254F3"/>
    <w:rsid w:val="12584F87"/>
    <w:rsid w:val="126C0940"/>
    <w:rsid w:val="12E17672"/>
    <w:rsid w:val="12F72695"/>
    <w:rsid w:val="13634A35"/>
    <w:rsid w:val="13966492"/>
    <w:rsid w:val="13AE369B"/>
    <w:rsid w:val="14060DE1"/>
    <w:rsid w:val="141259D8"/>
    <w:rsid w:val="144638D4"/>
    <w:rsid w:val="14787805"/>
    <w:rsid w:val="14E36A2A"/>
    <w:rsid w:val="15451DDD"/>
    <w:rsid w:val="154716B1"/>
    <w:rsid w:val="15477903"/>
    <w:rsid w:val="15787ABD"/>
    <w:rsid w:val="15995C85"/>
    <w:rsid w:val="16314110"/>
    <w:rsid w:val="16481B85"/>
    <w:rsid w:val="16781D3E"/>
    <w:rsid w:val="167F30CD"/>
    <w:rsid w:val="168B3820"/>
    <w:rsid w:val="16B94831"/>
    <w:rsid w:val="16DA6555"/>
    <w:rsid w:val="17126115"/>
    <w:rsid w:val="171C091C"/>
    <w:rsid w:val="17824C23"/>
    <w:rsid w:val="17AF79E2"/>
    <w:rsid w:val="17B943BD"/>
    <w:rsid w:val="17C76AD9"/>
    <w:rsid w:val="18185587"/>
    <w:rsid w:val="1842370B"/>
    <w:rsid w:val="1876405C"/>
    <w:rsid w:val="187C5B16"/>
    <w:rsid w:val="18C15EA5"/>
    <w:rsid w:val="18E37943"/>
    <w:rsid w:val="1910510D"/>
    <w:rsid w:val="191A70DD"/>
    <w:rsid w:val="1921046B"/>
    <w:rsid w:val="19377C8F"/>
    <w:rsid w:val="19AE4C99"/>
    <w:rsid w:val="19D37785"/>
    <w:rsid w:val="1A0F6516"/>
    <w:rsid w:val="1A3E5047"/>
    <w:rsid w:val="1A4B1C44"/>
    <w:rsid w:val="1A584361"/>
    <w:rsid w:val="1A824F3A"/>
    <w:rsid w:val="1AB04A94"/>
    <w:rsid w:val="1AB772D9"/>
    <w:rsid w:val="1AF000F5"/>
    <w:rsid w:val="1AF03E8C"/>
    <w:rsid w:val="1B1C538E"/>
    <w:rsid w:val="1B32070E"/>
    <w:rsid w:val="1B505631"/>
    <w:rsid w:val="1B7156DA"/>
    <w:rsid w:val="1BF06C43"/>
    <w:rsid w:val="1C542906"/>
    <w:rsid w:val="1C7F5BD5"/>
    <w:rsid w:val="1CCC6940"/>
    <w:rsid w:val="1CD001DE"/>
    <w:rsid w:val="1CE819CC"/>
    <w:rsid w:val="1D085BCA"/>
    <w:rsid w:val="1D3E15EC"/>
    <w:rsid w:val="1D675C20"/>
    <w:rsid w:val="1D7768AC"/>
    <w:rsid w:val="1DC31AF1"/>
    <w:rsid w:val="1E4A2212"/>
    <w:rsid w:val="1ECA6EAF"/>
    <w:rsid w:val="1ED57D2E"/>
    <w:rsid w:val="1EE77A61"/>
    <w:rsid w:val="1F1F544D"/>
    <w:rsid w:val="1F2667DB"/>
    <w:rsid w:val="1F494278"/>
    <w:rsid w:val="1F4D52FD"/>
    <w:rsid w:val="1F8A4FBC"/>
    <w:rsid w:val="1F956784"/>
    <w:rsid w:val="1F966F35"/>
    <w:rsid w:val="20144886"/>
    <w:rsid w:val="202D1DEC"/>
    <w:rsid w:val="206750B4"/>
    <w:rsid w:val="2068394E"/>
    <w:rsid w:val="20D53A75"/>
    <w:rsid w:val="2144119B"/>
    <w:rsid w:val="215D04AF"/>
    <w:rsid w:val="21842AA7"/>
    <w:rsid w:val="21845A3B"/>
    <w:rsid w:val="218617B3"/>
    <w:rsid w:val="21BC6F83"/>
    <w:rsid w:val="21F15A4A"/>
    <w:rsid w:val="21F42BC1"/>
    <w:rsid w:val="223C1E72"/>
    <w:rsid w:val="231A6657"/>
    <w:rsid w:val="23256DAA"/>
    <w:rsid w:val="235C0A1E"/>
    <w:rsid w:val="23B73EA6"/>
    <w:rsid w:val="23C45AE8"/>
    <w:rsid w:val="240007AE"/>
    <w:rsid w:val="24036245"/>
    <w:rsid w:val="247E6772"/>
    <w:rsid w:val="248024EA"/>
    <w:rsid w:val="24A563F4"/>
    <w:rsid w:val="251D41DD"/>
    <w:rsid w:val="255B2F57"/>
    <w:rsid w:val="25824926"/>
    <w:rsid w:val="25891872"/>
    <w:rsid w:val="2593449F"/>
    <w:rsid w:val="259D70CC"/>
    <w:rsid w:val="26660A15"/>
    <w:rsid w:val="26A76454"/>
    <w:rsid w:val="26BE554B"/>
    <w:rsid w:val="26EF3957"/>
    <w:rsid w:val="270B67B4"/>
    <w:rsid w:val="270D0281"/>
    <w:rsid w:val="2751016E"/>
    <w:rsid w:val="2753038A"/>
    <w:rsid w:val="27624129"/>
    <w:rsid w:val="27F531EF"/>
    <w:rsid w:val="28117CD7"/>
    <w:rsid w:val="2815563F"/>
    <w:rsid w:val="281D62A2"/>
    <w:rsid w:val="282E6701"/>
    <w:rsid w:val="28333D17"/>
    <w:rsid w:val="285A608E"/>
    <w:rsid w:val="286D7229"/>
    <w:rsid w:val="289C674A"/>
    <w:rsid w:val="28FB3848"/>
    <w:rsid w:val="290C4EC9"/>
    <w:rsid w:val="290F70F3"/>
    <w:rsid w:val="294837F2"/>
    <w:rsid w:val="294A756A"/>
    <w:rsid w:val="29D46E34"/>
    <w:rsid w:val="29DD3F3B"/>
    <w:rsid w:val="2A157B78"/>
    <w:rsid w:val="2A195206"/>
    <w:rsid w:val="2A7724A8"/>
    <w:rsid w:val="2AAD6003"/>
    <w:rsid w:val="2AF13488"/>
    <w:rsid w:val="2B1E2A5D"/>
    <w:rsid w:val="2B626DED"/>
    <w:rsid w:val="2BAE3DE1"/>
    <w:rsid w:val="2BCE4483"/>
    <w:rsid w:val="2BE207EF"/>
    <w:rsid w:val="2C3167C0"/>
    <w:rsid w:val="2C772C27"/>
    <w:rsid w:val="2C8A7B24"/>
    <w:rsid w:val="2CC6515A"/>
    <w:rsid w:val="2CD930DF"/>
    <w:rsid w:val="2D034BAB"/>
    <w:rsid w:val="2D563688"/>
    <w:rsid w:val="2D621327"/>
    <w:rsid w:val="2D8950BC"/>
    <w:rsid w:val="2D984D48"/>
    <w:rsid w:val="2DD65871"/>
    <w:rsid w:val="2DE232B1"/>
    <w:rsid w:val="2DE24215"/>
    <w:rsid w:val="2E2A5E1F"/>
    <w:rsid w:val="2EA43279"/>
    <w:rsid w:val="2F48454C"/>
    <w:rsid w:val="30006BD5"/>
    <w:rsid w:val="300C37CC"/>
    <w:rsid w:val="303D3985"/>
    <w:rsid w:val="304A448B"/>
    <w:rsid w:val="30542A7D"/>
    <w:rsid w:val="305B205D"/>
    <w:rsid w:val="30901D07"/>
    <w:rsid w:val="30915A7F"/>
    <w:rsid w:val="309317F7"/>
    <w:rsid w:val="30B023A9"/>
    <w:rsid w:val="30D1165D"/>
    <w:rsid w:val="30E20088"/>
    <w:rsid w:val="30FF0C3A"/>
    <w:rsid w:val="314A0727"/>
    <w:rsid w:val="31921AAF"/>
    <w:rsid w:val="31A55C86"/>
    <w:rsid w:val="31B9703B"/>
    <w:rsid w:val="322E5C7B"/>
    <w:rsid w:val="32A108A6"/>
    <w:rsid w:val="332E1CAB"/>
    <w:rsid w:val="33884F17"/>
    <w:rsid w:val="33C811B3"/>
    <w:rsid w:val="33DA14EB"/>
    <w:rsid w:val="33FD3B57"/>
    <w:rsid w:val="343432F1"/>
    <w:rsid w:val="346911EC"/>
    <w:rsid w:val="347436ED"/>
    <w:rsid w:val="34951FE2"/>
    <w:rsid w:val="34A246FE"/>
    <w:rsid w:val="34B61F58"/>
    <w:rsid w:val="34BD4837"/>
    <w:rsid w:val="34C879FD"/>
    <w:rsid w:val="350B0E37"/>
    <w:rsid w:val="354B6B44"/>
    <w:rsid w:val="356B4AF0"/>
    <w:rsid w:val="356B67F6"/>
    <w:rsid w:val="35D73F34"/>
    <w:rsid w:val="35EB5626"/>
    <w:rsid w:val="363C540D"/>
    <w:rsid w:val="36D41616"/>
    <w:rsid w:val="36FD79CA"/>
    <w:rsid w:val="37732382"/>
    <w:rsid w:val="37757EA8"/>
    <w:rsid w:val="37AF6638"/>
    <w:rsid w:val="37BE184F"/>
    <w:rsid w:val="37DF3574"/>
    <w:rsid w:val="385950D4"/>
    <w:rsid w:val="38651CCB"/>
    <w:rsid w:val="38CA7D80"/>
    <w:rsid w:val="38EF77E6"/>
    <w:rsid w:val="38F31085"/>
    <w:rsid w:val="38F512A1"/>
    <w:rsid w:val="394915ED"/>
    <w:rsid w:val="39585DA4"/>
    <w:rsid w:val="399D7242"/>
    <w:rsid w:val="39C30344"/>
    <w:rsid w:val="3A7E49D1"/>
    <w:rsid w:val="3A8D72B7"/>
    <w:rsid w:val="3A992100"/>
    <w:rsid w:val="3B264F79"/>
    <w:rsid w:val="3B660234"/>
    <w:rsid w:val="3B916E23"/>
    <w:rsid w:val="3BC2022B"/>
    <w:rsid w:val="3BCA0E48"/>
    <w:rsid w:val="3BFD046C"/>
    <w:rsid w:val="3C243C4B"/>
    <w:rsid w:val="3C4D31A2"/>
    <w:rsid w:val="3C4E0CC8"/>
    <w:rsid w:val="3C8A61A4"/>
    <w:rsid w:val="3CFE3AE1"/>
    <w:rsid w:val="3D0C6BB9"/>
    <w:rsid w:val="3D6E1622"/>
    <w:rsid w:val="3D70539A"/>
    <w:rsid w:val="3DA1638A"/>
    <w:rsid w:val="3DD1570D"/>
    <w:rsid w:val="3DED5507"/>
    <w:rsid w:val="3DFC6C2D"/>
    <w:rsid w:val="3E083824"/>
    <w:rsid w:val="3E175815"/>
    <w:rsid w:val="3E1F0B6E"/>
    <w:rsid w:val="3EA52F48"/>
    <w:rsid w:val="3EAB41B0"/>
    <w:rsid w:val="3F013902"/>
    <w:rsid w:val="3F537928"/>
    <w:rsid w:val="3F5B3E28"/>
    <w:rsid w:val="3F6E3B5B"/>
    <w:rsid w:val="3FCE45FA"/>
    <w:rsid w:val="40356427"/>
    <w:rsid w:val="40E8793D"/>
    <w:rsid w:val="412E0902"/>
    <w:rsid w:val="414F52C6"/>
    <w:rsid w:val="41636FC4"/>
    <w:rsid w:val="418C010E"/>
    <w:rsid w:val="41961147"/>
    <w:rsid w:val="41A76202"/>
    <w:rsid w:val="41CA0DF1"/>
    <w:rsid w:val="42181B5C"/>
    <w:rsid w:val="423F358D"/>
    <w:rsid w:val="424A2FA5"/>
    <w:rsid w:val="42660B19"/>
    <w:rsid w:val="436239D7"/>
    <w:rsid w:val="43917E18"/>
    <w:rsid w:val="43943464"/>
    <w:rsid w:val="43C755E8"/>
    <w:rsid w:val="43FE198A"/>
    <w:rsid w:val="44254A04"/>
    <w:rsid w:val="44B244EA"/>
    <w:rsid w:val="44C304A5"/>
    <w:rsid w:val="45012D7B"/>
    <w:rsid w:val="45AC635D"/>
    <w:rsid w:val="45C02C36"/>
    <w:rsid w:val="45CD0EAF"/>
    <w:rsid w:val="45E701C3"/>
    <w:rsid w:val="45FE550D"/>
    <w:rsid w:val="466A2DB8"/>
    <w:rsid w:val="468B4FF2"/>
    <w:rsid w:val="46A71700"/>
    <w:rsid w:val="471F398D"/>
    <w:rsid w:val="4726698C"/>
    <w:rsid w:val="476F0470"/>
    <w:rsid w:val="47881532"/>
    <w:rsid w:val="47887784"/>
    <w:rsid w:val="47F32E04"/>
    <w:rsid w:val="481E59F2"/>
    <w:rsid w:val="48435F9F"/>
    <w:rsid w:val="48580F04"/>
    <w:rsid w:val="488F68F0"/>
    <w:rsid w:val="489F6B33"/>
    <w:rsid w:val="48AC2FFE"/>
    <w:rsid w:val="48B85E47"/>
    <w:rsid w:val="48F67CAE"/>
    <w:rsid w:val="490966A2"/>
    <w:rsid w:val="491110C7"/>
    <w:rsid w:val="495D040F"/>
    <w:rsid w:val="49753D38"/>
    <w:rsid w:val="497F6965"/>
    <w:rsid w:val="49844DB1"/>
    <w:rsid w:val="49C34AA3"/>
    <w:rsid w:val="49CB3958"/>
    <w:rsid w:val="4A210917"/>
    <w:rsid w:val="4A4060F4"/>
    <w:rsid w:val="4A8C30E7"/>
    <w:rsid w:val="4AB16FF2"/>
    <w:rsid w:val="4ACA1E61"/>
    <w:rsid w:val="4AFC64BF"/>
    <w:rsid w:val="4AFD5D93"/>
    <w:rsid w:val="4B0877E1"/>
    <w:rsid w:val="4B294DDA"/>
    <w:rsid w:val="4B306168"/>
    <w:rsid w:val="4B796546"/>
    <w:rsid w:val="4BD07BDB"/>
    <w:rsid w:val="4BD42F98"/>
    <w:rsid w:val="4BDB0C5F"/>
    <w:rsid w:val="4BE551A5"/>
    <w:rsid w:val="4BE96317"/>
    <w:rsid w:val="4BF278C2"/>
    <w:rsid w:val="4C0575F5"/>
    <w:rsid w:val="4C1B0BC7"/>
    <w:rsid w:val="4C1E06B7"/>
    <w:rsid w:val="4C235CCD"/>
    <w:rsid w:val="4C5C4D3B"/>
    <w:rsid w:val="4CDB0356"/>
    <w:rsid w:val="4D583754"/>
    <w:rsid w:val="4D5F4AE3"/>
    <w:rsid w:val="4D6E11CA"/>
    <w:rsid w:val="4D93478D"/>
    <w:rsid w:val="4DA30E74"/>
    <w:rsid w:val="4DCD4142"/>
    <w:rsid w:val="4E2D698F"/>
    <w:rsid w:val="4F310701"/>
    <w:rsid w:val="4F4915A7"/>
    <w:rsid w:val="4F493C9D"/>
    <w:rsid w:val="4F7A3E56"/>
    <w:rsid w:val="4F846A83"/>
    <w:rsid w:val="4F887EB3"/>
    <w:rsid w:val="50447FC0"/>
    <w:rsid w:val="50962F12"/>
    <w:rsid w:val="50F1639A"/>
    <w:rsid w:val="514F4A54"/>
    <w:rsid w:val="515D758B"/>
    <w:rsid w:val="515E50B1"/>
    <w:rsid w:val="51DF2696"/>
    <w:rsid w:val="5208399B"/>
    <w:rsid w:val="5261672F"/>
    <w:rsid w:val="52B07B8F"/>
    <w:rsid w:val="52CA6EA2"/>
    <w:rsid w:val="52D53947"/>
    <w:rsid w:val="52DB4C0C"/>
    <w:rsid w:val="52F45CCD"/>
    <w:rsid w:val="52FB3500"/>
    <w:rsid w:val="53D17DBD"/>
    <w:rsid w:val="53F82AC3"/>
    <w:rsid w:val="543D5452"/>
    <w:rsid w:val="544260AD"/>
    <w:rsid w:val="54436556"/>
    <w:rsid w:val="54684BC5"/>
    <w:rsid w:val="54843081"/>
    <w:rsid w:val="5495528E"/>
    <w:rsid w:val="54B0031A"/>
    <w:rsid w:val="54D660E2"/>
    <w:rsid w:val="54D67D81"/>
    <w:rsid w:val="55191A1B"/>
    <w:rsid w:val="55410F72"/>
    <w:rsid w:val="56332FB1"/>
    <w:rsid w:val="565076BF"/>
    <w:rsid w:val="56847368"/>
    <w:rsid w:val="569972B8"/>
    <w:rsid w:val="56A619D5"/>
    <w:rsid w:val="56DA342C"/>
    <w:rsid w:val="56E12A0D"/>
    <w:rsid w:val="56E524FD"/>
    <w:rsid w:val="56ED315F"/>
    <w:rsid w:val="56F24C1A"/>
    <w:rsid w:val="5737DCDD"/>
    <w:rsid w:val="579D2DD8"/>
    <w:rsid w:val="57A35F14"/>
    <w:rsid w:val="57D60097"/>
    <w:rsid w:val="57DFCCA3"/>
    <w:rsid w:val="581677AC"/>
    <w:rsid w:val="584414A5"/>
    <w:rsid w:val="588954DC"/>
    <w:rsid w:val="58B965FD"/>
    <w:rsid w:val="59142C25"/>
    <w:rsid w:val="59653481"/>
    <w:rsid w:val="59725B9E"/>
    <w:rsid w:val="5A4412E8"/>
    <w:rsid w:val="5A557999"/>
    <w:rsid w:val="5A6C083F"/>
    <w:rsid w:val="5A850185"/>
    <w:rsid w:val="5B2D4472"/>
    <w:rsid w:val="5B2F01EA"/>
    <w:rsid w:val="5B370E4D"/>
    <w:rsid w:val="5B9067AF"/>
    <w:rsid w:val="5BC064D4"/>
    <w:rsid w:val="5BD112A2"/>
    <w:rsid w:val="5BFB00CD"/>
    <w:rsid w:val="5BFE7BBD"/>
    <w:rsid w:val="5C58107B"/>
    <w:rsid w:val="5C910A31"/>
    <w:rsid w:val="5CA02A22"/>
    <w:rsid w:val="5CEA01F6"/>
    <w:rsid w:val="5D126A91"/>
    <w:rsid w:val="5D1A6C78"/>
    <w:rsid w:val="5D3C099D"/>
    <w:rsid w:val="5D4B6E32"/>
    <w:rsid w:val="5D535CE6"/>
    <w:rsid w:val="5D7A3273"/>
    <w:rsid w:val="5DA14CA4"/>
    <w:rsid w:val="5DAA3B58"/>
    <w:rsid w:val="5E207BCE"/>
    <w:rsid w:val="5E7F3237"/>
    <w:rsid w:val="5ED66BCF"/>
    <w:rsid w:val="5EDA046D"/>
    <w:rsid w:val="5F13397F"/>
    <w:rsid w:val="5F155949"/>
    <w:rsid w:val="5F3C1128"/>
    <w:rsid w:val="5F3E6C4E"/>
    <w:rsid w:val="5F6DA306"/>
    <w:rsid w:val="5F8D1984"/>
    <w:rsid w:val="5FAA42E4"/>
    <w:rsid w:val="606A390C"/>
    <w:rsid w:val="60C2565D"/>
    <w:rsid w:val="60CD5B0A"/>
    <w:rsid w:val="60FB291D"/>
    <w:rsid w:val="612E2CF2"/>
    <w:rsid w:val="618648DC"/>
    <w:rsid w:val="619D39D4"/>
    <w:rsid w:val="61BF7817"/>
    <w:rsid w:val="61C54B0A"/>
    <w:rsid w:val="61D5316E"/>
    <w:rsid w:val="62053A53"/>
    <w:rsid w:val="621A5025"/>
    <w:rsid w:val="62314848"/>
    <w:rsid w:val="624532D2"/>
    <w:rsid w:val="62A80882"/>
    <w:rsid w:val="62EA0E9B"/>
    <w:rsid w:val="630737FB"/>
    <w:rsid w:val="638638C2"/>
    <w:rsid w:val="63B514A9"/>
    <w:rsid w:val="642F7CE0"/>
    <w:rsid w:val="64552344"/>
    <w:rsid w:val="648275DD"/>
    <w:rsid w:val="64986E00"/>
    <w:rsid w:val="64B61035"/>
    <w:rsid w:val="64C23E7D"/>
    <w:rsid w:val="64CC0566"/>
    <w:rsid w:val="64DD2A65"/>
    <w:rsid w:val="64F8164D"/>
    <w:rsid w:val="653308D7"/>
    <w:rsid w:val="653B066A"/>
    <w:rsid w:val="659A0956"/>
    <w:rsid w:val="65C6174B"/>
    <w:rsid w:val="6663343E"/>
    <w:rsid w:val="66A01F9C"/>
    <w:rsid w:val="66C20165"/>
    <w:rsid w:val="66CD4D5B"/>
    <w:rsid w:val="66E71979"/>
    <w:rsid w:val="67065B78"/>
    <w:rsid w:val="672A5D0A"/>
    <w:rsid w:val="674E19F8"/>
    <w:rsid w:val="67FC76A6"/>
    <w:rsid w:val="68024009"/>
    <w:rsid w:val="68664B20"/>
    <w:rsid w:val="68A839E0"/>
    <w:rsid w:val="68B27D65"/>
    <w:rsid w:val="68B3654C"/>
    <w:rsid w:val="695A2FED"/>
    <w:rsid w:val="699B2EEF"/>
    <w:rsid w:val="69C42446"/>
    <w:rsid w:val="69E2467A"/>
    <w:rsid w:val="69E77FCB"/>
    <w:rsid w:val="69EE1271"/>
    <w:rsid w:val="69F7BE20"/>
    <w:rsid w:val="6A1D1B56"/>
    <w:rsid w:val="6A220F1A"/>
    <w:rsid w:val="6A4470E3"/>
    <w:rsid w:val="6A4610AD"/>
    <w:rsid w:val="6A4E7F61"/>
    <w:rsid w:val="6A554E4C"/>
    <w:rsid w:val="6A575068"/>
    <w:rsid w:val="6A6134BA"/>
    <w:rsid w:val="6AB42F30"/>
    <w:rsid w:val="6ABC136F"/>
    <w:rsid w:val="6AD00976"/>
    <w:rsid w:val="6B3158B9"/>
    <w:rsid w:val="6B362ECF"/>
    <w:rsid w:val="6B4A0729"/>
    <w:rsid w:val="6B500FBF"/>
    <w:rsid w:val="6B7E4876"/>
    <w:rsid w:val="6B87197D"/>
    <w:rsid w:val="6BFF59B7"/>
    <w:rsid w:val="6C0E5BFA"/>
    <w:rsid w:val="6C496C32"/>
    <w:rsid w:val="6C640A82"/>
    <w:rsid w:val="6CAD0F6F"/>
    <w:rsid w:val="6CF21078"/>
    <w:rsid w:val="6D064B23"/>
    <w:rsid w:val="6D0B3EE8"/>
    <w:rsid w:val="6D301BA0"/>
    <w:rsid w:val="6D635AD2"/>
    <w:rsid w:val="6D877A12"/>
    <w:rsid w:val="6D995997"/>
    <w:rsid w:val="6E2B2A93"/>
    <w:rsid w:val="6E526272"/>
    <w:rsid w:val="6E5673E4"/>
    <w:rsid w:val="6E7C111C"/>
    <w:rsid w:val="6ED237CF"/>
    <w:rsid w:val="6ED4E148"/>
    <w:rsid w:val="6EF07839"/>
    <w:rsid w:val="6F280D81"/>
    <w:rsid w:val="6F2B6AC3"/>
    <w:rsid w:val="6F327E52"/>
    <w:rsid w:val="6F5E0C47"/>
    <w:rsid w:val="6F6C3363"/>
    <w:rsid w:val="6FB62831"/>
    <w:rsid w:val="6FE0340A"/>
    <w:rsid w:val="700C06A3"/>
    <w:rsid w:val="704716DB"/>
    <w:rsid w:val="708B5A6B"/>
    <w:rsid w:val="709A3F00"/>
    <w:rsid w:val="7148570A"/>
    <w:rsid w:val="715440AF"/>
    <w:rsid w:val="71C41E82"/>
    <w:rsid w:val="71F4319C"/>
    <w:rsid w:val="7238577F"/>
    <w:rsid w:val="72691DDC"/>
    <w:rsid w:val="72966949"/>
    <w:rsid w:val="72BA43E6"/>
    <w:rsid w:val="72DD1E82"/>
    <w:rsid w:val="73036955"/>
    <w:rsid w:val="73966C01"/>
    <w:rsid w:val="73D97F55"/>
    <w:rsid w:val="73E7745D"/>
    <w:rsid w:val="73FB4CB6"/>
    <w:rsid w:val="746D7236"/>
    <w:rsid w:val="74736DEF"/>
    <w:rsid w:val="748D1686"/>
    <w:rsid w:val="74C74B98"/>
    <w:rsid w:val="74F57957"/>
    <w:rsid w:val="74F636CF"/>
    <w:rsid w:val="75175B20"/>
    <w:rsid w:val="75325D8F"/>
    <w:rsid w:val="75477AC3"/>
    <w:rsid w:val="75501031"/>
    <w:rsid w:val="75801751"/>
    <w:rsid w:val="75874327"/>
    <w:rsid w:val="75B9E1A6"/>
    <w:rsid w:val="76452218"/>
    <w:rsid w:val="766378C5"/>
    <w:rsid w:val="767D5E56"/>
    <w:rsid w:val="76A553AD"/>
    <w:rsid w:val="770337A1"/>
    <w:rsid w:val="770E69A7"/>
    <w:rsid w:val="771D13E7"/>
    <w:rsid w:val="775C1F10"/>
    <w:rsid w:val="77644920"/>
    <w:rsid w:val="77701517"/>
    <w:rsid w:val="77E45A61"/>
    <w:rsid w:val="77F90578"/>
    <w:rsid w:val="784A620C"/>
    <w:rsid w:val="78947487"/>
    <w:rsid w:val="7895366F"/>
    <w:rsid w:val="78CA2EA9"/>
    <w:rsid w:val="78F63C9E"/>
    <w:rsid w:val="790340E9"/>
    <w:rsid w:val="79305402"/>
    <w:rsid w:val="798B2638"/>
    <w:rsid w:val="79B750A1"/>
    <w:rsid w:val="79CE0777"/>
    <w:rsid w:val="7A0D129F"/>
    <w:rsid w:val="7A1F0FD2"/>
    <w:rsid w:val="7A3004A7"/>
    <w:rsid w:val="7A5F63E6"/>
    <w:rsid w:val="7A8A0B42"/>
    <w:rsid w:val="7AB46BDC"/>
    <w:rsid w:val="7AFB559C"/>
    <w:rsid w:val="7B186F97"/>
    <w:rsid w:val="7B4E1FA7"/>
    <w:rsid w:val="7B5F3D7C"/>
    <w:rsid w:val="7B7D2454"/>
    <w:rsid w:val="7C6158D2"/>
    <w:rsid w:val="7C741AA9"/>
    <w:rsid w:val="7C975798"/>
    <w:rsid w:val="7CCF40C3"/>
    <w:rsid w:val="7D761851"/>
    <w:rsid w:val="7D8201F6"/>
    <w:rsid w:val="7D9046C1"/>
    <w:rsid w:val="7DC12ACC"/>
    <w:rsid w:val="7DF804B8"/>
    <w:rsid w:val="7DFF831A"/>
    <w:rsid w:val="7E130E4E"/>
    <w:rsid w:val="7E21356B"/>
    <w:rsid w:val="7E325778"/>
    <w:rsid w:val="7E47727E"/>
    <w:rsid w:val="7E924469"/>
    <w:rsid w:val="7E950FB9"/>
    <w:rsid w:val="7EBB576E"/>
    <w:rsid w:val="7EFDE569"/>
    <w:rsid w:val="7F402117"/>
    <w:rsid w:val="7F594F87"/>
    <w:rsid w:val="7F8E2E82"/>
    <w:rsid w:val="7FA206DC"/>
    <w:rsid w:val="7FC06DB4"/>
    <w:rsid w:val="7FCB5E84"/>
    <w:rsid w:val="7FDD8029"/>
    <w:rsid w:val="7FE9668A"/>
    <w:rsid w:val="7FEC1957"/>
    <w:rsid w:val="7FFA0518"/>
    <w:rsid w:val="8EAFDB98"/>
    <w:rsid w:val="BF3E2641"/>
    <w:rsid w:val="BFBBC934"/>
    <w:rsid w:val="D7EF3572"/>
    <w:rsid w:val="DF37B63C"/>
    <w:rsid w:val="EEAFF6AE"/>
    <w:rsid w:val="FBFB1561"/>
    <w:rsid w:val="FDE65C3E"/>
    <w:rsid w:val="FF9F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6">
    <w:name w:val="index 6"/>
    <w:basedOn w:val="1"/>
    <w:next w:val="1"/>
    <w:qFormat/>
    <w:uiPriority w:val="0"/>
    <w:pPr>
      <w:ind w:left="2100"/>
    </w:pPr>
  </w:style>
  <w:style w:type="paragraph" w:styleId="7">
    <w:name w:val="Body Text Indent"/>
    <w:basedOn w:val="1"/>
    <w:link w:val="28"/>
    <w:qFormat/>
    <w:uiPriority w:val="0"/>
    <w:pPr>
      <w:spacing w:line="700" w:lineRule="exact"/>
      <w:ind w:left="960"/>
    </w:pPr>
    <w:rPr>
      <w:sz w:val="44"/>
    </w:rPr>
  </w:style>
  <w:style w:type="paragraph" w:styleId="8">
    <w:name w:val="toc 3"/>
    <w:basedOn w:val="1"/>
    <w:next w:val="1"/>
    <w:qFormat/>
    <w:uiPriority w:val="0"/>
    <w:pPr>
      <w:ind w:left="400" w:leftChars="400"/>
    </w:pPr>
  </w:style>
  <w:style w:type="paragraph" w:styleId="9">
    <w:name w:val="Plain Text"/>
    <w:basedOn w:val="1"/>
    <w:qFormat/>
    <w:uiPriority w:val="0"/>
    <w:rPr>
      <w:rFonts w:ascii="宋体" w:hAnsi="宋体"/>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link w:val="29"/>
    <w:qFormat/>
    <w:uiPriority w:val="0"/>
    <w:pPr>
      <w:tabs>
        <w:tab w:val="center" w:pos="4153"/>
        <w:tab w:val="right" w:pos="8306"/>
      </w:tabs>
      <w:snapToGrid w:val="0"/>
      <w:jc w:val="left"/>
    </w:pPr>
    <w:rPr>
      <w:sz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qFormat/>
    <w:uiPriority w:val="0"/>
    <w:pPr>
      <w:ind w:left="200" w:hanging="200" w:hangingChars="200"/>
      <w:contextualSpacing/>
    </w:pPr>
  </w:style>
  <w:style w:type="paragraph" w:styleId="16">
    <w:name w:val="footnote text"/>
    <w:basedOn w:val="1"/>
    <w:qFormat/>
    <w:uiPriority w:val="0"/>
    <w:pPr>
      <w:spacing w:line="360" w:lineRule="auto"/>
    </w:pPr>
    <w:rPr>
      <w:sz w:val="18"/>
    </w:rPr>
  </w:style>
  <w:style w:type="paragraph" w:styleId="17">
    <w:name w:val="toc 2"/>
    <w:basedOn w:val="1"/>
    <w:next w:val="1"/>
    <w:qFormat/>
    <w:uiPriority w:val="0"/>
    <w:pPr>
      <w:ind w:left="200" w:leftChars="200"/>
    </w:pPr>
  </w:style>
  <w:style w:type="paragraph" w:styleId="18">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9">
    <w:name w:val="Body Text First Indent 2"/>
    <w:basedOn w:val="7"/>
    <w:next w:val="16"/>
    <w:link w:val="31"/>
    <w:qFormat/>
    <w:uiPriority w:val="0"/>
    <w:pPr>
      <w:spacing w:line="720" w:lineRule="exact"/>
      <w:ind w:left="0"/>
      <w:jc w:val="center"/>
    </w:pPr>
    <w:rPr>
      <w:b/>
      <w:w w:val="98"/>
      <w:kern w:val="21"/>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paragraph" w:customStyle="1" w:styleId="24">
    <w:name w:val="正文1"/>
    <w:basedOn w:val="1"/>
    <w:qFormat/>
    <w:uiPriority w:val="0"/>
    <w:pPr>
      <w:spacing w:line="300" w:lineRule="auto"/>
      <w:ind w:firstLine="200" w:firstLineChars="200"/>
    </w:pPr>
    <w:rPr>
      <w:sz w:val="24"/>
    </w:rPr>
  </w:style>
  <w:style w:type="paragraph" w:customStyle="1" w:styleId="25">
    <w:name w:val="索引 51"/>
    <w:basedOn w:val="1"/>
    <w:next w:val="1"/>
    <w:qFormat/>
    <w:uiPriority w:val="0"/>
    <w:pPr>
      <w:ind w:left="1680"/>
    </w:pPr>
  </w:style>
  <w:style w:type="paragraph" w:customStyle="1" w:styleId="26">
    <w:name w:val="电建正文"/>
    <w:basedOn w:val="27"/>
    <w:qFormat/>
    <w:uiPriority w:val="0"/>
    <w:pPr>
      <w:tabs>
        <w:tab w:val="left" w:pos="720"/>
      </w:tabs>
      <w:spacing w:line="360" w:lineRule="auto"/>
      <w:ind w:firstLine="200" w:firstLineChars="200"/>
    </w:pPr>
    <w:rPr>
      <w:rFonts w:ascii="Tahoma" w:hAnsi="Tahoma"/>
      <w:sz w:val="24"/>
      <w:szCs w:val="22"/>
    </w:rPr>
  </w:style>
  <w:style w:type="paragraph" w:customStyle="1" w:styleId="27">
    <w:name w:val="List First"/>
    <w:basedOn w:val="15"/>
    <w:next w:val="15"/>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8">
    <w:name w:val="正文文本缩进 Char"/>
    <w:basedOn w:val="22"/>
    <w:link w:val="7"/>
    <w:qFormat/>
    <w:uiPriority w:val="0"/>
    <w:rPr>
      <w:rFonts w:ascii="Calibri" w:hAnsi="Calibri"/>
      <w:kern w:val="2"/>
      <w:sz w:val="44"/>
      <w:szCs w:val="24"/>
    </w:rPr>
  </w:style>
  <w:style w:type="character" w:customStyle="1" w:styleId="29">
    <w:name w:val="页脚 Char"/>
    <w:basedOn w:val="22"/>
    <w:link w:val="12"/>
    <w:qFormat/>
    <w:uiPriority w:val="0"/>
    <w:rPr>
      <w:rFonts w:ascii="Calibri" w:hAnsi="Calibri"/>
      <w:kern w:val="2"/>
      <w:sz w:val="18"/>
      <w:szCs w:val="24"/>
    </w:rPr>
  </w:style>
  <w:style w:type="character" w:customStyle="1" w:styleId="30">
    <w:name w:val="页眉 Char"/>
    <w:basedOn w:val="22"/>
    <w:link w:val="13"/>
    <w:qFormat/>
    <w:uiPriority w:val="0"/>
    <w:rPr>
      <w:rFonts w:ascii="Calibri" w:hAnsi="Calibri"/>
      <w:kern w:val="2"/>
      <w:sz w:val="18"/>
      <w:szCs w:val="24"/>
    </w:rPr>
  </w:style>
  <w:style w:type="character" w:customStyle="1" w:styleId="31">
    <w:name w:val="正文首行缩进 2 Char"/>
    <w:basedOn w:val="28"/>
    <w:link w:val="19"/>
    <w:qFormat/>
    <w:uiPriority w:val="0"/>
    <w:rPr>
      <w:b/>
      <w:w w:val="98"/>
      <w:kern w:val="21"/>
      <w:sz w:val="32"/>
      <w:szCs w:val="32"/>
    </w:rPr>
  </w:style>
  <w:style w:type="paragraph" w:customStyle="1" w:styleId="32">
    <w:name w:val="图例"/>
    <w:basedOn w:val="1"/>
    <w:qFormat/>
    <w:uiPriority w:val="0"/>
    <w:pPr>
      <w:spacing w:before="120" w:after="120" w:line="360" w:lineRule="auto"/>
      <w:jc w:val="center"/>
    </w:pPr>
    <w:rPr>
      <w:rFonts w:eastAsia="仿宋_GB2312"/>
      <w:b/>
      <w:sz w:val="24"/>
    </w:rPr>
  </w:style>
  <w:style w:type="paragraph" w:customStyle="1" w:styleId="33">
    <w:name w:val="Default"/>
    <w:qFormat/>
    <w:uiPriority w:val="0"/>
    <w:pPr>
      <w:widowControl w:val="0"/>
      <w:autoSpaceDE w:val="0"/>
      <w:autoSpaceDN w:val="0"/>
      <w:adjustRightInd w:val="0"/>
    </w:pPr>
    <w:rPr>
      <w:rFonts w:ascii="宋体" w:hAnsi="宋体" w:eastAsia="微软雅黑" w:cs="Times New Roman"/>
      <w:color w:val="000000"/>
      <w:sz w:val="24"/>
      <w:lang w:val="en-US" w:eastAsia="zh-CN" w:bidi="ar-SA"/>
    </w:rPr>
  </w:style>
  <w:style w:type="paragraph" w:customStyle="1" w:styleId="34">
    <w:name w:val="1"/>
    <w:basedOn w:val="1"/>
    <w:next w:val="9"/>
    <w:qFormat/>
    <w:uiPriority w:val="0"/>
    <w:rPr>
      <w:rFonts w:ascii="宋体" w:hAnsi="宋体"/>
    </w:rPr>
  </w:style>
  <w:style w:type="paragraph" w:styleId="35">
    <w:name w:val="Quote"/>
    <w:basedOn w:val="1"/>
    <w:next w:val="1"/>
    <w:qFormat/>
    <w:uiPriority w:val="0"/>
    <w:pPr>
      <w:spacing w:beforeLines="50" w:afterLines="50" w:line="360" w:lineRule="auto"/>
    </w:pPr>
    <w:rPr>
      <w:i/>
      <w:iCs/>
      <w:color w:val="000000"/>
      <w:lang w:val="zh-CN"/>
    </w:rPr>
  </w:style>
  <w:style w:type="paragraph" w:customStyle="1" w:styleId="36">
    <w:name w:val="无间隔1"/>
    <w:qFormat/>
    <w:uiPriority w:val="1"/>
    <w:pPr>
      <w:jc w:val="both"/>
    </w:pPr>
    <w:rPr>
      <w:rFonts w:ascii="Times New Roman" w:hAnsi="Times New Roman" w:eastAsia="Times New Roman" w:cs="Times New Roman"/>
      <w:lang w:val="en-US" w:eastAsia="zh-CN" w:bidi="ar-SA"/>
    </w:rPr>
  </w:style>
  <w:style w:type="paragraph" w:customStyle="1" w:styleId="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38">
    <w:name w:val="列出段落1"/>
    <w:basedOn w:val="1"/>
    <w:qFormat/>
    <w:uiPriority w:val="99"/>
    <w:pPr>
      <w:ind w:firstLine="420" w:firstLineChars="200"/>
    </w:pPr>
    <w:rPr>
      <w:rFonts w:ascii="Calibri" w:hAnsi="Calibri"/>
      <w:sz w:val="21"/>
      <w:szCs w:val="22"/>
    </w:rPr>
  </w:style>
  <w:style w:type="paragraph" w:customStyle="1" w:styleId="3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10932</Words>
  <Characters>11462</Characters>
  <Lines>194</Lines>
  <Paragraphs>54</Paragraphs>
  <TotalTime>5</TotalTime>
  <ScaleCrop>false</ScaleCrop>
  <LinksUpToDate>false</LinksUpToDate>
  <CharactersWithSpaces>12576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2024-03-16T05:42:00Z</dcterms:created>
  <dc:creator>朵朵</dc:creator>
  <cp:lastModifiedBy>雯雯妈</cp:lastModifiedBy>
  <cp:lastPrinted>2024-07-02T01:23:00Z</cp:lastPrinted>
  <dcterms:modified xsi:type="dcterms:W3CDTF">2025-07-15T07:06:47Z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49C1D0BDAAA7461A83CCC19FA421799D_13</vt:lpwstr>
  </property>
  <property fmtid="{D5CDD505-2E9C-101B-9397-08002B2CF9AE}" pid="4" name="KSOTemplateDocerSaveRecord">
    <vt:lpwstr>eyJoZGlkIjoiYjgyOGEwZTc1MDFjZjBhZTNjYjlhM2NiNDRkNDgzNmUiLCJ1c2VySWQiOiI2NDI3MTUyMzUifQ==</vt:lpwstr>
  </property>
</Properties>
</file>