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89AC4">
      <w:pPr>
        <w:spacing w:line="540" w:lineRule="exact"/>
        <w:ind w:right="3179"/>
        <w:rPr>
          <w:b/>
          <w:kern w:val="0"/>
          <w:sz w:val="32"/>
        </w:rPr>
        <w:sectPr>
          <w:headerReference r:id="rId5" w:type="default"/>
          <w:footerReference r:id="rId6" w:type="default"/>
          <w:footerReference r:id="rId7" w:type="even"/>
          <w:pgSz w:w="23814" w:h="16840" w:orient="landscape"/>
          <w:pgMar w:top="1134" w:right="1440" w:bottom="2268" w:left="2552" w:header="851" w:footer="992" w:gutter="0"/>
          <w:pgNumType w:fmt="decimal"/>
          <w:cols w:space="942" w:num="2"/>
          <w:docGrid w:type="linesAndChars" w:linePitch="447" w:charSpace="1355"/>
        </w:sectPr>
      </w:pPr>
      <w:r>
        <w:rPr>
          <w:b/>
          <w:kern w:val="0"/>
          <w:sz w:val="32"/>
        </w:rPr>
        <w:t xml:space="preserve">                                           </w:t>
      </w:r>
    </w:p>
    <w:p w14:paraId="1CF73A4C">
      <w:pPr>
        <w:spacing w:line="540" w:lineRule="exact"/>
        <w:ind w:left="0" w:leftChars="0" w:right="3179" w:firstLine="0" w:firstLineChars="0"/>
        <w:jc w:val="center"/>
        <w:rPr>
          <w:b/>
          <w:kern w:val="0"/>
          <w:sz w:val="36"/>
          <w:szCs w:val="36"/>
        </w:rPr>
      </w:pPr>
      <w:r>
        <w:rPr>
          <w:rFonts w:hint="eastAsia"/>
          <w:b/>
          <w:kern w:val="0"/>
          <w:sz w:val="36"/>
          <w:szCs w:val="36"/>
          <w:lang w:val="en-US" w:eastAsia="zh-CN"/>
        </w:rPr>
        <w:t xml:space="preserve">               </w:t>
      </w:r>
      <w:r>
        <w:rPr>
          <w:b/>
          <w:kern w:val="0"/>
          <w:sz w:val="36"/>
          <w:szCs w:val="36"/>
        </w:rPr>
        <w:t>排水工程施工图设计说明</w:t>
      </w:r>
    </w:p>
    <w:p w14:paraId="597D0348">
      <w:pPr>
        <w:spacing w:line="540" w:lineRule="exact"/>
        <w:ind w:right="3179"/>
        <w:jc w:val="center"/>
        <w:rPr>
          <w:b/>
          <w:kern w:val="0"/>
          <w:sz w:val="36"/>
          <w:szCs w:val="36"/>
        </w:rPr>
      </w:pPr>
      <w:r>
        <w:rPr>
          <w:rFonts w:hint="eastAsia"/>
          <w:b/>
          <w:kern w:val="0"/>
          <w:sz w:val="36"/>
          <w:szCs w:val="36"/>
        </w:rPr>
        <w:t xml:space="preserve">     </w:t>
      </w:r>
    </w:p>
    <w:p w14:paraId="3E0BCA37">
      <w:pPr>
        <w:spacing w:line="540" w:lineRule="exact"/>
        <w:ind w:right="3179"/>
        <w:jc w:val="center"/>
        <w:rPr>
          <w:b/>
          <w:kern w:val="0"/>
          <w:sz w:val="36"/>
          <w:szCs w:val="36"/>
        </w:rPr>
        <w:sectPr>
          <w:type w:val="continuous"/>
          <w:pgSz w:w="23814" w:h="16840" w:orient="landscape"/>
          <w:pgMar w:top="1134" w:right="1440" w:bottom="2268" w:left="2268" w:header="851" w:footer="992" w:gutter="0"/>
          <w:pgNumType w:fmt="decimal"/>
          <w:cols w:space="720" w:num="1"/>
          <w:docGrid w:type="linesAndChars" w:linePitch="447" w:charSpace="1355"/>
        </w:sectPr>
      </w:pPr>
      <w:r>
        <w:rPr>
          <w:rFonts w:hint="eastAsia"/>
          <w:b/>
          <w:kern w:val="0"/>
          <w:sz w:val="36"/>
          <w:szCs w:val="36"/>
        </w:rPr>
        <w:t xml:space="preserve"> </w:t>
      </w:r>
      <w:r>
        <w:rPr>
          <w:rFonts w:hint="eastAsia"/>
          <w:b/>
          <w:kern w:val="0"/>
          <w:sz w:val="32"/>
        </w:rPr>
        <w:t xml:space="preserve">     </w:t>
      </w:r>
    </w:p>
    <w:p w14:paraId="5FE0B5F6">
      <w:pPr>
        <w:pStyle w:val="4"/>
        <w:spacing w:before="176"/>
      </w:pPr>
      <w:r>
        <w:t>设计依据及规范</w:t>
      </w:r>
    </w:p>
    <w:p w14:paraId="79E5965C">
      <w:pPr>
        <w:pStyle w:val="5"/>
      </w:pPr>
      <w:r>
        <w:t>设计依据</w:t>
      </w:r>
    </w:p>
    <w:p w14:paraId="1AE08043">
      <w:pPr>
        <w:pStyle w:val="86"/>
        <w:numPr>
          <w:ilvl w:val="0"/>
          <w:numId w:val="2"/>
        </w:numPr>
        <w:ind w:firstLineChars="0"/>
      </w:pPr>
      <w:r>
        <w:t>我院与业主</w:t>
      </w:r>
      <w:r>
        <w:rPr>
          <w:rFonts w:hint="eastAsia"/>
        </w:rPr>
        <w:t>签定</w:t>
      </w:r>
      <w:r>
        <w:t>的合同</w:t>
      </w:r>
    </w:p>
    <w:p w14:paraId="211A6F5D">
      <w:pPr>
        <w:pStyle w:val="86"/>
        <w:numPr>
          <w:ilvl w:val="0"/>
          <w:numId w:val="2"/>
        </w:numPr>
        <w:ind w:firstLineChars="0"/>
      </w:pPr>
      <w:r>
        <w:t>业主提供的地勘资料</w:t>
      </w:r>
    </w:p>
    <w:p w14:paraId="2754EF7D">
      <w:pPr>
        <w:pStyle w:val="86"/>
        <w:numPr>
          <w:ilvl w:val="0"/>
          <w:numId w:val="2"/>
        </w:numPr>
        <w:ind w:firstLineChars="0"/>
      </w:pPr>
      <w:r>
        <w:t>业主提供的</w:t>
      </w:r>
      <w:r>
        <w:rPr>
          <w:rFonts w:hint="eastAsia"/>
        </w:rPr>
        <w:t>地形管线</w:t>
      </w:r>
      <w:r>
        <w:t>资料</w:t>
      </w:r>
    </w:p>
    <w:p w14:paraId="10D3F1AD">
      <w:pPr>
        <w:pStyle w:val="86"/>
        <w:numPr>
          <w:ilvl w:val="0"/>
          <w:numId w:val="2"/>
        </w:numPr>
        <w:ind w:firstLineChars="0"/>
        <w:rPr>
          <w:rStyle w:val="23"/>
          <w:i w:val="0"/>
          <w:iCs w:val="0"/>
          <w:color w:val="auto"/>
        </w:rPr>
      </w:pPr>
      <w:r>
        <w:t>业主提供的其他资料</w:t>
      </w:r>
    </w:p>
    <w:p w14:paraId="1595C16A">
      <w:pPr>
        <w:pStyle w:val="5"/>
      </w:pPr>
      <w:r>
        <w:t>设计</w:t>
      </w:r>
      <w:r>
        <w:rPr>
          <w:rFonts w:hint="eastAsia"/>
        </w:rPr>
        <w:t>标准</w:t>
      </w:r>
      <w:r>
        <w:t>及</w:t>
      </w:r>
      <w:r>
        <w:rPr>
          <w:rFonts w:hint="eastAsia"/>
        </w:rPr>
        <w:t>行政规范性</w:t>
      </w:r>
      <w:r>
        <w:t>文件</w:t>
      </w:r>
    </w:p>
    <w:p w14:paraId="1A3B4F67">
      <w:pPr>
        <w:pStyle w:val="95"/>
        <w:ind w:left="-296" w:leftChars="0" w:firstLineChars="0"/>
      </w:pPr>
      <w:r>
        <w:t>国家标准</w:t>
      </w:r>
    </w:p>
    <w:p w14:paraId="2176EAC0">
      <w:pPr>
        <w:pStyle w:val="86"/>
        <w:numPr>
          <w:ilvl w:val="0"/>
          <w:numId w:val="3"/>
        </w:numPr>
        <w:ind w:firstLineChars="0"/>
        <w:rPr>
          <w:rFonts w:hint="eastAsia"/>
        </w:rPr>
      </w:pPr>
      <w:r>
        <w:rPr>
          <w:rFonts w:hint="eastAsia"/>
        </w:rPr>
        <w:t>《城市排水工程项目规范》GB 55027-2022</w:t>
      </w:r>
    </w:p>
    <w:p w14:paraId="6A7D512F">
      <w:pPr>
        <w:pStyle w:val="86"/>
        <w:numPr>
          <w:ilvl w:val="0"/>
          <w:numId w:val="3"/>
        </w:numPr>
        <w:ind w:firstLineChars="0"/>
        <w:rPr>
          <w:rFonts w:hint="eastAsia"/>
        </w:rPr>
      </w:pPr>
      <w:r>
        <w:rPr>
          <w:rFonts w:hint="eastAsia"/>
        </w:rPr>
        <w:t>《城市给水工程项目规范》GB 55026-2022</w:t>
      </w:r>
    </w:p>
    <w:p w14:paraId="387A640A">
      <w:pPr>
        <w:pStyle w:val="86"/>
        <w:numPr>
          <w:ilvl w:val="0"/>
          <w:numId w:val="3"/>
        </w:numPr>
        <w:ind w:firstLineChars="0"/>
        <w:rPr>
          <w:rFonts w:hint="eastAsia"/>
        </w:rPr>
      </w:pPr>
      <w:r>
        <w:rPr>
          <w:rFonts w:hint="eastAsia"/>
        </w:rPr>
        <w:t>《室外排水设计标准》GB 50014-2021</w:t>
      </w:r>
    </w:p>
    <w:p w14:paraId="77A3D33B">
      <w:pPr>
        <w:pStyle w:val="86"/>
        <w:numPr>
          <w:ilvl w:val="0"/>
          <w:numId w:val="3"/>
        </w:numPr>
        <w:ind w:firstLineChars="0"/>
        <w:rPr>
          <w:rFonts w:hint="eastAsia"/>
        </w:rPr>
      </w:pPr>
      <w:r>
        <w:rPr>
          <w:rFonts w:hint="eastAsia"/>
        </w:rPr>
        <w:t>《室外给水设计标准》GB 50013-2018</w:t>
      </w:r>
    </w:p>
    <w:p w14:paraId="7AC82832">
      <w:pPr>
        <w:pStyle w:val="86"/>
        <w:numPr>
          <w:ilvl w:val="0"/>
          <w:numId w:val="3"/>
        </w:numPr>
        <w:ind w:firstLineChars="0"/>
        <w:rPr>
          <w:rFonts w:hint="eastAsia"/>
        </w:rPr>
      </w:pPr>
      <w:r>
        <w:rPr>
          <w:rFonts w:hint="eastAsia"/>
        </w:rPr>
        <w:t>《城镇内涝防治技术规范》GB 51222-2017</w:t>
      </w:r>
    </w:p>
    <w:p w14:paraId="54CA33F9">
      <w:pPr>
        <w:pStyle w:val="86"/>
        <w:numPr>
          <w:ilvl w:val="0"/>
          <w:numId w:val="3"/>
        </w:numPr>
        <w:ind w:firstLineChars="0"/>
        <w:rPr>
          <w:rFonts w:hint="eastAsia"/>
        </w:rPr>
      </w:pPr>
      <w:r>
        <w:rPr>
          <w:rFonts w:hint="eastAsia"/>
        </w:rPr>
        <w:t>《城市工程管线综合规划规范》GB 50289-2016</w:t>
      </w:r>
    </w:p>
    <w:p w14:paraId="6DAAD498">
      <w:pPr>
        <w:pStyle w:val="86"/>
        <w:numPr>
          <w:ilvl w:val="0"/>
          <w:numId w:val="3"/>
        </w:numPr>
        <w:ind w:firstLineChars="0"/>
        <w:rPr>
          <w:rFonts w:hint="eastAsia"/>
        </w:rPr>
      </w:pPr>
      <w:r>
        <w:rPr>
          <w:rFonts w:hint="eastAsia"/>
        </w:rPr>
        <w:t>《给水排水工程管道结构设计规范》GB 50332-2002</w:t>
      </w:r>
    </w:p>
    <w:p w14:paraId="185B472F">
      <w:pPr>
        <w:pStyle w:val="86"/>
        <w:numPr>
          <w:ilvl w:val="0"/>
          <w:numId w:val="3"/>
        </w:numPr>
        <w:ind w:firstLineChars="0"/>
        <w:rPr>
          <w:rFonts w:hint="eastAsia"/>
        </w:rPr>
      </w:pPr>
      <w:r>
        <w:rPr>
          <w:rFonts w:hint="eastAsia"/>
        </w:rPr>
        <w:t>《给水排水工程构筑物结构设计规范》GB 50069-2002</w:t>
      </w:r>
    </w:p>
    <w:p w14:paraId="3D8EC12F">
      <w:pPr>
        <w:pStyle w:val="86"/>
        <w:numPr>
          <w:ilvl w:val="0"/>
          <w:numId w:val="3"/>
        </w:numPr>
        <w:ind w:firstLineChars="0"/>
        <w:rPr>
          <w:rFonts w:hint="eastAsia"/>
        </w:rPr>
      </w:pPr>
      <w:r>
        <w:rPr>
          <w:rFonts w:hint="eastAsia"/>
        </w:rPr>
        <w:t>《给水排水管道工程施工及验收规范》GB 50268-2008</w:t>
      </w:r>
    </w:p>
    <w:p w14:paraId="5445EC3C">
      <w:pPr>
        <w:pStyle w:val="86"/>
        <w:numPr>
          <w:ilvl w:val="0"/>
          <w:numId w:val="3"/>
        </w:numPr>
        <w:ind w:firstLineChars="0"/>
        <w:rPr>
          <w:rFonts w:hint="eastAsia"/>
        </w:rPr>
      </w:pPr>
      <w:r>
        <w:rPr>
          <w:rFonts w:hint="eastAsia"/>
        </w:rPr>
        <w:t>《给水排水构筑物工程施工及验收规范》GB 50141-2008</w:t>
      </w:r>
    </w:p>
    <w:p w14:paraId="4CDD40BC">
      <w:pPr>
        <w:pStyle w:val="86"/>
        <w:numPr>
          <w:ilvl w:val="0"/>
          <w:numId w:val="3"/>
        </w:numPr>
        <w:ind w:firstLineChars="0"/>
        <w:rPr>
          <w:rFonts w:hint="eastAsia"/>
        </w:rPr>
      </w:pPr>
      <w:r>
        <w:rPr>
          <w:rFonts w:hint="eastAsia"/>
        </w:rPr>
        <w:t>《消防给水及消火栓系统设计规范》GB 50974-2014</w:t>
      </w:r>
    </w:p>
    <w:p w14:paraId="779FD01F">
      <w:pPr>
        <w:pStyle w:val="86"/>
        <w:numPr>
          <w:ilvl w:val="0"/>
          <w:numId w:val="3"/>
        </w:numPr>
        <w:ind w:firstLineChars="0"/>
        <w:rPr>
          <w:rFonts w:hint="eastAsia"/>
        </w:rPr>
      </w:pPr>
      <w:r>
        <w:rPr>
          <w:rFonts w:hint="eastAsia"/>
        </w:rPr>
        <w:t>《混凝土结构工程施工质量验收规范》GB 50204-2015</w:t>
      </w:r>
    </w:p>
    <w:p w14:paraId="080D0B12">
      <w:pPr>
        <w:pStyle w:val="86"/>
        <w:numPr>
          <w:ilvl w:val="0"/>
          <w:numId w:val="3"/>
        </w:numPr>
        <w:ind w:firstLineChars="0"/>
        <w:rPr>
          <w:rFonts w:hint="eastAsia"/>
        </w:rPr>
      </w:pPr>
      <w:r>
        <w:rPr>
          <w:rFonts w:hint="eastAsia"/>
        </w:rPr>
        <w:t>《建筑设计抗震设计规范》GB 50011-2011（2016年版）</w:t>
      </w:r>
    </w:p>
    <w:p w14:paraId="3AC4F7E2">
      <w:pPr>
        <w:pStyle w:val="86"/>
        <w:numPr>
          <w:ilvl w:val="0"/>
          <w:numId w:val="3"/>
        </w:numPr>
        <w:ind w:firstLineChars="0"/>
        <w:rPr>
          <w:rFonts w:hint="eastAsia"/>
        </w:rPr>
      </w:pPr>
      <w:r>
        <w:rPr>
          <w:rFonts w:hint="eastAsia"/>
        </w:rPr>
        <w:t>《城市防洪工程设计规范》GB/T 50805-2012</w:t>
      </w:r>
    </w:p>
    <w:p w14:paraId="03D741AA">
      <w:pPr>
        <w:pStyle w:val="86"/>
        <w:numPr>
          <w:ilvl w:val="0"/>
          <w:numId w:val="3"/>
        </w:numPr>
        <w:ind w:firstLineChars="0"/>
        <w:rPr>
          <w:rFonts w:hint="eastAsia"/>
        </w:rPr>
      </w:pPr>
      <w:r>
        <w:rPr>
          <w:rFonts w:hint="eastAsia"/>
        </w:rPr>
        <w:t>《建筑与小区雨水控制及利用工程技术规范》GB 50400-2016</w:t>
      </w:r>
    </w:p>
    <w:p w14:paraId="582547C6">
      <w:pPr>
        <w:pStyle w:val="86"/>
        <w:numPr>
          <w:ilvl w:val="0"/>
          <w:numId w:val="3"/>
        </w:numPr>
        <w:ind w:firstLineChars="0"/>
        <w:rPr>
          <w:rFonts w:hint="eastAsia"/>
        </w:rPr>
      </w:pPr>
      <w:r>
        <w:rPr>
          <w:rFonts w:hint="eastAsia"/>
        </w:rPr>
        <w:t>《城市污水再生利用 城市杂用水水质》GB/T 18920-2020</w:t>
      </w:r>
    </w:p>
    <w:p w14:paraId="51A69606">
      <w:pPr>
        <w:pStyle w:val="86"/>
        <w:numPr>
          <w:ilvl w:val="0"/>
          <w:numId w:val="3"/>
        </w:numPr>
        <w:ind w:firstLineChars="0"/>
        <w:rPr>
          <w:rFonts w:hint="eastAsia"/>
        </w:rPr>
      </w:pPr>
      <w:r>
        <w:rPr>
          <w:rFonts w:hint="eastAsia"/>
        </w:rPr>
        <w:t>《污水排入城镇下水道水质标准》GB/T 31962-2015</w:t>
      </w:r>
    </w:p>
    <w:p w14:paraId="3713A21A">
      <w:pPr>
        <w:pStyle w:val="86"/>
        <w:numPr>
          <w:ilvl w:val="0"/>
          <w:numId w:val="3"/>
        </w:numPr>
        <w:ind w:firstLineChars="0"/>
        <w:rPr>
          <w:rFonts w:hint="eastAsia"/>
        </w:rPr>
      </w:pPr>
      <w:r>
        <w:rPr>
          <w:rFonts w:hint="eastAsia"/>
        </w:rPr>
        <w:t>《混凝土和钢筋混凝土排水管》GB/T 11836-2009</w:t>
      </w:r>
    </w:p>
    <w:p w14:paraId="131E269B">
      <w:pPr>
        <w:pStyle w:val="86"/>
        <w:numPr>
          <w:ilvl w:val="0"/>
          <w:numId w:val="3"/>
        </w:numPr>
        <w:ind w:firstLineChars="0"/>
        <w:rPr>
          <w:rFonts w:hint="eastAsia"/>
        </w:rPr>
      </w:pPr>
      <w:r>
        <w:rPr>
          <w:rFonts w:hint="eastAsia"/>
        </w:rPr>
        <w:t>《水及燃气管道用球墨铸铁管、管件和附件》GB/T 13295-2008</w:t>
      </w:r>
    </w:p>
    <w:p w14:paraId="47313195">
      <w:pPr>
        <w:pStyle w:val="86"/>
        <w:numPr>
          <w:ilvl w:val="0"/>
          <w:numId w:val="3"/>
        </w:numPr>
        <w:ind w:firstLineChars="0"/>
        <w:rPr>
          <w:rFonts w:hint="eastAsia"/>
        </w:rPr>
      </w:pPr>
      <w:r>
        <w:rPr>
          <w:rFonts w:hint="eastAsia"/>
        </w:rPr>
        <w:t>《低压流体输送用焊接钢管》GB/T 3091-2015</w:t>
      </w:r>
    </w:p>
    <w:p w14:paraId="6F7D1DB9">
      <w:pPr>
        <w:pStyle w:val="86"/>
        <w:numPr>
          <w:ilvl w:val="0"/>
          <w:numId w:val="3"/>
        </w:numPr>
        <w:ind w:firstLineChars="0"/>
        <w:rPr>
          <w:rFonts w:hint="eastAsia"/>
        </w:rPr>
      </w:pPr>
      <w:r>
        <w:rPr>
          <w:rFonts w:hint="eastAsia"/>
        </w:rPr>
        <w:t>《检查井盖》GB/T 23858-2009</w:t>
      </w:r>
    </w:p>
    <w:p w14:paraId="6ABD707C">
      <w:pPr>
        <w:pStyle w:val="86"/>
        <w:numPr>
          <w:ilvl w:val="0"/>
          <w:numId w:val="3"/>
        </w:numPr>
        <w:ind w:firstLineChars="0"/>
        <w:rPr>
          <w:rFonts w:hint="eastAsia"/>
        </w:rPr>
      </w:pPr>
      <w:r>
        <w:rPr>
          <w:rFonts w:hint="eastAsia"/>
        </w:rPr>
        <w:t>《透水路面砖和透水路面板》GB/T 25993-2010</w:t>
      </w:r>
    </w:p>
    <w:p w14:paraId="60233D79">
      <w:pPr>
        <w:pStyle w:val="86"/>
        <w:numPr>
          <w:ilvl w:val="0"/>
          <w:numId w:val="3"/>
        </w:numPr>
        <w:ind w:firstLineChars="0"/>
        <w:rPr>
          <w:rFonts w:hint="eastAsia"/>
        </w:rPr>
      </w:pPr>
      <w:r>
        <w:rPr>
          <w:rFonts w:hint="eastAsia"/>
        </w:rPr>
        <w:t>《市政排水管道工程及附属设施》（06MS201）</w:t>
      </w:r>
    </w:p>
    <w:p w14:paraId="78886991">
      <w:pPr>
        <w:pStyle w:val="86"/>
        <w:numPr>
          <w:ilvl w:val="0"/>
          <w:numId w:val="3"/>
        </w:numPr>
        <w:ind w:firstLineChars="0"/>
        <w:rPr>
          <w:rFonts w:hint="eastAsia"/>
        </w:rPr>
      </w:pPr>
      <w:r>
        <w:rPr>
          <w:rFonts w:hint="eastAsia"/>
        </w:rPr>
        <w:t>《市政给水管道工程及附属设施》（07MS101）</w:t>
      </w:r>
    </w:p>
    <w:p w14:paraId="1F3A7D34">
      <w:pPr>
        <w:pStyle w:val="95"/>
        <w:ind w:left="-296" w:leftChars="0" w:firstLineChars="0"/>
      </w:pPr>
      <w:r>
        <w:rPr>
          <w:rFonts w:hint="eastAsia"/>
        </w:rPr>
        <w:t>地方</w:t>
      </w:r>
      <w:r>
        <w:t>标准</w:t>
      </w:r>
    </w:p>
    <w:p w14:paraId="50263666">
      <w:pPr>
        <w:pStyle w:val="86"/>
        <w:numPr>
          <w:ilvl w:val="0"/>
          <w:numId w:val="4"/>
        </w:numPr>
        <w:ind w:firstLineChars="0"/>
      </w:pPr>
      <w:r>
        <w:t>《山地城市室外排水管渠设计标准》DB J50/T-296-2018</w:t>
      </w:r>
    </w:p>
    <w:p w14:paraId="18BBFCFC">
      <w:pPr>
        <w:pStyle w:val="86"/>
        <w:numPr>
          <w:ilvl w:val="0"/>
          <w:numId w:val="4"/>
        </w:numPr>
        <w:ind w:firstLineChars="0"/>
      </w:pPr>
      <w:r>
        <w:t>《</w:t>
      </w:r>
      <w:r>
        <w:rPr>
          <w:rFonts w:hint="eastAsia"/>
        </w:rPr>
        <w:t>山地城市</w:t>
      </w:r>
      <w:r>
        <w:t>内涝防治技术标准》DB J50/T-427-2022</w:t>
      </w:r>
    </w:p>
    <w:p w14:paraId="20B7E330">
      <w:pPr>
        <w:pStyle w:val="86"/>
        <w:numPr>
          <w:ilvl w:val="0"/>
          <w:numId w:val="4"/>
        </w:numPr>
        <w:ind w:firstLineChars="0"/>
      </w:pPr>
      <w:r>
        <w:t>《低影响开发雨水系统设计标准》DB J50/T-292-2018</w:t>
      </w:r>
    </w:p>
    <w:p w14:paraId="5FD6B795">
      <w:pPr>
        <w:pStyle w:val="86"/>
        <w:numPr>
          <w:ilvl w:val="0"/>
          <w:numId w:val="4"/>
        </w:numPr>
        <w:ind w:firstLineChars="0"/>
      </w:pPr>
      <w:r>
        <w:rPr>
          <w:rFonts w:hint="eastAsia"/>
        </w:rPr>
        <w:t>《市政排水管道附属设施》（渝22TS02）</w:t>
      </w:r>
    </w:p>
    <w:p w14:paraId="1220A819">
      <w:pPr>
        <w:pStyle w:val="95"/>
        <w:ind w:left="-296" w:leftChars="0" w:firstLineChars="0"/>
      </w:pPr>
      <w:r>
        <w:rPr>
          <w:rFonts w:hint="eastAsia"/>
        </w:rPr>
        <w:t>行政规范性</w:t>
      </w:r>
      <w:r>
        <w:t>文件</w:t>
      </w:r>
    </w:p>
    <w:p w14:paraId="6C54DCB6">
      <w:pPr>
        <w:pStyle w:val="86"/>
        <w:numPr>
          <w:ilvl w:val="0"/>
          <w:numId w:val="5"/>
        </w:numPr>
        <w:ind w:firstLineChars="0"/>
      </w:pPr>
      <w:r>
        <w:t>《海绵城市建设技术指南——低影响开发雨水系统构建》</w:t>
      </w:r>
      <w:r>
        <w:rPr>
          <w:rFonts w:hint="eastAsia"/>
        </w:rPr>
        <w:t>（</w:t>
      </w:r>
      <w:r>
        <w:t>2014年10月</w:t>
      </w:r>
      <w:r>
        <w:rPr>
          <w:rFonts w:hint="eastAsia"/>
        </w:rPr>
        <w:t>）</w:t>
      </w:r>
      <w:r>
        <w:t xml:space="preserve"> </w:t>
      </w:r>
    </w:p>
    <w:p w14:paraId="27D92ECC">
      <w:pPr>
        <w:pStyle w:val="86"/>
        <w:numPr>
          <w:ilvl w:val="0"/>
          <w:numId w:val="5"/>
        </w:numPr>
        <w:tabs>
          <w:tab w:val="clear" w:pos="720"/>
        </w:tabs>
        <w:ind w:left="1134" w:hanging="641" w:firstLineChars="0"/>
      </w:pPr>
      <w:r>
        <w:t>《重庆市海绵城市规划与设计导则（试行）》（2016年12月）</w:t>
      </w:r>
    </w:p>
    <w:p w14:paraId="7CC07252">
      <w:pPr>
        <w:pStyle w:val="86"/>
        <w:numPr>
          <w:ilvl w:val="0"/>
          <w:numId w:val="5"/>
        </w:numPr>
        <w:tabs>
          <w:tab w:val="clear" w:pos="720"/>
        </w:tabs>
        <w:ind w:left="1134" w:hanging="641" w:firstLineChars="0"/>
      </w:pPr>
      <w:r>
        <w:t>《危险性较大的分部分项工程安全管理规定》（住建部令第37号）</w:t>
      </w:r>
    </w:p>
    <w:p w14:paraId="3C7BD5ED">
      <w:pPr>
        <w:pStyle w:val="86"/>
        <w:numPr>
          <w:ilvl w:val="0"/>
          <w:numId w:val="5"/>
        </w:numPr>
        <w:tabs>
          <w:tab w:val="clear" w:pos="720"/>
        </w:tabs>
        <w:ind w:left="1134" w:hanging="641" w:firstLineChars="0"/>
      </w:pPr>
      <w:r>
        <w:t>《关于实施&lt;危险性较大的分部分项工程安全管理规定&gt;</w:t>
      </w:r>
      <w:bookmarkStart w:id="2" w:name="_GoBack"/>
      <w:bookmarkEnd w:id="2"/>
      <w:r>
        <w:t>有关问题的通知》（建办质〔2018〕31号）</w:t>
      </w:r>
    </w:p>
    <w:p w14:paraId="7179F4BC">
      <w:pPr>
        <w:pStyle w:val="86"/>
        <w:numPr>
          <w:ilvl w:val="0"/>
          <w:numId w:val="5"/>
        </w:numPr>
        <w:tabs>
          <w:tab w:val="clear" w:pos="720"/>
        </w:tabs>
        <w:ind w:left="1134" w:hanging="641" w:firstLineChars="0"/>
      </w:pPr>
      <w:r>
        <w:t>《关于印发重庆市海绵城市建设管理办法（试行）的通知》（渝府办发〔2018〕135号）</w:t>
      </w:r>
    </w:p>
    <w:p w14:paraId="50D4F5DE">
      <w:pPr>
        <w:pStyle w:val="86"/>
        <w:numPr>
          <w:ilvl w:val="0"/>
          <w:numId w:val="5"/>
        </w:numPr>
        <w:tabs>
          <w:tab w:val="clear" w:pos="720"/>
        </w:tabs>
        <w:ind w:left="1134" w:hanging="641" w:firstLineChars="0"/>
      </w:pPr>
      <w:r>
        <w:t>《重庆市住房和城乡建设委员会关于主城区城市建筑垃圾再生产品推广应用试点工作的指导意见》</w:t>
      </w:r>
      <w:r>
        <w:rPr>
          <w:rFonts w:hint="eastAsia"/>
        </w:rPr>
        <w:t>（</w:t>
      </w:r>
      <w:r>
        <w:t>渝建</w:t>
      </w:r>
      <w:r>
        <w:rPr>
          <w:rFonts w:hAnsi="宋体"/>
        </w:rPr>
        <w:t>〔</w:t>
      </w:r>
      <w:r>
        <w:t>2019</w:t>
      </w:r>
      <w:r>
        <w:rPr>
          <w:rFonts w:hAnsi="宋体"/>
        </w:rPr>
        <w:t>〕</w:t>
      </w:r>
      <w:r>
        <w:t>434号）</w:t>
      </w:r>
    </w:p>
    <w:p w14:paraId="2130094C">
      <w:pPr>
        <w:pStyle w:val="86"/>
        <w:numPr>
          <w:ilvl w:val="0"/>
          <w:numId w:val="5"/>
        </w:numPr>
        <w:tabs>
          <w:tab w:val="clear" w:pos="720"/>
        </w:tabs>
        <w:ind w:left="1134" w:hanging="641" w:firstLineChars="0"/>
        <w:rPr>
          <w:rFonts w:hAnsi="宋体"/>
        </w:rPr>
      </w:pPr>
      <w:r>
        <w:rPr>
          <w:rFonts w:hint="eastAsia" w:hAnsi="宋体"/>
        </w:rPr>
        <w:t>《</w:t>
      </w:r>
      <w:r>
        <w:rPr>
          <w:rFonts w:hAnsi="宋体"/>
        </w:rPr>
        <w:t>重庆市住房和城乡建设委员会关于进一步加强城市排水管网工程建设质量管理工作的通知</w:t>
      </w:r>
      <w:r>
        <w:rPr>
          <w:rFonts w:hint="eastAsia" w:hAnsi="宋体"/>
        </w:rPr>
        <w:t>》（</w:t>
      </w:r>
      <w:r>
        <w:rPr>
          <w:rFonts w:hAnsi="宋体"/>
        </w:rPr>
        <w:t>渝建发〔2019〕10号</w:t>
      </w:r>
      <w:r>
        <w:rPr>
          <w:rFonts w:hint="eastAsia" w:hAnsi="宋体"/>
        </w:rPr>
        <w:t>）</w:t>
      </w:r>
    </w:p>
    <w:p w14:paraId="0A5EB52D">
      <w:pPr>
        <w:pStyle w:val="86"/>
        <w:numPr>
          <w:ilvl w:val="0"/>
          <w:numId w:val="5"/>
        </w:numPr>
        <w:tabs>
          <w:tab w:val="clear" w:pos="720"/>
        </w:tabs>
        <w:ind w:left="1134" w:hanging="641" w:firstLineChars="0"/>
        <w:rPr>
          <w:rStyle w:val="23"/>
          <w:i w:val="0"/>
          <w:iCs w:val="0"/>
          <w:color w:val="auto"/>
        </w:rPr>
      </w:pPr>
      <w:r>
        <w:rPr>
          <w:rFonts w:hint="eastAsia"/>
        </w:rPr>
        <w:t>《重庆市建设领域禁止、限制使用落后技术通告（20</w:t>
      </w:r>
      <w:r>
        <w:rPr>
          <w:rFonts w:hint="eastAsia"/>
          <w:lang w:val="en-US" w:eastAsia="zh-CN"/>
        </w:rPr>
        <w:t>24</w:t>
      </w:r>
      <w:r>
        <w:rPr>
          <w:rFonts w:hint="eastAsia"/>
        </w:rPr>
        <w:t>年版）》</w:t>
      </w:r>
    </w:p>
    <w:p w14:paraId="54CD54AD">
      <w:pPr>
        <w:pStyle w:val="86"/>
        <w:numPr>
          <w:ilvl w:val="0"/>
          <w:numId w:val="5"/>
        </w:numPr>
        <w:tabs>
          <w:tab w:val="clear" w:pos="720"/>
        </w:tabs>
        <w:ind w:left="1134" w:hanging="641" w:firstLineChars="0"/>
      </w:pPr>
      <w:r>
        <w:rPr>
          <w:rFonts w:hint="eastAsia"/>
        </w:rPr>
        <w:t>《关于印发重庆市房屋建筑和市政基础设施工程勘察设计变更管理办法（试行）的通知》（</w:t>
      </w:r>
      <w:r>
        <w:t>渝建</w:t>
      </w:r>
      <w:r>
        <w:rPr>
          <w:rFonts w:hint="eastAsia"/>
        </w:rPr>
        <w:t>发</w:t>
      </w:r>
      <w:r>
        <w:rPr>
          <w:rFonts w:hAnsi="宋体"/>
        </w:rPr>
        <w:t>〔</w:t>
      </w:r>
      <w:r>
        <w:t>20</w:t>
      </w:r>
      <w:r>
        <w:rPr>
          <w:rFonts w:hint="eastAsia"/>
          <w:lang w:val="en-US" w:eastAsia="zh-CN"/>
        </w:rPr>
        <w:t>25</w:t>
      </w:r>
      <w:r>
        <w:rPr>
          <w:rFonts w:hAnsi="宋体"/>
        </w:rPr>
        <w:t>〕</w:t>
      </w:r>
      <w:r>
        <w:rPr>
          <w:rFonts w:hint="eastAsia"/>
          <w:lang w:val="en-US" w:eastAsia="zh-CN"/>
        </w:rPr>
        <w:t>1</w:t>
      </w:r>
      <w:r>
        <w:t>号）</w:t>
      </w:r>
    </w:p>
    <w:p w14:paraId="4793AD9B">
      <w:pPr>
        <w:pStyle w:val="5"/>
      </w:pPr>
      <w:r>
        <w:t>规范强制性条文执行情况</w:t>
      </w:r>
    </w:p>
    <w:p w14:paraId="0E7F8718">
      <w:pPr>
        <w:pStyle w:val="86"/>
        <w:ind w:firstLine="493"/>
      </w:pPr>
      <w:r>
        <w:t>本次设计不存在违反行业现行规范强制性条文的情况。</w:t>
      </w:r>
    </w:p>
    <w:p w14:paraId="17FDCD1E">
      <w:pPr>
        <w:pStyle w:val="4"/>
        <w:spacing w:before="176"/>
      </w:pPr>
      <w:r>
        <w:t>工程概况</w:t>
      </w:r>
    </w:p>
    <w:p w14:paraId="6DF92582">
      <w:pPr>
        <w:pStyle w:val="86"/>
        <w:ind w:firstLine="493"/>
      </w:pPr>
      <w:r>
        <w:rPr>
          <w:rFonts w:hint="eastAsia"/>
        </w:rPr>
        <w:t>工程名称：</w:t>
      </w:r>
      <w:r>
        <w:rPr>
          <w:rStyle w:val="21"/>
          <w:rFonts w:hint="eastAsia"/>
          <w:color w:val="auto"/>
        </w:rPr>
        <w:t>通江西片区老旧街区改造提升工程（一期）</w:t>
      </w:r>
    </w:p>
    <w:p w14:paraId="2525F148">
      <w:pPr>
        <w:pStyle w:val="86"/>
        <w:ind w:firstLine="493"/>
      </w:pPr>
      <w:r>
        <w:rPr>
          <w:rFonts w:hint="eastAsia"/>
        </w:rPr>
        <w:t>工程地点：</w:t>
      </w:r>
      <w:r>
        <w:rPr>
          <w:rStyle w:val="21"/>
          <w:rFonts w:hint="eastAsia"/>
          <w:color w:val="auto"/>
        </w:rPr>
        <w:t>重庆市</w:t>
      </w:r>
      <w:r>
        <w:rPr>
          <w:rStyle w:val="21"/>
          <w:rFonts w:hint="eastAsia"/>
          <w:color w:val="auto"/>
          <w:lang w:val="en-US" w:eastAsia="zh-CN"/>
        </w:rPr>
        <w:t>经开区</w:t>
      </w:r>
    </w:p>
    <w:p w14:paraId="68B0B418">
      <w:pPr>
        <w:pStyle w:val="86"/>
        <w:ind w:firstLine="493"/>
        <w:rPr>
          <w:rStyle w:val="21"/>
          <w:color w:val="auto"/>
        </w:rPr>
      </w:pPr>
      <w:r>
        <w:rPr>
          <w:rFonts w:hint="eastAsia"/>
        </w:rPr>
        <w:t>通江西区老旧街区改造提升一期工程包含梨花大道、南慧路、天创路、通江七路共四条已建道路提升改造</w:t>
      </w:r>
      <w:r>
        <w:rPr>
          <w:rStyle w:val="21"/>
          <w:rFonts w:hint="eastAsia"/>
          <w:color w:val="auto"/>
        </w:rPr>
        <w:t>。</w:t>
      </w:r>
    </w:p>
    <w:p w14:paraId="4EA5A6D7">
      <w:pPr>
        <w:pStyle w:val="4"/>
        <w:spacing w:before="176"/>
      </w:pPr>
      <w:r>
        <w:t>设计范围</w:t>
      </w:r>
    </w:p>
    <w:p w14:paraId="1E35120E">
      <w:pPr>
        <w:pStyle w:val="86"/>
        <w:ind w:firstLine="493"/>
      </w:pPr>
      <w:r>
        <w:rPr>
          <w:rFonts w:hint="eastAsia"/>
          <w:lang w:val="en-US" w:eastAsia="zh-CN"/>
        </w:rPr>
        <w:t>本次设计范围</w:t>
      </w:r>
      <w:r>
        <w:t>主要包括</w:t>
      </w:r>
      <w:r>
        <w:rPr>
          <w:rFonts w:hint="eastAsia"/>
        </w:rPr>
        <w:t>梨花大道</w:t>
      </w:r>
      <w:r>
        <w:t>市政排水工程</w:t>
      </w:r>
      <w:r>
        <w:rPr>
          <w:rFonts w:hint="eastAsia"/>
        </w:rPr>
        <w:t>提升改造</w:t>
      </w:r>
      <w:r>
        <w:t>。</w:t>
      </w:r>
    </w:p>
    <w:p w14:paraId="44279A51">
      <w:pPr>
        <w:pStyle w:val="4"/>
        <w:spacing w:before="176"/>
      </w:pPr>
      <w:r>
        <w:t>排水设计原则</w:t>
      </w:r>
    </w:p>
    <w:p w14:paraId="5996C8BE">
      <w:pPr>
        <w:pStyle w:val="86"/>
        <w:ind w:firstLine="493"/>
      </w:pPr>
      <w:r>
        <w:t>（1）排水管网设计应满足地区经济和社会长远发展的需要，排水管道均按远期设计。</w:t>
      </w:r>
    </w:p>
    <w:p w14:paraId="0DDD33A7">
      <w:pPr>
        <w:pStyle w:val="86"/>
        <w:ind w:firstLine="493"/>
      </w:pPr>
      <w:r>
        <w:t>（2）新建排水管网充分考虑区域排水现状及地块建设的情况，结合地块建设规划，在排水管道断面、平面布置、高程布置上适应功能的需要和接入的可能性、便利性。</w:t>
      </w:r>
    </w:p>
    <w:p w14:paraId="67213623">
      <w:pPr>
        <w:pStyle w:val="86"/>
        <w:ind w:firstLine="493"/>
      </w:pPr>
      <w:r>
        <w:t>（3）排水管网设计注意技术性与经济性相结合。尊重事实，在满足设计标准的前提下，尽量考虑利用现有管网体系和排水设施，并将其整合以发挥功能。</w:t>
      </w:r>
    </w:p>
    <w:p w14:paraId="1E343244">
      <w:pPr>
        <w:pStyle w:val="86"/>
        <w:ind w:firstLine="493"/>
      </w:pPr>
      <w:r>
        <w:t>（4）设计选材在不断总结科研和工程实践的基础上，既考虑技术发展的趋势，积极推动新技术、新工艺、新材料的应用，同时又兼顾经济投入的合理性。不得使用淘汰产品及与国家产业政策不符的材料和产品。</w:t>
      </w:r>
    </w:p>
    <w:p w14:paraId="44A6FCD2">
      <w:pPr>
        <w:pStyle w:val="86"/>
        <w:ind w:firstLine="493"/>
      </w:pPr>
      <w:r>
        <w:t>（5）本工程范围内的排水管网，采用雨、污水分流制系统。</w:t>
      </w:r>
    </w:p>
    <w:p w14:paraId="7E470C9F">
      <w:pPr>
        <w:pStyle w:val="86"/>
        <w:ind w:firstLine="493"/>
      </w:pPr>
      <w:r>
        <w:rPr>
          <w:rFonts w:hint="eastAsia"/>
        </w:rPr>
        <w:t>（6）污水管道、合流管道与生活给水管道相交叉时，应敷设在生活给水管道的下面。</w:t>
      </w:r>
    </w:p>
    <w:p w14:paraId="4E6036DA">
      <w:pPr>
        <w:pStyle w:val="4"/>
        <w:spacing w:before="176"/>
      </w:pPr>
      <w:r>
        <w:t>市政排水系统设计</w:t>
      </w:r>
    </w:p>
    <w:p w14:paraId="29B1F327">
      <w:pPr>
        <w:pStyle w:val="5"/>
      </w:pPr>
      <w:r>
        <w:t>排水系统设计标准及参数</w:t>
      </w:r>
    </w:p>
    <w:p w14:paraId="2280E53C">
      <w:pPr>
        <w:pStyle w:val="86"/>
        <w:ind w:firstLine="493"/>
      </w:pPr>
      <w:r>
        <w:t>（1）排水体制：采用雨、污分流制。</w:t>
      </w:r>
    </w:p>
    <w:p w14:paraId="26081FF0">
      <w:pPr>
        <w:pStyle w:val="86"/>
        <w:ind w:firstLine="493"/>
      </w:pPr>
      <w:r>
        <w:t>（2）雨水系统设计参数：</w:t>
      </w:r>
    </w:p>
    <w:p w14:paraId="1DAF648F">
      <w:pPr>
        <w:pStyle w:val="86"/>
        <w:ind w:firstLine="493"/>
      </w:pPr>
      <w:r>
        <w:t xml:space="preserve">               </w:t>
      </w:r>
      <w:r>
        <w:rPr>
          <w:rFonts w:hint="eastAsia"/>
        </w:rPr>
        <w:t xml:space="preserve">     </w:t>
      </w:r>
      <w:r>
        <w:rPr>
          <w:sz w:val="22"/>
        </w:rPr>
        <w:t xml:space="preserve"> </w:t>
      </w:r>
      <m:oMath>
        <m:sSub>
          <m:sSubPr>
            <m:ctrlPr>
              <w:rPr>
                <w:rFonts w:ascii="Cambria Math" w:hAnsi="Cambria Math"/>
                <w:i/>
                <w:szCs w:val="28"/>
              </w:rPr>
            </m:ctrlPr>
          </m:sSubPr>
          <m:e>
            <m:r>
              <m:rPr/>
              <w:rPr>
                <w:rFonts w:ascii="Cambria Math" w:hAnsi="Cambria Math"/>
                <w:szCs w:val="28"/>
              </w:rPr>
              <m:t>Q</m:t>
            </m:r>
            <m:ctrlPr>
              <w:rPr>
                <w:rFonts w:ascii="Cambria Math" w:hAnsi="Cambria Math"/>
                <w:i/>
                <w:szCs w:val="28"/>
              </w:rPr>
            </m:ctrlPr>
          </m:e>
          <m:sub>
            <m:r>
              <m:rPr/>
              <w:rPr>
                <w:rFonts w:ascii="Cambria Math" w:hAnsi="Cambria Math"/>
                <w:szCs w:val="28"/>
              </w:rPr>
              <m:t>S</m:t>
            </m:r>
            <m:ctrlPr>
              <w:rPr>
                <w:rFonts w:ascii="Cambria Math" w:hAnsi="Cambria Math"/>
                <w:i/>
                <w:szCs w:val="28"/>
              </w:rPr>
            </m:ctrlPr>
          </m:sub>
        </m:sSub>
        <m:r>
          <m:rPr>
            <m:sty m:val="p"/>
          </m:rPr>
          <w:rPr>
            <w:rFonts w:ascii="Cambria Math" w:hAnsi="Cambria Math" w:eastAsia="Cambria Math"/>
            <w:szCs w:val="28"/>
          </w:rPr>
          <m:t>=</m:t>
        </m:r>
        <m:r>
          <m:rPr/>
          <w:rPr>
            <w:rFonts w:ascii="Cambria Math" w:hAnsi="Cambria Math" w:eastAsia="Cambria Math"/>
            <w:szCs w:val="28"/>
          </w:rPr>
          <m:t>qΨF</m:t>
        </m:r>
      </m:oMath>
      <w:r>
        <w:t xml:space="preserve"> </w:t>
      </w:r>
    </w:p>
    <w:p w14:paraId="31BDB49E">
      <w:pPr>
        <w:pStyle w:val="86"/>
        <w:ind w:firstLine="493"/>
        <w:rPr>
          <w:rFonts w:ascii="宋体" w:hAnsi="宋体"/>
          <w:szCs w:val="28"/>
        </w:rPr>
      </w:pPr>
      <w:r>
        <w:t>式中</w:t>
      </w:r>
      <w:r>
        <w:rPr>
          <w:rFonts w:hint="eastAsia"/>
        </w:rPr>
        <w:t>：</w:t>
      </w:r>
      <m:oMath>
        <m:sSub>
          <m:sSubPr>
            <m:ctrlPr>
              <w:rPr>
                <w:rFonts w:ascii="Cambria Math" w:hAnsi="Cambria Math"/>
                <w:i/>
                <w:szCs w:val="28"/>
              </w:rPr>
            </m:ctrlPr>
          </m:sSubPr>
          <m:e>
            <m:r>
              <m:rPr/>
              <w:rPr>
                <w:rFonts w:ascii="Cambria Math" w:hAnsi="Cambria Math"/>
                <w:szCs w:val="28"/>
              </w:rPr>
              <m:t>Q</m:t>
            </m:r>
            <m:ctrlPr>
              <w:rPr>
                <w:rFonts w:ascii="Cambria Math" w:hAnsi="Cambria Math"/>
                <w:i/>
                <w:szCs w:val="28"/>
              </w:rPr>
            </m:ctrlPr>
          </m:e>
          <m:sub>
            <m:r>
              <m:rPr/>
              <w:rPr>
                <w:rFonts w:ascii="Cambria Math" w:hAnsi="Cambria Math"/>
                <w:szCs w:val="28"/>
              </w:rPr>
              <m:t>S</m:t>
            </m:r>
            <m:ctrlPr>
              <w:rPr>
                <w:rFonts w:ascii="Cambria Math" w:hAnsi="Cambria Math"/>
                <w:i/>
                <w:szCs w:val="28"/>
              </w:rPr>
            </m:ctrlPr>
          </m:sub>
        </m:sSub>
      </m:oMath>
      <w:r>
        <w:rPr>
          <w:szCs w:val="28"/>
        </w:rPr>
        <w:t>——</w:t>
      </w:r>
      <w:r>
        <w:rPr>
          <w:rFonts w:hint="eastAsia" w:ascii="宋体" w:hAnsi="宋体"/>
          <w:szCs w:val="28"/>
        </w:rPr>
        <w:t>雨水设计流量</w:t>
      </w:r>
      <w:r>
        <w:rPr>
          <w:szCs w:val="28"/>
        </w:rPr>
        <w:t>（L/s）</w:t>
      </w:r>
      <w:r>
        <w:rPr>
          <w:rFonts w:hint="eastAsia" w:ascii="宋体" w:hAnsi="宋体"/>
          <w:szCs w:val="28"/>
        </w:rPr>
        <w:t>；</w:t>
      </w:r>
    </w:p>
    <w:p w14:paraId="437051A3">
      <w:pPr>
        <w:pStyle w:val="86"/>
        <w:ind w:firstLine="1268" w:firstLineChars="516"/>
        <w:rPr>
          <w:rFonts w:ascii="宋体" w:hAnsi="宋体"/>
          <w:szCs w:val="28"/>
        </w:rPr>
      </w:pPr>
      <m:oMath>
        <m:r>
          <m:rPr/>
          <w:rPr>
            <w:rFonts w:ascii="Cambria Math" w:hAnsi="Cambria Math" w:eastAsia="Cambria Math"/>
            <w:szCs w:val="28"/>
          </w:rPr>
          <m:t>q</m:t>
        </m:r>
      </m:oMath>
      <w:r>
        <w:rPr>
          <w:szCs w:val="28"/>
        </w:rPr>
        <w:t>——</w:t>
      </w:r>
      <w:r>
        <w:rPr>
          <w:rFonts w:hint="eastAsia" w:ascii="宋体" w:hAnsi="宋体"/>
          <w:szCs w:val="28"/>
        </w:rPr>
        <w:t>设计暴雨</w:t>
      </w:r>
      <w:r>
        <w:rPr>
          <w:rFonts w:ascii="宋体" w:hAnsi="宋体"/>
          <w:szCs w:val="28"/>
        </w:rPr>
        <w:t>强度：</w:t>
      </w:r>
    </w:p>
    <w:p w14:paraId="3A7C6F5D">
      <w:pPr>
        <w:pStyle w:val="86"/>
        <w:ind w:firstLine="1268" w:firstLineChars="516"/>
      </w:pPr>
      <w:r>
        <w:t>暴雨强度（q）采用</w:t>
      </w:r>
      <w:r>
        <w:rPr>
          <w:rStyle w:val="21"/>
          <w:rFonts w:hint="eastAsia"/>
          <w:color w:val="auto"/>
        </w:rPr>
        <w:t>重庆市沙</w:t>
      </w:r>
      <w:r>
        <w:rPr>
          <w:rStyle w:val="21"/>
          <w:rFonts w:hint="eastAsia"/>
          <w:color w:val="auto"/>
          <w:lang w:val="en-US" w:eastAsia="zh-CN"/>
        </w:rPr>
        <w:t>巴南区</w:t>
      </w:r>
      <w:r>
        <w:t>暴雨强度公式进行计算：</w:t>
      </w:r>
    </w:p>
    <w:p w14:paraId="2E7E8546">
      <w:pPr>
        <w:pStyle w:val="86"/>
        <w:ind w:firstLine="493"/>
      </w:pPr>
      <w:r>
        <w:t xml:space="preserve">           </w:t>
      </w:r>
      <w:r>
        <w:rPr>
          <w:rFonts w:hint="eastAsia"/>
        </w:rPr>
        <w:t xml:space="preserve">    </w:t>
      </w:r>
      <w:r>
        <w:drawing>
          <wp:inline distT="0" distB="0" distL="114300" distR="114300">
            <wp:extent cx="1854200" cy="495300"/>
            <wp:effectExtent l="0" t="0" r="0" b="0"/>
            <wp:docPr id="336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14" name="图片 26"/>
                    <pic:cNvPicPr>
                      <a:picLocks noChangeAspect="1"/>
                    </pic:cNvPicPr>
                  </pic:nvPicPr>
                  <pic:blipFill>
                    <a:blip r:embed="rId9"/>
                    <a:srcRect r="38201"/>
                    <a:stretch>
                      <a:fillRect/>
                    </a:stretch>
                  </pic:blipFill>
                  <pic:spPr>
                    <a:xfrm>
                      <a:off x="0" y="0"/>
                      <a:ext cx="1854200" cy="495300"/>
                    </a:xfrm>
                    <a:prstGeom prst="rect">
                      <a:avLst/>
                    </a:prstGeom>
                    <a:noFill/>
                    <a:ln w="9525">
                      <a:noFill/>
                    </a:ln>
                  </pic:spPr>
                </pic:pic>
              </a:graphicData>
            </a:graphic>
          </wp:inline>
        </w:drawing>
      </w:r>
      <w:r>
        <w:t xml:space="preserve">  (升/ 秒•公顷)</w:t>
      </w:r>
      <w:r>
        <w:rPr>
          <w:rStyle w:val="23"/>
          <w:rFonts w:hint="eastAsia"/>
          <w:color w:val="auto"/>
        </w:rPr>
        <w:t xml:space="preserve"> </w:t>
      </w:r>
    </w:p>
    <w:p w14:paraId="3DC8B8D6">
      <w:pPr>
        <w:pStyle w:val="86"/>
        <w:ind w:left="1974" w:leftChars="515" w:hanging="708" w:hangingChars="288"/>
      </w:pPr>
      <w:r>
        <w:t>ψ</w:t>
      </w:r>
      <w:r>
        <w:rPr>
          <w:szCs w:val="28"/>
        </w:rPr>
        <w:t>——</w:t>
      </w:r>
      <w:r>
        <w:t>径流系数：综合径流系数ψ=0.7</w:t>
      </w:r>
      <w:r>
        <w:rPr>
          <w:rFonts w:hint="eastAsia"/>
        </w:rPr>
        <w:t>。</w:t>
      </w:r>
      <w:r>
        <w:t>道路径流系数0.9，绿地径流系数0.4；</w:t>
      </w:r>
    </w:p>
    <w:p w14:paraId="47D2D1AF">
      <w:pPr>
        <w:pStyle w:val="86"/>
        <w:ind w:left="1974" w:leftChars="515" w:hanging="708" w:hangingChars="288"/>
      </w:pPr>
      <w:r>
        <w:t>F</w:t>
      </w:r>
      <w:r>
        <w:rPr>
          <w:szCs w:val="28"/>
        </w:rPr>
        <w:t>——</w:t>
      </w:r>
      <w:r>
        <w:t>汇水面积（hm</w:t>
      </w:r>
      <w:r>
        <w:rPr>
          <w:vertAlign w:val="superscript"/>
        </w:rPr>
        <w:t>2</w:t>
      </w:r>
      <w:r>
        <w:t>）；</w:t>
      </w:r>
    </w:p>
    <w:p w14:paraId="31227DE3">
      <w:pPr>
        <w:pStyle w:val="86"/>
        <w:ind w:left="1828" w:leftChars="513" w:hanging="567" w:hangingChars="231"/>
      </w:pPr>
      <w:r>
        <w:t>P</w:t>
      </w:r>
      <w:r>
        <w:rPr>
          <w:szCs w:val="28"/>
        </w:rPr>
        <w:t>——</w:t>
      </w:r>
      <w:r>
        <w:t>暴雨重现期：</w:t>
      </w:r>
      <w:r>
        <w:rPr>
          <w:rFonts w:hint="eastAsia"/>
          <w:lang w:val="en-US" w:eastAsia="zh-CN"/>
        </w:rPr>
        <w:t>道路</w:t>
      </w:r>
      <w:r>
        <w:t>部分取P=5年；临时排水系统P=2年</w:t>
      </w:r>
      <w:r>
        <w:rPr>
          <w:rFonts w:hint="eastAsia"/>
        </w:rPr>
        <w:t>。</w:t>
      </w:r>
    </w:p>
    <w:p w14:paraId="6451FBF2">
      <w:pPr>
        <w:pStyle w:val="86"/>
        <w:ind w:left="1974" w:leftChars="515" w:hanging="708" w:hangingChars="288"/>
      </w:pPr>
      <w:r>
        <w:t>t</w:t>
      </w:r>
      <w:r>
        <w:rPr>
          <w:szCs w:val="28"/>
        </w:rPr>
        <w:t>——</w:t>
      </w:r>
      <w:r>
        <w:t>降雨历时：t=t</w:t>
      </w:r>
      <w:r>
        <w:rPr>
          <w:vertAlign w:val="subscript"/>
        </w:rPr>
        <w:t>1</w:t>
      </w:r>
      <w:r>
        <w:t>+t</w:t>
      </w:r>
      <w:r>
        <w:rPr>
          <w:vertAlign w:val="subscript"/>
        </w:rPr>
        <w:t>2</w:t>
      </w:r>
      <w:r>
        <w:t>；</w:t>
      </w:r>
    </w:p>
    <w:p w14:paraId="6AC9D934">
      <w:pPr>
        <w:pStyle w:val="86"/>
        <w:ind w:left="1974" w:leftChars="515" w:hanging="708" w:hangingChars="288"/>
      </w:pPr>
      <w:r>
        <w:t>t</w:t>
      </w:r>
      <w:r>
        <w:rPr>
          <w:vertAlign w:val="subscript"/>
        </w:rPr>
        <w:t>1</w:t>
      </w:r>
      <w:r>
        <w:rPr>
          <w:szCs w:val="28"/>
        </w:rPr>
        <w:t>——</w:t>
      </w:r>
      <w:r>
        <w:t>地面集水时间：道路部分t</w:t>
      </w:r>
      <w:r>
        <w:rPr>
          <w:vertAlign w:val="subscript"/>
        </w:rPr>
        <w:t>1</w:t>
      </w:r>
      <w:r>
        <w:t>=5分钟；</w:t>
      </w:r>
    </w:p>
    <w:p w14:paraId="6BE2BB5C">
      <w:pPr>
        <w:pStyle w:val="86"/>
        <w:ind w:left="1974" w:leftChars="515" w:hanging="708" w:hangingChars="288"/>
      </w:pPr>
      <w:r>
        <w:t>t</w:t>
      </w:r>
      <w:r>
        <w:rPr>
          <w:vertAlign w:val="subscript"/>
        </w:rPr>
        <w:t>2</w:t>
      </w:r>
      <w:r>
        <w:rPr>
          <w:szCs w:val="28"/>
        </w:rPr>
        <w:t>——</w:t>
      </w:r>
      <w:r>
        <w:t>管渠内雨水流行时间。</w:t>
      </w:r>
    </w:p>
    <w:p w14:paraId="0E1716B1">
      <w:pPr>
        <w:pStyle w:val="86"/>
        <w:ind w:firstLine="493"/>
      </w:pPr>
      <w:r>
        <w:t>（3）污水系统设计参数</w:t>
      </w:r>
    </w:p>
    <w:p w14:paraId="33A1043D">
      <w:pPr>
        <w:pStyle w:val="86"/>
        <w:ind w:firstLine="493"/>
      </w:pPr>
      <w:r>
        <w:t>污水设计流量Q</w:t>
      </w:r>
      <w:r>
        <w:rPr>
          <w:vertAlign w:val="subscript"/>
        </w:rPr>
        <w:t>d</w:t>
      </w:r>
      <w:r>
        <w:t>按人均综合污水量进行计算，公式如下：</w:t>
      </w:r>
    </w:p>
    <w:p w14:paraId="3DB1B449">
      <w:pPr>
        <w:pStyle w:val="86"/>
        <w:ind w:firstLine="493"/>
      </w:pPr>
      <w:r>
        <w:t xml:space="preserve">                    </w:t>
      </w:r>
      <w:r>
        <w:object>
          <v:shape id="_x0000_i1025" o:spt="75" type="#_x0000_t75" style="height:30.15pt;width:77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14:paraId="1F13243B">
      <w:pPr>
        <w:pStyle w:val="86"/>
        <w:ind w:firstLine="493"/>
      </w:pPr>
      <w:r>
        <w:t>式中</w:t>
      </w:r>
      <w:r>
        <w:rPr>
          <w:rFonts w:hint="eastAsia"/>
        </w:rPr>
        <w:t>：</w:t>
      </w:r>
      <w:r>
        <w:t>Q</w:t>
      </w:r>
      <w:r>
        <w:rPr>
          <w:vertAlign w:val="subscript"/>
        </w:rPr>
        <w:t>d</w:t>
      </w:r>
      <w:r>
        <w:rPr>
          <w:szCs w:val="28"/>
        </w:rPr>
        <w:t>——</w:t>
      </w:r>
      <w:r>
        <w:t>设计综合生活污水设计流量（L/s）；</w:t>
      </w:r>
    </w:p>
    <w:p w14:paraId="2BF97D0A">
      <w:pPr>
        <w:pStyle w:val="86"/>
        <w:ind w:firstLine="1268" w:firstLineChars="516"/>
      </w:pPr>
      <w:r>
        <w:t>N</w:t>
      </w:r>
      <w:r>
        <w:rPr>
          <w:szCs w:val="28"/>
        </w:rPr>
        <w:t>——</w:t>
      </w:r>
      <w:r>
        <w:t>设计人口数量；</w:t>
      </w:r>
    </w:p>
    <w:p w14:paraId="62442F9D">
      <w:pPr>
        <w:pStyle w:val="86"/>
        <w:ind w:left="1974" w:leftChars="515" w:hanging="708" w:hangingChars="288"/>
      </w:pPr>
      <w:r>
        <w:t>q</w:t>
      </w:r>
      <w:r>
        <w:rPr>
          <w:szCs w:val="28"/>
        </w:rPr>
        <w:t>——</w:t>
      </w:r>
      <w:r>
        <w:t>人均综合污水量（L/cap.d）；</w:t>
      </w:r>
    </w:p>
    <w:p w14:paraId="2DD6348E">
      <w:pPr>
        <w:pStyle w:val="86"/>
        <w:ind w:firstLine="1268" w:firstLineChars="516"/>
      </w:pPr>
      <w:r>
        <w:t>Kz</w:t>
      </w:r>
      <w:r>
        <w:rPr>
          <w:szCs w:val="28"/>
        </w:rPr>
        <w:t>——</w:t>
      </w:r>
      <w:r>
        <w:t>污水量总变化系数，按下表确定：</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708"/>
        <w:gridCol w:w="756"/>
        <w:gridCol w:w="662"/>
        <w:gridCol w:w="709"/>
        <w:gridCol w:w="708"/>
        <w:gridCol w:w="709"/>
        <w:gridCol w:w="709"/>
        <w:gridCol w:w="1039"/>
      </w:tblGrid>
      <w:tr w14:paraId="2960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7" w:type="dxa"/>
            <w:vAlign w:val="center"/>
          </w:tcPr>
          <w:p w14:paraId="6DFC193F">
            <w:pPr>
              <w:pStyle w:val="85"/>
              <w:rPr>
                <w:rFonts w:ascii="Times New Roman" w:hAnsi="Times New Roman" w:cs="Times New Roman"/>
              </w:rPr>
            </w:pPr>
            <w:r>
              <w:rPr>
                <w:rFonts w:ascii="Times New Roman" w:hAnsi="Times New Roman" w:cs="Times New Roman"/>
              </w:rPr>
              <w:t>污水平均流（L/s）</w:t>
            </w:r>
          </w:p>
        </w:tc>
        <w:tc>
          <w:tcPr>
            <w:tcW w:w="708" w:type="dxa"/>
            <w:vAlign w:val="center"/>
          </w:tcPr>
          <w:p w14:paraId="47D9480F">
            <w:pPr>
              <w:pStyle w:val="85"/>
              <w:rPr>
                <w:rFonts w:ascii="Times New Roman" w:hAnsi="Times New Roman" w:cs="Times New Roman"/>
              </w:rPr>
            </w:pPr>
            <w:r>
              <w:rPr>
                <w:rFonts w:ascii="Times New Roman" w:hAnsi="Times New Roman" w:cs="Times New Roman"/>
              </w:rPr>
              <w:t>5</w:t>
            </w:r>
          </w:p>
        </w:tc>
        <w:tc>
          <w:tcPr>
            <w:tcW w:w="756" w:type="dxa"/>
            <w:vAlign w:val="center"/>
          </w:tcPr>
          <w:p w14:paraId="3556D334">
            <w:pPr>
              <w:pStyle w:val="85"/>
              <w:rPr>
                <w:rFonts w:ascii="Times New Roman" w:hAnsi="Times New Roman" w:cs="Times New Roman"/>
              </w:rPr>
            </w:pPr>
            <w:r>
              <w:rPr>
                <w:rFonts w:ascii="Times New Roman" w:hAnsi="Times New Roman" w:cs="Times New Roman"/>
              </w:rPr>
              <w:t>15</w:t>
            </w:r>
          </w:p>
        </w:tc>
        <w:tc>
          <w:tcPr>
            <w:tcW w:w="662" w:type="dxa"/>
            <w:vAlign w:val="center"/>
          </w:tcPr>
          <w:p w14:paraId="1101C8C2">
            <w:pPr>
              <w:pStyle w:val="85"/>
              <w:rPr>
                <w:rFonts w:ascii="Times New Roman" w:hAnsi="Times New Roman" w:cs="Times New Roman"/>
              </w:rPr>
            </w:pPr>
            <w:r>
              <w:rPr>
                <w:rFonts w:ascii="Times New Roman" w:hAnsi="Times New Roman" w:cs="Times New Roman"/>
              </w:rPr>
              <w:t>40</w:t>
            </w:r>
          </w:p>
        </w:tc>
        <w:tc>
          <w:tcPr>
            <w:tcW w:w="709" w:type="dxa"/>
            <w:vAlign w:val="center"/>
          </w:tcPr>
          <w:p w14:paraId="5112997E">
            <w:pPr>
              <w:pStyle w:val="85"/>
              <w:rPr>
                <w:rFonts w:ascii="Times New Roman" w:hAnsi="Times New Roman" w:cs="Times New Roman"/>
              </w:rPr>
            </w:pPr>
            <w:r>
              <w:rPr>
                <w:rFonts w:ascii="Times New Roman" w:hAnsi="Times New Roman" w:cs="Times New Roman"/>
              </w:rPr>
              <w:t>70</w:t>
            </w:r>
          </w:p>
        </w:tc>
        <w:tc>
          <w:tcPr>
            <w:tcW w:w="708" w:type="dxa"/>
            <w:vAlign w:val="center"/>
          </w:tcPr>
          <w:p w14:paraId="3E5EDDAB">
            <w:pPr>
              <w:pStyle w:val="85"/>
              <w:rPr>
                <w:rFonts w:ascii="Times New Roman" w:hAnsi="Times New Roman" w:cs="Times New Roman"/>
              </w:rPr>
            </w:pPr>
            <w:r>
              <w:rPr>
                <w:rFonts w:ascii="Times New Roman" w:hAnsi="Times New Roman" w:cs="Times New Roman"/>
              </w:rPr>
              <w:t>100</w:t>
            </w:r>
          </w:p>
        </w:tc>
        <w:tc>
          <w:tcPr>
            <w:tcW w:w="709" w:type="dxa"/>
            <w:vAlign w:val="center"/>
          </w:tcPr>
          <w:p w14:paraId="42103889">
            <w:pPr>
              <w:pStyle w:val="85"/>
              <w:rPr>
                <w:rFonts w:ascii="Times New Roman" w:hAnsi="Times New Roman" w:cs="Times New Roman"/>
              </w:rPr>
            </w:pPr>
            <w:r>
              <w:rPr>
                <w:rFonts w:ascii="Times New Roman" w:hAnsi="Times New Roman" w:cs="Times New Roman"/>
              </w:rPr>
              <w:t>200</w:t>
            </w:r>
          </w:p>
        </w:tc>
        <w:tc>
          <w:tcPr>
            <w:tcW w:w="709" w:type="dxa"/>
            <w:vAlign w:val="center"/>
          </w:tcPr>
          <w:p w14:paraId="78C5EB9D">
            <w:pPr>
              <w:pStyle w:val="85"/>
              <w:rPr>
                <w:rFonts w:ascii="Times New Roman" w:hAnsi="Times New Roman" w:cs="Times New Roman"/>
              </w:rPr>
            </w:pPr>
            <w:r>
              <w:rPr>
                <w:rFonts w:ascii="Times New Roman" w:hAnsi="Times New Roman" w:cs="Times New Roman"/>
              </w:rPr>
              <w:t>500</w:t>
            </w:r>
          </w:p>
        </w:tc>
        <w:tc>
          <w:tcPr>
            <w:tcW w:w="1039" w:type="dxa"/>
            <w:vAlign w:val="center"/>
          </w:tcPr>
          <w:p w14:paraId="55008318">
            <w:pPr>
              <w:pStyle w:val="85"/>
              <w:rPr>
                <w:rFonts w:ascii="Times New Roman" w:hAnsi="Times New Roman" w:cs="Times New Roman"/>
              </w:rPr>
            </w:pPr>
            <w:r>
              <w:rPr>
                <w:rFonts w:ascii="Times New Roman" w:hAnsi="Times New Roman" w:cs="Times New Roman"/>
              </w:rPr>
              <w:t>&gt;1000</w:t>
            </w:r>
          </w:p>
        </w:tc>
      </w:tr>
      <w:tr w14:paraId="4F3F8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7" w:type="dxa"/>
            <w:vAlign w:val="center"/>
          </w:tcPr>
          <w:p w14:paraId="36D8756F">
            <w:pPr>
              <w:pStyle w:val="85"/>
              <w:rPr>
                <w:rFonts w:ascii="Times New Roman" w:hAnsi="Times New Roman" w:cs="Times New Roman"/>
              </w:rPr>
            </w:pPr>
            <w:r>
              <w:rPr>
                <w:rFonts w:ascii="Times New Roman" w:hAnsi="Times New Roman" w:cs="Times New Roman"/>
              </w:rPr>
              <w:t>总变化系数</w:t>
            </w:r>
          </w:p>
        </w:tc>
        <w:tc>
          <w:tcPr>
            <w:tcW w:w="708" w:type="dxa"/>
            <w:vAlign w:val="center"/>
          </w:tcPr>
          <w:p w14:paraId="11A017D3">
            <w:pPr>
              <w:pStyle w:val="85"/>
              <w:rPr>
                <w:rFonts w:ascii="Times New Roman" w:hAnsi="Times New Roman" w:cs="Times New Roman"/>
              </w:rPr>
            </w:pPr>
            <w:r>
              <w:rPr>
                <w:rFonts w:ascii="Times New Roman" w:hAnsi="Times New Roman" w:cs="Times New Roman"/>
              </w:rPr>
              <w:t>2.7</w:t>
            </w:r>
          </w:p>
        </w:tc>
        <w:tc>
          <w:tcPr>
            <w:tcW w:w="756" w:type="dxa"/>
            <w:vAlign w:val="center"/>
          </w:tcPr>
          <w:p w14:paraId="0B56B6C6">
            <w:pPr>
              <w:pStyle w:val="85"/>
              <w:rPr>
                <w:rFonts w:ascii="Times New Roman" w:hAnsi="Times New Roman" w:cs="Times New Roman"/>
              </w:rPr>
            </w:pPr>
            <w:r>
              <w:rPr>
                <w:rFonts w:ascii="Times New Roman" w:hAnsi="Times New Roman" w:cs="Times New Roman"/>
              </w:rPr>
              <w:t>2.4</w:t>
            </w:r>
          </w:p>
        </w:tc>
        <w:tc>
          <w:tcPr>
            <w:tcW w:w="662" w:type="dxa"/>
            <w:vAlign w:val="center"/>
          </w:tcPr>
          <w:p w14:paraId="4807FC5C">
            <w:pPr>
              <w:pStyle w:val="85"/>
              <w:rPr>
                <w:rFonts w:ascii="Times New Roman" w:hAnsi="Times New Roman" w:cs="Times New Roman"/>
              </w:rPr>
            </w:pPr>
            <w:r>
              <w:rPr>
                <w:rFonts w:ascii="Times New Roman" w:hAnsi="Times New Roman" w:cs="Times New Roman"/>
              </w:rPr>
              <w:t>2.1</w:t>
            </w:r>
          </w:p>
        </w:tc>
        <w:tc>
          <w:tcPr>
            <w:tcW w:w="709" w:type="dxa"/>
            <w:vAlign w:val="center"/>
          </w:tcPr>
          <w:p w14:paraId="50589FC8">
            <w:pPr>
              <w:pStyle w:val="85"/>
              <w:rPr>
                <w:rFonts w:ascii="Times New Roman" w:hAnsi="Times New Roman" w:cs="Times New Roman"/>
              </w:rPr>
            </w:pPr>
            <w:r>
              <w:rPr>
                <w:rFonts w:ascii="Times New Roman" w:hAnsi="Times New Roman" w:cs="Times New Roman"/>
              </w:rPr>
              <w:t>2.0</w:t>
            </w:r>
          </w:p>
        </w:tc>
        <w:tc>
          <w:tcPr>
            <w:tcW w:w="708" w:type="dxa"/>
            <w:vAlign w:val="center"/>
          </w:tcPr>
          <w:p w14:paraId="60256820">
            <w:pPr>
              <w:pStyle w:val="85"/>
              <w:rPr>
                <w:rFonts w:ascii="Times New Roman" w:hAnsi="Times New Roman" w:cs="Times New Roman"/>
              </w:rPr>
            </w:pPr>
            <w:r>
              <w:rPr>
                <w:rFonts w:ascii="Times New Roman" w:hAnsi="Times New Roman" w:cs="Times New Roman"/>
              </w:rPr>
              <w:t>1.9</w:t>
            </w:r>
          </w:p>
        </w:tc>
        <w:tc>
          <w:tcPr>
            <w:tcW w:w="709" w:type="dxa"/>
            <w:vAlign w:val="center"/>
          </w:tcPr>
          <w:p w14:paraId="118A9297">
            <w:pPr>
              <w:pStyle w:val="85"/>
              <w:rPr>
                <w:rFonts w:ascii="Times New Roman" w:hAnsi="Times New Roman" w:cs="Times New Roman"/>
              </w:rPr>
            </w:pPr>
            <w:r>
              <w:rPr>
                <w:rFonts w:ascii="Times New Roman" w:hAnsi="Times New Roman" w:cs="Times New Roman"/>
              </w:rPr>
              <w:t>1.8</w:t>
            </w:r>
          </w:p>
        </w:tc>
        <w:tc>
          <w:tcPr>
            <w:tcW w:w="709" w:type="dxa"/>
            <w:vAlign w:val="center"/>
          </w:tcPr>
          <w:p w14:paraId="0083F50C">
            <w:pPr>
              <w:pStyle w:val="85"/>
              <w:rPr>
                <w:rFonts w:ascii="Times New Roman" w:hAnsi="Times New Roman" w:cs="Times New Roman"/>
              </w:rPr>
            </w:pPr>
            <w:r>
              <w:rPr>
                <w:rFonts w:ascii="Times New Roman" w:hAnsi="Times New Roman" w:cs="Times New Roman"/>
              </w:rPr>
              <w:t>1.6</w:t>
            </w:r>
          </w:p>
        </w:tc>
        <w:tc>
          <w:tcPr>
            <w:tcW w:w="1039" w:type="dxa"/>
            <w:vAlign w:val="center"/>
          </w:tcPr>
          <w:p w14:paraId="6435948F">
            <w:pPr>
              <w:pStyle w:val="85"/>
              <w:rPr>
                <w:rFonts w:ascii="Times New Roman" w:hAnsi="Times New Roman" w:cs="Times New Roman"/>
              </w:rPr>
            </w:pPr>
            <w:r>
              <w:rPr>
                <w:rFonts w:ascii="Times New Roman" w:hAnsi="Times New Roman" w:cs="Times New Roman"/>
              </w:rPr>
              <w:t>1.5</w:t>
            </w:r>
          </w:p>
        </w:tc>
      </w:tr>
    </w:tbl>
    <w:p w14:paraId="2800C1E6">
      <w:pPr>
        <w:ind w:firstLine="492" w:firstLineChars="200"/>
        <w:rPr>
          <w:rStyle w:val="21"/>
          <w:color w:val="auto"/>
        </w:rPr>
      </w:pPr>
      <w:r>
        <w:t>污水设计参数：污水量计算按人均综合用水量考虑，规划区污水排放总量按给水总量的85%计</w:t>
      </w:r>
      <w:r>
        <w:rPr>
          <w:rFonts w:hint="eastAsia"/>
        </w:rPr>
        <w:t>。</w:t>
      </w:r>
      <w:r>
        <w:rPr>
          <w:rStyle w:val="21"/>
          <w:rFonts w:hint="eastAsia"/>
          <w:color w:val="auto"/>
        </w:rPr>
        <w:t>重庆主城区城市综合用水定额取值为450L/Cap.d，人口密度按20000~25000人/km</w:t>
      </w:r>
      <w:r>
        <w:rPr>
          <w:rStyle w:val="21"/>
          <w:rFonts w:hint="eastAsia"/>
          <w:color w:val="auto"/>
          <w:vertAlign w:val="superscript"/>
        </w:rPr>
        <w:t>2</w:t>
      </w:r>
      <w:r>
        <w:rPr>
          <w:rStyle w:val="21"/>
          <w:rFonts w:hint="eastAsia"/>
          <w:color w:val="auto"/>
        </w:rPr>
        <w:t>计算。</w:t>
      </w:r>
    </w:p>
    <w:p w14:paraId="041DFA0F">
      <w:pPr>
        <w:ind w:firstLine="492" w:firstLineChars="200"/>
        <w:rPr>
          <w:szCs w:val="24"/>
        </w:rPr>
      </w:pPr>
      <w:r>
        <w:rPr>
          <w:szCs w:val="24"/>
        </w:rPr>
        <w:t>本工程排水管道均采用管顶平接，管道粗糙系数混凝土管取</w:t>
      </w:r>
      <w:r>
        <w:rPr>
          <w:rFonts w:hint="eastAsia"/>
          <w:szCs w:val="24"/>
        </w:rPr>
        <w:t>0.014，塑料管取0.01，球墨铸铁管取0.013</w:t>
      </w:r>
      <w:r>
        <w:rPr>
          <w:szCs w:val="24"/>
        </w:rPr>
        <w:t>。</w:t>
      </w:r>
    </w:p>
    <w:p w14:paraId="277703A2">
      <w:pPr>
        <w:pStyle w:val="5"/>
      </w:pPr>
      <w:r>
        <w:rPr>
          <w:rFonts w:hint="eastAsia"/>
          <w:lang w:val="en-US" w:eastAsia="zh-CN"/>
        </w:rPr>
        <w:t>雨水工程提升改造</w:t>
      </w:r>
    </w:p>
    <w:p w14:paraId="1895C6B6">
      <w:pPr>
        <w:adjustRightInd w:val="0"/>
        <w:ind w:firstLine="492" w:firstLineChars="200"/>
        <w:rPr>
          <w:rFonts w:hint="eastAsia"/>
          <w:lang w:val="en-US" w:eastAsia="zh-CN"/>
        </w:rPr>
      </w:pPr>
      <w:r>
        <w:rPr>
          <w:rFonts w:hint="eastAsia"/>
          <w:lang w:val="en-US" w:eastAsia="zh-CN"/>
        </w:rPr>
        <w:t>根据现场调查及管线测量资料分析，本次改造梨花大道范围内双侧布置有雨水管道，不存在内涝、积水等情况。</w:t>
      </w:r>
    </w:p>
    <w:p w14:paraId="25847386">
      <w:pPr>
        <w:adjustRightInd w:val="0"/>
        <w:ind w:firstLine="492" w:firstLineChars="200"/>
        <w:rPr>
          <w:rFonts w:hint="eastAsia"/>
          <w:lang w:val="en-US" w:eastAsia="zh-CN"/>
        </w:rPr>
      </w:pPr>
      <w:r>
        <w:rPr>
          <w:rFonts w:hint="eastAsia"/>
          <w:lang w:val="en-US" w:eastAsia="zh-CN"/>
        </w:rPr>
        <w:t>本次雨水管网改造主要如下：</w:t>
      </w:r>
    </w:p>
    <w:p w14:paraId="481A7A0F">
      <w:pPr>
        <w:numPr>
          <w:ilvl w:val="0"/>
          <w:numId w:val="6"/>
        </w:numPr>
        <w:adjustRightInd w:val="0"/>
        <w:ind w:firstLine="492" w:firstLineChars="200"/>
        <w:rPr>
          <w:rFonts w:hint="eastAsia"/>
          <w:lang w:val="en-US" w:eastAsia="zh-CN"/>
        </w:rPr>
      </w:pPr>
      <w:r>
        <w:rPr>
          <w:rFonts w:hint="eastAsia"/>
          <w:lang w:val="en-US" w:eastAsia="zh-CN"/>
        </w:rPr>
        <w:t>对雨水检查井盖进行替换，增设检查井防坠网；</w:t>
      </w:r>
    </w:p>
    <w:p w14:paraId="1F3C9763">
      <w:pPr>
        <w:numPr>
          <w:ilvl w:val="0"/>
          <w:numId w:val="6"/>
        </w:numPr>
        <w:adjustRightInd w:val="0"/>
        <w:ind w:firstLine="492" w:firstLineChars="200"/>
        <w:rPr>
          <w:rFonts w:hint="default" w:eastAsia="宋体"/>
          <w:lang w:val="en-US" w:eastAsia="zh-CN"/>
        </w:rPr>
      </w:pPr>
      <w:r>
        <w:rPr>
          <w:rFonts w:hint="eastAsia"/>
          <w:lang w:val="en-US" w:eastAsia="zh-CN"/>
        </w:rPr>
        <w:t>对不符合要求的雨水口进行改造、对雨水箅子进行更换；</w:t>
      </w:r>
    </w:p>
    <w:p w14:paraId="336E708B">
      <w:pPr>
        <w:numPr>
          <w:ilvl w:val="0"/>
          <w:numId w:val="6"/>
        </w:numPr>
        <w:adjustRightInd w:val="0"/>
        <w:ind w:firstLine="492" w:firstLineChars="200"/>
        <w:rPr>
          <w:rFonts w:hint="default"/>
          <w:lang w:val="en-US" w:eastAsia="zh-CN"/>
        </w:rPr>
      </w:pPr>
      <w:r>
        <w:rPr>
          <w:rFonts w:hint="eastAsia"/>
          <w:lang w:val="en-US" w:eastAsia="zh-CN"/>
        </w:rPr>
        <w:t>对工程范围内的雨水管道、保留雨水口进行清理。</w:t>
      </w:r>
    </w:p>
    <w:p w14:paraId="1229EB58">
      <w:pPr>
        <w:pStyle w:val="5"/>
      </w:pPr>
      <w:r>
        <w:rPr>
          <w:rFonts w:hint="eastAsia"/>
          <w:lang w:val="en-US" w:eastAsia="zh-CN"/>
        </w:rPr>
        <w:t>污水工程提升改造</w:t>
      </w:r>
    </w:p>
    <w:p w14:paraId="340BFF6D">
      <w:pPr>
        <w:adjustRightInd w:val="0"/>
        <w:ind w:firstLine="492" w:firstLineChars="200"/>
        <w:rPr>
          <w:rFonts w:hint="eastAsia"/>
          <w:lang w:val="en-US" w:eastAsia="zh-CN"/>
        </w:rPr>
      </w:pPr>
      <w:r>
        <w:rPr>
          <w:rFonts w:hint="eastAsia"/>
          <w:lang w:val="en-US" w:eastAsia="zh-CN"/>
        </w:rPr>
        <w:t>根据现场调查及管线测量资料分析，本次改造梨花大道范围内单侧布置有污水管道，不存在污水直排、错接等情况。</w:t>
      </w:r>
    </w:p>
    <w:p w14:paraId="3FFB4E15">
      <w:pPr>
        <w:adjustRightInd w:val="0"/>
        <w:ind w:firstLine="492" w:firstLineChars="200"/>
        <w:rPr>
          <w:rFonts w:hint="eastAsia"/>
          <w:lang w:val="en-US" w:eastAsia="zh-CN"/>
        </w:rPr>
      </w:pPr>
      <w:r>
        <w:rPr>
          <w:rFonts w:hint="eastAsia"/>
          <w:lang w:val="en-US" w:eastAsia="zh-CN"/>
        </w:rPr>
        <w:t>本次污水管网改造主要如下：</w:t>
      </w:r>
    </w:p>
    <w:p w14:paraId="4CCDEF1B">
      <w:pPr>
        <w:numPr>
          <w:ilvl w:val="0"/>
          <w:numId w:val="7"/>
        </w:numPr>
        <w:adjustRightInd w:val="0"/>
        <w:ind w:firstLine="492" w:firstLineChars="200"/>
        <w:rPr>
          <w:rFonts w:hint="eastAsia"/>
          <w:lang w:val="en-US" w:eastAsia="zh-CN"/>
        </w:rPr>
      </w:pPr>
      <w:r>
        <w:rPr>
          <w:rFonts w:hint="eastAsia"/>
          <w:lang w:val="en-US" w:eastAsia="zh-CN"/>
        </w:rPr>
        <w:t>对污水检查井盖进行替换，增设检查井防坠网；</w:t>
      </w:r>
    </w:p>
    <w:p w14:paraId="792BB103">
      <w:pPr>
        <w:numPr>
          <w:ilvl w:val="0"/>
          <w:numId w:val="7"/>
        </w:numPr>
        <w:adjustRightInd w:val="0"/>
        <w:ind w:firstLine="492" w:firstLineChars="200"/>
        <w:rPr>
          <w:rFonts w:hint="default"/>
          <w:lang w:val="en-US" w:eastAsia="zh-CN"/>
        </w:rPr>
      </w:pPr>
      <w:r>
        <w:rPr>
          <w:rFonts w:hint="eastAsia"/>
          <w:lang w:val="en-US" w:eastAsia="zh-CN"/>
        </w:rPr>
        <w:t>对工程范围内的污水管道进行清理。</w:t>
      </w:r>
    </w:p>
    <w:p w14:paraId="272A1FC3">
      <w:pPr>
        <w:pStyle w:val="4"/>
        <w:spacing w:before="176"/>
      </w:pPr>
      <w:r>
        <w:rPr>
          <w:rFonts w:hint="eastAsia"/>
        </w:rPr>
        <w:t>排水</w:t>
      </w:r>
      <w:r>
        <w:t>管材、基础及接口</w:t>
      </w:r>
    </w:p>
    <w:p w14:paraId="1ED0F0D9">
      <w:pPr>
        <w:pStyle w:val="5"/>
      </w:pPr>
      <w:r>
        <w:t>管材</w:t>
      </w:r>
    </w:p>
    <w:p w14:paraId="1C67C17A">
      <w:pPr>
        <w:pStyle w:val="86"/>
        <w:ind w:firstLine="493"/>
      </w:pPr>
      <w:r>
        <w:t>（1）管道断面形式</w:t>
      </w:r>
    </w:p>
    <w:p w14:paraId="60FE0D3B">
      <w:pPr>
        <w:pStyle w:val="86"/>
        <w:ind w:firstLine="493"/>
      </w:pPr>
      <w:r>
        <w:t>本工程的雨水管道均采用采用圆形断面。设计图中排水管道均以d表示其公称内径。</w:t>
      </w:r>
    </w:p>
    <w:p w14:paraId="2C6682F6">
      <w:pPr>
        <w:pStyle w:val="86"/>
        <w:ind w:firstLine="493"/>
      </w:pPr>
      <w:r>
        <w:t>（2）管材</w:t>
      </w:r>
    </w:p>
    <w:p w14:paraId="67690366">
      <w:pPr>
        <w:pStyle w:val="86"/>
        <w:ind w:firstLine="477"/>
        <w:rPr>
          <w:spacing w:val="-4"/>
        </w:rPr>
      </w:pPr>
      <w:r>
        <w:rPr>
          <w:rFonts w:hint="eastAsia"/>
          <w:spacing w:val="-4"/>
        </w:rPr>
        <w:t>管径d300的雨水口连接采用国标II级钢筋混凝土管。</w:t>
      </w:r>
    </w:p>
    <w:p w14:paraId="584F0E06">
      <w:pPr>
        <w:pStyle w:val="86"/>
        <w:ind w:firstLine="477"/>
        <w:rPr>
          <w:spacing w:val="-4"/>
        </w:rPr>
      </w:pPr>
      <w:r>
        <w:rPr>
          <w:rFonts w:hint="eastAsia"/>
          <w:spacing w:val="-4"/>
        </w:rPr>
        <w:t>横穿道路排水管涵根据埋深采用国标Ⅲ级钢筋混凝土管或非标定制管。</w:t>
      </w:r>
    </w:p>
    <w:p w14:paraId="05C67F42">
      <w:pPr>
        <w:pStyle w:val="86"/>
        <w:ind w:firstLine="477"/>
        <w:rPr>
          <w:spacing w:val="-4"/>
        </w:rPr>
      </w:pPr>
      <w:r>
        <w:rPr>
          <w:spacing w:val="-4"/>
        </w:rPr>
        <w:t>钢筋砼管执行《混凝土和钢筋混凝土排水管》</w:t>
      </w:r>
      <w:r>
        <w:rPr>
          <w:rFonts w:hint="eastAsia"/>
          <w:spacing w:val="-4"/>
        </w:rPr>
        <w:t>（</w:t>
      </w:r>
      <w:r>
        <w:rPr>
          <w:spacing w:val="-4"/>
        </w:rPr>
        <w:t>GB</w:t>
      </w:r>
      <w:r>
        <w:rPr>
          <w:rFonts w:hint="eastAsia"/>
          <w:spacing w:val="-4"/>
        </w:rPr>
        <w:t>/</w:t>
      </w:r>
      <w:r>
        <w:rPr>
          <w:spacing w:val="-4"/>
        </w:rPr>
        <w:t>T</w:t>
      </w:r>
      <w:r>
        <w:rPr>
          <w:rFonts w:hint="eastAsia"/>
          <w:spacing w:val="-4"/>
        </w:rPr>
        <w:t xml:space="preserve"> </w:t>
      </w:r>
      <w:r>
        <w:rPr>
          <w:spacing w:val="-4"/>
        </w:rPr>
        <w:t>11836-2009</w:t>
      </w:r>
      <w:r>
        <w:rPr>
          <w:rFonts w:hint="eastAsia"/>
          <w:spacing w:val="-4"/>
        </w:rPr>
        <w:t>）</w:t>
      </w:r>
      <w:r>
        <w:rPr>
          <w:spacing w:val="-4"/>
        </w:rPr>
        <w:t>中的</w:t>
      </w:r>
      <w:r>
        <w:rPr>
          <w:rFonts w:hint="eastAsia"/>
          <w:spacing w:val="-4"/>
        </w:rPr>
        <w:t>相关</w:t>
      </w:r>
      <w:r>
        <w:rPr>
          <w:spacing w:val="-4"/>
        </w:rPr>
        <w:t>规定。</w:t>
      </w:r>
    </w:p>
    <w:p w14:paraId="404C9E60">
      <w:pPr>
        <w:pStyle w:val="5"/>
      </w:pPr>
      <w:r>
        <w:t>管道基础</w:t>
      </w:r>
    </w:p>
    <w:p w14:paraId="66B1D0C6">
      <w:pPr>
        <w:ind w:firstLine="492" w:firstLineChars="200"/>
        <w:rPr>
          <w:rFonts w:hint="default"/>
          <w:lang w:val="en-US"/>
        </w:rPr>
      </w:pPr>
      <w:r>
        <w:rPr>
          <w:rFonts w:hint="eastAsia"/>
        </w:rPr>
        <w:t>管径d300的雨水口连接支管</w:t>
      </w:r>
      <w:r>
        <w:rPr>
          <w:rFonts w:hint="eastAsia"/>
          <w:lang w:val="en-US" w:eastAsia="zh-CN"/>
        </w:rPr>
        <w:t>采用C30满包基础。</w:t>
      </w:r>
    </w:p>
    <w:p w14:paraId="0EC299AB">
      <w:pPr>
        <w:ind w:firstLine="476" w:firstLineChars="200"/>
        <w:rPr>
          <w:spacing w:val="-4"/>
          <w:szCs w:val="28"/>
        </w:rPr>
      </w:pPr>
      <w:r>
        <w:rPr>
          <w:rFonts w:hAnsi="宋体"/>
          <w:spacing w:val="-4"/>
          <w:szCs w:val="28"/>
        </w:rPr>
        <w:t>管道埋深</w:t>
      </w:r>
      <w:r>
        <w:rPr>
          <w:spacing w:val="-4"/>
          <w:szCs w:val="28"/>
        </w:rPr>
        <w:t>1.1-5.0m</w:t>
      </w:r>
      <w:r>
        <w:rPr>
          <w:rFonts w:hAnsi="宋体"/>
          <w:spacing w:val="-4"/>
          <w:szCs w:val="28"/>
        </w:rPr>
        <w:t>，地基承载力不小于</w:t>
      </w:r>
      <w:r>
        <w:rPr>
          <w:spacing w:val="-4"/>
          <w:szCs w:val="28"/>
        </w:rPr>
        <w:t>150KPa</w:t>
      </w:r>
      <w:r>
        <w:rPr>
          <w:rFonts w:hAnsi="宋体"/>
          <w:spacing w:val="-4"/>
          <w:szCs w:val="28"/>
        </w:rPr>
        <w:t>；管道埋深</w:t>
      </w:r>
      <w:r>
        <w:rPr>
          <w:spacing w:val="-4"/>
          <w:szCs w:val="28"/>
        </w:rPr>
        <w:t>5.0-8.0m</w:t>
      </w:r>
      <w:r>
        <w:rPr>
          <w:rFonts w:hAnsi="宋体"/>
          <w:spacing w:val="-4"/>
          <w:szCs w:val="28"/>
        </w:rPr>
        <w:t>，地基承载力不小于</w:t>
      </w:r>
      <w:r>
        <w:rPr>
          <w:spacing w:val="-4"/>
          <w:szCs w:val="28"/>
        </w:rPr>
        <w:t>200Kpa</w:t>
      </w:r>
      <w:r>
        <w:rPr>
          <w:rFonts w:hAnsi="宋体"/>
          <w:spacing w:val="-4"/>
          <w:szCs w:val="28"/>
        </w:rPr>
        <w:t>；管道埋深</w:t>
      </w:r>
      <w:r>
        <w:rPr>
          <w:spacing w:val="-4"/>
          <w:szCs w:val="28"/>
        </w:rPr>
        <w:t>8.0-10.0m</w:t>
      </w:r>
      <w:r>
        <w:rPr>
          <w:rFonts w:hAnsi="宋体"/>
          <w:spacing w:val="-4"/>
          <w:szCs w:val="28"/>
        </w:rPr>
        <w:t>，地基承载力不小于</w:t>
      </w:r>
      <w:r>
        <w:rPr>
          <w:spacing w:val="-4"/>
          <w:szCs w:val="28"/>
        </w:rPr>
        <w:t>250KPa</w:t>
      </w:r>
      <w:r>
        <w:rPr>
          <w:rFonts w:hAnsi="宋体"/>
          <w:spacing w:val="-4"/>
          <w:szCs w:val="28"/>
        </w:rPr>
        <w:t>。以上承载力标准，要求管顶覆土均不小于</w:t>
      </w:r>
      <w:r>
        <w:rPr>
          <w:spacing w:val="-4"/>
          <w:szCs w:val="28"/>
        </w:rPr>
        <w:t>0.7m</w:t>
      </w:r>
      <w:r>
        <w:rPr>
          <w:rFonts w:hAnsi="宋体"/>
          <w:spacing w:val="-4"/>
          <w:szCs w:val="28"/>
        </w:rPr>
        <w:t>，且最小设计管径按</w:t>
      </w:r>
      <w:r>
        <w:rPr>
          <w:spacing w:val="-4"/>
          <w:szCs w:val="28"/>
        </w:rPr>
        <w:t>d300</w:t>
      </w:r>
      <w:r>
        <w:rPr>
          <w:rFonts w:hAnsi="宋体"/>
          <w:spacing w:val="-4"/>
          <w:szCs w:val="28"/>
        </w:rPr>
        <w:t>考虑。</w:t>
      </w:r>
    </w:p>
    <w:p w14:paraId="1B6ADD8F">
      <w:pPr>
        <w:ind w:firstLine="492" w:firstLineChars="200"/>
        <w:rPr>
          <w:szCs w:val="24"/>
        </w:rPr>
      </w:pPr>
      <w:r>
        <w:rPr>
          <w:szCs w:val="24"/>
        </w:rPr>
        <w:t>雨、污水管道地基处理应满足道路工程的要求和管道基础对承载力的要求。管底填方高度不大于3</w:t>
      </w:r>
      <w:r>
        <w:rPr>
          <w:rFonts w:hint="eastAsia"/>
          <w:szCs w:val="24"/>
        </w:rPr>
        <w:t>.0</w:t>
      </w:r>
      <w:r>
        <w:rPr>
          <w:szCs w:val="24"/>
        </w:rPr>
        <w:t>m时，可按道路密实度要求回填到路基标高后，再开挖管槽施工管道。管底填方大于3</w:t>
      </w:r>
      <w:r>
        <w:rPr>
          <w:rFonts w:hint="eastAsia"/>
          <w:szCs w:val="24"/>
        </w:rPr>
        <w:t>.0</w:t>
      </w:r>
      <w:r>
        <w:rPr>
          <w:szCs w:val="24"/>
        </w:rPr>
        <w:t>m时，应按道路密实度要求回填至管顶以上1.5m后，再开挖管槽施工管道；且管道基槽应超挖0.5m，再回填0.5m厚的砂卵石或级配碎石，最后施工管道基础。管道施工回填压实后，再分层回填压实至设计路面高程。</w:t>
      </w:r>
    </w:p>
    <w:p w14:paraId="339E8C07">
      <w:pPr>
        <w:ind w:firstLine="492" w:firstLineChars="200"/>
        <w:rPr>
          <w:szCs w:val="24"/>
        </w:rPr>
      </w:pPr>
      <w:r>
        <w:rPr>
          <w:szCs w:val="24"/>
        </w:rPr>
        <w:t>当开挖沟槽基础为岩石时，槽底应超挖200mm，采用砂砾石回填至设计高程后，再施工管道基础。</w:t>
      </w:r>
    </w:p>
    <w:p w14:paraId="377C52E8">
      <w:pPr>
        <w:pStyle w:val="5"/>
      </w:pPr>
      <w:r>
        <w:t>地基处理</w:t>
      </w:r>
    </w:p>
    <w:p w14:paraId="177DD2F6">
      <w:pPr>
        <w:pStyle w:val="86"/>
        <w:ind w:firstLine="493"/>
        <w:rPr>
          <w:rFonts w:hint="eastAsia" w:eastAsia="宋体"/>
          <w:lang w:val="en-US" w:eastAsia="zh-CN"/>
        </w:rPr>
      </w:pPr>
      <w:r>
        <w:t>管道地基应为未扰动的原状土或经处理后回填密实的地基，管道及构筑物地基承载力不小于0.15Mpa。若地基为膨胀土，管道、检查井基础下增铺15cm厚8%灰土垫层加强，再按国标图进行基础施工。沟槽在填方地段或沟槽超挖的，管道基础以下必须分层夯实回填，密实度不小于95%。</w:t>
      </w:r>
    </w:p>
    <w:p w14:paraId="50A64F4B">
      <w:pPr>
        <w:pStyle w:val="86"/>
        <w:ind w:firstLine="493"/>
      </w:pPr>
      <w:r>
        <w:t>对于地质条件较差地段，如淤泥、杂填土等，必须进行换填。具体采用材料及换填深由不同的地质情况确定。</w:t>
      </w:r>
    </w:p>
    <w:p w14:paraId="082FC749">
      <w:pPr>
        <w:pStyle w:val="5"/>
      </w:pPr>
      <w:r>
        <w:t>管道接口</w:t>
      </w:r>
    </w:p>
    <w:p w14:paraId="6A4B1311">
      <w:pPr>
        <w:ind w:firstLine="492" w:firstLineChars="200"/>
        <w:rPr>
          <w:szCs w:val="24"/>
        </w:rPr>
      </w:pPr>
      <w:r>
        <w:rPr>
          <w:rFonts w:hint="eastAsia"/>
          <w:szCs w:val="24"/>
          <w:lang w:val="en-US" w:eastAsia="zh-CN"/>
        </w:rPr>
        <w:t>1）</w:t>
      </w:r>
      <w:r>
        <w:rPr>
          <w:rFonts w:hint="eastAsia"/>
          <w:szCs w:val="24"/>
        </w:rPr>
        <w:t>钢筋砼管</w:t>
      </w:r>
      <w:r>
        <w:rPr>
          <w:szCs w:val="24"/>
        </w:rPr>
        <w:t>采用</w:t>
      </w:r>
      <w:r>
        <w:rPr>
          <w:rFonts w:hint="eastAsia"/>
          <w:szCs w:val="24"/>
        </w:rPr>
        <w:t>抗沉降双橡胶圈承插式</w:t>
      </w:r>
      <w:r>
        <w:rPr>
          <w:szCs w:val="24"/>
        </w:rPr>
        <w:t>接口</w:t>
      </w:r>
      <w:r>
        <w:rPr>
          <w:rFonts w:hint="eastAsia"/>
          <w:szCs w:val="24"/>
          <w:lang w:eastAsia="zh-CN"/>
        </w:rPr>
        <w:t>，</w:t>
      </w:r>
      <w:r>
        <w:rPr>
          <w:szCs w:val="24"/>
        </w:rPr>
        <w:t>接口具体</w:t>
      </w:r>
      <w:r>
        <w:rPr>
          <w:bCs/>
          <w:szCs w:val="24"/>
        </w:rPr>
        <w:t>做法</w:t>
      </w:r>
      <w:r>
        <w:rPr>
          <w:rFonts w:hint="eastAsia"/>
          <w:bCs/>
          <w:szCs w:val="24"/>
        </w:rPr>
        <w:t>详见</w:t>
      </w:r>
      <w:r>
        <w:rPr>
          <w:bCs/>
          <w:szCs w:val="24"/>
        </w:rPr>
        <w:t>06MS201-1/23</w:t>
      </w:r>
      <w:r>
        <w:rPr>
          <w:szCs w:val="24"/>
        </w:rPr>
        <w:t>。</w:t>
      </w:r>
    </w:p>
    <w:p w14:paraId="4002568E">
      <w:pPr>
        <w:ind w:firstLine="492" w:firstLineChars="200"/>
        <w:rPr>
          <w:szCs w:val="24"/>
        </w:rPr>
      </w:pPr>
      <w:r>
        <w:rPr>
          <w:szCs w:val="24"/>
        </w:rPr>
        <w:t>2）管道上覆土高度突变对管道上作用的荷载变化较大的部位；地基土质变化，地基支承强度改变较大的部位以及管道与管道交叉处的</w:t>
      </w:r>
      <w:r>
        <w:rPr>
          <w:rFonts w:hint="eastAsia"/>
          <w:szCs w:val="24"/>
        </w:rPr>
        <w:t>雨水口连接</w:t>
      </w:r>
      <w:r>
        <w:rPr>
          <w:szCs w:val="24"/>
        </w:rPr>
        <w:t>管均采用柔性接口。</w:t>
      </w:r>
    </w:p>
    <w:p w14:paraId="76B2353F">
      <w:pPr>
        <w:ind w:firstLine="492" w:firstLineChars="200"/>
        <w:rPr>
          <w:color w:val="auto"/>
          <w:szCs w:val="24"/>
        </w:rPr>
      </w:pPr>
      <w:r>
        <w:rPr>
          <w:szCs w:val="24"/>
        </w:rPr>
        <w:t>3）管道承口应放在进水方向，插口放在出水方向，与检查井连接采用短管连接，管</w:t>
      </w:r>
      <w:r>
        <w:rPr>
          <w:color w:val="auto"/>
          <w:szCs w:val="24"/>
        </w:rPr>
        <w:t>道与井壁间采用中介层，加水泥沙浆，中介层材料由厂家提供。管材连接所用管件、连接材料等均应由厂家配套提供现场指导施工。</w:t>
      </w:r>
    </w:p>
    <w:p w14:paraId="2F802CEC">
      <w:pPr>
        <w:pStyle w:val="5"/>
        <w:rPr>
          <w:color w:val="auto"/>
        </w:rPr>
      </w:pPr>
      <w:r>
        <w:rPr>
          <w:color w:val="auto"/>
        </w:rPr>
        <w:t>管道</w:t>
      </w:r>
      <w:r>
        <w:rPr>
          <w:rFonts w:hint="eastAsia"/>
          <w:color w:val="auto"/>
          <w:lang w:val="en-US" w:eastAsia="zh-CN"/>
        </w:rPr>
        <w:t>及雨水口清淤</w:t>
      </w:r>
    </w:p>
    <w:p w14:paraId="598A4067">
      <w:pPr>
        <w:ind w:firstLine="492" w:firstLineChars="200"/>
        <w:rPr>
          <w:rFonts w:hint="eastAsia"/>
          <w:color w:val="auto"/>
          <w:szCs w:val="24"/>
          <w:lang w:val="en-US" w:eastAsia="zh-CN"/>
        </w:rPr>
      </w:pPr>
      <w:r>
        <w:rPr>
          <w:rFonts w:hint="eastAsia"/>
          <w:color w:val="auto"/>
          <w:szCs w:val="24"/>
          <w:lang w:val="en-US" w:eastAsia="zh-CN"/>
        </w:rPr>
        <w:t>（1）清淤方式</w:t>
      </w:r>
    </w:p>
    <w:p w14:paraId="1E7185A9">
      <w:pPr>
        <w:ind w:firstLine="492" w:firstLineChars="200"/>
        <w:rPr>
          <w:color w:val="auto"/>
          <w:szCs w:val="24"/>
        </w:rPr>
      </w:pPr>
      <w:r>
        <w:rPr>
          <w:rFonts w:hint="eastAsia"/>
          <w:color w:val="auto"/>
          <w:szCs w:val="24"/>
          <w:lang w:val="en-US" w:eastAsia="zh-CN"/>
        </w:rPr>
        <w:t>施工单位</w:t>
      </w:r>
      <w:r>
        <w:rPr>
          <w:rFonts w:hint="eastAsia"/>
          <w:color w:val="auto"/>
          <w:szCs w:val="24"/>
        </w:rPr>
        <w:t>应根据管道内具体情况，因地制宜地采用绞车、人工清掏、水力冲洗、高压水射流清淤或是几种方式相结合的方法，实施分段清淤。</w:t>
      </w:r>
    </w:p>
    <w:p w14:paraId="05B65EF8">
      <w:pPr>
        <w:ind w:firstLine="492" w:firstLineChars="200"/>
        <w:rPr>
          <w:rFonts w:hint="default"/>
          <w:color w:val="auto"/>
          <w:szCs w:val="24"/>
          <w:lang w:val="en-US" w:eastAsia="zh-CN"/>
        </w:rPr>
      </w:pPr>
      <w:r>
        <w:rPr>
          <w:rFonts w:hint="eastAsia"/>
          <w:color w:val="auto"/>
          <w:szCs w:val="24"/>
          <w:lang w:val="en-US" w:eastAsia="zh-CN"/>
        </w:rPr>
        <w:t>（2）淤泥处置</w:t>
      </w:r>
    </w:p>
    <w:p w14:paraId="1068F3E0">
      <w:pPr>
        <w:ind w:firstLine="492" w:firstLineChars="200"/>
        <w:rPr>
          <w:color w:val="auto"/>
          <w:szCs w:val="24"/>
        </w:rPr>
      </w:pPr>
      <w:r>
        <w:rPr>
          <w:color w:val="auto"/>
          <w:szCs w:val="24"/>
        </w:rPr>
        <w:t>管道清淤过程中产生的污泥应进行妥善集中处置，不得随意堆放，乱弃。</w:t>
      </w:r>
    </w:p>
    <w:p w14:paraId="04721855">
      <w:pPr>
        <w:ind w:firstLine="492" w:firstLineChars="200"/>
        <w:rPr>
          <w:color w:val="auto"/>
          <w:szCs w:val="24"/>
        </w:rPr>
      </w:pPr>
      <w:r>
        <w:rPr>
          <w:rFonts w:hint="eastAsia"/>
          <w:color w:val="auto"/>
          <w:szCs w:val="24"/>
        </w:rPr>
        <w:t>管道淤泥运输及处置满足接受场地要求。</w:t>
      </w:r>
      <w:r>
        <w:rPr>
          <w:color w:val="auto"/>
          <w:szCs w:val="24"/>
        </w:rPr>
        <w:t>清淤工作应严格按照有限空间作业安全管理办法开展，并由专业的设备和人员完成，设备应齐全完善，专业人员应有相应的培训或资质，避免出现安全事故。清掏出的淤泥等应运至建设单位指定的污水厂或专业的填埋场所进行处理或填埋。</w:t>
      </w:r>
    </w:p>
    <w:p w14:paraId="03CE2F55">
      <w:pPr>
        <w:ind w:firstLine="492" w:firstLineChars="200"/>
        <w:rPr>
          <w:color w:val="auto"/>
          <w:szCs w:val="24"/>
        </w:rPr>
      </w:pPr>
      <w:r>
        <w:rPr>
          <w:rFonts w:hint="eastAsia"/>
          <w:color w:val="auto"/>
          <w:szCs w:val="24"/>
        </w:rPr>
        <w:t>若需</w:t>
      </w:r>
      <w:r>
        <w:rPr>
          <w:color w:val="auto"/>
          <w:szCs w:val="24"/>
        </w:rPr>
        <w:t>淤泥脱水应采用以下污染防护措施：淤泥脱水时，应注意采用必要的通风措施防止臭气；脱水时淤泥及脱水后的渗滤液应按照相应要求处理或排入现状污水管，禁止直接排入周边雨水管或河道，造成二次污染；现场脱水时，应张贴相应告示，与周边行人行车道留有足够距离。</w:t>
      </w:r>
    </w:p>
    <w:p w14:paraId="502B589C">
      <w:pPr>
        <w:ind w:firstLine="492" w:firstLineChars="200"/>
        <w:rPr>
          <w:color w:val="auto"/>
          <w:szCs w:val="24"/>
        </w:rPr>
      </w:pPr>
      <w:r>
        <w:rPr>
          <w:color w:val="auto"/>
          <w:szCs w:val="24"/>
        </w:rPr>
        <w:t>淤泥运输应满足以下要求：污泥运输应实现信息化管理，污泥运输相关信息、运输车辆定位等宜利用信息化平台实时监管，同时应采用防渗漏、防遗撒、无尖锐边角、易于装卸和清洁的专用密闭式车辆，防止恶臭逸散。运输车辆上应有明显的污泥标识，应加装GPS定位装置。运输车辆在驶出装载现场前和运送结束后，应在现场将车辆槽帮和车轮冲洗消毒后离开。</w:t>
      </w:r>
    </w:p>
    <w:p w14:paraId="31CDBC65">
      <w:pPr>
        <w:ind w:firstLine="492" w:firstLineChars="200"/>
        <w:rPr>
          <w:color w:val="auto"/>
          <w:szCs w:val="24"/>
        </w:rPr>
      </w:pPr>
      <w:r>
        <w:rPr>
          <w:color w:val="auto"/>
          <w:szCs w:val="24"/>
        </w:rPr>
        <w:t>淤泥渗滤液排放要求：当淤泥渗滤液达到《污水排入城镇下水道水质标准（GB/T31962-2015）》要求后，可就近排入附近污水检查井，排放前须与政府主管部门、业主、设计及监理各方协商确认。</w:t>
      </w:r>
    </w:p>
    <w:p w14:paraId="4FD36B60">
      <w:pPr>
        <w:pStyle w:val="4"/>
        <w:spacing w:before="176"/>
        <w:rPr>
          <w:color w:val="auto"/>
        </w:rPr>
      </w:pPr>
      <w:bookmarkStart w:id="0" w:name="_Toc448441435"/>
      <w:bookmarkStart w:id="1" w:name="_Toc451291267"/>
      <w:r>
        <w:rPr>
          <w:rFonts w:hint="eastAsia"/>
          <w:color w:val="auto"/>
        </w:rPr>
        <w:t>排水</w:t>
      </w:r>
      <w:r>
        <w:rPr>
          <w:color w:val="auto"/>
        </w:rPr>
        <w:t>附属构筑物</w:t>
      </w:r>
      <w:bookmarkEnd w:id="0"/>
      <w:bookmarkEnd w:id="1"/>
    </w:p>
    <w:p w14:paraId="2BC2EEC5">
      <w:pPr>
        <w:ind w:firstLine="492" w:firstLineChars="200"/>
        <w:rPr>
          <w:bCs/>
        </w:rPr>
      </w:pPr>
      <w:r>
        <w:rPr>
          <w:bCs/>
        </w:rPr>
        <w:t>（1）检查井</w:t>
      </w:r>
    </w:p>
    <w:p w14:paraId="3DA6F902">
      <w:pPr>
        <w:ind w:firstLine="492" w:firstLineChars="200"/>
      </w:pPr>
      <w:r>
        <w:t>车行道采用</w:t>
      </w:r>
      <w:r>
        <w:rPr>
          <w:rFonts w:hint="eastAsia"/>
        </w:rPr>
        <w:t>防盗球墨铸铁可调式防沉降井盖及盖座</w:t>
      </w:r>
      <w:r>
        <w:t>，按承载能力，最低选用D400类型；人行道、绿地等采用</w:t>
      </w:r>
      <w:r>
        <w:rPr>
          <w:rFonts w:hint="eastAsia"/>
        </w:rPr>
        <w:t>防盗球墨铸铁井盖及盖座，按承载能力，最低选用C250类型</w:t>
      </w:r>
      <w:r>
        <w:t>。井盖采用五防（防响动、防沉降、防位移、防坠落及防盗）球墨铸铁井盖及井座，产品必须满足建设部行业标准《检查井盖》（GB/T 23858-2009）相关技术要求。位于路面上的井盖，宜于地面齐平；位于绿化带内的井盖，不应低于地面。排水检查井盖应设置排气泄水孔，排气泄水孔的设置不应降低检查井盖的承载能力。排气泄水孔可开槽或开洞，尺寸应符合下表要求：</w:t>
      </w:r>
    </w:p>
    <w:tbl>
      <w:tblPr>
        <w:tblStyle w:val="18"/>
        <w:tblW w:w="4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3769"/>
        <w:gridCol w:w="2177"/>
      </w:tblGrid>
      <w:tr w14:paraId="156B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44" w:type="dxa"/>
            <w:shd w:val="clear" w:color="auto" w:fill="auto"/>
            <w:vAlign w:val="center"/>
          </w:tcPr>
          <w:p w14:paraId="38692D41">
            <w:pPr>
              <w:jc w:val="center"/>
              <w:rPr>
                <w:sz w:val="22"/>
                <w:szCs w:val="24"/>
              </w:rPr>
            </w:pPr>
            <w:r>
              <w:rPr>
                <w:sz w:val="22"/>
                <w:szCs w:val="24"/>
              </w:rPr>
              <w:t>井盖承载能力等级</w:t>
            </w:r>
          </w:p>
        </w:tc>
        <w:tc>
          <w:tcPr>
            <w:tcW w:w="3769" w:type="dxa"/>
            <w:shd w:val="clear" w:color="auto" w:fill="auto"/>
            <w:vAlign w:val="center"/>
          </w:tcPr>
          <w:p w14:paraId="58F1C7B1">
            <w:pPr>
              <w:jc w:val="center"/>
              <w:rPr>
                <w:sz w:val="22"/>
                <w:szCs w:val="24"/>
              </w:rPr>
            </w:pPr>
            <w:r>
              <w:rPr>
                <w:sz w:val="22"/>
                <w:szCs w:val="24"/>
              </w:rPr>
              <w:t>开槽</w:t>
            </w:r>
          </w:p>
        </w:tc>
        <w:tc>
          <w:tcPr>
            <w:tcW w:w="2177" w:type="dxa"/>
            <w:shd w:val="clear" w:color="auto" w:fill="auto"/>
            <w:vAlign w:val="center"/>
          </w:tcPr>
          <w:p w14:paraId="04891221">
            <w:pPr>
              <w:jc w:val="center"/>
              <w:rPr>
                <w:sz w:val="22"/>
                <w:szCs w:val="24"/>
              </w:rPr>
            </w:pPr>
            <w:r>
              <w:rPr>
                <w:sz w:val="22"/>
                <w:szCs w:val="24"/>
              </w:rPr>
              <w:t>开洞</w:t>
            </w:r>
          </w:p>
        </w:tc>
      </w:tr>
      <w:tr w14:paraId="5B1A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44" w:type="dxa"/>
            <w:shd w:val="clear" w:color="auto" w:fill="auto"/>
            <w:vAlign w:val="center"/>
          </w:tcPr>
          <w:p w14:paraId="4F75BE52">
            <w:pPr>
              <w:jc w:val="center"/>
              <w:rPr>
                <w:sz w:val="22"/>
                <w:szCs w:val="24"/>
              </w:rPr>
            </w:pPr>
            <w:r>
              <w:rPr>
                <w:sz w:val="22"/>
                <w:szCs w:val="24"/>
              </w:rPr>
              <w:t>A~B</w:t>
            </w:r>
          </w:p>
        </w:tc>
        <w:tc>
          <w:tcPr>
            <w:tcW w:w="3769" w:type="dxa"/>
            <w:shd w:val="clear" w:color="auto" w:fill="auto"/>
            <w:vAlign w:val="center"/>
          </w:tcPr>
          <w:p w14:paraId="0F2CA9C9">
            <w:pPr>
              <w:jc w:val="center"/>
              <w:rPr>
                <w:sz w:val="22"/>
                <w:szCs w:val="24"/>
              </w:rPr>
            </w:pPr>
            <w:r>
              <w:rPr>
                <w:sz w:val="22"/>
                <w:szCs w:val="24"/>
              </w:rPr>
              <w:t>长度≤170mm，宽度20~30mm</w:t>
            </w:r>
          </w:p>
        </w:tc>
        <w:tc>
          <w:tcPr>
            <w:tcW w:w="2177" w:type="dxa"/>
            <w:shd w:val="clear" w:color="auto" w:fill="auto"/>
            <w:vAlign w:val="center"/>
          </w:tcPr>
          <w:p w14:paraId="1104A770">
            <w:pPr>
              <w:jc w:val="center"/>
              <w:rPr>
                <w:sz w:val="22"/>
                <w:szCs w:val="24"/>
              </w:rPr>
            </w:pPr>
            <w:r>
              <w:rPr>
                <w:sz w:val="22"/>
                <w:szCs w:val="24"/>
              </w:rPr>
              <w:t>直径:20~40mm</w:t>
            </w:r>
          </w:p>
        </w:tc>
      </w:tr>
      <w:tr w14:paraId="0E67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44" w:type="dxa"/>
            <w:shd w:val="clear" w:color="auto" w:fill="auto"/>
            <w:vAlign w:val="center"/>
          </w:tcPr>
          <w:p w14:paraId="7D14D201">
            <w:pPr>
              <w:jc w:val="center"/>
              <w:rPr>
                <w:sz w:val="22"/>
                <w:szCs w:val="24"/>
              </w:rPr>
            </w:pPr>
            <w:r>
              <w:rPr>
                <w:sz w:val="22"/>
                <w:szCs w:val="24"/>
              </w:rPr>
              <w:t>C~F</w:t>
            </w:r>
          </w:p>
        </w:tc>
        <w:tc>
          <w:tcPr>
            <w:tcW w:w="3769" w:type="dxa"/>
            <w:shd w:val="clear" w:color="auto" w:fill="auto"/>
            <w:vAlign w:val="center"/>
          </w:tcPr>
          <w:p w14:paraId="4FFEFF47">
            <w:pPr>
              <w:jc w:val="center"/>
              <w:rPr>
                <w:sz w:val="22"/>
                <w:szCs w:val="24"/>
              </w:rPr>
            </w:pPr>
            <w:r>
              <w:rPr>
                <w:sz w:val="22"/>
                <w:szCs w:val="24"/>
              </w:rPr>
              <w:t>长度≤170mm，宽度20~35mm</w:t>
            </w:r>
          </w:p>
        </w:tc>
        <w:tc>
          <w:tcPr>
            <w:tcW w:w="2177" w:type="dxa"/>
            <w:shd w:val="clear" w:color="auto" w:fill="auto"/>
            <w:vAlign w:val="center"/>
          </w:tcPr>
          <w:p w14:paraId="623C3734">
            <w:pPr>
              <w:jc w:val="center"/>
              <w:rPr>
                <w:sz w:val="22"/>
                <w:szCs w:val="24"/>
              </w:rPr>
            </w:pPr>
            <w:r>
              <w:rPr>
                <w:sz w:val="22"/>
                <w:szCs w:val="24"/>
              </w:rPr>
              <w:t>直径:30~40mm</w:t>
            </w:r>
          </w:p>
        </w:tc>
      </w:tr>
    </w:tbl>
    <w:p w14:paraId="7073286F">
      <w:pPr>
        <w:pStyle w:val="86"/>
        <w:ind w:firstLine="493"/>
        <w:rPr>
          <w:rStyle w:val="21"/>
          <w:color w:val="auto"/>
        </w:rPr>
      </w:pPr>
      <w:r>
        <w:t>若后期井盖有其他景观要求，采购时</w:t>
      </w:r>
      <w:r>
        <w:rPr>
          <w:rFonts w:hint="eastAsia"/>
        </w:rPr>
        <w:t>可</w:t>
      </w:r>
      <w:r>
        <w:t>按建设单位要求执行</w:t>
      </w:r>
      <w:r>
        <w:rPr>
          <w:rFonts w:hint="eastAsia"/>
        </w:rPr>
        <w:t>，但</w:t>
      </w:r>
      <w:r>
        <w:t>应满足规范要求。</w:t>
      </w:r>
      <w:r>
        <w:rPr>
          <w:rStyle w:val="21"/>
          <w:rFonts w:hint="eastAsia"/>
          <w:color w:val="auto"/>
        </w:rPr>
        <w:t>检查井井盖包括隐形井盖，应有“雨水”“污水”“给水”“消防”等管道属性标识，不得盖错。</w:t>
      </w:r>
    </w:p>
    <w:p w14:paraId="638DB37F">
      <w:pPr>
        <w:pStyle w:val="86"/>
        <w:ind w:firstLine="493"/>
      </w:pPr>
      <w:r>
        <w:t>为避免在检查井盖损坏或缺失时发生行人坠落检查井的事故，检查井需安装防坠落装置。防坠落装置应牢固可靠，具有一定的承重能力（≥</w:t>
      </w:r>
      <w:r>
        <w:rPr>
          <w:rFonts w:hint="eastAsia"/>
        </w:rPr>
        <w:t>30</w:t>
      </w:r>
      <w:r>
        <w:t>0kg），并具备较大的过水能力，避免暴雨期间雨水从井底涌出时被冲走。防坠落装置包括防坠落网、防坠落井箅等。井盖防坠落网由8个不锈钢膨胀螺栓固定，安装在井口下10~15cm处的井筒内壁，防坠落网材质可选用（聚乙烯塑料绳、高强工业丝、涤纶丝、维纶丝、锦纶丝等）高强度且防腐蚀的材料。</w:t>
      </w:r>
    </w:p>
    <w:p w14:paraId="4E0D2D04">
      <w:pPr>
        <w:pStyle w:val="86"/>
        <w:ind w:firstLine="493"/>
      </w:pPr>
      <w:r>
        <w:rPr>
          <w:rFonts w:hint="eastAsia"/>
        </w:rPr>
        <w:t>设计检查井</w:t>
      </w:r>
      <w:r>
        <w:t>定位为管中心坐标</w:t>
      </w:r>
      <w:r>
        <w:rPr>
          <w:rFonts w:hint="eastAsia"/>
        </w:rPr>
        <w:t>。管道</w:t>
      </w:r>
      <w:r>
        <w:t>位于车行道时</w:t>
      </w:r>
      <w:r>
        <w:rPr>
          <w:rFonts w:hint="eastAsia"/>
        </w:rPr>
        <w:t>，检查井上部</w:t>
      </w:r>
      <w:r>
        <w:t>收口</w:t>
      </w:r>
      <w:r>
        <w:rPr>
          <w:rFonts w:hint="eastAsia"/>
        </w:rPr>
        <w:t>后</w:t>
      </w:r>
      <w:r>
        <w:t>井盖应位于人行道或绿化带内，必要时采用偏心井。</w:t>
      </w:r>
    </w:p>
    <w:p w14:paraId="68C14D59">
      <w:pPr>
        <w:pStyle w:val="86"/>
        <w:ind w:firstLine="493"/>
        <w:rPr>
          <w:bCs/>
        </w:rPr>
      </w:pPr>
      <w:r>
        <w:rPr>
          <w:bCs/>
        </w:rPr>
        <w:t>（</w:t>
      </w:r>
      <w:r>
        <w:rPr>
          <w:rFonts w:hint="eastAsia"/>
          <w:bCs/>
          <w:lang w:val="en-US" w:eastAsia="zh-CN"/>
        </w:rPr>
        <w:t>2</w:t>
      </w:r>
      <w:r>
        <w:rPr>
          <w:bCs/>
        </w:rPr>
        <w:t>）雨水口</w:t>
      </w:r>
      <w:r>
        <w:rPr>
          <w:rFonts w:hint="eastAsia"/>
          <w:bCs/>
        </w:rPr>
        <w:t>（箅）</w:t>
      </w:r>
    </w:p>
    <w:p w14:paraId="393CCBDF">
      <w:pPr>
        <w:pStyle w:val="86"/>
        <w:ind w:firstLine="493"/>
        <w:rPr>
          <w:rFonts w:hint="eastAsia"/>
        </w:rPr>
      </w:pPr>
      <w:r>
        <w:t>采用混凝土现浇雨水口</w:t>
      </w:r>
      <w:r>
        <w:rPr>
          <w:rFonts w:hint="eastAsia"/>
          <w:lang w:eastAsia="zh-CN"/>
        </w:rPr>
        <w:t>，</w:t>
      </w:r>
      <w:r>
        <w:rPr>
          <w:rFonts w:hint="eastAsia"/>
          <w:lang w:val="en-US" w:eastAsia="zh-CN"/>
        </w:rPr>
        <w:t>做法详图集渝22TS02-5-05，现状道路下新建的雨水口应进行加固，加固做法详详图集渝22TS02-5-07。</w:t>
      </w:r>
      <w:r>
        <w:t>主线500X800雨水边沟</w:t>
      </w:r>
      <w:r>
        <w:rPr>
          <w:rFonts w:hint="eastAsia"/>
        </w:rPr>
        <w:t>单坡</w:t>
      </w:r>
      <w:r>
        <w:t>段每隔10米设置双箅雨水箅，匝道400X500雨水边沟</w:t>
      </w:r>
      <w:r>
        <w:rPr>
          <w:rFonts w:hint="eastAsia"/>
        </w:rPr>
        <w:t>单坡</w:t>
      </w:r>
      <w:r>
        <w:t>段每隔20米设置双箅雨水箅</w:t>
      </w:r>
      <w:r>
        <w:rPr>
          <w:rFonts w:hint="eastAsia"/>
        </w:rPr>
        <w:t>，低</w:t>
      </w:r>
      <w:r>
        <w:t>凹处及</w:t>
      </w:r>
      <w:r>
        <w:rPr>
          <w:rFonts w:hint="eastAsia"/>
        </w:rPr>
        <w:t>收水</w:t>
      </w:r>
      <w:r>
        <w:t>范围较大处按设计</w:t>
      </w:r>
      <w:r>
        <w:rPr>
          <w:rFonts w:hint="eastAsia"/>
        </w:rPr>
        <w:t>数量</w:t>
      </w:r>
      <w:r>
        <w:t>设置雨水</w:t>
      </w:r>
      <w:r>
        <w:rPr>
          <w:rFonts w:hint="eastAsia"/>
        </w:rPr>
        <w:t>箅子。</w:t>
      </w:r>
    </w:p>
    <w:p w14:paraId="017C6442">
      <w:pPr>
        <w:pStyle w:val="86"/>
        <w:ind w:firstLine="493"/>
        <w:rPr>
          <w:bCs/>
          <w:szCs w:val="28"/>
        </w:rPr>
      </w:pPr>
      <w:r>
        <w:rPr>
          <w:rFonts w:hint="eastAsia"/>
          <w:bCs/>
          <w:szCs w:val="28"/>
        </w:rPr>
        <w:t>若无特别注明，雨水口连接管为d300，以不小于0.01的坡度坡向雨水检查井。</w:t>
      </w:r>
    </w:p>
    <w:p w14:paraId="32B7B25A">
      <w:pPr>
        <w:pStyle w:val="86"/>
        <w:ind w:firstLine="493"/>
        <w:rPr>
          <w:rFonts w:hint="eastAsia" w:eastAsia="宋体"/>
          <w:bCs/>
          <w:szCs w:val="28"/>
          <w:lang w:eastAsia="zh-CN"/>
        </w:rPr>
      </w:pPr>
      <w:r>
        <w:rPr>
          <w:rFonts w:hint="eastAsia"/>
          <w:bCs/>
          <w:szCs w:val="28"/>
        </w:rPr>
        <w:t>在道路凹曲线段布置雨水口时必须设在最低处，施工中应根据实际情况合理调整</w:t>
      </w:r>
      <w:r>
        <w:rPr>
          <w:rFonts w:hint="eastAsia"/>
          <w:bCs/>
          <w:szCs w:val="28"/>
          <w:lang w:eastAsia="zh-CN"/>
        </w:rPr>
        <w:t>，</w:t>
      </w:r>
      <w:r>
        <w:rPr>
          <w:bCs/>
          <w:szCs w:val="28"/>
        </w:rPr>
        <w:t>以保证有效收水</w:t>
      </w:r>
      <w:r>
        <w:rPr>
          <w:rFonts w:hint="eastAsia"/>
          <w:bCs/>
          <w:szCs w:val="28"/>
        </w:rPr>
        <w:t>；</w:t>
      </w:r>
      <w:r>
        <w:rPr>
          <w:bCs/>
          <w:szCs w:val="28"/>
        </w:rPr>
        <w:t>雨水口标高比路面低5</w:t>
      </w:r>
      <w:r>
        <w:rPr>
          <w:rFonts w:hint="eastAsia"/>
          <w:bCs/>
          <w:szCs w:val="28"/>
        </w:rPr>
        <w:t>.0</w:t>
      </w:r>
      <w:r>
        <w:rPr>
          <w:bCs/>
          <w:szCs w:val="28"/>
        </w:rPr>
        <w:t>cm</w:t>
      </w:r>
      <w:r>
        <w:rPr>
          <w:rFonts w:hint="eastAsia"/>
          <w:bCs/>
          <w:szCs w:val="28"/>
          <w:lang w:eastAsia="zh-CN"/>
        </w:rPr>
        <w:t>。</w:t>
      </w:r>
    </w:p>
    <w:p w14:paraId="13056C6C">
      <w:pPr>
        <w:pStyle w:val="86"/>
        <w:ind w:firstLine="493"/>
        <w:rPr>
          <w:bCs/>
          <w:szCs w:val="28"/>
        </w:rPr>
      </w:pPr>
      <w:r>
        <w:rPr>
          <w:rFonts w:hint="eastAsia"/>
          <w:bCs/>
          <w:szCs w:val="28"/>
        </w:rPr>
        <w:t>雨水口</w:t>
      </w:r>
      <w:r>
        <w:rPr>
          <w:bCs/>
          <w:szCs w:val="28"/>
        </w:rPr>
        <w:t>荷载标准为重型。</w:t>
      </w:r>
    </w:p>
    <w:p w14:paraId="4D5AA026">
      <w:pPr>
        <w:pStyle w:val="4"/>
        <w:bidi w:val="0"/>
        <w:rPr>
          <w:rFonts w:hint="eastAsia"/>
        </w:rPr>
      </w:pPr>
      <w:r>
        <w:rPr>
          <w:rFonts w:hint="eastAsia"/>
        </w:rPr>
        <w:t>关于有限空间作业的说明</w:t>
      </w:r>
    </w:p>
    <w:p w14:paraId="25894F35">
      <w:pPr>
        <w:pStyle w:val="86"/>
        <w:ind w:firstLine="493"/>
        <w:rPr>
          <w:rFonts w:hint="eastAsia" w:hAnsi="宋体"/>
        </w:rPr>
      </w:pPr>
      <w:r>
        <w:rPr>
          <w:rFonts w:hint="eastAsia" w:hAnsi="宋体"/>
        </w:rPr>
        <w:t>根据重庆市住房和城乡建设委员会关于进一步加强城镇排水与污水处理领域有限空间作业安全管理工作的通知精神，各施工单位施工时要全面识别和分析危险源，对可能造成气体毒害、缺氧窒息、物质燃爆、机械伤害、高温中暑等的有限空间作业，要有针对性的制定安全作业方案，严格落实作业审批制度。同时，应制定应急救援预案，配备必要的应急防护装备，定期组织应急处置演练，加强现场安全监护，发生意外时，要按照应急预案和应急演练内容科学施救，杜绝盲目救援造成人员伤亡。</w:t>
      </w:r>
    </w:p>
    <w:p w14:paraId="7B634342">
      <w:pPr>
        <w:pStyle w:val="86"/>
        <w:ind w:firstLine="493"/>
        <w:rPr>
          <w:rFonts w:hint="eastAsia" w:hAnsi="宋体"/>
        </w:rPr>
      </w:pPr>
      <w:r>
        <w:rPr>
          <w:rFonts w:hint="eastAsia" w:hAnsi="宋体"/>
        </w:rPr>
        <w:t>在有限空间施工，可能遭遇有毒有害气体、活动空间狭小、通风不畅、沟边泥石下落等危险因数，施工单位应加强安全管控措施,消除安全隐患,确保安全施工。</w:t>
      </w:r>
    </w:p>
    <w:p w14:paraId="6F3A5DE9">
      <w:pPr>
        <w:pStyle w:val="86"/>
        <w:ind w:firstLine="493"/>
        <w:rPr>
          <w:rFonts w:hint="eastAsia" w:hAnsi="宋体"/>
        </w:rPr>
      </w:pPr>
      <w:r>
        <w:rPr>
          <w:rFonts w:hint="eastAsia" w:hAnsi="宋体"/>
        </w:rPr>
        <w:t>（1）严格执行“先通风、检测、再作业”的原则</w:t>
      </w:r>
    </w:p>
    <w:p w14:paraId="272A17EC">
      <w:pPr>
        <w:pStyle w:val="86"/>
        <w:ind w:firstLine="493"/>
        <w:rPr>
          <w:rFonts w:hint="eastAsia" w:hAnsi="宋体"/>
        </w:rPr>
      </w:pPr>
      <w:r>
        <w:rPr>
          <w:rFonts w:hint="eastAsia" w:hAnsi="宋体"/>
        </w:rPr>
        <w:t>有限空间作业、特别是可能含有毒有害气体的应严格执行“先通风、检测、再作业”的原则，未经通风和检测，严禁作业人员进入有限空间作业。工作环境发生变化时，应视为进入新的有限空间，重新通风和检测后方可进入。</w:t>
      </w:r>
    </w:p>
    <w:p w14:paraId="15AB8176">
      <w:pPr>
        <w:pStyle w:val="86"/>
        <w:ind w:firstLine="493"/>
        <w:rPr>
          <w:rFonts w:hint="eastAsia" w:hAnsi="宋体"/>
        </w:rPr>
      </w:pPr>
      <w:r>
        <w:rPr>
          <w:rFonts w:hint="eastAsia" w:hAnsi="宋体"/>
        </w:rPr>
        <w:t>实施检测时，检测人员应处于安全环境，做好检测记录，包括检测时间、地点、气体种类和检测浓度等。检测指标包括氧浓度值、易燃易爆物质（可燃性气体、爆炸性粉尘）浓度值、有毒气体浓度值等。</w:t>
      </w:r>
    </w:p>
    <w:p w14:paraId="2166ED79">
      <w:pPr>
        <w:pStyle w:val="86"/>
        <w:ind w:firstLine="493"/>
        <w:rPr>
          <w:rFonts w:hint="eastAsia" w:hAnsi="宋体"/>
        </w:rPr>
      </w:pPr>
      <w:r>
        <w:rPr>
          <w:rFonts w:hint="eastAsia" w:hAnsi="宋体"/>
        </w:rPr>
        <w:t>（2）采取可靠隔离措施</w:t>
      </w:r>
    </w:p>
    <w:p w14:paraId="7533B9DA">
      <w:pPr>
        <w:pStyle w:val="86"/>
        <w:ind w:firstLine="493"/>
        <w:rPr>
          <w:rFonts w:hint="eastAsia" w:hAnsi="宋体"/>
        </w:rPr>
      </w:pPr>
      <w:r>
        <w:rPr>
          <w:rFonts w:hint="eastAsia" w:hAnsi="宋体"/>
        </w:rPr>
        <w:t>采取可靠隔断（隔离）措施，将有限空间与其他可能危及安全作业的管道、井室等。在进入有限空间作业前，应根据有限空间运行特性，对有限空间进行清洗或换气，并达到相关要求；</w:t>
      </w:r>
    </w:p>
    <w:p w14:paraId="122CD6CC">
      <w:pPr>
        <w:pStyle w:val="86"/>
        <w:ind w:firstLine="493"/>
        <w:rPr>
          <w:rFonts w:hint="eastAsia" w:hAnsi="宋体"/>
        </w:rPr>
      </w:pPr>
      <w:r>
        <w:rPr>
          <w:rFonts w:hint="eastAsia" w:hAnsi="宋体"/>
        </w:rPr>
        <w:t>（3）有足够的照明</w:t>
      </w:r>
    </w:p>
    <w:p w14:paraId="13DFBFF8">
      <w:pPr>
        <w:pStyle w:val="86"/>
        <w:ind w:firstLine="493"/>
        <w:rPr>
          <w:rFonts w:hint="eastAsia" w:hAnsi="宋体"/>
        </w:rPr>
      </w:pPr>
      <w:r>
        <w:rPr>
          <w:rFonts w:hint="eastAsia" w:hAnsi="宋体"/>
        </w:rPr>
        <w:t>有限空间作业应有足够的照明，照明灯具应符合国家安全标准的相关要求；存在可燃性气体的有限空间，所有的电气设备设施及照明应符合防爆要求。</w:t>
      </w:r>
    </w:p>
    <w:p w14:paraId="0CD9539C">
      <w:pPr>
        <w:pStyle w:val="86"/>
        <w:ind w:firstLine="493"/>
        <w:rPr>
          <w:rFonts w:hint="eastAsia" w:hAnsi="宋体"/>
        </w:rPr>
      </w:pPr>
      <w:r>
        <w:rPr>
          <w:rFonts w:hint="eastAsia" w:hAnsi="宋体"/>
        </w:rPr>
        <w:t>根据有限空间作业中存在的危险有害因素种类和危害程度，依据相关防护标准，配备个体防护装备并确保正确穿戴与使用，作业人员必须拴带救生绳。</w:t>
      </w:r>
    </w:p>
    <w:p w14:paraId="53D8D898">
      <w:pPr>
        <w:pStyle w:val="86"/>
        <w:ind w:firstLine="493"/>
        <w:rPr>
          <w:rFonts w:hint="eastAsia" w:hAnsi="宋体"/>
        </w:rPr>
      </w:pPr>
      <w:r>
        <w:rPr>
          <w:rFonts w:hint="eastAsia" w:hAnsi="宋体"/>
        </w:rPr>
        <w:t>实施有限空间作业前和作业过程中，应采取强制性持续通风措施降低危险，保持空气流通，严禁用纯氧进行通风换气。</w:t>
      </w:r>
    </w:p>
    <w:p w14:paraId="07DBFDA0">
      <w:pPr>
        <w:pStyle w:val="86"/>
        <w:ind w:firstLine="493"/>
        <w:rPr>
          <w:rFonts w:hint="eastAsia" w:hAnsi="宋体"/>
        </w:rPr>
      </w:pPr>
      <w:r>
        <w:rPr>
          <w:rFonts w:hint="eastAsia" w:hAnsi="宋体"/>
        </w:rPr>
        <w:t>（4）装备准备要齐全</w:t>
      </w:r>
    </w:p>
    <w:p w14:paraId="5DB3988E">
      <w:pPr>
        <w:pStyle w:val="86"/>
        <w:ind w:firstLine="493"/>
        <w:rPr>
          <w:rFonts w:hint="eastAsia" w:hAnsi="宋体"/>
        </w:rPr>
      </w:pPr>
      <w:r>
        <w:rPr>
          <w:rFonts w:hint="eastAsia" w:hAnsi="宋体"/>
        </w:rPr>
        <w:t>在缺氧或存在有毒物质（气体）的有限空间作业时，应佩戴隔离式防护面具；在易燃易爆的有限空间作业时，应穿防静电工作服、工作鞋，使用防爆型工具（照明）；在有酸碱等腐蚀性介质的有限空间作业时，应穿戴好防酸碱工作服、工作鞋、手套等护品；在产生噪声的有限空间作业时，应配戴耳塞或耳罩等防噪声护具。</w:t>
      </w:r>
    </w:p>
    <w:p w14:paraId="57F574E1">
      <w:pPr>
        <w:pStyle w:val="86"/>
        <w:ind w:firstLine="493"/>
        <w:rPr>
          <w:rFonts w:hint="eastAsia" w:hAnsi="宋体"/>
        </w:rPr>
      </w:pPr>
      <w:r>
        <w:rPr>
          <w:rFonts w:hint="eastAsia" w:hAnsi="宋体"/>
        </w:rPr>
        <w:t>（5）设置醒目的安全警示标志标识</w:t>
      </w:r>
    </w:p>
    <w:p w14:paraId="1ADCF0EB">
      <w:pPr>
        <w:pStyle w:val="86"/>
        <w:ind w:firstLine="493"/>
        <w:rPr>
          <w:rFonts w:hint="eastAsia" w:hAnsi="宋体"/>
        </w:rPr>
      </w:pPr>
      <w:r>
        <w:rPr>
          <w:rFonts w:hint="eastAsia" w:hAnsi="宋体"/>
        </w:rPr>
        <w:t>在有限空间进入点附近设置醒目的安全警示标志标识，提示作业者存在的危险有害因素和防控措施，明确有限空间现场作业负责人、作业人员、监护人员及检测人员的职责，不在没有监护人的情况下进行作业。</w:t>
      </w:r>
    </w:p>
    <w:p w14:paraId="3B12787F">
      <w:pPr>
        <w:pStyle w:val="86"/>
        <w:ind w:firstLine="493"/>
        <w:rPr>
          <w:rFonts w:hint="eastAsia" w:hAnsi="宋体"/>
          <w:lang w:eastAsia="zh-CN"/>
        </w:rPr>
      </w:pPr>
      <w:r>
        <w:rPr>
          <w:rFonts w:hint="eastAsia" w:hAnsi="宋体"/>
        </w:rPr>
        <w:t>对从事有限空间作业的相关人员进行包括有限空间存在的危险特性和安全作业的要求，进入有限空间的程序，检测仪器、个体防护用品等设备的正确使用，紧急情况下的个人避险常识、中毒窒息和其他伤害的应急救援措施等内容的培训，提高从业人员安全意识和自我保护的能力。</w:t>
      </w:r>
    </w:p>
    <w:p w14:paraId="0239E812">
      <w:pPr>
        <w:pStyle w:val="4"/>
        <w:spacing w:before="176"/>
      </w:pPr>
      <w:r>
        <w:rPr>
          <w:rFonts w:hint="eastAsia"/>
        </w:rPr>
        <w:t>危险性较大的分部分项工程特别说明</w:t>
      </w:r>
    </w:p>
    <w:p w14:paraId="3E8B54AF">
      <w:pPr>
        <w:pStyle w:val="86"/>
        <w:ind w:firstLine="493"/>
        <w:rPr>
          <w:rFonts w:hint="eastAsia" w:eastAsia="宋体"/>
          <w:lang w:eastAsia="zh-CN"/>
        </w:rPr>
      </w:pPr>
      <w:r>
        <w:rPr>
          <w:rFonts w:hint="eastAsia"/>
        </w:rPr>
        <w:t>根据住房和城乡建设部《危险性较大的分部分项工程安全管理规定》（住建部令第37号）、住房和城乡建设部办公厅《关于实施〈危险性较大的分部分项工程安全管理规定〉有关问题的通知》（建办质〔2018〕31号）、重庆市住房和城乡建设委员会《重庆市危险性较大的分部分项工程安全管理实施细则（2022版）》（渝建质安〔2022〕110号）的相关要求，及危大工程的重点部位和环节说明如下</w:t>
      </w:r>
      <w:r>
        <w:rPr>
          <w:rFonts w:hint="eastAsia"/>
          <w:lang w:eastAsia="zh-CN"/>
        </w:rPr>
        <w:t>：</w:t>
      </w:r>
    </w:p>
    <w:tbl>
      <w:tblPr>
        <w:tblStyle w:val="18"/>
        <w:tblW w:w="48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032"/>
        <w:gridCol w:w="1036"/>
        <w:gridCol w:w="2414"/>
        <w:gridCol w:w="4368"/>
      </w:tblGrid>
      <w:tr w14:paraId="2110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15" w:type="dxa"/>
            <w:noWrap w:val="0"/>
            <w:vAlign w:val="center"/>
          </w:tcPr>
          <w:p w14:paraId="08C8FE58">
            <w:pPr>
              <w:widowControl/>
              <w:spacing w:line="280" w:lineRule="exact"/>
              <w:jc w:val="center"/>
              <w:textAlignment w:val="center"/>
              <w:rPr>
                <w:rFonts w:hint="eastAsia" w:ascii="宋体" w:hAnsi="宋体" w:eastAsia="宋体" w:cs="宋体"/>
                <w:b w:val="0"/>
                <w:bCs w:val="0"/>
                <w:sz w:val="18"/>
                <w:szCs w:val="18"/>
              </w:rPr>
            </w:pPr>
            <w:r>
              <w:rPr>
                <w:rFonts w:hint="eastAsia" w:ascii="宋体" w:hAnsi="宋体" w:eastAsia="宋体" w:cs="宋体"/>
                <w:b w:val="0"/>
                <w:bCs w:val="0"/>
                <w:kern w:val="0"/>
                <w:sz w:val="18"/>
                <w:szCs w:val="18"/>
                <w:lang w:bidi="ar"/>
              </w:rPr>
              <w:t>序号</w:t>
            </w:r>
          </w:p>
        </w:tc>
        <w:tc>
          <w:tcPr>
            <w:tcW w:w="1032" w:type="dxa"/>
            <w:noWrap w:val="0"/>
            <w:vAlign w:val="center"/>
          </w:tcPr>
          <w:p w14:paraId="71DD04EE">
            <w:pPr>
              <w:widowControl/>
              <w:spacing w:line="280" w:lineRule="exact"/>
              <w:jc w:val="center"/>
              <w:textAlignment w:val="center"/>
              <w:rPr>
                <w:rFonts w:hint="eastAsia" w:ascii="宋体" w:hAnsi="宋体" w:eastAsia="宋体" w:cs="宋体"/>
                <w:b w:val="0"/>
                <w:bCs w:val="0"/>
                <w:sz w:val="18"/>
                <w:szCs w:val="18"/>
              </w:rPr>
            </w:pPr>
            <w:r>
              <w:rPr>
                <w:rFonts w:hint="eastAsia" w:ascii="宋体" w:hAnsi="宋体" w:eastAsia="宋体" w:cs="宋体"/>
                <w:b w:val="0"/>
                <w:bCs w:val="0"/>
                <w:kern w:val="0"/>
                <w:sz w:val="18"/>
                <w:szCs w:val="18"/>
                <w:lang w:bidi="ar"/>
              </w:rPr>
              <w:t>类别</w:t>
            </w:r>
          </w:p>
        </w:tc>
        <w:tc>
          <w:tcPr>
            <w:tcW w:w="3450" w:type="dxa"/>
            <w:gridSpan w:val="2"/>
            <w:noWrap w:val="0"/>
            <w:vAlign w:val="center"/>
          </w:tcPr>
          <w:p w14:paraId="69667F4D">
            <w:pPr>
              <w:widowControl/>
              <w:spacing w:line="280" w:lineRule="exact"/>
              <w:jc w:val="center"/>
              <w:textAlignment w:val="center"/>
              <w:rPr>
                <w:rFonts w:hint="eastAsia" w:ascii="宋体" w:hAnsi="宋体" w:eastAsia="宋体" w:cs="宋体"/>
                <w:b w:val="0"/>
                <w:bCs w:val="0"/>
                <w:sz w:val="18"/>
                <w:szCs w:val="18"/>
              </w:rPr>
            </w:pPr>
            <w:r>
              <w:rPr>
                <w:rFonts w:hint="eastAsia" w:ascii="宋体" w:hAnsi="宋体" w:eastAsia="宋体" w:cs="宋体"/>
                <w:b w:val="0"/>
                <w:bCs w:val="0"/>
                <w:kern w:val="0"/>
                <w:sz w:val="18"/>
                <w:szCs w:val="18"/>
                <w:lang w:bidi="ar"/>
              </w:rPr>
              <w:t>危大工程范围</w:t>
            </w:r>
          </w:p>
        </w:tc>
        <w:tc>
          <w:tcPr>
            <w:tcW w:w="4368" w:type="dxa"/>
            <w:noWrap w:val="0"/>
            <w:vAlign w:val="center"/>
          </w:tcPr>
          <w:p w14:paraId="3AFFCBDF">
            <w:pPr>
              <w:widowControl/>
              <w:spacing w:line="280" w:lineRule="exact"/>
              <w:jc w:val="center"/>
              <w:textAlignment w:val="center"/>
              <w:rPr>
                <w:rFonts w:hint="eastAsia" w:ascii="宋体" w:hAnsi="宋体" w:eastAsia="宋体" w:cs="宋体"/>
                <w:b w:val="0"/>
                <w:bCs w:val="0"/>
                <w:sz w:val="18"/>
                <w:szCs w:val="18"/>
              </w:rPr>
            </w:pPr>
            <w:r>
              <w:rPr>
                <w:rFonts w:hint="eastAsia" w:ascii="宋体" w:hAnsi="宋体" w:eastAsia="宋体" w:cs="宋体"/>
                <w:b w:val="0"/>
                <w:bCs w:val="0"/>
                <w:kern w:val="0"/>
                <w:sz w:val="18"/>
                <w:szCs w:val="18"/>
                <w:lang w:bidi="ar"/>
              </w:rPr>
              <w:t>超过一定规模的危大工程范围</w:t>
            </w:r>
          </w:p>
        </w:tc>
      </w:tr>
      <w:tr w14:paraId="56E3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5" w:type="dxa"/>
            <w:noWrap w:val="0"/>
            <w:vAlign w:val="center"/>
          </w:tcPr>
          <w:p w14:paraId="362A1215">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c>
          <w:tcPr>
            <w:tcW w:w="1032" w:type="dxa"/>
            <w:noWrap w:val="0"/>
            <w:vAlign w:val="center"/>
          </w:tcPr>
          <w:p w14:paraId="7B7022CF">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基坑工程</w:t>
            </w:r>
          </w:p>
        </w:tc>
        <w:tc>
          <w:tcPr>
            <w:tcW w:w="3450" w:type="dxa"/>
            <w:gridSpan w:val="2"/>
            <w:noWrap w:val="0"/>
            <w:vAlign w:val="center"/>
          </w:tcPr>
          <w:p w14:paraId="36D08629">
            <w:pPr>
              <w:widowControl/>
              <w:numPr>
                <w:ilvl w:val="0"/>
                <w:numId w:val="8"/>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开挖深度超过3m（含3m）的基坑（槽）的土方开挖、支护、降水工程。</w:t>
            </w:r>
          </w:p>
          <w:p w14:paraId="106A95ED">
            <w:pPr>
              <w:widowControl/>
              <w:numPr>
                <w:ilvl w:val="0"/>
                <w:numId w:val="8"/>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开挖深度虽未超过3m，但地质条件、周围环境和地下管线复杂，或影响毗邻建、构筑物安全的基坑（槽）的土方开挖、支护、降水工程。</w:t>
            </w:r>
          </w:p>
        </w:tc>
        <w:tc>
          <w:tcPr>
            <w:tcW w:w="4368" w:type="dxa"/>
            <w:noWrap w:val="0"/>
            <w:vAlign w:val="center"/>
          </w:tcPr>
          <w:p w14:paraId="19611D71">
            <w:pPr>
              <w:widowControl/>
              <w:numPr>
                <w:ilvl w:val="0"/>
                <w:numId w:val="9"/>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开挖深度超过5m（含5m）的基坑（槽）的土方开挖、支护、降水工程。</w:t>
            </w:r>
          </w:p>
        </w:tc>
      </w:tr>
      <w:tr w14:paraId="78CB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515" w:type="dxa"/>
            <w:noWrap w:val="0"/>
            <w:vAlign w:val="center"/>
          </w:tcPr>
          <w:p w14:paraId="18830192">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c>
          <w:tcPr>
            <w:tcW w:w="1032" w:type="dxa"/>
            <w:noWrap w:val="0"/>
            <w:vAlign w:val="center"/>
          </w:tcPr>
          <w:p w14:paraId="54C25C8F">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滑坡处理和高边坡工程</w:t>
            </w:r>
          </w:p>
        </w:tc>
        <w:tc>
          <w:tcPr>
            <w:tcW w:w="3450" w:type="dxa"/>
            <w:gridSpan w:val="2"/>
            <w:noWrap w:val="0"/>
            <w:vAlign w:val="center"/>
          </w:tcPr>
          <w:p w14:paraId="473A66CD">
            <w:pPr>
              <w:widowControl/>
              <w:numPr>
                <w:ilvl w:val="0"/>
                <w:numId w:val="10"/>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滑坡处理。</w:t>
            </w:r>
          </w:p>
          <w:p w14:paraId="34951CEC">
            <w:pPr>
              <w:widowControl/>
              <w:numPr>
                <w:ilvl w:val="0"/>
                <w:numId w:val="10"/>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岩质边坡高度≥15米，岩土混合边坡高度≥12米且土层厚度≥4米，土质边坡高度≥8米。</w:t>
            </w:r>
          </w:p>
          <w:p w14:paraId="299A0BC3">
            <w:pPr>
              <w:widowControl/>
              <w:numPr>
                <w:ilvl w:val="0"/>
                <w:numId w:val="10"/>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填方边坡高度≥8米。</w:t>
            </w:r>
          </w:p>
        </w:tc>
        <w:tc>
          <w:tcPr>
            <w:tcW w:w="4368" w:type="dxa"/>
            <w:noWrap w:val="0"/>
            <w:vAlign w:val="center"/>
          </w:tcPr>
          <w:p w14:paraId="6D093086">
            <w:pPr>
              <w:widowControl/>
              <w:numPr>
                <w:ilvl w:val="0"/>
                <w:numId w:val="11"/>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中型及以上滑坡体处理。</w:t>
            </w:r>
          </w:p>
          <w:p w14:paraId="67A4A70D">
            <w:pPr>
              <w:widowControl/>
              <w:numPr>
                <w:ilvl w:val="0"/>
                <w:numId w:val="11"/>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岩质边坡高度≥30米；岩土混合边坡高度≥25米且土层厚度≥4米；土质边坡高度≥15米。</w:t>
            </w:r>
          </w:p>
          <w:p w14:paraId="6B48B686">
            <w:pPr>
              <w:widowControl/>
              <w:numPr>
                <w:ilvl w:val="0"/>
                <w:numId w:val="11"/>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填方边坡高度≥12米。</w:t>
            </w:r>
          </w:p>
          <w:p w14:paraId="15D35BB8">
            <w:pPr>
              <w:widowControl/>
              <w:numPr>
                <w:ilvl w:val="0"/>
                <w:numId w:val="11"/>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曾发生过安全事故的高边坡项目。</w:t>
            </w:r>
          </w:p>
        </w:tc>
      </w:tr>
      <w:tr w14:paraId="4789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dxa"/>
            <w:noWrap w:val="0"/>
            <w:vAlign w:val="center"/>
          </w:tcPr>
          <w:p w14:paraId="23D760F7">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w:t>
            </w:r>
          </w:p>
        </w:tc>
        <w:tc>
          <w:tcPr>
            <w:tcW w:w="1032" w:type="dxa"/>
            <w:noWrap w:val="0"/>
            <w:vAlign w:val="center"/>
          </w:tcPr>
          <w:p w14:paraId="63F6F82E">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基础工程</w:t>
            </w:r>
          </w:p>
        </w:tc>
        <w:tc>
          <w:tcPr>
            <w:tcW w:w="3450" w:type="dxa"/>
            <w:gridSpan w:val="2"/>
            <w:noWrap w:val="0"/>
            <w:vAlign w:val="center"/>
          </w:tcPr>
          <w:p w14:paraId="2A1C961B">
            <w:pPr>
              <w:widowControl/>
              <w:numPr>
                <w:ilvl w:val="0"/>
                <w:numId w:val="12"/>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挡土墙基础。</w:t>
            </w:r>
          </w:p>
          <w:p w14:paraId="7E3D98B5">
            <w:pPr>
              <w:widowControl/>
              <w:numPr>
                <w:ilvl w:val="0"/>
                <w:numId w:val="12"/>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深水基础。</w:t>
            </w:r>
          </w:p>
        </w:tc>
        <w:tc>
          <w:tcPr>
            <w:tcW w:w="4368" w:type="dxa"/>
            <w:noWrap w:val="0"/>
            <w:vAlign w:val="center"/>
          </w:tcPr>
          <w:p w14:paraId="152E2572">
            <w:pPr>
              <w:widowControl/>
              <w:numPr>
                <w:ilvl w:val="0"/>
                <w:numId w:val="13"/>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平均高度不小于6m且面积不小于1200m</w:t>
            </w:r>
            <w:r>
              <w:rPr>
                <w:rFonts w:hint="eastAsia" w:ascii="宋体" w:hAnsi="宋体" w:eastAsia="宋体" w:cs="宋体"/>
                <w:sz w:val="18"/>
                <w:szCs w:val="18"/>
                <w:vertAlign w:val="superscript"/>
                <w:lang w:bidi="ar"/>
              </w:rPr>
              <w:t>2</w:t>
            </w:r>
            <w:r>
              <w:rPr>
                <w:rFonts w:hint="eastAsia" w:ascii="宋体" w:hAnsi="宋体" w:eastAsia="宋体" w:cs="宋体"/>
                <w:sz w:val="18"/>
                <w:szCs w:val="18"/>
                <w:lang w:bidi="ar"/>
              </w:rPr>
              <w:t>的砌体挡土墙的基础。</w:t>
            </w:r>
          </w:p>
          <w:p w14:paraId="6DE4D607">
            <w:pPr>
              <w:widowControl/>
              <w:numPr>
                <w:ilvl w:val="0"/>
                <w:numId w:val="13"/>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水深不小于20m的各类深水基础。</w:t>
            </w:r>
          </w:p>
        </w:tc>
      </w:tr>
      <w:tr w14:paraId="403E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5" w:type="dxa"/>
            <w:noWrap w:val="0"/>
            <w:vAlign w:val="center"/>
          </w:tcPr>
          <w:p w14:paraId="52E9E497">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w:t>
            </w:r>
          </w:p>
        </w:tc>
        <w:tc>
          <w:tcPr>
            <w:tcW w:w="1032" w:type="dxa"/>
            <w:noWrap w:val="0"/>
            <w:vAlign w:val="center"/>
          </w:tcPr>
          <w:p w14:paraId="114C25AE">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大型临时工程</w:t>
            </w:r>
          </w:p>
        </w:tc>
        <w:tc>
          <w:tcPr>
            <w:tcW w:w="3450" w:type="dxa"/>
            <w:gridSpan w:val="2"/>
            <w:noWrap w:val="0"/>
            <w:vAlign w:val="center"/>
          </w:tcPr>
          <w:p w14:paraId="10869376">
            <w:pPr>
              <w:widowControl/>
              <w:numPr>
                <w:ilvl w:val="0"/>
                <w:numId w:val="14"/>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围堰工程。</w:t>
            </w:r>
          </w:p>
          <w:p w14:paraId="181824B1">
            <w:pPr>
              <w:widowControl/>
              <w:numPr>
                <w:ilvl w:val="0"/>
                <w:numId w:val="14"/>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临时码头。</w:t>
            </w:r>
          </w:p>
          <w:p w14:paraId="6902AA92">
            <w:pPr>
              <w:widowControl/>
              <w:numPr>
                <w:ilvl w:val="0"/>
                <w:numId w:val="14"/>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水上作业平台。</w:t>
            </w:r>
          </w:p>
        </w:tc>
        <w:tc>
          <w:tcPr>
            <w:tcW w:w="4368" w:type="dxa"/>
            <w:noWrap w:val="0"/>
            <w:vAlign w:val="center"/>
          </w:tcPr>
          <w:p w14:paraId="786DE110">
            <w:pPr>
              <w:widowControl/>
              <w:numPr>
                <w:ilvl w:val="0"/>
                <w:numId w:val="15"/>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水深不小于5m的围堰工程。</w:t>
            </w:r>
          </w:p>
          <w:p w14:paraId="15F91D5E">
            <w:pPr>
              <w:widowControl/>
              <w:numPr>
                <w:ilvl w:val="0"/>
                <w:numId w:val="15"/>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猫道、移动模架。</w:t>
            </w:r>
          </w:p>
          <w:p w14:paraId="4C6C9930">
            <w:pPr>
              <w:widowControl/>
              <w:numPr>
                <w:ilvl w:val="0"/>
                <w:numId w:val="15"/>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栈桥。</w:t>
            </w:r>
          </w:p>
          <w:p w14:paraId="4EB36AE7">
            <w:pPr>
              <w:widowControl/>
              <w:numPr>
                <w:ilvl w:val="0"/>
                <w:numId w:val="15"/>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挂篮。</w:t>
            </w:r>
          </w:p>
        </w:tc>
      </w:tr>
      <w:tr w14:paraId="16FA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15" w:type="dxa"/>
            <w:noWrap w:val="0"/>
            <w:vAlign w:val="center"/>
          </w:tcPr>
          <w:p w14:paraId="1581A01A">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w:t>
            </w:r>
          </w:p>
        </w:tc>
        <w:tc>
          <w:tcPr>
            <w:tcW w:w="1032" w:type="dxa"/>
            <w:noWrap w:val="0"/>
            <w:vAlign w:val="center"/>
          </w:tcPr>
          <w:p w14:paraId="5C341C0F">
            <w:pPr>
              <w:widowControl/>
              <w:spacing w:line="280" w:lineRule="exact"/>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桥涵工程</w:t>
            </w:r>
          </w:p>
        </w:tc>
        <w:tc>
          <w:tcPr>
            <w:tcW w:w="3450" w:type="dxa"/>
            <w:gridSpan w:val="2"/>
            <w:noWrap w:val="0"/>
            <w:vAlign w:val="center"/>
          </w:tcPr>
          <w:p w14:paraId="1E00E480">
            <w:pPr>
              <w:widowControl/>
              <w:numPr>
                <w:ilvl w:val="0"/>
                <w:numId w:val="16"/>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桥梁工程中的梁、拱、柱等构件施工。</w:t>
            </w:r>
          </w:p>
          <w:p w14:paraId="3A068F6D">
            <w:pPr>
              <w:widowControl/>
              <w:numPr>
                <w:ilvl w:val="0"/>
                <w:numId w:val="16"/>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打桩船作业。</w:t>
            </w:r>
          </w:p>
          <w:p w14:paraId="04CC50C8">
            <w:pPr>
              <w:widowControl/>
              <w:numPr>
                <w:ilvl w:val="0"/>
                <w:numId w:val="16"/>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施工船作业。</w:t>
            </w:r>
          </w:p>
          <w:p w14:paraId="6202866F">
            <w:pPr>
              <w:widowControl/>
              <w:numPr>
                <w:ilvl w:val="0"/>
                <w:numId w:val="16"/>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边通航边施工作业。</w:t>
            </w:r>
          </w:p>
          <w:p w14:paraId="67FD6A8E">
            <w:pPr>
              <w:widowControl/>
              <w:numPr>
                <w:ilvl w:val="0"/>
                <w:numId w:val="16"/>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水下工程中的水下焊接、混凝土浇注等。</w:t>
            </w:r>
          </w:p>
          <w:p w14:paraId="1B40E36F">
            <w:pPr>
              <w:widowControl/>
              <w:numPr>
                <w:ilvl w:val="0"/>
                <w:numId w:val="16"/>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顶进工程。</w:t>
            </w:r>
          </w:p>
          <w:p w14:paraId="231EFDC8">
            <w:pPr>
              <w:widowControl/>
              <w:numPr>
                <w:ilvl w:val="0"/>
                <w:numId w:val="16"/>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上跨或下穿既有市政道路、铁路施工。</w:t>
            </w:r>
          </w:p>
        </w:tc>
        <w:tc>
          <w:tcPr>
            <w:tcW w:w="4368" w:type="dxa"/>
            <w:noWrap w:val="0"/>
            <w:vAlign w:val="center"/>
          </w:tcPr>
          <w:p w14:paraId="15DD7011">
            <w:pPr>
              <w:widowControl/>
              <w:numPr>
                <w:ilvl w:val="0"/>
                <w:numId w:val="1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长度不小于40m的预制梁的运输与安装，钢箱梁吊装。</w:t>
            </w:r>
          </w:p>
          <w:p w14:paraId="5A495AEF">
            <w:pPr>
              <w:widowControl/>
              <w:numPr>
                <w:ilvl w:val="0"/>
                <w:numId w:val="1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跨度不小于150m的钢管拱安装施工。</w:t>
            </w:r>
          </w:p>
          <w:p w14:paraId="597CE1CC">
            <w:pPr>
              <w:widowControl/>
              <w:numPr>
                <w:ilvl w:val="0"/>
                <w:numId w:val="1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高度不小于40m的墩柱、高度不小于100m的索塔等的施工。</w:t>
            </w:r>
          </w:p>
          <w:p w14:paraId="55900412">
            <w:pPr>
              <w:widowControl/>
              <w:numPr>
                <w:ilvl w:val="0"/>
                <w:numId w:val="1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离岸无掩护条件下的桩基施工。</w:t>
            </w:r>
          </w:p>
          <w:p w14:paraId="4C16864D">
            <w:pPr>
              <w:widowControl/>
              <w:numPr>
                <w:ilvl w:val="0"/>
                <w:numId w:val="1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开敞式水域大型预制构件的运输与吊装作业。</w:t>
            </w:r>
          </w:p>
          <w:p w14:paraId="06500B56">
            <w:pPr>
              <w:widowControl/>
              <w:numPr>
                <w:ilvl w:val="0"/>
                <w:numId w:val="1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在三级及以上通航等级的航道上进行的水上水下施工。</w:t>
            </w:r>
          </w:p>
          <w:p w14:paraId="1C8AC839">
            <w:pPr>
              <w:widowControl/>
              <w:numPr>
                <w:ilvl w:val="0"/>
                <w:numId w:val="17"/>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转体、缆索吊装、顶推施工。</w:t>
            </w:r>
          </w:p>
        </w:tc>
      </w:tr>
      <w:tr w14:paraId="1C2D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515" w:type="dxa"/>
            <w:vMerge w:val="restart"/>
            <w:noWrap w:val="0"/>
            <w:vAlign w:val="center"/>
          </w:tcPr>
          <w:p w14:paraId="099AC498">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6</w:t>
            </w:r>
          </w:p>
        </w:tc>
        <w:tc>
          <w:tcPr>
            <w:tcW w:w="1032" w:type="dxa"/>
            <w:vMerge w:val="restart"/>
            <w:noWrap w:val="0"/>
            <w:vAlign w:val="center"/>
          </w:tcPr>
          <w:p w14:paraId="6E121ED9">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模板工程及支撑体系</w:t>
            </w:r>
          </w:p>
        </w:tc>
        <w:tc>
          <w:tcPr>
            <w:tcW w:w="3450" w:type="dxa"/>
            <w:gridSpan w:val="2"/>
            <w:noWrap w:val="0"/>
            <w:vAlign w:val="center"/>
          </w:tcPr>
          <w:p w14:paraId="45697D65">
            <w:pPr>
              <w:widowControl/>
              <w:numPr>
                <w:ilvl w:val="0"/>
                <w:numId w:val="18"/>
              </w:numPr>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各类工具式模扳工程：包括滑模、爬模、飞模、</w:t>
            </w:r>
            <w:r>
              <w:rPr>
                <w:rFonts w:hint="eastAsia" w:ascii="宋体" w:hAnsi="宋体" w:eastAsia="宋体" w:cs="宋体"/>
                <w:sz w:val="18"/>
                <w:szCs w:val="18"/>
                <w:lang w:bidi="ar"/>
              </w:rPr>
              <w:t>翻模、</w:t>
            </w:r>
            <w:r>
              <w:rPr>
                <w:rFonts w:hint="eastAsia" w:ascii="宋体" w:hAnsi="宋体" w:eastAsia="宋体" w:cs="宋体"/>
                <w:kern w:val="0"/>
                <w:sz w:val="18"/>
                <w:szCs w:val="18"/>
                <w:lang w:bidi="ar"/>
              </w:rPr>
              <w:t>隧道模等工程。</w:t>
            </w:r>
          </w:p>
        </w:tc>
        <w:tc>
          <w:tcPr>
            <w:tcW w:w="4368" w:type="dxa"/>
            <w:noWrap w:val="0"/>
            <w:vAlign w:val="center"/>
          </w:tcPr>
          <w:p w14:paraId="04FF1A00">
            <w:pPr>
              <w:numPr>
                <w:ilvl w:val="0"/>
                <w:numId w:val="19"/>
              </w:numPr>
              <w:spacing w:line="280" w:lineRule="exact"/>
              <w:rPr>
                <w:rFonts w:hint="eastAsia" w:ascii="宋体" w:hAnsi="宋体" w:eastAsia="宋体" w:cs="宋体"/>
                <w:sz w:val="18"/>
                <w:szCs w:val="18"/>
                <w:lang w:bidi="ar"/>
              </w:rPr>
            </w:pPr>
            <w:r>
              <w:rPr>
                <w:rFonts w:hint="eastAsia" w:ascii="宋体" w:hAnsi="宋体" w:eastAsia="宋体" w:cs="宋体"/>
                <w:kern w:val="0"/>
                <w:sz w:val="18"/>
                <w:szCs w:val="18"/>
                <w:lang w:bidi="ar"/>
              </w:rPr>
              <w:t>各类工具式模扳工程：包括滑模、爬模、飞模、</w:t>
            </w:r>
            <w:r>
              <w:rPr>
                <w:rFonts w:hint="eastAsia" w:ascii="宋体" w:hAnsi="宋体" w:eastAsia="宋体" w:cs="宋体"/>
                <w:sz w:val="18"/>
                <w:szCs w:val="18"/>
                <w:lang w:bidi="ar"/>
              </w:rPr>
              <w:t>翻模、</w:t>
            </w:r>
            <w:r>
              <w:rPr>
                <w:rFonts w:hint="eastAsia" w:ascii="宋体" w:hAnsi="宋体" w:eastAsia="宋体" w:cs="宋体"/>
                <w:kern w:val="0"/>
                <w:sz w:val="18"/>
                <w:szCs w:val="18"/>
                <w:lang w:bidi="ar"/>
              </w:rPr>
              <w:t>隧道模等工程。</w:t>
            </w:r>
          </w:p>
        </w:tc>
      </w:tr>
      <w:tr w14:paraId="55F89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5" w:type="dxa"/>
            <w:vMerge w:val="continue"/>
            <w:noWrap w:val="0"/>
            <w:vAlign w:val="center"/>
          </w:tcPr>
          <w:p w14:paraId="392949CE">
            <w:pPr>
              <w:spacing w:line="280" w:lineRule="exact"/>
              <w:jc w:val="center"/>
              <w:rPr>
                <w:rFonts w:hint="eastAsia" w:ascii="宋体" w:hAnsi="宋体" w:eastAsia="宋体" w:cs="宋体"/>
                <w:kern w:val="0"/>
                <w:sz w:val="18"/>
                <w:szCs w:val="18"/>
                <w:lang w:bidi="ar"/>
              </w:rPr>
            </w:pPr>
          </w:p>
        </w:tc>
        <w:tc>
          <w:tcPr>
            <w:tcW w:w="1032" w:type="dxa"/>
            <w:vMerge w:val="continue"/>
            <w:noWrap w:val="0"/>
            <w:vAlign w:val="center"/>
          </w:tcPr>
          <w:p w14:paraId="45F86AE5">
            <w:pPr>
              <w:spacing w:line="280" w:lineRule="exact"/>
              <w:jc w:val="center"/>
              <w:rPr>
                <w:rFonts w:hint="eastAsia" w:ascii="宋体" w:hAnsi="宋体" w:eastAsia="宋体" w:cs="宋体"/>
                <w:kern w:val="0"/>
                <w:sz w:val="18"/>
                <w:szCs w:val="18"/>
                <w:lang w:bidi="ar"/>
              </w:rPr>
            </w:pPr>
          </w:p>
        </w:tc>
        <w:tc>
          <w:tcPr>
            <w:tcW w:w="1036" w:type="dxa"/>
            <w:noWrap w:val="0"/>
            <w:vAlign w:val="center"/>
          </w:tcPr>
          <w:p w14:paraId="0327E75F">
            <w:pPr>
              <w:widowControl/>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混凝土模板支撑工程：</w:t>
            </w:r>
          </w:p>
        </w:tc>
        <w:tc>
          <w:tcPr>
            <w:tcW w:w="2414" w:type="dxa"/>
            <w:noWrap w:val="0"/>
            <w:vAlign w:val="center"/>
          </w:tcPr>
          <w:p w14:paraId="36DAD3BD">
            <w:pPr>
              <w:widowControl/>
              <w:numPr>
                <w:ilvl w:val="0"/>
                <w:numId w:val="20"/>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搭设高度5m及以上。</w:t>
            </w:r>
          </w:p>
          <w:p w14:paraId="0D56F66F">
            <w:pPr>
              <w:widowControl/>
              <w:numPr>
                <w:ilvl w:val="0"/>
                <w:numId w:val="20"/>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搭设跨度10m及以上。</w:t>
            </w:r>
          </w:p>
          <w:p w14:paraId="4DB6679C">
            <w:pPr>
              <w:widowControl/>
              <w:numPr>
                <w:ilvl w:val="0"/>
                <w:numId w:val="20"/>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施工总荷载（荷载效应基本组合的设计值，以下简称设计值）10kN/m2及以上。</w:t>
            </w:r>
          </w:p>
          <w:p w14:paraId="4E993409">
            <w:pPr>
              <w:widowControl/>
              <w:numPr>
                <w:ilvl w:val="0"/>
                <w:numId w:val="20"/>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集中线荷载（设计值）15kN/m及以上。</w:t>
            </w:r>
          </w:p>
          <w:p w14:paraId="384911D7">
            <w:pPr>
              <w:widowControl/>
              <w:numPr>
                <w:ilvl w:val="0"/>
                <w:numId w:val="20"/>
              </w:numPr>
              <w:spacing w:line="280" w:lineRule="exact"/>
              <w:textAlignment w:val="center"/>
              <w:rPr>
                <w:rFonts w:hint="eastAsia" w:ascii="宋体" w:hAnsi="宋体" w:eastAsia="宋体" w:cs="宋体"/>
                <w:sz w:val="18"/>
                <w:szCs w:val="18"/>
              </w:rPr>
            </w:pPr>
            <w:r>
              <w:rPr>
                <w:rFonts w:hint="eastAsia" w:ascii="宋体" w:hAnsi="宋体" w:eastAsia="宋体" w:cs="宋体"/>
                <w:sz w:val="18"/>
                <w:szCs w:val="18"/>
                <w:lang w:bidi="ar"/>
              </w:rPr>
              <w:t>高度大于支撑水平投影宽度且相对独立无联系构件的混凝土模板支撑工程。</w:t>
            </w:r>
          </w:p>
        </w:tc>
        <w:tc>
          <w:tcPr>
            <w:tcW w:w="4368" w:type="dxa"/>
            <w:noWrap w:val="0"/>
            <w:vAlign w:val="center"/>
          </w:tcPr>
          <w:p w14:paraId="3EE06ABE">
            <w:pPr>
              <w:widowControl/>
              <w:numPr>
                <w:ilvl w:val="0"/>
                <w:numId w:val="21"/>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搭设高度8m及以上。</w:t>
            </w:r>
          </w:p>
          <w:p w14:paraId="7F09CE00">
            <w:pPr>
              <w:widowControl/>
              <w:numPr>
                <w:ilvl w:val="0"/>
                <w:numId w:val="21"/>
              </w:numPr>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搭设跨度18m及以上。</w:t>
            </w:r>
          </w:p>
          <w:p w14:paraId="1E07DAA2">
            <w:pPr>
              <w:widowControl/>
              <w:numPr>
                <w:ilvl w:val="0"/>
                <w:numId w:val="21"/>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施工总荷载（设计值）15kN/m2及以上。</w:t>
            </w:r>
          </w:p>
          <w:p w14:paraId="3EE0F05B">
            <w:pPr>
              <w:widowControl/>
              <w:numPr>
                <w:ilvl w:val="0"/>
                <w:numId w:val="21"/>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rPr>
              <w:t>集中线荷载（设计值）20kN/m及以上。</w:t>
            </w:r>
          </w:p>
        </w:tc>
      </w:tr>
      <w:tr w14:paraId="59C81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515" w:type="dxa"/>
            <w:vMerge w:val="continue"/>
            <w:noWrap w:val="0"/>
            <w:vAlign w:val="center"/>
          </w:tcPr>
          <w:p w14:paraId="6D5821BB">
            <w:pPr>
              <w:spacing w:line="280" w:lineRule="exact"/>
              <w:jc w:val="center"/>
              <w:rPr>
                <w:rFonts w:hint="eastAsia" w:ascii="宋体" w:hAnsi="宋体" w:eastAsia="宋体" w:cs="宋体"/>
                <w:kern w:val="0"/>
                <w:sz w:val="18"/>
                <w:szCs w:val="18"/>
                <w:lang w:bidi="ar"/>
              </w:rPr>
            </w:pPr>
          </w:p>
        </w:tc>
        <w:tc>
          <w:tcPr>
            <w:tcW w:w="1032" w:type="dxa"/>
            <w:vMerge w:val="continue"/>
            <w:noWrap w:val="0"/>
            <w:vAlign w:val="center"/>
          </w:tcPr>
          <w:p w14:paraId="2C829441">
            <w:pPr>
              <w:spacing w:line="280" w:lineRule="exact"/>
              <w:jc w:val="center"/>
              <w:rPr>
                <w:rFonts w:hint="eastAsia" w:ascii="宋体" w:hAnsi="宋体" w:eastAsia="宋体" w:cs="宋体"/>
                <w:kern w:val="0"/>
                <w:sz w:val="18"/>
                <w:szCs w:val="18"/>
                <w:lang w:bidi="ar"/>
              </w:rPr>
            </w:pPr>
          </w:p>
        </w:tc>
        <w:tc>
          <w:tcPr>
            <w:tcW w:w="3450" w:type="dxa"/>
            <w:gridSpan w:val="2"/>
            <w:noWrap w:val="0"/>
            <w:vAlign w:val="center"/>
          </w:tcPr>
          <w:p w14:paraId="0658AD99">
            <w:pPr>
              <w:widowControl/>
              <w:numPr>
                <w:ilvl w:val="0"/>
                <w:numId w:val="22"/>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承重支撑体系：用于钢结构安装等满堂支撑体系。</w:t>
            </w:r>
          </w:p>
        </w:tc>
        <w:tc>
          <w:tcPr>
            <w:tcW w:w="4368" w:type="dxa"/>
            <w:noWrap w:val="0"/>
            <w:vAlign w:val="center"/>
          </w:tcPr>
          <w:p w14:paraId="5F5B8318">
            <w:pPr>
              <w:widowControl/>
              <w:numPr>
                <w:ilvl w:val="0"/>
                <w:numId w:val="23"/>
              </w:numPr>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承重支撑体系：用于钢结构安装等满堂支撑体系，承受单点集中荷载7KN以上。</w:t>
            </w:r>
          </w:p>
        </w:tc>
      </w:tr>
      <w:tr w14:paraId="46BA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515" w:type="dxa"/>
            <w:noWrap w:val="0"/>
            <w:vAlign w:val="center"/>
          </w:tcPr>
          <w:p w14:paraId="30C08372">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7</w:t>
            </w:r>
          </w:p>
        </w:tc>
        <w:tc>
          <w:tcPr>
            <w:tcW w:w="1032" w:type="dxa"/>
            <w:noWrap w:val="0"/>
            <w:vAlign w:val="center"/>
          </w:tcPr>
          <w:p w14:paraId="7BCEDA68">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起重吊装及起重机械安装拆卸工程</w:t>
            </w:r>
          </w:p>
        </w:tc>
        <w:tc>
          <w:tcPr>
            <w:tcW w:w="3450" w:type="dxa"/>
            <w:gridSpan w:val="2"/>
            <w:noWrap w:val="0"/>
            <w:vAlign w:val="center"/>
          </w:tcPr>
          <w:p w14:paraId="086F56E4">
            <w:pPr>
              <w:widowControl/>
              <w:numPr>
                <w:ilvl w:val="0"/>
                <w:numId w:val="24"/>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采用非常规起重设备、方法，且单件起吊重量在10KN及以上的起重吊装工程。</w:t>
            </w:r>
          </w:p>
          <w:p w14:paraId="282A64AE">
            <w:pPr>
              <w:widowControl/>
              <w:numPr>
                <w:ilvl w:val="0"/>
                <w:numId w:val="24"/>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采用起重机械进行安装的工程。</w:t>
            </w:r>
          </w:p>
          <w:p w14:paraId="1F4BA7A6">
            <w:pPr>
              <w:widowControl/>
              <w:numPr>
                <w:ilvl w:val="0"/>
                <w:numId w:val="24"/>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起重机械安装和拆卸工程。</w:t>
            </w:r>
          </w:p>
        </w:tc>
        <w:tc>
          <w:tcPr>
            <w:tcW w:w="4368" w:type="dxa"/>
            <w:noWrap w:val="0"/>
            <w:vAlign w:val="center"/>
          </w:tcPr>
          <w:p w14:paraId="586A9098">
            <w:pPr>
              <w:widowControl/>
              <w:numPr>
                <w:ilvl w:val="0"/>
                <w:numId w:val="25"/>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采用非常规起重设备、方法，且单件起吊重量在100KN及以上的起重吊装工程。</w:t>
            </w:r>
          </w:p>
          <w:p w14:paraId="345E598F">
            <w:pPr>
              <w:widowControl/>
              <w:numPr>
                <w:ilvl w:val="0"/>
                <w:numId w:val="25"/>
              </w:numPr>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起重量300kN及以上，或搭设总高度200m及以上，或搭设基础标高在200m及以上的起重机械安装和拆卸工程。</w:t>
            </w:r>
          </w:p>
          <w:p w14:paraId="7C4A9F62">
            <w:pPr>
              <w:widowControl/>
              <w:numPr>
                <w:ilvl w:val="0"/>
                <w:numId w:val="25"/>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采用非常规方式进行的起重机械安装和拆卸工程。</w:t>
            </w:r>
          </w:p>
          <w:p w14:paraId="1F4D7B25">
            <w:pPr>
              <w:widowControl/>
              <w:numPr>
                <w:ilvl w:val="0"/>
                <w:numId w:val="25"/>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采用非说明书中基础形式或附墙形式进行安装的塔式起重机和施工升降机安装工程。</w:t>
            </w:r>
          </w:p>
        </w:tc>
      </w:tr>
      <w:tr w14:paraId="640F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515" w:type="dxa"/>
            <w:noWrap w:val="0"/>
            <w:vAlign w:val="center"/>
          </w:tcPr>
          <w:p w14:paraId="143C2043">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8</w:t>
            </w:r>
          </w:p>
        </w:tc>
        <w:tc>
          <w:tcPr>
            <w:tcW w:w="1032" w:type="dxa"/>
            <w:noWrap w:val="0"/>
            <w:vAlign w:val="center"/>
          </w:tcPr>
          <w:p w14:paraId="75018113">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脚手架工程</w:t>
            </w:r>
          </w:p>
        </w:tc>
        <w:tc>
          <w:tcPr>
            <w:tcW w:w="3450" w:type="dxa"/>
            <w:gridSpan w:val="2"/>
            <w:noWrap w:val="0"/>
            <w:vAlign w:val="center"/>
          </w:tcPr>
          <w:p w14:paraId="25C298B4">
            <w:pPr>
              <w:widowControl/>
              <w:numPr>
                <w:ilvl w:val="0"/>
                <w:numId w:val="26"/>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搭设高度24m及以上的落地式钢管脚手架工程（包括采光井、电梯井脚手架）。</w:t>
            </w:r>
          </w:p>
          <w:p w14:paraId="043866D3">
            <w:pPr>
              <w:widowControl/>
              <w:numPr>
                <w:ilvl w:val="0"/>
                <w:numId w:val="26"/>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附着式升降脚手架工程。</w:t>
            </w:r>
          </w:p>
          <w:p w14:paraId="536CAD4A">
            <w:pPr>
              <w:widowControl/>
              <w:numPr>
                <w:ilvl w:val="0"/>
                <w:numId w:val="26"/>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悬挑式脚手架工程。</w:t>
            </w:r>
          </w:p>
          <w:p w14:paraId="352E2764">
            <w:pPr>
              <w:widowControl/>
              <w:numPr>
                <w:ilvl w:val="0"/>
                <w:numId w:val="26"/>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高处作业吊篮。</w:t>
            </w:r>
          </w:p>
          <w:p w14:paraId="032ADC73">
            <w:pPr>
              <w:widowControl/>
              <w:numPr>
                <w:ilvl w:val="0"/>
                <w:numId w:val="26"/>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卸料平台、操作平台工程。</w:t>
            </w:r>
          </w:p>
          <w:p w14:paraId="15263E65">
            <w:pPr>
              <w:widowControl/>
              <w:numPr>
                <w:ilvl w:val="0"/>
                <w:numId w:val="26"/>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异型脚手架工程。</w:t>
            </w:r>
          </w:p>
        </w:tc>
        <w:tc>
          <w:tcPr>
            <w:tcW w:w="4368" w:type="dxa"/>
            <w:noWrap w:val="0"/>
            <w:vAlign w:val="center"/>
          </w:tcPr>
          <w:p w14:paraId="4691D905">
            <w:pPr>
              <w:widowControl/>
              <w:numPr>
                <w:ilvl w:val="0"/>
                <w:numId w:val="27"/>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搭设高度50m及以上的落地式钢管脚手架工程。</w:t>
            </w:r>
          </w:p>
          <w:p w14:paraId="1B89961B">
            <w:pPr>
              <w:widowControl/>
              <w:numPr>
                <w:ilvl w:val="0"/>
                <w:numId w:val="27"/>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附着式升降脚手架工程或附着式升降操作平台工程。</w:t>
            </w:r>
          </w:p>
          <w:p w14:paraId="0989C00F">
            <w:pPr>
              <w:widowControl/>
              <w:numPr>
                <w:ilvl w:val="0"/>
                <w:numId w:val="27"/>
              </w:numPr>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分段架体搭设高度20m及以上的悬挑式脚手架工程。</w:t>
            </w:r>
          </w:p>
          <w:p w14:paraId="5F78F632">
            <w:pPr>
              <w:widowControl/>
              <w:numPr>
                <w:ilvl w:val="0"/>
                <w:numId w:val="27"/>
              </w:numPr>
              <w:spacing w:line="280" w:lineRule="exact"/>
              <w:textAlignment w:val="center"/>
              <w:rPr>
                <w:rFonts w:hint="eastAsia" w:ascii="宋体" w:hAnsi="宋体" w:eastAsia="宋体" w:cs="宋体"/>
                <w:sz w:val="18"/>
                <w:szCs w:val="18"/>
                <w:lang w:bidi="ar"/>
              </w:rPr>
            </w:pPr>
            <w:r>
              <w:rPr>
                <w:rFonts w:hint="eastAsia" w:ascii="宋体" w:hAnsi="宋体" w:eastAsia="宋体" w:cs="宋体"/>
                <w:sz w:val="18"/>
                <w:szCs w:val="18"/>
                <w:lang w:bidi="ar"/>
              </w:rPr>
              <w:t>作业面异形、复杂的或无法按产品说明书要求安装的高处作业吊篮工程。</w:t>
            </w:r>
          </w:p>
        </w:tc>
      </w:tr>
      <w:tr w14:paraId="1A85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515" w:type="dxa"/>
            <w:noWrap w:val="0"/>
            <w:vAlign w:val="center"/>
          </w:tcPr>
          <w:p w14:paraId="678393CA">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9</w:t>
            </w:r>
          </w:p>
        </w:tc>
        <w:tc>
          <w:tcPr>
            <w:tcW w:w="1032" w:type="dxa"/>
            <w:noWrap w:val="0"/>
            <w:vAlign w:val="center"/>
          </w:tcPr>
          <w:p w14:paraId="1615467C">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拆除工程</w:t>
            </w:r>
          </w:p>
        </w:tc>
        <w:tc>
          <w:tcPr>
            <w:tcW w:w="3450" w:type="dxa"/>
            <w:gridSpan w:val="2"/>
            <w:noWrap w:val="0"/>
            <w:vAlign w:val="center"/>
          </w:tcPr>
          <w:p w14:paraId="7FA07D4A">
            <w:pPr>
              <w:widowControl/>
              <w:numPr>
                <w:ilvl w:val="0"/>
                <w:numId w:val="28"/>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可能影响行人、交通、电力设施、通讯设施或其它建、构筑物安全的拆除工程。</w:t>
            </w:r>
          </w:p>
        </w:tc>
        <w:tc>
          <w:tcPr>
            <w:tcW w:w="4368" w:type="dxa"/>
            <w:noWrap w:val="0"/>
            <w:vAlign w:val="center"/>
          </w:tcPr>
          <w:p w14:paraId="6D37960C">
            <w:pPr>
              <w:widowControl/>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 码头、桥梁、高架、烟囱、水塔或拆除中容易引起有毒有害气（液）体或粉尘扩散、易燃易爆事故发生的特殊建、构筑物的拆除工程。</w:t>
            </w:r>
          </w:p>
          <w:p w14:paraId="0049985A">
            <w:pPr>
              <w:widowControl/>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2. 文物保护建筑、优秀历史建筑或历史文化风貌区影响范围内的拆除工程。</w:t>
            </w:r>
          </w:p>
        </w:tc>
      </w:tr>
      <w:tr w14:paraId="0403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515" w:type="dxa"/>
            <w:noWrap w:val="0"/>
            <w:vAlign w:val="center"/>
          </w:tcPr>
          <w:p w14:paraId="3BC1262F">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10</w:t>
            </w:r>
          </w:p>
        </w:tc>
        <w:tc>
          <w:tcPr>
            <w:tcW w:w="1032" w:type="dxa"/>
            <w:noWrap w:val="0"/>
            <w:vAlign w:val="center"/>
          </w:tcPr>
          <w:p w14:paraId="11F9BB20">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暗挖工程</w:t>
            </w:r>
          </w:p>
        </w:tc>
        <w:tc>
          <w:tcPr>
            <w:tcW w:w="3450" w:type="dxa"/>
            <w:gridSpan w:val="2"/>
            <w:noWrap w:val="0"/>
            <w:vAlign w:val="center"/>
          </w:tcPr>
          <w:p w14:paraId="0C38DAF8">
            <w:pPr>
              <w:widowControl/>
              <w:numPr>
                <w:ilvl w:val="0"/>
                <w:numId w:val="29"/>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采用矿山法、盾构法、顶管法施工的隧道、洞室工程。</w:t>
            </w:r>
          </w:p>
        </w:tc>
        <w:tc>
          <w:tcPr>
            <w:tcW w:w="4368" w:type="dxa"/>
            <w:noWrap w:val="0"/>
            <w:vAlign w:val="center"/>
          </w:tcPr>
          <w:p w14:paraId="05F46AF2">
            <w:pPr>
              <w:widowControl/>
              <w:numPr>
                <w:ilvl w:val="0"/>
                <w:numId w:val="30"/>
              </w:numPr>
              <w:spacing w:line="280" w:lineRule="exact"/>
              <w:textAlignment w:val="center"/>
              <w:rPr>
                <w:rFonts w:hint="eastAsia" w:ascii="宋体" w:hAnsi="宋体" w:eastAsia="宋体" w:cs="宋体"/>
                <w:sz w:val="18"/>
                <w:szCs w:val="18"/>
                <w:lang w:bidi="ar"/>
              </w:rPr>
            </w:pPr>
            <w:r>
              <w:rPr>
                <w:rFonts w:hint="eastAsia" w:ascii="宋体" w:hAnsi="宋体" w:eastAsia="宋体" w:cs="宋体"/>
                <w:kern w:val="0"/>
                <w:sz w:val="18"/>
                <w:szCs w:val="18"/>
                <w:lang w:bidi="ar"/>
              </w:rPr>
              <w:t>采用矿山法、盾构法、顶管法施工的隧道、洞室工程。</w:t>
            </w:r>
          </w:p>
        </w:tc>
      </w:tr>
      <w:tr w14:paraId="3876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515" w:type="dxa"/>
            <w:noWrap w:val="0"/>
            <w:vAlign w:val="center"/>
          </w:tcPr>
          <w:p w14:paraId="4B723A70">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11</w:t>
            </w:r>
          </w:p>
        </w:tc>
        <w:tc>
          <w:tcPr>
            <w:tcW w:w="1032" w:type="dxa"/>
            <w:noWrap w:val="0"/>
            <w:vAlign w:val="center"/>
          </w:tcPr>
          <w:p w14:paraId="04049C56">
            <w:pPr>
              <w:widowControl/>
              <w:spacing w:line="280" w:lineRule="exact"/>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其  它</w:t>
            </w:r>
          </w:p>
        </w:tc>
        <w:tc>
          <w:tcPr>
            <w:tcW w:w="3450" w:type="dxa"/>
            <w:gridSpan w:val="2"/>
            <w:noWrap w:val="0"/>
            <w:vAlign w:val="center"/>
          </w:tcPr>
          <w:p w14:paraId="77488916">
            <w:pPr>
              <w:widowControl/>
              <w:numPr>
                <w:ilvl w:val="0"/>
                <w:numId w:val="31"/>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建筑幕墙安装工程。</w:t>
            </w:r>
          </w:p>
          <w:p w14:paraId="322192A7">
            <w:pPr>
              <w:widowControl/>
              <w:numPr>
                <w:ilvl w:val="0"/>
                <w:numId w:val="31"/>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钢结构、网架和索膜结构安装工程。</w:t>
            </w:r>
          </w:p>
          <w:p w14:paraId="0CB8FD57">
            <w:pPr>
              <w:widowControl/>
              <w:numPr>
                <w:ilvl w:val="0"/>
                <w:numId w:val="31"/>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人工挖扩孔桩工程。</w:t>
            </w:r>
          </w:p>
          <w:p w14:paraId="27B6660C">
            <w:pPr>
              <w:widowControl/>
              <w:numPr>
                <w:ilvl w:val="0"/>
                <w:numId w:val="31"/>
              </w:numPr>
              <w:spacing w:line="280" w:lineRule="exact"/>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水下作业工程。</w:t>
            </w:r>
          </w:p>
          <w:p w14:paraId="17279E33">
            <w:pPr>
              <w:widowControl/>
              <w:numPr>
                <w:ilvl w:val="0"/>
                <w:numId w:val="31"/>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装配式建筑混凝土预制构件安装工程。</w:t>
            </w:r>
          </w:p>
          <w:p w14:paraId="75387C8C">
            <w:pPr>
              <w:widowControl/>
              <w:numPr>
                <w:ilvl w:val="0"/>
                <w:numId w:val="31"/>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采用新技术、新工艺、新材料、新设备可能影响工程施工安全，尚无国家、行业及地方技术标准的分部分项工程。</w:t>
            </w:r>
          </w:p>
        </w:tc>
        <w:tc>
          <w:tcPr>
            <w:tcW w:w="4368" w:type="dxa"/>
            <w:noWrap w:val="0"/>
            <w:vAlign w:val="center"/>
          </w:tcPr>
          <w:p w14:paraId="7394C60B">
            <w:pPr>
              <w:widowControl/>
              <w:numPr>
                <w:ilvl w:val="0"/>
                <w:numId w:val="32"/>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施工高度50m及以上的建筑幕墙安装工程。</w:t>
            </w:r>
          </w:p>
          <w:p w14:paraId="357B2DFD">
            <w:pPr>
              <w:widowControl/>
              <w:numPr>
                <w:ilvl w:val="0"/>
                <w:numId w:val="32"/>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跨度36m及以上的钢结构安装工程，或跨度60m及以上的网架和索膜结构安装工程。</w:t>
            </w:r>
          </w:p>
          <w:p w14:paraId="5398D7C2">
            <w:pPr>
              <w:widowControl/>
              <w:numPr>
                <w:ilvl w:val="0"/>
                <w:numId w:val="32"/>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人工挖孔桩工程。</w:t>
            </w:r>
          </w:p>
          <w:p w14:paraId="2421114D">
            <w:pPr>
              <w:widowControl/>
              <w:numPr>
                <w:ilvl w:val="0"/>
                <w:numId w:val="32"/>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水下作业工程。</w:t>
            </w:r>
          </w:p>
          <w:p w14:paraId="3EA37848">
            <w:pPr>
              <w:widowControl/>
              <w:numPr>
                <w:ilvl w:val="0"/>
                <w:numId w:val="32"/>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重量1000kN及以上的大型结构整体顶升、平移、转体等施工工艺。</w:t>
            </w:r>
          </w:p>
          <w:p w14:paraId="2F448590">
            <w:pPr>
              <w:widowControl/>
              <w:numPr>
                <w:ilvl w:val="0"/>
                <w:numId w:val="32"/>
              </w:numPr>
              <w:spacing w:line="280" w:lineRule="exac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采用新技术、新工艺、新材料、新设备可能影响工程施工安全，尚无国家、行业及地方技术标准的分部分项工程。</w:t>
            </w:r>
          </w:p>
        </w:tc>
      </w:tr>
    </w:tbl>
    <w:p w14:paraId="796B92C1">
      <w:pPr>
        <w:pStyle w:val="86"/>
        <w:ind w:firstLine="493"/>
        <w:rPr>
          <w:rFonts w:hint="eastAsia"/>
          <w:b w:val="0"/>
          <w:bCs w:val="0"/>
          <w:lang w:val="zh-CN" w:eastAsia="zh-CN"/>
        </w:rPr>
      </w:pPr>
      <w:r>
        <w:rPr>
          <w:rFonts w:hint="eastAsia"/>
          <w:lang w:val="zh-CN" w:eastAsia="zh-CN"/>
        </w:rPr>
        <w:t>本项目排水</w:t>
      </w:r>
      <w:r>
        <w:rPr>
          <w:rFonts w:hint="eastAsia"/>
          <w:lang w:val="en-US" w:eastAsia="zh-CN"/>
        </w:rPr>
        <w:t>改造可能涉及危大工程范围主要为基坑工程</w:t>
      </w:r>
      <w:r>
        <w:rPr>
          <w:rFonts w:hint="eastAsia"/>
          <w:lang w:val="zh-CN" w:eastAsia="zh-CN"/>
        </w:rPr>
        <w:t>，由施工单位根据工程实际补充完善。</w:t>
      </w:r>
      <w:r>
        <w:rPr>
          <w:rFonts w:hint="eastAsia"/>
          <w:b w:val="0"/>
          <w:bCs w:val="0"/>
          <w:lang w:val="zh-CN" w:eastAsia="zh-CN"/>
        </w:rPr>
        <w:t>此外，施工单位应对照住建部令第37号、建办质〔2018〕31号、渝建质安〔2022〕110号文件要求对工程全线进行排查，补充完善遗漏的危大工程重，点部位及环节。施工单位应在施工前编制专项施工方案，并组织召开专家论证会对专项施工方案进行论证。施工单位应当严格按照专项施工方案组织施工，不得擅自修改调整专项施工方案。危大工程专项施工方案的主要内容及危大工程现场安全管理应根据相关法律、法规及规范要求执行。</w:t>
      </w:r>
    </w:p>
    <w:p w14:paraId="5F6B8999">
      <w:pPr>
        <w:pStyle w:val="4"/>
        <w:spacing w:before="176"/>
      </w:pPr>
      <w:r>
        <w:t>施工注意事项</w:t>
      </w:r>
    </w:p>
    <w:p w14:paraId="001D334B">
      <w:pPr>
        <w:pStyle w:val="86"/>
        <w:ind w:firstLine="493"/>
      </w:pPr>
      <w:r>
        <w:t>（1）排水管线长度均为理论平面长度，施工时以实测为准。</w:t>
      </w:r>
    </w:p>
    <w:p w14:paraId="1AF6CFAE">
      <w:pPr>
        <w:pStyle w:val="86"/>
        <w:ind w:firstLine="493"/>
      </w:pPr>
      <w:r>
        <w:t>（2）</w:t>
      </w:r>
      <w:r>
        <w:rPr>
          <w:rFonts w:hint="eastAsia"/>
        </w:rPr>
        <w:t>一般情况下</w:t>
      </w:r>
      <w:r>
        <w:t>，不采用临时支护措施时的放坡坡率控制在1:0.75~1:1之间（其中</w:t>
      </w:r>
      <w:r>
        <w:rPr>
          <w:rFonts w:hint="eastAsia"/>
        </w:rPr>
        <w:t>“</w:t>
      </w:r>
      <w:r>
        <w:t>排水管道沟槽开挖断面图</w:t>
      </w:r>
      <w:r>
        <w:rPr>
          <w:rFonts w:hint="eastAsia"/>
        </w:rPr>
        <w:t>”</w:t>
      </w:r>
      <w:r>
        <w:t>中给出的边坡开挖坡率为一般情况下的建议值），</w:t>
      </w:r>
      <w:r>
        <w:rPr>
          <w:rFonts w:hint="eastAsia"/>
        </w:rPr>
        <w:t>实施时</w:t>
      </w:r>
      <w:r>
        <w:t>施工单位</w:t>
      </w:r>
      <w:r>
        <w:rPr>
          <w:rFonts w:hint="eastAsia"/>
        </w:rPr>
        <w:t>根据</w:t>
      </w:r>
      <w:r>
        <w:t>现场具体</w:t>
      </w:r>
      <w:r>
        <w:rPr>
          <w:rFonts w:hint="eastAsia"/>
        </w:rPr>
        <w:t>地质</w:t>
      </w:r>
      <w:r>
        <w:t>情况确定；采取临时支护措施的可选用内撑法护壁</w:t>
      </w:r>
      <w:r>
        <w:rPr>
          <w:rFonts w:hint="eastAsia"/>
        </w:rPr>
        <w:t>。施工时</w:t>
      </w:r>
      <w:r>
        <w:t>应做好施工安全措施。</w:t>
      </w:r>
    </w:p>
    <w:p w14:paraId="5918C399">
      <w:pPr>
        <w:pStyle w:val="86"/>
        <w:ind w:firstLine="493"/>
      </w:pPr>
      <w:r>
        <w:t>根据地勘成果，本次设计说明及图纸中给出关于沟槽开挖坡率、开挖方式，地基处理方式等措施。施工单位施工如遇地质情况与地勘、设计中不符的情况，应会同</w:t>
      </w:r>
      <w:r>
        <w:rPr>
          <w:rFonts w:hint="eastAsia"/>
        </w:rPr>
        <w:t>建设</w:t>
      </w:r>
      <w:r>
        <w:t>单位、</w:t>
      </w:r>
      <w:r>
        <w:rPr>
          <w:rFonts w:hint="eastAsia"/>
        </w:rPr>
        <w:t>监理单位、</w:t>
      </w:r>
      <w:r>
        <w:t>地勘单位、设计单位会商解决。</w:t>
      </w:r>
    </w:p>
    <w:p w14:paraId="30F43E1C">
      <w:pPr>
        <w:pStyle w:val="86"/>
        <w:ind w:firstLine="493"/>
      </w:pPr>
      <w:r>
        <w:t>（3）管道基础承载力应</w:t>
      </w:r>
      <w:r>
        <w:rPr>
          <w:rFonts w:hint="eastAsia"/>
        </w:rPr>
        <w:t>满足设计</w:t>
      </w:r>
      <w:r>
        <w:t>要求，填方段管道密实度应大于90%。若不能满足要求，则应超挖0.5m，再回填0.5m厚的砂卵石或级配碎石，最后施工管道基础。对地基松软或不均匀沉降地段，管道基础应采取加固措施，必要时应联系设计人员现场研究解决。</w:t>
      </w:r>
    </w:p>
    <w:p w14:paraId="23EEC1B9">
      <w:pPr>
        <w:pStyle w:val="86"/>
        <w:ind w:firstLine="493"/>
      </w:pPr>
      <w:r>
        <w:t>（4）混凝土及钢筋混凝土构筑物必须浇筑密实，不得出现蜂窝、麻面。</w:t>
      </w:r>
    </w:p>
    <w:p w14:paraId="3ED5A0D7">
      <w:pPr>
        <w:pStyle w:val="86"/>
        <w:ind w:firstLine="493"/>
      </w:pPr>
      <w:r>
        <w:t>（5）施工前应校测已建各种管道的断面、高程和位置，确保满足接入条件后方可施工。若施工中发现设计图纸与现场实际情况有较大出入时，应及时报告业主和监理，并联系设计人员共同研究解决。</w:t>
      </w:r>
    </w:p>
    <w:p w14:paraId="5C68AE15">
      <w:pPr>
        <w:pStyle w:val="86"/>
        <w:ind w:firstLine="493"/>
      </w:pPr>
      <w:r>
        <w:t>（6）排水管道内底标高是排水管道施工的主要依据，必须符合设计要求。检查井井面标高可根据实际路面标高合理调整，保持与完成后路面齐平。当井面实际标高与设计标高有较大出入时，应及时通知设计人员进行复核。</w:t>
      </w:r>
    </w:p>
    <w:p w14:paraId="2DBCACB7">
      <w:pPr>
        <w:pStyle w:val="86"/>
        <w:ind w:firstLine="493"/>
      </w:pPr>
      <w:r>
        <w:t>（</w:t>
      </w:r>
      <w:r>
        <w:rPr>
          <w:rFonts w:hint="eastAsia"/>
          <w:lang w:val="en-US" w:eastAsia="zh-CN"/>
        </w:rPr>
        <w:t>7</w:t>
      </w:r>
      <w:r>
        <w:t>）沟槽回填应在水泥砂浆和混凝土强度达到设计强度的75%后进行，并要求同时进行，沟槽应分层对称回填夯实，每层回填高度不大于</w:t>
      </w:r>
      <w:r>
        <w:rPr>
          <w:rFonts w:hint="eastAsia"/>
        </w:rPr>
        <w:t>200m</w:t>
      </w:r>
      <w:r>
        <w:t>m，管道两侧高差不得大于0.3m，其密实度与路基要求一致。回填方式应符合上述GB50268-2008规范和CECS164</w:t>
      </w:r>
      <w:r>
        <w:rPr>
          <w:rFonts w:hint="eastAsia"/>
        </w:rPr>
        <w:t>-</w:t>
      </w:r>
      <w:r>
        <w:t>2004规程的要求。</w:t>
      </w:r>
    </w:p>
    <w:p w14:paraId="70FEC235">
      <w:pPr>
        <w:pStyle w:val="86"/>
        <w:ind w:firstLine="493"/>
      </w:pPr>
      <w:r>
        <w:t>（</w:t>
      </w:r>
      <w:r>
        <w:rPr>
          <w:rFonts w:hint="eastAsia"/>
          <w:lang w:val="en-US" w:eastAsia="zh-CN"/>
        </w:rPr>
        <w:t>8</w:t>
      </w:r>
      <w:r>
        <w:t>）塑料排水管道进场时，应按照相关标准规范进行见证取样抽检，检测参数包括规格尺寸、环刚度、环柔度、冲击强度等项目。钢筋混凝土排水管道应根据GB50268-2008规范按无压管道进行严密性试验，塑料管应根据规程CECS164</w:t>
      </w:r>
      <w:r>
        <w:rPr>
          <w:rFonts w:hint="eastAsia"/>
        </w:rPr>
        <w:t>-</w:t>
      </w:r>
      <w:r>
        <w:t>2004按无压管道进行密闭性检验。所有的污水管道在回填前必须按照《给水排水管道工程施工及验收规范》（GB</w:t>
      </w:r>
      <w:r>
        <w:rPr>
          <w:rFonts w:hint="eastAsia"/>
        </w:rPr>
        <w:t xml:space="preserve"> </w:t>
      </w:r>
      <w:r>
        <w:t>50268</w:t>
      </w:r>
      <w:r>
        <w:rPr>
          <w:rFonts w:hint="eastAsia"/>
        </w:rPr>
        <w:t>-</w:t>
      </w:r>
      <w:r>
        <w:t>2008）的规定做管段闭水试验，闭水试验报告合格后方可进行污水管道的回填。</w:t>
      </w:r>
      <w:r>
        <w:rPr>
          <w:rFonts w:hint="eastAsia"/>
        </w:rPr>
        <w:t>埋地塑料排水管道的回填土密实度和管道变形率需进行检验。</w:t>
      </w:r>
    </w:p>
    <w:p w14:paraId="600853F4">
      <w:pPr>
        <w:pStyle w:val="86"/>
        <w:ind w:firstLine="493"/>
      </w:pPr>
      <w:r>
        <w:t>（</w:t>
      </w:r>
      <w:r>
        <w:rPr>
          <w:rFonts w:hint="eastAsia"/>
          <w:lang w:val="en-US" w:eastAsia="zh-CN"/>
        </w:rPr>
        <w:t>9</w:t>
      </w:r>
      <w:r>
        <w:t>）排水管道施工过程中需与其它综合管线施工密切配合，确保所有管线平面和竖向布置合理。</w:t>
      </w:r>
    </w:p>
    <w:p w14:paraId="179061E5">
      <w:pPr>
        <w:pStyle w:val="86"/>
        <w:ind w:firstLine="493"/>
      </w:pPr>
      <w:r>
        <w:t>（1</w:t>
      </w:r>
      <w:r>
        <w:rPr>
          <w:rFonts w:hint="eastAsia"/>
          <w:lang w:val="en-US" w:eastAsia="zh-CN"/>
        </w:rPr>
        <w:t>0</w:t>
      </w:r>
      <w:r>
        <w:t>）工程正式开工前，建设或施工单位应组织一次图纸技术交底。希望施工单位全面系统地熟悉图纸，如发现设计中的问题（包括各专业之间的错、漏、碰、缺），请及时通知我院会同解决。</w:t>
      </w:r>
      <w:r>
        <w:rPr>
          <w:b/>
        </w:rPr>
        <w:t>对施工问题的处理，</w:t>
      </w:r>
      <w:r>
        <w:rPr>
          <w:rFonts w:hint="eastAsia"/>
          <w:b/>
        </w:rPr>
        <w:t>均</w:t>
      </w:r>
      <w:r>
        <w:rPr>
          <w:b/>
        </w:rPr>
        <w:t>应以书面签署盖章为准</w:t>
      </w:r>
      <w:r>
        <w:rPr>
          <w:rFonts w:hint="eastAsia"/>
          <w:b/>
        </w:rPr>
        <w:t>。</w:t>
      </w:r>
    </w:p>
    <w:p w14:paraId="7D6A14CA">
      <w:pPr>
        <w:pStyle w:val="86"/>
        <w:ind w:firstLine="493"/>
      </w:pPr>
      <w:r>
        <w:t>（</w:t>
      </w:r>
      <w:r>
        <w:rPr>
          <w:rFonts w:hint="eastAsia"/>
          <w:lang w:val="en-US" w:eastAsia="zh-CN"/>
        </w:rPr>
        <w:t>11</w:t>
      </w:r>
      <w:r>
        <w:t>）在所有的钢筋混凝土构件上的预留孔洞，预埋套管及预埋件，在混凝土浇筑前必须由水专业的施工人员配合工作，并签署后方可浇筑，以免错漏和移位。严禁事后打孔凿洞。</w:t>
      </w:r>
    </w:p>
    <w:p w14:paraId="45D38460">
      <w:pPr>
        <w:pStyle w:val="86"/>
        <w:ind w:firstLine="493"/>
      </w:pPr>
      <w:r>
        <w:t>（1</w:t>
      </w:r>
      <w:r>
        <w:rPr>
          <w:rFonts w:hint="eastAsia"/>
          <w:lang w:val="en-US" w:eastAsia="zh-CN"/>
        </w:rPr>
        <w:t>2</w:t>
      </w:r>
      <w:r>
        <w:t>）施工过程中业主或施工方如需更改设计，以塑料管代替钢筋混凝土管时应通知设计人员，重新进行计算，校核流速是否满足相关规范要求。</w:t>
      </w:r>
    </w:p>
    <w:p w14:paraId="7354A846">
      <w:pPr>
        <w:pStyle w:val="86"/>
        <w:ind w:firstLine="493"/>
      </w:pPr>
      <w:r>
        <w:t>（1</w:t>
      </w:r>
      <w:r>
        <w:rPr>
          <w:rFonts w:hint="eastAsia"/>
          <w:lang w:val="en-US" w:eastAsia="zh-CN"/>
        </w:rPr>
        <w:t>3</w:t>
      </w:r>
      <w:r>
        <w:t>）建设单位应当依法组织对排水管网工程进行分部工程验收或竣工验收，并按照《地下管线探测技术规范》要求，在排水管网覆土隐蔽前进行测绘，形成准确、完整的管线工程测绘数据和测绘图。</w:t>
      </w:r>
      <w:r>
        <w:rPr>
          <w:rFonts w:hint="eastAsia"/>
        </w:rPr>
        <w:t>验收应</w:t>
      </w:r>
      <w:r>
        <w:t>满足《给水排水管道工程施工及验收规范》（GB</w:t>
      </w:r>
      <w:r>
        <w:rPr>
          <w:rFonts w:hint="eastAsia"/>
        </w:rPr>
        <w:t xml:space="preserve"> </w:t>
      </w:r>
      <w:r>
        <w:t>50268-2008）</w:t>
      </w:r>
      <w:r>
        <w:rPr>
          <w:rFonts w:hint="eastAsia"/>
        </w:rPr>
        <w:t>。</w:t>
      </w:r>
    </w:p>
    <w:p w14:paraId="2E8C7EC3">
      <w:pPr>
        <w:pStyle w:val="86"/>
        <w:ind w:firstLine="493"/>
        <w:rPr>
          <w:rFonts w:hAnsi="宋体"/>
          <w:kern w:val="0"/>
        </w:rPr>
      </w:pPr>
      <w:r>
        <w:t>（</w:t>
      </w:r>
      <w:r>
        <w:rPr>
          <w:rFonts w:hint="eastAsia"/>
          <w:lang w:val="en-US" w:eastAsia="zh-CN"/>
        </w:rPr>
        <w:t>14</w:t>
      </w:r>
      <w:r>
        <w:t>）</w:t>
      </w:r>
      <w:r>
        <w:rPr>
          <w:rFonts w:hAnsi="宋体"/>
          <w:kern w:val="0"/>
        </w:rPr>
        <w:t>排水管网工程竣工验收资料应当包含管道内窥检测报告（含影像资料）、竣工测量成果资料等相关工程资料。</w:t>
      </w:r>
    </w:p>
    <w:p w14:paraId="2F8DE146">
      <w:pPr>
        <w:pStyle w:val="86"/>
        <w:ind w:firstLine="493"/>
        <w:rPr>
          <w:bCs/>
          <w:szCs w:val="28"/>
        </w:rPr>
      </w:pPr>
      <w:r>
        <w:rPr>
          <w:rFonts w:hint="eastAsia"/>
          <w:bCs/>
          <w:szCs w:val="28"/>
        </w:rPr>
        <w:t>（</w:t>
      </w:r>
      <w:r>
        <w:rPr>
          <w:rFonts w:hint="eastAsia"/>
          <w:bCs/>
          <w:szCs w:val="28"/>
          <w:lang w:val="en-US" w:eastAsia="zh-CN"/>
        </w:rPr>
        <w:t>15</w:t>
      </w:r>
      <w:r>
        <w:rPr>
          <w:rFonts w:hint="eastAsia"/>
          <w:bCs/>
          <w:szCs w:val="28"/>
        </w:rPr>
        <w:t>）根据《关于主城区城市建筑垃圾再生产品推广应用试点工作的意见》（渝建（2019）434号文），本项目的建筑垃圾再生产品替代用量应大于30%。</w:t>
      </w:r>
    </w:p>
    <w:p w14:paraId="6A664F69">
      <w:pPr>
        <w:pStyle w:val="86"/>
        <w:ind w:firstLine="493"/>
      </w:pPr>
      <w:r>
        <w:t>（</w:t>
      </w:r>
      <w:r>
        <w:rPr>
          <w:rFonts w:hint="eastAsia"/>
          <w:lang w:val="en-US" w:eastAsia="zh-CN"/>
        </w:rPr>
        <w:t>16</w:t>
      </w:r>
      <w:r>
        <w:t>）</w:t>
      </w:r>
      <w:r>
        <w:rPr>
          <w:rFonts w:hint="eastAsia"/>
        </w:rPr>
        <w:t>施工</w:t>
      </w:r>
      <w:r>
        <w:t>前</w:t>
      </w:r>
      <w:r>
        <w:rPr>
          <w:rFonts w:hint="eastAsia"/>
        </w:rPr>
        <w:t>应</w:t>
      </w:r>
      <w:r>
        <w:t>对</w:t>
      </w:r>
      <w:r>
        <w:rPr>
          <w:rFonts w:hint="eastAsia"/>
        </w:rPr>
        <w:t>设计排水</w:t>
      </w:r>
      <w:r>
        <w:t>管道接入及排出</w:t>
      </w:r>
      <w:r>
        <w:rPr>
          <w:rFonts w:hint="eastAsia"/>
        </w:rPr>
        <w:t>的现状</w:t>
      </w:r>
      <w:r>
        <w:t>管线高程进行复核；</w:t>
      </w:r>
      <w:r>
        <w:rPr>
          <w:rFonts w:hint="eastAsia"/>
        </w:rPr>
        <w:t>且</w:t>
      </w:r>
      <w:r>
        <w:t>应对施工范围内的现状综合管网进行</w:t>
      </w:r>
      <w:r>
        <w:rPr>
          <w:rFonts w:hint="eastAsia"/>
        </w:rPr>
        <w:t>复核。与测量</w:t>
      </w:r>
      <w:r>
        <w:t>资料不符时应及时</w:t>
      </w:r>
      <w:r>
        <w:rPr>
          <w:rFonts w:hint="eastAsia"/>
        </w:rPr>
        <w:t>反馈</w:t>
      </w:r>
      <w:r>
        <w:t>。</w:t>
      </w:r>
    </w:p>
    <w:p w14:paraId="33116B0C">
      <w:pPr>
        <w:pStyle w:val="86"/>
        <w:ind w:firstLine="493"/>
      </w:pPr>
      <w:r>
        <w:rPr>
          <w:rFonts w:hint="eastAsia"/>
        </w:rPr>
        <w:t>（1</w:t>
      </w:r>
      <w:r>
        <w:rPr>
          <w:rFonts w:hint="eastAsia"/>
          <w:lang w:val="en-US" w:eastAsia="zh-CN"/>
        </w:rPr>
        <w:t>7</w:t>
      </w:r>
      <w:r>
        <w:rPr>
          <w:rFonts w:hint="eastAsia"/>
        </w:rPr>
        <w:t>）</w:t>
      </w:r>
      <w:r>
        <w:t>污水管道及其附属构筑物应经严密性试验合格后方可投人运行</w:t>
      </w:r>
      <w:r>
        <w:rPr>
          <w:rFonts w:hint="eastAsia"/>
        </w:rPr>
        <w:t>。</w:t>
      </w:r>
    </w:p>
    <w:p w14:paraId="58AEF0AC">
      <w:pPr>
        <w:pStyle w:val="86"/>
        <w:ind w:firstLine="493"/>
      </w:pPr>
      <w:r>
        <w:rPr>
          <w:rFonts w:hint="eastAsia"/>
        </w:rPr>
        <w:t>（1</w:t>
      </w:r>
      <w:r>
        <w:rPr>
          <w:rFonts w:hint="eastAsia"/>
          <w:lang w:val="en-US" w:eastAsia="zh-CN"/>
        </w:rPr>
        <w:t>8</w:t>
      </w:r>
      <w:r>
        <w:rPr>
          <w:rFonts w:hint="eastAsia"/>
        </w:rPr>
        <w:t>）</w:t>
      </w:r>
      <w:r>
        <w:t>排水工程中敞开式构筑物应设置警示标志和安全防护措施，并应保持明显、完整和有效。</w:t>
      </w:r>
    </w:p>
    <w:p w14:paraId="27BF36EC">
      <w:pPr>
        <w:pStyle w:val="86"/>
        <w:ind w:firstLine="493"/>
      </w:pPr>
      <w:r>
        <w:rPr>
          <w:rFonts w:hint="eastAsia"/>
        </w:rPr>
        <w:t>（</w:t>
      </w:r>
      <w:r>
        <w:rPr>
          <w:rFonts w:hint="eastAsia"/>
          <w:lang w:val="en-US" w:eastAsia="zh-CN"/>
        </w:rPr>
        <w:t>19</w:t>
      </w:r>
      <w:r>
        <w:rPr>
          <w:rFonts w:hint="eastAsia"/>
        </w:rPr>
        <w:t>）</w:t>
      </w:r>
      <w:r>
        <w:t xml:space="preserve">排水工程所用的管材、管道附件、构 (配)件和主要原材料等应符合国家现行相关标准的规定，产品进人施工现场时应按国家有关规定进行验收，验收合格后方可使用。 </w:t>
      </w:r>
      <w:r>
        <w:tab/>
      </w:r>
    </w:p>
    <w:p w14:paraId="31D84B80">
      <w:pPr>
        <w:pStyle w:val="86"/>
        <w:ind w:firstLine="493"/>
      </w:pPr>
      <w:r>
        <w:rPr>
          <w:rFonts w:hint="eastAsia"/>
        </w:rPr>
        <w:t>（</w:t>
      </w:r>
      <w:r>
        <w:rPr>
          <w:rFonts w:hint="eastAsia"/>
          <w:lang w:val="en-US" w:eastAsia="zh-CN"/>
        </w:rPr>
        <w:t>20</w:t>
      </w:r>
      <w:r>
        <w:rPr>
          <w:rFonts w:hint="eastAsia"/>
        </w:rPr>
        <w:t>）施工</w:t>
      </w:r>
      <w:r>
        <w:t>及运营过程中涉及</w:t>
      </w:r>
      <w:r>
        <w:rPr>
          <w:rFonts w:hint="eastAsia"/>
        </w:rPr>
        <w:t>管道</w:t>
      </w:r>
      <w:r>
        <w:t>、构筑物</w:t>
      </w:r>
      <w:r>
        <w:rPr>
          <w:rFonts w:hint="eastAsia"/>
        </w:rPr>
        <w:t>等地下</w:t>
      </w:r>
      <w:r>
        <w:t>作业时，</w:t>
      </w:r>
      <w:r>
        <w:rPr>
          <w:rFonts w:hint="eastAsia"/>
        </w:rPr>
        <w:t>应注意排除沼气等有毒有害气体，施工前应做好充分的安全防护措施方能作业。</w:t>
      </w:r>
    </w:p>
    <w:p w14:paraId="3DA4A35D">
      <w:pPr>
        <w:pStyle w:val="86"/>
        <w:ind w:firstLine="493"/>
      </w:pPr>
      <w:r>
        <w:t>（</w:t>
      </w:r>
      <w:r>
        <w:rPr>
          <w:rFonts w:hint="eastAsia"/>
          <w:lang w:val="en-US" w:eastAsia="zh-CN"/>
        </w:rPr>
        <w:t>21</w:t>
      </w:r>
      <w:r>
        <w:t>）本工程施工应严格遵循现行有关施工验收规范和技术规程办理；其余未尽事宜按国家现行规范和标准执行。</w:t>
      </w:r>
    </w:p>
    <w:p w14:paraId="548A1856">
      <w:pPr>
        <w:pStyle w:val="86"/>
        <w:ind w:firstLine="493"/>
        <w:rPr>
          <w:rFonts w:hint="eastAsia"/>
          <w:color w:val="FF0000"/>
          <w:szCs w:val="28"/>
        </w:rPr>
      </w:pPr>
    </w:p>
    <w:sectPr>
      <w:type w:val="continuous"/>
      <w:pgSz w:w="23814" w:h="16840" w:orient="landscape"/>
      <w:pgMar w:top="1134" w:right="1440" w:bottom="2268" w:left="2552" w:header="851" w:footer="992" w:gutter="0"/>
      <w:pgNumType w:fmt="decimal"/>
      <w:cols w:space="942" w:num="2"/>
      <w:docGrid w:type="linesAndChars" w:linePitch="353" w:charSpace="135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BADD3">
    <w:pPr>
      <w:pStyle w:val="14"/>
      <w:ind w:right="360"/>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posOffset>11011535</wp:posOffset>
              </wp:positionH>
              <wp:positionV relativeFrom="paragraph">
                <wp:posOffset>59690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454BDC">
                          <w:pPr>
                            <w:pStyle w:val="14"/>
                            <w:spacing w:line="240" w:lineRule="auto"/>
                            <w:rPr>
                              <w:w w:val="90"/>
                              <w:sz w:val="24"/>
                              <w:szCs w:val="28"/>
                            </w:rPr>
                          </w:pPr>
                          <w:r>
                            <w:rPr>
                              <w:rFonts w:hint="eastAsia"/>
                              <w:w w:val="90"/>
                              <w:sz w:val="24"/>
                              <w:szCs w:val="28"/>
                              <w:lang w:val="en-US" w:eastAsia="zh-CN"/>
                            </w:rPr>
                            <w:t>S-说明-</w:t>
                          </w:r>
                          <w:r>
                            <w:rPr>
                              <w:w w:val="90"/>
                              <w:sz w:val="24"/>
                              <w:szCs w:val="28"/>
                            </w:rPr>
                            <w:fldChar w:fldCharType="begin"/>
                          </w:r>
                          <w:r>
                            <w:rPr>
                              <w:w w:val="90"/>
                              <w:sz w:val="24"/>
                              <w:szCs w:val="28"/>
                            </w:rPr>
                            <w:instrText xml:space="preserve"> PAGE  \* MERGEFORMAT </w:instrText>
                          </w:r>
                          <w:r>
                            <w:rPr>
                              <w:w w:val="90"/>
                              <w:sz w:val="24"/>
                              <w:szCs w:val="28"/>
                            </w:rPr>
                            <w:fldChar w:fldCharType="separate"/>
                          </w:r>
                          <w:r>
                            <w:rPr>
                              <w:w w:val="90"/>
                              <w:sz w:val="24"/>
                              <w:szCs w:val="28"/>
                            </w:rPr>
                            <w:t>1</w:t>
                          </w:r>
                          <w:r>
                            <w:rPr>
                              <w:w w:val="90"/>
                              <w:sz w:val="24"/>
                              <w:szCs w:val="28"/>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left:867.05pt;margin-top:4.7pt;height:144pt;width:144pt;mso-position-horizontal-relative:margin;mso-wrap-style:none;z-index:251659264;mso-width-relative:page;mso-height-relative:page;" filled="f" stroked="f" coordsize="21600,21600" o:gfxdata="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n9mq9YAAAALAQAADwAAAAAAAAABACAAAAAiAAAAZHJzL2Rv&#10;d25yZXYueG1sUEsBAhQAFAAAAAgAh07iQG72WITKAQAAnAMAAA4AAAAAAAAAAQAgAAAAJQEAAGRy&#10;cy9lMm9Eb2MueG1sUEsFBgAAAAAGAAYAWQEAAGEFAAAAAA==&#10;">
              <v:fill on="f" focussize="0,0"/>
              <v:stroke on="f"/>
              <v:imagedata o:title=""/>
              <o:lock v:ext="edit" aspectratio="f"/>
              <v:textbox inset="0mm,0mm,0mm,0mm" style="mso-fit-shape-to-text:t;">
                <w:txbxContent>
                  <w:p w14:paraId="5F454BDC">
                    <w:pPr>
                      <w:pStyle w:val="14"/>
                      <w:spacing w:line="240" w:lineRule="auto"/>
                      <w:rPr>
                        <w:w w:val="90"/>
                        <w:sz w:val="24"/>
                        <w:szCs w:val="28"/>
                      </w:rPr>
                    </w:pPr>
                    <w:r>
                      <w:rPr>
                        <w:rFonts w:hint="eastAsia"/>
                        <w:w w:val="90"/>
                        <w:sz w:val="24"/>
                        <w:szCs w:val="28"/>
                        <w:lang w:val="en-US" w:eastAsia="zh-CN"/>
                      </w:rPr>
                      <w:t>S-说明-</w:t>
                    </w:r>
                    <w:r>
                      <w:rPr>
                        <w:w w:val="90"/>
                        <w:sz w:val="24"/>
                        <w:szCs w:val="28"/>
                      </w:rPr>
                      <w:fldChar w:fldCharType="begin"/>
                    </w:r>
                    <w:r>
                      <w:rPr>
                        <w:w w:val="90"/>
                        <w:sz w:val="24"/>
                        <w:szCs w:val="28"/>
                      </w:rPr>
                      <w:instrText xml:space="preserve"> PAGE  \* MERGEFORMAT </w:instrText>
                    </w:r>
                    <w:r>
                      <w:rPr>
                        <w:w w:val="90"/>
                        <w:sz w:val="24"/>
                        <w:szCs w:val="28"/>
                      </w:rPr>
                      <w:fldChar w:fldCharType="separate"/>
                    </w:r>
                    <w:r>
                      <w:rPr>
                        <w:w w:val="90"/>
                        <w:sz w:val="24"/>
                        <w:szCs w:val="28"/>
                      </w:rPr>
                      <w:t>1</w:t>
                    </w:r>
                    <w:r>
                      <w:rPr>
                        <w:w w:val="90"/>
                        <w:sz w:val="24"/>
                        <w:szCs w:val="28"/>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11047730</wp:posOffset>
              </wp:positionH>
              <wp:positionV relativeFrom="paragraph">
                <wp:posOffset>364490</wp:posOffset>
              </wp:positionV>
              <wp:extent cx="1828800" cy="1828800"/>
              <wp:effectExtent l="0" t="0" r="0" b="0"/>
              <wp:wrapNone/>
              <wp:docPr id="5"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D91E08">
                          <w:pPr>
                            <w:pStyle w:val="14"/>
                            <w:spacing w:line="240" w:lineRule="auto"/>
                            <w:rPr>
                              <w:w w:val="70"/>
                              <w:sz w:val="24"/>
                              <w:szCs w:val="28"/>
                            </w:rPr>
                          </w:pPr>
                          <w:r>
                            <w:rPr>
                              <w:rFonts w:hint="eastAsia"/>
                              <w:w w:val="70"/>
                              <w:sz w:val="24"/>
                              <w:szCs w:val="28"/>
                              <w:lang w:val="en-US" w:eastAsia="zh-CN"/>
                            </w:rPr>
                            <w:t>排水施工图设计说明-</w:t>
                          </w:r>
                          <w:r>
                            <w:rPr>
                              <w:w w:val="70"/>
                              <w:sz w:val="24"/>
                              <w:szCs w:val="28"/>
                            </w:rPr>
                            <w:fldChar w:fldCharType="begin"/>
                          </w:r>
                          <w:r>
                            <w:rPr>
                              <w:w w:val="70"/>
                              <w:sz w:val="24"/>
                              <w:szCs w:val="28"/>
                            </w:rPr>
                            <w:instrText xml:space="preserve"> PAGE  \* MERGEFORMAT </w:instrText>
                          </w:r>
                          <w:r>
                            <w:rPr>
                              <w:w w:val="70"/>
                              <w:sz w:val="24"/>
                              <w:szCs w:val="28"/>
                            </w:rPr>
                            <w:fldChar w:fldCharType="separate"/>
                          </w:r>
                          <w:r>
                            <w:rPr>
                              <w:w w:val="70"/>
                              <w:sz w:val="24"/>
                              <w:szCs w:val="28"/>
                            </w:rPr>
                            <w:t>1</w:t>
                          </w:r>
                          <w:r>
                            <w:rPr>
                              <w:w w:val="70"/>
                              <w:sz w:val="24"/>
                              <w:szCs w:val="28"/>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left:869.9pt;margin-top:28.7pt;height:144pt;width:144pt;mso-position-horizontal-relative:margin;mso-wrap-style:none;z-index:251660288;mso-width-relative:page;mso-height-relative:page;" filled="f" stroked="f" coordsize="21600,21600" o:gfxdata="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c1mER1wAAAAwBAAAPAAAAAAAAAAEAIAAAACIAAABkcnMv&#10;ZG93bnJldi54bWxQSwECFAAUAAAACACHTuJApnFlBMsBAACcAwAADgAAAAAAAAABACAAAAAmAQAA&#10;ZHJzL2Uyb0RvYy54bWxQSwUGAAAAAAYABgBZAQAAYwUAAAAA&#10;">
              <v:fill on="f" focussize="0,0"/>
              <v:stroke on="f"/>
              <v:imagedata o:title=""/>
              <o:lock v:ext="edit" aspectratio="f"/>
              <v:textbox inset="0mm,0mm,0mm,0mm" style="mso-fit-shape-to-text:t;">
                <w:txbxContent>
                  <w:p w14:paraId="62D91E08">
                    <w:pPr>
                      <w:pStyle w:val="14"/>
                      <w:spacing w:line="240" w:lineRule="auto"/>
                      <w:rPr>
                        <w:w w:val="70"/>
                        <w:sz w:val="24"/>
                        <w:szCs w:val="28"/>
                      </w:rPr>
                    </w:pPr>
                    <w:r>
                      <w:rPr>
                        <w:rFonts w:hint="eastAsia"/>
                        <w:w w:val="70"/>
                        <w:sz w:val="24"/>
                        <w:szCs w:val="28"/>
                        <w:lang w:val="en-US" w:eastAsia="zh-CN"/>
                      </w:rPr>
                      <w:t>排水施工图设计说明-</w:t>
                    </w:r>
                    <w:r>
                      <w:rPr>
                        <w:w w:val="70"/>
                        <w:sz w:val="24"/>
                        <w:szCs w:val="28"/>
                      </w:rPr>
                      <w:fldChar w:fldCharType="begin"/>
                    </w:r>
                    <w:r>
                      <w:rPr>
                        <w:w w:val="70"/>
                        <w:sz w:val="24"/>
                        <w:szCs w:val="28"/>
                      </w:rPr>
                      <w:instrText xml:space="preserve"> PAGE  \* MERGEFORMAT </w:instrText>
                    </w:r>
                    <w:r>
                      <w:rPr>
                        <w:w w:val="70"/>
                        <w:sz w:val="24"/>
                        <w:szCs w:val="28"/>
                      </w:rPr>
                      <w:fldChar w:fldCharType="separate"/>
                    </w:r>
                    <w:r>
                      <w:rPr>
                        <w:w w:val="70"/>
                        <w:sz w:val="24"/>
                        <w:szCs w:val="28"/>
                      </w:rPr>
                      <w:t>1</w:t>
                    </w:r>
                    <w:r>
                      <w:rPr>
                        <w:w w:val="70"/>
                        <w:sz w:val="24"/>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94BAC">
    <w:pPr>
      <w:pStyle w:val="14"/>
      <w:framePr w:wrap="around" w:vAnchor="text" w:hAnchor="margin" w:xAlign="right" w:y="1"/>
      <w:rPr>
        <w:rStyle w:val="22"/>
      </w:rPr>
    </w:pPr>
    <w:r>
      <w:fldChar w:fldCharType="begin"/>
    </w:r>
    <w:r>
      <w:rPr>
        <w:rStyle w:val="22"/>
      </w:rPr>
      <w:instrText xml:space="preserve">PAGE  </w:instrText>
    </w:r>
    <w:r>
      <w:fldChar w:fldCharType="separate"/>
    </w:r>
    <w:r>
      <w:rPr>
        <w:rStyle w:val="22"/>
      </w:rPr>
      <w:t>1</w:t>
    </w:r>
    <w:r>
      <w:fldChar w:fldCharType="end"/>
    </w:r>
  </w:p>
  <w:p w14:paraId="100957B5">
    <w:pPr>
      <w:pStyle w:val="1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84530">
    <w:pPr>
      <w:pStyle w:val="15"/>
      <w:pBdr>
        <w:bottom w:val="none" w:color="auto" w:sz="0" w:space="0"/>
      </w:pBdr>
    </w:pPr>
    <w:r>
      <w:rPr>
        <w:sz w:val="18"/>
      </w:rPr>
      <w:drawing>
        <wp:anchor distT="0" distB="0" distL="114300" distR="114300" simplePos="0" relativeHeight="251661312" behindDoc="1" locked="0" layoutInCell="1" allowOverlap="1">
          <wp:simplePos x="0" y="0"/>
          <wp:positionH relativeFrom="margin">
            <wp:posOffset>-1621155</wp:posOffset>
          </wp:positionH>
          <wp:positionV relativeFrom="margin">
            <wp:posOffset>-743585</wp:posOffset>
          </wp:positionV>
          <wp:extent cx="15119350" cy="10694670"/>
          <wp:effectExtent l="0" t="0" r="6350" b="11430"/>
          <wp:wrapNone/>
          <wp:docPr id="12" name="WordPictureWatermark27700" descr="tk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27700" descr="tk_00"/>
                  <pic:cNvPicPr>
                    <a:picLocks noChangeAspect="1"/>
                  </pic:cNvPicPr>
                </pic:nvPicPr>
                <pic:blipFill>
                  <a:blip r:embed="rId1"/>
                  <a:stretch>
                    <a:fillRect/>
                  </a:stretch>
                </pic:blipFill>
                <pic:spPr>
                  <a:xfrm>
                    <a:off x="0" y="0"/>
                    <a:ext cx="15119350" cy="1069467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34F44"/>
    <w:multiLevelType w:val="singleLevel"/>
    <w:tmpl w:val="92F34F44"/>
    <w:lvl w:ilvl="0" w:tentative="0">
      <w:start w:val="1"/>
      <w:numFmt w:val="decimal"/>
      <w:suff w:val="space"/>
      <w:lvlText w:val="%1."/>
      <w:lvlJc w:val="left"/>
    </w:lvl>
  </w:abstractNum>
  <w:abstractNum w:abstractNumId="1">
    <w:nsid w:val="A0407B77"/>
    <w:multiLevelType w:val="singleLevel"/>
    <w:tmpl w:val="A0407B77"/>
    <w:lvl w:ilvl="0" w:tentative="0">
      <w:start w:val="1"/>
      <w:numFmt w:val="decimal"/>
      <w:suff w:val="nothing"/>
      <w:lvlText w:val="（%1）"/>
      <w:lvlJc w:val="left"/>
    </w:lvl>
  </w:abstractNum>
  <w:abstractNum w:abstractNumId="2">
    <w:nsid w:val="A79DE2CB"/>
    <w:multiLevelType w:val="multilevel"/>
    <w:tmpl w:val="A79DE2CB"/>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3">
    <w:nsid w:val="B92811BC"/>
    <w:multiLevelType w:val="singleLevel"/>
    <w:tmpl w:val="B92811BC"/>
    <w:lvl w:ilvl="0" w:tentative="0">
      <w:start w:val="1"/>
      <w:numFmt w:val="decimal"/>
      <w:suff w:val="space"/>
      <w:lvlText w:val="%1."/>
      <w:lvlJc w:val="left"/>
    </w:lvl>
  </w:abstractNum>
  <w:abstractNum w:abstractNumId="4">
    <w:nsid w:val="CD4ACF46"/>
    <w:multiLevelType w:val="singleLevel"/>
    <w:tmpl w:val="CD4ACF46"/>
    <w:lvl w:ilvl="0" w:tentative="0">
      <w:start w:val="1"/>
      <w:numFmt w:val="decimal"/>
      <w:suff w:val="space"/>
      <w:lvlText w:val="%1."/>
      <w:lvlJc w:val="left"/>
    </w:lvl>
  </w:abstractNum>
  <w:abstractNum w:abstractNumId="5">
    <w:nsid w:val="D05B19A7"/>
    <w:multiLevelType w:val="singleLevel"/>
    <w:tmpl w:val="D05B19A7"/>
    <w:lvl w:ilvl="0" w:tentative="0">
      <w:start w:val="1"/>
      <w:numFmt w:val="decimal"/>
      <w:suff w:val="space"/>
      <w:lvlText w:val="%1."/>
      <w:lvlJc w:val="left"/>
    </w:lvl>
  </w:abstractNum>
  <w:abstractNum w:abstractNumId="6">
    <w:nsid w:val="D09AE3FC"/>
    <w:multiLevelType w:val="singleLevel"/>
    <w:tmpl w:val="D09AE3FC"/>
    <w:lvl w:ilvl="0" w:tentative="0">
      <w:start w:val="1"/>
      <w:numFmt w:val="decimal"/>
      <w:suff w:val="space"/>
      <w:lvlText w:val="%1."/>
      <w:lvlJc w:val="left"/>
    </w:lvl>
  </w:abstractNum>
  <w:abstractNum w:abstractNumId="7">
    <w:nsid w:val="D93B90B1"/>
    <w:multiLevelType w:val="singleLevel"/>
    <w:tmpl w:val="D93B90B1"/>
    <w:lvl w:ilvl="0" w:tentative="0">
      <w:start w:val="1"/>
      <w:numFmt w:val="decimal"/>
      <w:suff w:val="space"/>
      <w:lvlText w:val="%1."/>
      <w:lvlJc w:val="left"/>
    </w:lvl>
  </w:abstractNum>
  <w:abstractNum w:abstractNumId="8">
    <w:nsid w:val="DD9EC0F0"/>
    <w:multiLevelType w:val="singleLevel"/>
    <w:tmpl w:val="DD9EC0F0"/>
    <w:lvl w:ilvl="0" w:tentative="0">
      <w:start w:val="1"/>
      <w:numFmt w:val="decimal"/>
      <w:suff w:val="space"/>
      <w:lvlText w:val="%1."/>
      <w:lvlJc w:val="left"/>
    </w:lvl>
  </w:abstractNum>
  <w:abstractNum w:abstractNumId="9">
    <w:nsid w:val="E0B3C8F3"/>
    <w:multiLevelType w:val="singleLevel"/>
    <w:tmpl w:val="E0B3C8F3"/>
    <w:lvl w:ilvl="0" w:tentative="0">
      <w:start w:val="1"/>
      <w:numFmt w:val="decimal"/>
      <w:suff w:val="space"/>
      <w:lvlText w:val="%1."/>
      <w:lvlJc w:val="left"/>
    </w:lvl>
  </w:abstractNum>
  <w:abstractNum w:abstractNumId="10">
    <w:nsid w:val="E82EA91B"/>
    <w:multiLevelType w:val="singleLevel"/>
    <w:tmpl w:val="E82EA91B"/>
    <w:lvl w:ilvl="0" w:tentative="0">
      <w:start w:val="1"/>
      <w:numFmt w:val="decimal"/>
      <w:suff w:val="space"/>
      <w:lvlText w:val="%1."/>
      <w:lvlJc w:val="left"/>
    </w:lvl>
  </w:abstractNum>
  <w:abstractNum w:abstractNumId="11">
    <w:nsid w:val="EACCE68E"/>
    <w:multiLevelType w:val="singleLevel"/>
    <w:tmpl w:val="EACCE68E"/>
    <w:lvl w:ilvl="0" w:tentative="0">
      <w:start w:val="1"/>
      <w:numFmt w:val="decimal"/>
      <w:suff w:val="space"/>
      <w:lvlText w:val="%1."/>
      <w:lvlJc w:val="left"/>
    </w:lvl>
  </w:abstractNum>
  <w:abstractNum w:abstractNumId="12">
    <w:nsid w:val="0250ADE2"/>
    <w:multiLevelType w:val="singleLevel"/>
    <w:tmpl w:val="0250ADE2"/>
    <w:lvl w:ilvl="0" w:tentative="0">
      <w:start w:val="1"/>
      <w:numFmt w:val="decimal"/>
      <w:suff w:val="space"/>
      <w:lvlText w:val="%1."/>
      <w:lvlJc w:val="left"/>
    </w:lvl>
  </w:abstractNum>
  <w:abstractNum w:abstractNumId="13">
    <w:nsid w:val="0854E49E"/>
    <w:multiLevelType w:val="singleLevel"/>
    <w:tmpl w:val="0854E49E"/>
    <w:lvl w:ilvl="0" w:tentative="0">
      <w:start w:val="1"/>
      <w:numFmt w:val="decimal"/>
      <w:suff w:val="space"/>
      <w:lvlText w:val="%1."/>
      <w:lvlJc w:val="left"/>
    </w:lvl>
  </w:abstractNum>
  <w:abstractNum w:abstractNumId="14">
    <w:nsid w:val="091C0BA4"/>
    <w:multiLevelType w:val="singleLevel"/>
    <w:tmpl w:val="091C0BA4"/>
    <w:lvl w:ilvl="0" w:tentative="0">
      <w:start w:val="1"/>
      <w:numFmt w:val="decimal"/>
      <w:suff w:val="space"/>
      <w:lvlText w:val="%1."/>
      <w:lvlJc w:val="left"/>
    </w:lvl>
  </w:abstractNum>
  <w:abstractNum w:abstractNumId="15">
    <w:nsid w:val="2268270B"/>
    <w:multiLevelType w:val="singleLevel"/>
    <w:tmpl w:val="2268270B"/>
    <w:lvl w:ilvl="0" w:tentative="0">
      <w:start w:val="1"/>
      <w:numFmt w:val="decimal"/>
      <w:suff w:val="nothing"/>
      <w:lvlText w:val="（%1）"/>
      <w:lvlJc w:val="left"/>
    </w:lvl>
  </w:abstractNum>
  <w:abstractNum w:abstractNumId="16">
    <w:nsid w:val="2811566A"/>
    <w:multiLevelType w:val="singleLevel"/>
    <w:tmpl w:val="2811566A"/>
    <w:lvl w:ilvl="0" w:tentative="0">
      <w:start w:val="1"/>
      <w:numFmt w:val="decimal"/>
      <w:suff w:val="space"/>
      <w:lvlText w:val="%1."/>
      <w:lvlJc w:val="left"/>
    </w:lvl>
  </w:abstractNum>
  <w:abstractNum w:abstractNumId="17">
    <w:nsid w:val="28B556EB"/>
    <w:multiLevelType w:val="singleLevel"/>
    <w:tmpl w:val="28B556EB"/>
    <w:lvl w:ilvl="0" w:tentative="0">
      <w:start w:val="1"/>
      <w:numFmt w:val="decimal"/>
      <w:suff w:val="space"/>
      <w:lvlText w:val="%1."/>
      <w:lvlJc w:val="left"/>
    </w:lvl>
  </w:abstractNum>
  <w:abstractNum w:abstractNumId="18">
    <w:nsid w:val="32C910C1"/>
    <w:multiLevelType w:val="singleLevel"/>
    <w:tmpl w:val="32C910C1"/>
    <w:lvl w:ilvl="0" w:tentative="0">
      <w:start w:val="1"/>
      <w:numFmt w:val="decimal"/>
      <w:suff w:val="space"/>
      <w:lvlText w:val="%1."/>
      <w:lvlJc w:val="left"/>
    </w:lvl>
  </w:abstractNum>
  <w:abstractNum w:abstractNumId="19">
    <w:nsid w:val="3A741FB0"/>
    <w:multiLevelType w:val="singleLevel"/>
    <w:tmpl w:val="3A741FB0"/>
    <w:lvl w:ilvl="0" w:tentative="0">
      <w:start w:val="1"/>
      <w:numFmt w:val="decimal"/>
      <w:suff w:val="space"/>
      <w:lvlText w:val="%1."/>
      <w:lvlJc w:val="left"/>
    </w:lvl>
  </w:abstractNum>
  <w:abstractNum w:abstractNumId="20">
    <w:nsid w:val="3C431FBD"/>
    <w:multiLevelType w:val="multilevel"/>
    <w:tmpl w:val="3C431FBD"/>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21">
    <w:nsid w:val="43238F7D"/>
    <w:multiLevelType w:val="singleLevel"/>
    <w:tmpl w:val="43238F7D"/>
    <w:lvl w:ilvl="0" w:tentative="0">
      <w:start w:val="1"/>
      <w:numFmt w:val="decimal"/>
      <w:suff w:val="space"/>
      <w:lvlText w:val="%1."/>
      <w:lvlJc w:val="left"/>
    </w:lvl>
  </w:abstractNum>
  <w:abstractNum w:abstractNumId="22">
    <w:nsid w:val="47C9AC3F"/>
    <w:multiLevelType w:val="singleLevel"/>
    <w:tmpl w:val="47C9AC3F"/>
    <w:lvl w:ilvl="0" w:tentative="0">
      <w:start w:val="1"/>
      <w:numFmt w:val="decimal"/>
      <w:suff w:val="space"/>
      <w:lvlText w:val="%1."/>
      <w:lvlJc w:val="left"/>
    </w:lvl>
  </w:abstractNum>
  <w:abstractNum w:abstractNumId="23">
    <w:nsid w:val="4871F218"/>
    <w:multiLevelType w:val="singleLevel"/>
    <w:tmpl w:val="4871F218"/>
    <w:lvl w:ilvl="0" w:tentative="0">
      <w:start w:val="1"/>
      <w:numFmt w:val="decimal"/>
      <w:suff w:val="space"/>
      <w:lvlText w:val="%1."/>
      <w:lvlJc w:val="left"/>
    </w:lvl>
  </w:abstractNum>
  <w:abstractNum w:abstractNumId="24">
    <w:nsid w:val="4B15A46A"/>
    <w:multiLevelType w:val="singleLevel"/>
    <w:tmpl w:val="4B15A46A"/>
    <w:lvl w:ilvl="0" w:tentative="0">
      <w:start w:val="1"/>
      <w:numFmt w:val="decimal"/>
      <w:suff w:val="space"/>
      <w:lvlText w:val="%1."/>
      <w:lvlJc w:val="left"/>
    </w:lvl>
  </w:abstractNum>
  <w:abstractNum w:abstractNumId="25">
    <w:nsid w:val="4B3A2299"/>
    <w:multiLevelType w:val="multilevel"/>
    <w:tmpl w:val="4B3A2299"/>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26">
    <w:nsid w:val="4E0815A7"/>
    <w:multiLevelType w:val="singleLevel"/>
    <w:tmpl w:val="4E0815A7"/>
    <w:lvl w:ilvl="0" w:tentative="0">
      <w:start w:val="1"/>
      <w:numFmt w:val="decimal"/>
      <w:suff w:val="space"/>
      <w:lvlText w:val="%1."/>
      <w:lvlJc w:val="left"/>
    </w:lvl>
  </w:abstractNum>
  <w:abstractNum w:abstractNumId="27">
    <w:nsid w:val="556B1361"/>
    <w:multiLevelType w:val="singleLevel"/>
    <w:tmpl w:val="556B1361"/>
    <w:lvl w:ilvl="0" w:tentative="0">
      <w:start w:val="1"/>
      <w:numFmt w:val="decimal"/>
      <w:suff w:val="space"/>
      <w:lvlText w:val="%1."/>
      <w:lvlJc w:val="left"/>
    </w:lvl>
  </w:abstractNum>
  <w:abstractNum w:abstractNumId="28">
    <w:nsid w:val="59BB12BB"/>
    <w:multiLevelType w:val="multilevel"/>
    <w:tmpl w:val="59BB12BB"/>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29">
    <w:nsid w:val="61F75694"/>
    <w:multiLevelType w:val="singleLevel"/>
    <w:tmpl w:val="61F75694"/>
    <w:lvl w:ilvl="0" w:tentative="0">
      <w:start w:val="1"/>
      <w:numFmt w:val="decimal"/>
      <w:suff w:val="space"/>
      <w:lvlText w:val="%1."/>
      <w:lvlJc w:val="left"/>
    </w:lvl>
  </w:abstractNum>
  <w:abstractNum w:abstractNumId="30">
    <w:nsid w:val="72B1D820"/>
    <w:multiLevelType w:val="singleLevel"/>
    <w:tmpl w:val="72B1D820"/>
    <w:lvl w:ilvl="0" w:tentative="0">
      <w:start w:val="1"/>
      <w:numFmt w:val="decimal"/>
      <w:suff w:val="space"/>
      <w:lvlText w:val="%1."/>
      <w:lvlJc w:val="left"/>
    </w:lvl>
  </w:abstractNum>
  <w:abstractNum w:abstractNumId="31">
    <w:nsid w:val="7611439A"/>
    <w:multiLevelType w:val="multilevel"/>
    <w:tmpl w:val="7611439A"/>
    <w:lvl w:ilvl="0" w:tentative="0">
      <w:start w:val="1"/>
      <w:numFmt w:val="decimal"/>
      <w:pStyle w:val="4"/>
      <w:lvlText w:val="%1、"/>
      <w:lvlJc w:val="left"/>
      <w:pPr>
        <w:ind w:left="658" w:hanging="516"/>
      </w:pPr>
      <w:rPr>
        <w:rFonts w:hint="eastAsia" w:eastAsia="宋体"/>
      </w:rPr>
    </w:lvl>
    <w:lvl w:ilvl="1" w:tentative="0">
      <w:start w:val="1"/>
      <w:numFmt w:val="decimal"/>
      <w:pStyle w:val="5"/>
      <w:lvlText w:val="%1.%2"/>
      <w:lvlJc w:val="left"/>
      <w:pPr>
        <w:ind w:left="516" w:hanging="516"/>
      </w:pPr>
      <w:rPr>
        <w:rFonts w:hint="eastAsia"/>
      </w:rPr>
    </w:lvl>
    <w:lvl w:ilvl="2" w:tentative="0">
      <w:start w:val="1"/>
      <w:numFmt w:val="decimal"/>
      <w:pStyle w:val="95"/>
      <w:lvlText w:val="%1.%2.%3"/>
      <w:lvlJc w:val="right"/>
      <w:pPr>
        <w:ind w:left="124" w:firstLine="567"/>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1"/>
  </w:num>
  <w:num w:numId="2">
    <w:abstractNumId w:val="20"/>
  </w:num>
  <w:num w:numId="3">
    <w:abstractNumId w:val="25"/>
  </w:num>
  <w:num w:numId="4">
    <w:abstractNumId w:val="28"/>
  </w:num>
  <w:num w:numId="5">
    <w:abstractNumId w:val="2"/>
  </w:num>
  <w:num w:numId="6">
    <w:abstractNumId w:val="1"/>
  </w:num>
  <w:num w:numId="7">
    <w:abstractNumId w:val="15"/>
  </w:num>
  <w:num w:numId="8">
    <w:abstractNumId w:val="22"/>
  </w:num>
  <w:num w:numId="9">
    <w:abstractNumId w:val="29"/>
  </w:num>
  <w:num w:numId="10">
    <w:abstractNumId w:val="13"/>
  </w:num>
  <w:num w:numId="11">
    <w:abstractNumId w:val="9"/>
  </w:num>
  <w:num w:numId="12">
    <w:abstractNumId w:val="10"/>
  </w:num>
  <w:num w:numId="13">
    <w:abstractNumId w:val="14"/>
  </w:num>
  <w:num w:numId="14">
    <w:abstractNumId w:val="7"/>
  </w:num>
  <w:num w:numId="15">
    <w:abstractNumId w:val="8"/>
  </w:num>
  <w:num w:numId="16">
    <w:abstractNumId w:val="30"/>
  </w:num>
  <w:num w:numId="17">
    <w:abstractNumId w:val="12"/>
  </w:num>
  <w:num w:numId="18">
    <w:abstractNumId w:val="17"/>
  </w:num>
  <w:num w:numId="19">
    <w:abstractNumId w:val="11"/>
  </w:num>
  <w:num w:numId="20">
    <w:abstractNumId w:val="19"/>
  </w:num>
  <w:num w:numId="21">
    <w:abstractNumId w:val="18"/>
  </w:num>
  <w:num w:numId="22">
    <w:abstractNumId w:val="3"/>
  </w:num>
  <w:num w:numId="23">
    <w:abstractNumId w:val="21"/>
  </w:num>
  <w:num w:numId="24">
    <w:abstractNumId w:val="4"/>
  </w:num>
  <w:num w:numId="25">
    <w:abstractNumId w:val="0"/>
  </w:num>
  <w:num w:numId="26">
    <w:abstractNumId w:val="6"/>
  </w:num>
  <w:num w:numId="27">
    <w:abstractNumId w:val="23"/>
  </w:num>
  <w:num w:numId="28">
    <w:abstractNumId w:val="26"/>
  </w:num>
  <w:num w:numId="29">
    <w:abstractNumId w:val="24"/>
  </w:num>
  <w:num w:numId="30">
    <w:abstractNumId w:val="16"/>
  </w:num>
  <w:num w:numId="31">
    <w:abstractNumId w:val="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isplayBackgroundShape w:val="1"/>
  <w:bordersDoNotSurroundHeader w:val="1"/>
  <w:bordersDoNotSurroundFooter w:val="1"/>
  <w:hideSpellingErrors/>
  <w:documentProtection w:enforcement="0"/>
  <w:defaultTabStop w:val="246"/>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5YTg4NDFhMmUyMjI1Y2FmODlhM2FlNzIwZDU1ZmIifQ=="/>
  </w:docVars>
  <w:rsids>
    <w:rsidRoot w:val="00175C72"/>
    <w:rsid w:val="00007346"/>
    <w:rsid w:val="00007F53"/>
    <w:rsid w:val="000116A3"/>
    <w:rsid w:val="00025EDE"/>
    <w:rsid w:val="00026B79"/>
    <w:rsid w:val="00030094"/>
    <w:rsid w:val="00041287"/>
    <w:rsid w:val="00056E11"/>
    <w:rsid w:val="00061DBA"/>
    <w:rsid w:val="00076EBB"/>
    <w:rsid w:val="00085F64"/>
    <w:rsid w:val="00092B68"/>
    <w:rsid w:val="000936D5"/>
    <w:rsid w:val="000A6DB9"/>
    <w:rsid w:val="000C6098"/>
    <w:rsid w:val="000E6CD4"/>
    <w:rsid w:val="000F1D18"/>
    <w:rsid w:val="000F7C63"/>
    <w:rsid w:val="00115BB9"/>
    <w:rsid w:val="0012382E"/>
    <w:rsid w:val="00136E07"/>
    <w:rsid w:val="00141EDA"/>
    <w:rsid w:val="00144117"/>
    <w:rsid w:val="00147EAF"/>
    <w:rsid w:val="00150F2B"/>
    <w:rsid w:val="00161A4D"/>
    <w:rsid w:val="001622D4"/>
    <w:rsid w:val="001639F7"/>
    <w:rsid w:val="00163CF7"/>
    <w:rsid w:val="00166539"/>
    <w:rsid w:val="00175C72"/>
    <w:rsid w:val="00181C1F"/>
    <w:rsid w:val="00186745"/>
    <w:rsid w:val="001955E0"/>
    <w:rsid w:val="001A0373"/>
    <w:rsid w:val="001A0AB7"/>
    <w:rsid w:val="001A554C"/>
    <w:rsid w:val="001B5391"/>
    <w:rsid w:val="001C3095"/>
    <w:rsid w:val="001D2DED"/>
    <w:rsid w:val="001D4D29"/>
    <w:rsid w:val="00201E90"/>
    <w:rsid w:val="00205B21"/>
    <w:rsid w:val="00207C7A"/>
    <w:rsid w:val="00211BD4"/>
    <w:rsid w:val="0021589C"/>
    <w:rsid w:val="002200D6"/>
    <w:rsid w:val="002240D8"/>
    <w:rsid w:val="00225A42"/>
    <w:rsid w:val="002315CF"/>
    <w:rsid w:val="00232ED0"/>
    <w:rsid w:val="00252D13"/>
    <w:rsid w:val="00252E9E"/>
    <w:rsid w:val="00263CF1"/>
    <w:rsid w:val="002674ED"/>
    <w:rsid w:val="00275275"/>
    <w:rsid w:val="00292357"/>
    <w:rsid w:val="002931E5"/>
    <w:rsid w:val="002B5674"/>
    <w:rsid w:val="002C4EE6"/>
    <w:rsid w:val="002C5BEC"/>
    <w:rsid w:val="002F07E3"/>
    <w:rsid w:val="002F19E1"/>
    <w:rsid w:val="003028DD"/>
    <w:rsid w:val="00302F8E"/>
    <w:rsid w:val="003068FF"/>
    <w:rsid w:val="00313B12"/>
    <w:rsid w:val="00335513"/>
    <w:rsid w:val="00337C91"/>
    <w:rsid w:val="00343145"/>
    <w:rsid w:val="00343677"/>
    <w:rsid w:val="003469B8"/>
    <w:rsid w:val="003509C4"/>
    <w:rsid w:val="00351D73"/>
    <w:rsid w:val="00361380"/>
    <w:rsid w:val="003724DE"/>
    <w:rsid w:val="00373655"/>
    <w:rsid w:val="00383EB4"/>
    <w:rsid w:val="003958BA"/>
    <w:rsid w:val="003A09A6"/>
    <w:rsid w:val="003A3BA4"/>
    <w:rsid w:val="003A44DF"/>
    <w:rsid w:val="003E3D83"/>
    <w:rsid w:val="003E5717"/>
    <w:rsid w:val="004148AD"/>
    <w:rsid w:val="00423D2A"/>
    <w:rsid w:val="00423D75"/>
    <w:rsid w:val="004267EF"/>
    <w:rsid w:val="004368BC"/>
    <w:rsid w:val="004455F4"/>
    <w:rsid w:val="00456057"/>
    <w:rsid w:val="00464D7F"/>
    <w:rsid w:val="00473550"/>
    <w:rsid w:val="00487E73"/>
    <w:rsid w:val="004B78D2"/>
    <w:rsid w:val="004D38C7"/>
    <w:rsid w:val="004D618F"/>
    <w:rsid w:val="004E23CE"/>
    <w:rsid w:val="00501A09"/>
    <w:rsid w:val="00515A04"/>
    <w:rsid w:val="0053139F"/>
    <w:rsid w:val="005334FC"/>
    <w:rsid w:val="00547977"/>
    <w:rsid w:val="00553874"/>
    <w:rsid w:val="005573E0"/>
    <w:rsid w:val="00562285"/>
    <w:rsid w:val="005652FB"/>
    <w:rsid w:val="00567702"/>
    <w:rsid w:val="00570BEB"/>
    <w:rsid w:val="00575DBD"/>
    <w:rsid w:val="00580946"/>
    <w:rsid w:val="00584327"/>
    <w:rsid w:val="00590E04"/>
    <w:rsid w:val="005A39FB"/>
    <w:rsid w:val="005A50A7"/>
    <w:rsid w:val="005B3EA4"/>
    <w:rsid w:val="005B4398"/>
    <w:rsid w:val="005C661D"/>
    <w:rsid w:val="005D19FE"/>
    <w:rsid w:val="005E6B8F"/>
    <w:rsid w:val="005F6185"/>
    <w:rsid w:val="006161FE"/>
    <w:rsid w:val="00627B01"/>
    <w:rsid w:val="006457F2"/>
    <w:rsid w:val="006458D1"/>
    <w:rsid w:val="00655683"/>
    <w:rsid w:val="00655980"/>
    <w:rsid w:val="006847BA"/>
    <w:rsid w:val="00687A07"/>
    <w:rsid w:val="006A4CBA"/>
    <w:rsid w:val="006B4DE1"/>
    <w:rsid w:val="006C2E76"/>
    <w:rsid w:val="006E1741"/>
    <w:rsid w:val="006E1986"/>
    <w:rsid w:val="006E257C"/>
    <w:rsid w:val="006E3C37"/>
    <w:rsid w:val="006E70B1"/>
    <w:rsid w:val="006F376A"/>
    <w:rsid w:val="00720649"/>
    <w:rsid w:val="007226F7"/>
    <w:rsid w:val="00732393"/>
    <w:rsid w:val="007450F2"/>
    <w:rsid w:val="00746866"/>
    <w:rsid w:val="0076417C"/>
    <w:rsid w:val="007668F2"/>
    <w:rsid w:val="007724BF"/>
    <w:rsid w:val="00781CBC"/>
    <w:rsid w:val="00793843"/>
    <w:rsid w:val="007A077C"/>
    <w:rsid w:val="007A1288"/>
    <w:rsid w:val="007A5010"/>
    <w:rsid w:val="007A7282"/>
    <w:rsid w:val="007E5013"/>
    <w:rsid w:val="007E7AAD"/>
    <w:rsid w:val="00800DAA"/>
    <w:rsid w:val="008210AD"/>
    <w:rsid w:val="00835B19"/>
    <w:rsid w:val="00846843"/>
    <w:rsid w:val="008526BB"/>
    <w:rsid w:val="00875062"/>
    <w:rsid w:val="00876EE4"/>
    <w:rsid w:val="008823A7"/>
    <w:rsid w:val="008846C4"/>
    <w:rsid w:val="008A2530"/>
    <w:rsid w:val="008A57BD"/>
    <w:rsid w:val="008A77BD"/>
    <w:rsid w:val="008B030C"/>
    <w:rsid w:val="008B3A43"/>
    <w:rsid w:val="008B7088"/>
    <w:rsid w:val="008D6CDD"/>
    <w:rsid w:val="0090029D"/>
    <w:rsid w:val="009026A1"/>
    <w:rsid w:val="00902D9F"/>
    <w:rsid w:val="009065E8"/>
    <w:rsid w:val="0091472D"/>
    <w:rsid w:val="00932788"/>
    <w:rsid w:val="00935A0F"/>
    <w:rsid w:val="009404E6"/>
    <w:rsid w:val="00941BEB"/>
    <w:rsid w:val="00941E3A"/>
    <w:rsid w:val="0094498D"/>
    <w:rsid w:val="009638CA"/>
    <w:rsid w:val="00963D08"/>
    <w:rsid w:val="0096492F"/>
    <w:rsid w:val="00972CF4"/>
    <w:rsid w:val="00983BF9"/>
    <w:rsid w:val="0098545D"/>
    <w:rsid w:val="0098580B"/>
    <w:rsid w:val="00990B52"/>
    <w:rsid w:val="00993DEF"/>
    <w:rsid w:val="00994858"/>
    <w:rsid w:val="00995544"/>
    <w:rsid w:val="009A056A"/>
    <w:rsid w:val="009B19A5"/>
    <w:rsid w:val="009C0F7D"/>
    <w:rsid w:val="009C415C"/>
    <w:rsid w:val="009E41AE"/>
    <w:rsid w:val="00A04A45"/>
    <w:rsid w:val="00A218B0"/>
    <w:rsid w:val="00A340AE"/>
    <w:rsid w:val="00A46D8D"/>
    <w:rsid w:val="00A63AD0"/>
    <w:rsid w:val="00A656C9"/>
    <w:rsid w:val="00A729FA"/>
    <w:rsid w:val="00A75A66"/>
    <w:rsid w:val="00A974D8"/>
    <w:rsid w:val="00AB1CDD"/>
    <w:rsid w:val="00AB39FD"/>
    <w:rsid w:val="00AB54C8"/>
    <w:rsid w:val="00AB7536"/>
    <w:rsid w:val="00AD46C0"/>
    <w:rsid w:val="00AD76FD"/>
    <w:rsid w:val="00AF01B6"/>
    <w:rsid w:val="00AF0604"/>
    <w:rsid w:val="00AF3748"/>
    <w:rsid w:val="00AF42E7"/>
    <w:rsid w:val="00B00D91"/>
    <w:rsid w:val="00B10207"/>
    <w:rsid w:val="00B12A74"/>
    <w:rsid w:val="00B15162"/>
    <w:rsid w:val="00B3756B"/>
    <w:rsid w:val="00B42342"/>
    <w:rsid w:val="00B42803"/>
    <w:rsid w:val="00B55E2E"/>
    <w:rsid w:val="00B57065"/>
    <w:rsid w:val="00B6077E"/>
    <w:rsid w:val="00B73019"/>
    <w:rsid w:val="00B80F87"/>
    <w:rsid w:val="00B815F2"/>
    <w:rsid w:val="00B86480"/>
    <w:rsid w:val="00B8711E"/>
    <w:rsid w:val="00B93DE8"/>
    <w:rsid w:val="00B969E9"/>
    <w:rsid w:val="00BA33F1"/>
    <w:rsid w:val="00BA6A0A"/>
    <w:rsid w:val="00BC43CC"/>
    <w:rsid w:val="00BD327C"/>
    <w:rsid w:val="00BD3C5A"/>
    <w:rsid w:val="00BF0D46"/>
    <w:rsid w:val="00BF1930"/>
    <w:rsid w:val="00BF3528"/>
    <w:rsid w:val="00C01462"/>
    <w:rsid w:val="00C0274E"/>
    <w:rsid w:val="00C15914"/>
    <w:rsid w:val="00C17634"/>
    <w:rsid w:val="00C44A09"/>
    <w:rsid w:val="00C5411A"/>
    <w:rsid w:val="00C56296"/>
    <w:rsid w:val="00C83D18"/>
    <w:rsid w:val="00C87C02"/>
    <w:rsid w:val="00C92FB4"/>
    <w:rsid w:val="00CA3B4D"/>
    <w:rsid w:val="00CC5B41"/>
    <w:rsid w:val="00CE3639"/>
    <w:rsid w:val="00CF6338"/>
    <w:rsid w:val="00D05298"/>
    <w:rsid w:val="00D16BB0"/>
    <w:rsid w:val="00D17D34"/>
    <w:rsid w:val="00D21F28"/>
    <w:rsid w:val="00D225F1"/>
    <w:rsid w:val="00D301FD"/>
    <w:rsid w:val="00D33B28"/>
    <w:rsid w:val="00D378D7"/>
    <w:rsid w:val="00D46429"/>
    <w:rsid w:val="00D47357"/>
    <w:rsid w:val="00D521FB"/>
    <w:rsid w:val="00D553D2"/>
    <w:rsid w:val="00D71090"/>
    <w:rsid w:val="00D760B2"/>
    <w:rsid w:val="00D86B3A"/>
    <w:rsid w:val="00DB125C"/>
    <w:rsid w:val="00DB2135"/>
    <w:rsid w:val="00DB4325"/>
    <w:rsid w:val="00DB5BED"/>
    <w:rsid w:val="00DC1F4A"/>
    <w:rsid w:val="00DC523A"/>
    <w:rsid w:val="00DD2B55"/>
    <w:rsid w:val="00DE6A14"/>
    <w:rsid w:val="00E00823"/>
    <w:rsid w:val="00E347D7"/>
    <w:rsid w:val="00E45C63"/>
    <w:rsid w:val="00E60623"/>
    <w:rsid w:val="00E64DA7"/>
    <w:rsid w:val="00E8309F"/>
    <w:rsid w:val="00E8673F"/>
    <w:rsid w:val="00E954AE"/>
    <w:rsid w:val="00EA4B63"/>
    <w:rsid w:val="00EA6AF5"/>
    <w:rsid w:val="00EA7619"/>
    <w:rsid w:val="00EA7A13"/>
    <w:rsid w:val="00EB406D"/>
    <w:rsid w:val="00EC0E24"/>
    <w:rsid w:val="00EF45CC"/>
    <w:rsid w:val="00EF6346"/>
    <w:rsid w:val="00F005BE"/>
    <w:rsid w:val="00F06839"/>
    <w:rsid w:val="00F1543C"/>
    <w:rsid w:val="00F3338D"/>
    <w:rsid w:val="00F47F98"/>
    <w:rsid w:val="00F5338F"/>
    <w:rsid w:val="00F544B4"/>
    <w:rsid w:val="00F768A6"/>
    <w:rsid w:val="00F76FE6"/>
    <w:rsid w:val="00F82167"/>
    <w:rsid w:val="00F82564"/>
    <w:rsid w:val="00F87390"/>
    <w:rsid w:val="00F94489"/>
    <w:rsid w:val="00F95369"/>
    <w:rsid w:val="00FA051C"/>
    <w:rsid w:val="00FA4944"/>
    <w:rsid w:val="00FA6701"/>
    <w:rsid w:val="00FB058F"/>
    <w:rsid w:val="00FE3D81"/>
    <w:rsid w:val="00FE5027"/>
    <w:rsid w:val="0162291F"/>
    <w:rsid w:val="04EC48DB"/>
    <w:rsid w:val="0664230B"/>
    <w:rsid w:val="0858357D"/>
    <w:rsid w:val="08911D0E"/>
    <w:rsid w:val="0F0178AE"/>
    <w:rsid w:val="0F575A3B"/>
    <w:rsid w:val="11202AD2"/>
    <w:rsid w:val="153F16D0"/>
    <w:rsid w:val="183159AA"/>
    <w:rsid w:val="252E2CEF"/>
    <w:rsid w:val="25A1031D"/>
    <w:rsid w:val="273A1B83"/>
    <w:rsid w:val="30376306"/>
    <w:rsid w:val="30897048"/>
    <w:rsid w:val="31000B10"/>
    <w:rsid w:val="31E22717"/>
    <w:rsid w:val="32836051"/>
    <w:rsid w:val="3345278F"/>
    <w:rsid w:val="38C545CF"/>
    <w:rsid w:val="39B02D9D"/>
    <w:rsid w:val="3A1B7DC8"/>
    <w:rsid w:val="3DF829A5"/>
    <w:rsid w:val="42AD5A82"/>
    <w:rsid w:val="43626F33"/>
    <w:rsid w:val="498A5A6E"/>
    <w:rsid w:val="4BB723ED"/>
    <w:rsid w:val="51667545"/>
    <w:rsid w:val="55307BE1"/>
    <w:rsid w:val="570A3263"/>
    <w:rsid w:val="619C6854"/>
    <w:rsid w:val="64F05666"/>
    <w:rsid w:val="6ADF7C45"/>
    <w:rsid w:val="786615B0"/>
    <w:rsid w:val="7891393F"/>
    <w:rsid w:val="79A80B70"/>
    <w:rsid w:val="7A687397"/>
    <w:rsid w:val="7B541BAF"/>
    <w:rsid w:val="7F050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styleId="4">
    <w:name w:val="heading 1"/>
    <w:basedOn w:val="1"/>
    <w:next w:val="1"/>
    <w:link w:val="26"/>
    <w:qFormat/>
    <w:uiPriority w:val="0"/>
    <w:pPr>
      <w:keepNext/>
      <w:keepLines/>
      <w:numPr>
        <w:ilvl w:val="0"/>
        <w:numId w:val="1"/>
      </w:numPr>
      <w:spacing w:before="50" w:beforeLines="50"/>
      <w:ind w:left="567" w:hanging="567"/>
      <w:outlineLvl w:val="0"/>
    </w:pPr>
    <w:rPr>
      <w:b/>
      <w:bCs/>
      <w:kern w:val="44"/>
      <w:szCs w:val="44"/>
    </w:rPr>
  </w:style>
  <w:style w:type="paragraph" w:styleId="5">
    <w:name w:val="heading 2"/>
    <w:next w:val="1"/>
    <w:link w:val="27"/>
    <w:qFormat/>
    <w:uiPriority w:val="0"/>
    <w:pPr>
      <w:keepNext/>
      <w:keepLines/>
      <w:numPr>
        <w:ilvl w:val="1"/>
        <w:numId w:val="1"/>
      </w:numPr>
      <w:spacing w:line="360" w:lineRule="auto"/>
      <w:ind w:left="0" w:firstLine="0"/>
      <w:outlineLvl w:val="1"/>
    </w:pPr>
    <w:rPr>
      <w:rFonts w:ascii="Times New Roman" w:hAnsi="Times New Roman" w:eastAsia="宋体" w:cs="Times New Roman"/>
      <w:b/>
      <w:bCs/>
      <w:kern w:val="24"/>
      <w:sz w:val="24"/>
      <w:szCs w:val="24"/>
      <w:lang w:val="en-US" w:eastAsia="zh-CN" w:bidi="ar-SA"/>
    </w:rPr>
  </w:style>
  <w:style w:type="paragraph" w:styleId="6">
    <w:name w:val="heading 3"/>
    <w:basedOn w:val="1"/>
    <w:next w:val="1"/>
    <w:link w:val="28"/>
    <w:unhideWhenUsed/>
    <w:qFormat/>
    <w:uiPriority w:val="9"/>
    <w:pPr>
      <w:keepNext/>
      <w:keepLines/>
      <w:spacing w:before="260" w:after="260" w:line="416" w:lineRule="auto"/>
      <w:outlineLvl w:val="2"/>
    </w:pPr>
    <w:rPr>
      <w:rFonts w:ascii="Calibri" w:hAnsi="Calibr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0" w:firstLine="420"/>
    </w:pPr>
    <w:rPr>
      <w:rFonts w:ascii="仿宋_GB2312" w:eastAsia="仿宋_GB2312" w:cs="仿宋_GB2312"/>
      <w:sz w:val="32"/>
      <w:szCs w:val="32"/>
    </w:rPr>
  </w:style>
  <w:style w:type="paragraph" w:styleId="3">
    <w:name w:val="Body Text Indent"/>
    <w:basedOn w:val="1"/>
    <w:link w:val="35"/>
    <w:qFormat/>
    <w:uiPriority w:val="0"/>
    <w:pPr>
      <w:ind w:firstLine="493" w:firstLineChars="200"/>
    </w:pPr>
    <w:rPr>
      <w:rFonts w:ascii="仿宋_GB2312" w:hAnsi="宋体"/>
    </w:rPr>
  </w:style>
  <w:style w:type="paragraph" w:styleId="7">
    <w:name w:val="Document Map"/>
    <w:basedOn w:val="1"/>
    <w:link w:val="36"/>
    <w:semiHidden/>
    <w:qFormat/>
    <w:uiPriority w:val="0"/>
    <w:pPr>
      <w:shd w:val="clear" w:color="auto" w:fill="000080"/>
    </w:pPr>
  </w:style>
  <w:style w:type="paragraph" w:styleId="8">
    <w:name w:val="annotation text"/>
    <w:basedOn w:val="1"/>
    <w:link w:val="93"/>
    <w:semiHidden/>
    <w:unhideWhenUsed/>
    <w:qFormat/>
    <w:uiPriority w:val="0"/>
    <w:pPr>
      <w:jc w:val="left"/>
    </w:pPr>
  </w:style>
  <w:style w:type="paragraph" w:styleId="9">
    <w:name w:val="Body Text"/>
    <w:basedOn w:val="1"/>
    <w:next w:val="1"/>
    <w:link w:val="90"/>
    <w:qFormat/>
    <w:uiPriority w:val="0"/>
    <w:pPr>
      <w:spacing w:after="120"/>
    </w:pPr>
  </w:style>
  <w:style w:type="paragraph" w:styleId="10">
    <w:name w:val="Plain Text"/>
    <w:basedOn w:val="1"/>
    <w:link w:val="31"/>
    <w:qFormat/>
    <w:uiPriority w:val="0"/>
    <w:rPr>
      <w:rFonts w:ascii="宋体" w:hAnsi="Courier New" w:cs="Courier New"/>
      <w:szCs w:val="21"/>
    </w:rPr>
  </w:style>
  <w:style w:type="paragraph" w:styleId="11">
    <w:name w:val="Date"/>
    <w:basedOn w:val="1"/>
    <w:next w:val="1"/>
    <w:link w:val="34"/>
    <w:qFormat/>
    <w:uiPriority w:val="0"/>
  </w:style>
  <w:style w:type="paragraph" w:styleId="12">
    <w:name w:val="Body Text Indent 2"/>
    <w:basedOn w:val="1"/>
    <w:link w:val="29"/>
    <w:qFormat/>
    <w:uiPriority w:val="0"/>
    <w:pPr>
      <w:ind w:firstLine="585"/>
    </w:pPr>
    <w:rPr>
      <w:rFonts w:ascii="宋体" w:hAnsi="宋体" w:eastAsiaTheme="minorEastAsia" w:cstheme="minorBidi"/>
      <w:sz w:val="28"/>
      <w:szCs w:val="22"/>
    </w:rPr>
  </w:style>
  <w:style w:type="paragraph" w:styleId="13">
    <w:name w:val="Balloon Text"/>
    <w:basedOn w:val="1"/>
    <w:link w:val="92"/>
    <w:qFormat/>
    <w:uiPriority w:val="0"/>
    <w:rPr>
      <w:sz w:val="18"/>
      <w:szCs w:val="18"/>
    </w:rPr>
  </w:style>
  <w:style w:type="paragraph" w:styleId="14">
    <w:name w:val="footer"/>
    <w:basedOn w:val="1"/>
    <w:link w:val="32"/>
    <w:qFormat/>
    <w:uiPriority w:val="0"/>
    <w:pPr>
      <w:tabs>
        <w:tab w:val="center" w:pos="4153"/>
        <w:tab w:val="right" w:pos="8306"/>
      </w:tabs>
      <w:snapToGrid w:val="0"/>
      <w:jc w:val="left"/>
    </w:pPr>
    <w:rPr>
      <w:sz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rPr>
  </w:style>
  <w:style w:type="paragraph" w:styleId="16">
    <w:name w:val="annotation subject"/>
    <w:basedOn w:val="8"/>
    <w:next w:val="8"/>
    <w:link w:val="94"/>
    <w:semiHidden/>
    <w:unhideWhenUsed/>
    <w:qFormat/>
    <w:uiPriority w:val="0"/>
    <w:rPr>
      <w:b/>
      <w:bCs/>
    </w:rPr>
  </w:style>
  <w:style w:type="paragraph" w:styleId="17">
    <w:name w:val="Body Text First Indent"/>
    <w:basedOn w:val="9"/>
    <w:link w:val="91"/>
    <w:qFormat/>
    <w:uiPriority w:val="0"/>
    <w:pPr>
      <w:ind w:firstLine="420" w:firstLineChars="100"/>
    </w:pPr>
  </w:style>
  <w:style w:type="table" w:styleId="19">
    <w:name w:val="Table Grid"/>
    <w:basedOn w:val="1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rFonts w:eastAsia="宋体"/>
      <w:bCs/>
      <w:color w:val="008000"/>
      <w:sz w:val="24"/>
    </w:rPr>
  </w:style>
  <w:style w:type="character" w:styleId="22">
    <w:name w:val="page number"/>
    <w:basedOn w:val="20"/>
    <w:qFormat/>
    <w:uiPriority w:val="0"/>
  </w:style>
  <w:style w:type="character" w:styleId="23">
    <w:name w:val="Emphasis"/>
    <w:basedOn w:val="20"/>
    <w:qFormat/>
    <w:uiPriority w:val="0"/>
    <w:rPr>
      <w:i/>
      <w:iCs/>
      <w:color w:val="0000FF"/>
    </w:rPr>
  </w:style>
  <w:style w:type="character" w:styleId="24">
    <w:name w:val="Hyperlink"/>
    <w:qFormat/>
    <w:uiPriority w:val="99"/>
    <w:rPr>
      <w:color w:val="0000FF"/>
      <w:u w:val="single"/>
    </w:rPr>
  </w:style>
  <w:style w:type="character" w:styleId="25">
    <w:name w:val="annotation reference"/>
    <w:basedOn w:val="20"/>
    <w:semiHidden/>
    <w:unhideWhenUsed/>
    <w:qFormat/>
    <w:uiPriority w:val="0"/>
    <w:rPr>
      <w:sz w:val="21"/>
      <w:szCs w:val="21"/>
    </w:rPr>
  </w:style>
  <w:style w:type="character" w:customStyle="1" w:styleId="26">
    <w:name w:val="标题 1 字符"/>
    <w:basedOn w:val="20"/>
    <w:link w:val="4"/>
    <w:qFormat/>
    <w:uiPriority w:val="0"/>
    <w:rPr>
      <w:rFonts w:ascii="Times New Roman" w:hAnsi="Times New Roman" w:eastAsia="宋体" w:cs="Times New Roman"/>
      <w:b/>
      <w:bCs/>
      <w:kern w:val="44"/>
      <w:sz w:val="24"/>
      <w:szCs w:val="44"/>
    </w:rPr>
  </w:style>
  <w:style w:type="character" w:customStyle="1" w:styleId="27">
    <w:name w:val="标题 2 字符"/>
    <w:basedOn w:val="20"/>
    <w:link w:val="5"/>
    <w:qFormat/>
    <w:uiPriority w:val="0"/>
    <w:rPr>
      <w:rFonts w:ascii="Times New Roman" w:hAnsi="Times New Roman" w:eastAsia="宋体" w:cs="Times New Roman"/>
      <w:b/>
      <w:bCs/>
      <w:kern w:val="24"/>
      <w:sz w:val="24"/>
      <w:szCs w:val="24"/>
    </w:rPr>
  </w:style>
  <w:style w:type="character" w:customStyle="1" w:styleId="28">
    <w:name w:val="标题 3 字符"/>
    <w:basedOn w:val="20"/>
    <w:link w:val="6"/>
    <w:qFormat/>
    <w:uiPriority w:val="9"/>
    <w:rPr>
      <w:rFonts w:ascii="Calibri" w:hAnsi="Calibri" w:eastAsia="宋体" w:cs="Times New Roman"/>
      <w:b/>
      <w:bCs/>
      <w:sz w:val="32"/>
      <w:szCs w:val="32"/>
    </w:rPr>
  </w:style>
  <w:style w:type="character" w:customStyle="1" w:styleId="29">
    <w:name w:val="正文文本缩进 2 字符"/>
    <w:link w:val="12"/>
    <w:qFormat/>
    <w:uiPriority w:val="0"/>
    <w:rPr>
      <w:rFonts w:ascii="宋体" w:hAnsi="宋体"/>
      <w:sz w:val="28"/>
    </w:rPr>
  </w:style>
  <w:style w:type="character" w:customStyle="1" w:styleId="30">
    <w:name w:val="页眉 字符"/>
    <w:basedOn w:val="20"/>
    <w:link w:val="15"/>
    <w:qFormat/>
    <w:uiPriority w:val="0"/>
    <w:rPr>
      <w:rFonts w:ascii="Times New Roman" w:hAnsi="Times New Roman" w:eastAsia="宋体" w:cs="Times New Roman"/>
      <w:sz w:val="18"/>
      <w:szCs w:val="20"/>
    </w:rPr>
  </w:style>
  <w:style w:type="character" w:customStyle="1" w:styleId="31">
    <w:name w:val="纯文本 字符"/>
    <w:basedOn w:val="20"/>
    <w:link w:val="10"/>
    <w:qFormat/>
    <w:uiPriority w:val="0"/>
    <w:rPr>
      <w:rFonts w:ascii="宋体" w:hAnsi="Courier New" w:eastAsia="宋体" w:cs="Courier New"/>
      <w:sz w:val="24"/>
      <w:szCs w:val="21"/>
    </w:rPr>
  </w:style>
  <w:style w:type="character" w:customStyle="1" w:styleId="32">
    <w:name w:val="页脚 字符"/>
    <w:basedOn w:val="20"/>
    <w:link w:val="14"/>
    <w:qFormat/>
    <w:uiPriority w:val="0"/>
    <w:rPr>
      <w:rFonts w:ascii="Times New Roman" w:hAnsi="Times New Roman" w:eastAsia="宋体" w:cs="Times New Roman"/>
      <w:sz w:val="18"/>
      <w:szCs w:val="20"/>
    </w:rPr>
  </w:style>
  <w:style w:type="character" w:customStyle="1" w:styleId="33">
    <w:name w:val="正文文本缩进 2 字符1"/>
    <w:basedOn w:val="20"/>
    <w:semiHidden/>
    <w:qFormat/>
    <w:uiPriority w:val="99"/>
    <w:rPr>
      <w:rFonts w:ascii="Times New Roman" w:hAnsi="Times New Roman" w:eastAsia="宋体" w:cs="Times New Roman"/>
      <w:sz w:val="24"/>
      <w:szCs w:val="20"/>
    </w:rPr>
  </w:style>
  <w:style w:type="character" w:customStyle="1" w:styleId="34">
    <w:name w:val="日期 字符"/>
    <w:basedOn w:val="20"/>
    <w:link w:val="11"/>
    <w:qFormat/>
    <w:uiPriority w:val="0"/>
    <w:rPr>
      <w:rFonts w:ascii="Times New Roman" w:hAnsi="Times New Roman" w:eastAsia="宋体" w:cs="Times New Roman"/>
      <w:sz w:val="24"/>
      <w:szCs w:val="20"/>
    </w:rPr>
  </w:style>
  <w:style w:type="character" w:customStyle="1" w:styleId="35">
    <w:name w:val="正文文本缩进 字符"/>
    <w:basedOn w:val="20"/>
    <w:link w:val="3"/>
    <w:qFormat/>
    <w:uiPriority w:val="0"/>
    <w:rPr>
      <w:rFonts w:ascii="仿宋_GB2312" w:hAnsi="宋体" w:eastAsia="宋体" w:cs="Times New Roman"/>
      <w:sz w:val="24"/>
      <w:szCs w:val="20"/>
    </w:rPr>
  </w:style>
  <w:style w:type="character" w:customStyle="1" w:styleId="36">
    <w:name w:val="文档结构图 字符"/>
    <w:basedOn w:val="20"/>
    <w:link w:val="7"/>
    <w:semiHidden/>
    <w:qFormat/>
    <w:uiPriority w:val="0"/>
    <w:rPr>
      <w:rFonts w:ascii="Times New Roman" w:hAnsi="Times New Roman" w:eastAsia="宋体" w:cs="Times New Roman"/>
      <w:sz w:val="24"/>
      <w:szCs w:val="20"/>
      <w:shd w:val="clear" w:color="auto" w:fill="000080"/>
    </w:rPr>
  </w:style>
  <w:style w:type="paragraph" w:customStyle="1" w:styleId="3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rPr>
  </w:style>
  <w:style w:type="paragraph" w:customStyle="1" w:styleId="3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kern w:val="0"/>
      <w:sz w:val="20"/>
    </w:rPr>
  </w:style>
  <w:style w:type="paragraph" w:customStyle="1" w:styleId="3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rPr>
  </w:style>
  <w:style w:type="paragraph" w:customStyle="1" w:styleId="4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styleId="41">
    <w:name w:val="List Paragraph"/>
    <w:basedOn w:val="1"/>
    <w:link w:val="96"/>
    <w:qFormat/>
    <w:uiPriority w:val="34"/>
    <w:pPr>
      <w:ind w:firstLine="420" w:firstLineChars="200"/>
    </w:pPr>
    <w:rPr>
      <w:rFonts w:ascii="Calibri" w:hAnsi="Calibri"/>
      <w:sz w:val="21"/>
      <w:szCs w:val="22"/>
    </w:rPr>
  </w:style>
  <w:style w:type="paragraph" w:customStyle="1" w:styleId="4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rPr>
  </w:style>
  <w:style w:type="paragraph" w:customStyle="1" w:styleId="4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44">
    <w:name w:val="font12"/>
    <w:basedOn w:val="1"/>
    <w:qFormat/>
    <w:uiPriority w:val="0"/>
    <w:pPr>
      <w:widowControl/>
      <w:spacing w:before="100" w:beforeAutospacing="1" w:after="100" w:afterAutospacing="1"/>
      <w:jc w:val="left"/>
    </w:pPr>
    <w:rPr>
      <w:rFonts w:hint="eastAsia" w:ascii="仿宋_GB2312" w:hAnsi="宋体"/>
      <w:color w:val="000000"/>
      <w:kern w:val="0"/>
      <w:sz w:val="20"/>
    </w:rPr>
  </w:style>
  <w:style w:type="paragraph" w:customStyle="1" w:styleId="45">
    <w:name w:val="font6"/>
    <w:basedOn w:val="1"/>
    <w:qFormat/>
    <w:uiPriority w:val="0"/>
    <w:pPr>
      <w:widowControl/>
      <w:spacing w:before="100" w:beforeAutospacing="1" w:after="100" w:afterAutospacing="1"/>
      <w:jc w:val="left"/>
    </w:pPr>
    <w:rPr>
      <w:rFonts w:hint="eastAsia" w:ascii="宋体" w:hAnsi="宋体"/>
      <w:color w:val="0000FF"/>
      <w:kern w:val="0"/>
      <w:szCs w:val="24"/>
      <w:u w:val="single"/>
    </w:rPr>
  </w:style>
  <w:style w:type="paragraph" w:customStyle="1" w:styleId="46">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47">
    <w:name w:val="xl5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48">
    <w:name w:val="xl4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kern w:val="0"/>
      <w:sz w:val="20"/>
    </w:rPr>
  </w:style>
  <w:style w:type="paragraph" w:customStyle="1" w:styleId="49">
    <w:name w:val="xl4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kern w:val="0"/>
      <w:sz w:val="20"/>
    </w:rPr>
  </w:style>
  <w:style w:type="paragraph" w:customStyle="1" w:styleId="5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51">
    <w:name w:val="font7"/>
    <w:basedOn w:val="1"/>
    <w:qFormat/>
    <w:uiPriority w:val="0"/>
    <w:pPr>
      <w:widowControl/>
      <w:spacing w:before="100" w:beforeAutospacing="1" w:after="100" w:afterAutospacing="1"/>
      <w:jc w:val="left"/>
    </w:pPr>
    <w:rPr>
      <w:color w:val="000000"/>
      <w:kern w:val="0"/>
      <w:sz w:val="22"/>
      <w:szCs w:val="22"/>
    </w:rPr>
  </w:style>
  <w:style w:type="paragraph" w:customStyle="1" w:styleId="52">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0"/>
    </w:rPr>
  </w:style>
  <w:style w:type="paragraph" w:customStyle="1" w:styleId="53">
    <w:name w:val="xl5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54">
    <w:name w:val="xl4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olor w:val="000000"/>
      <w:kern w:val="0"/>
      <w:sz w:val="20"/>
    </w:rPr>
  </w:style>
  <w:style w:type="paragraph" w:customStyle="1" w:styleId="55">
    <w:name w:val="xl4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kern w:val="0"/>
      <w:sz w:val="20"/>
    </w:rPr>
  </w:style>
  <w:style w:type="paragraph" w:customStyle="1" w:styleId="5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rPr>
  </w:style>
  <w:style w:type="paragraph" w:customStyle="1" w:styleId="57">
    <w:name w:val="font8"/>
    <w:basedOn w:val="1"/>
    <w:qFormat/>
    <w:uiPriority w:val="0"/>
    <w:pPr>
      <w:widowControl/>
      <w:spacing w:before="100" w:beforeAutospacing="1" w:after="100" w:afterAutospacing="1"/>
      <w:jc w:val="left"/>
    </w:pPr>
    <w:rPr>
      <w:rFonts w:hint="eastAsia" w:ascii="宋体" w:hAnsi="宋体"/>
      <w:kern w:val="0"/>
      <w:sz w:val="20"/>
    </w:rPr>
  </w:style>
  <w:style w:type="paragraph" w:customStyle="1" w:styleId="58">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rPr>
  </w:style>
  <w:style w:type="paragraph" w:customStyle="1" w:styleId="59">
    <w:name w:val="xl56"/>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60">
    <w:name w:val="xl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olor w:val="000000"/>
      <w:kern w:val="0"/>
      <w:sz w:val="20"/>
    </w:rPr>
  </w:style>
  <w:style w:type="paragraph" w:customStyle="1" w:styleId="6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rPr>
  </w:style>
  <w:style w:type="paragraph" w:customStyle="1" w:styleId="62">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rPr>
  </w:style>
  <w:style w:type="paragraph" w:customStyle="1" w:styleId="63">
    <w:name w:val="xl4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b/>
      <w:bCs/>
      <w:kern w:val="0"/>
      <w:sz w:val="20"/>
    </w:rPr>
  </w:style>
  <w:style w:type="paragraph" w:customStyle="1" w:styleId="64">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rPr>
  </w:style>
  <w:style w:type="paragraph" w:customStyle="1" w:styleId="65">
    <w:name w:val="font10"/>
    <w:basedOn w:val="1"/>
    <w:qFormat/>
    <w:uiPriority w:val="0"/>
    <w:pPr>
      <w:widowControl/>
      <w:spacing w:before="100" w:beforeAutospacing="1" w:after="100" w:afterAutospacing="1"/>
      <w:jc w:val="left"/>
    </w:pPr>
    <w:rPr>
      <w:color w:val="000000"/>
      <w:kern w:val="0"/>
      <w:sz w:val="20"/>
    </w:rPr>
  </w:style>
  <w:style w:type="paragraph" w:customStyle="1" w:styleId="66">
    <w:name w:val="font9"/>
    <w:basedOn w:val="1"/>
    <w:qFormat/>
    <w:uiPriority w:val="0"/>
    <w:pPr>
      <w:widowControl/>
      <w:spacing w:before="100" w:beforeAutospacing="1" w:after="100" w:afterAutospacing="1"/>
      <w:jc w:val="left"/>
    </w:pPr>
    <w:rPr>
      <w:kern w:val="0"/>
      <w:sz w:val="20"/>
    </w:rPr>
  </w:style>
  <w:style w:type="paragraph" w:customStyle="1" w:styleId="67">
    <w:name w:val="xl3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b/>
      <w:bCs/>
      <w:kern w:val="0"/>
      <w:sz w:val="18"/>
      <w:szCs w:val="18"/>
    </w:rPr>
  </w:style>
  <w:style w:type="paragraph" w:customStyle="1" w:styleId="68">
    <w:name w:val="xl2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69">
    <w:name w:val="font11"/>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70">
    <w:name w:val="xl61"/>
    <w:basedOn w:val="1"/>
    <w:qFormat/>
    <w:uiPriority w:val="0"/>
    <w:pPr>
      <w:widowControl/>
      <w:pBdr>
        <w:bottom w:val="single" w:color="auto" w:sz="8" w:space="0"/>
      </w:pBdr>
      <w:spacing w:before="100" w:beforeAutospacing="1" w:after="100" w:afterAutospacing="1"/>
      <w:jc w:val="center"/>
    </w:pPr>
    <w:rPr>
      <w:rFonts w:ascii="宋体" w:hAnsi="宋体"/>
      <w:kern w:val="0"/>
      <w:sz w:val="22"/>
      <w:szCs w:val="22"/>
    </w:rPr>
  </w:style>
  <w:style w:type="paragraph" w:customStyle="1" w:styleId="71">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72">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00"/>
      <w:kern w:val="0"/>
      <w:sz w:val="20"/>
    </w:rPr>
  </w:style>
  <w:style w:type="paragraph" w:customStyle="1" w:styleId="7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color w:val="000000"/>
      <w:kern w:val="0"/>
      <w:sz w:val="22"/>
      <w:szCs w:val="22"/>
    </w:rPr>
  </w:style>
  <w:style w:type="paragraph" w:customStyle="1" w:styleId="7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00"/>
      <w:kern w:val="0"/>
      <w:sz w:val="22"/>
      <w:szCs w:val="22"/>
    </w:rPr>
  </w:style>
  <w:style w:type="paragraph" w:customStyle="1" w:styleId="75">
    <w:name w:val="xl4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b/>
      <w:bCs/>
      <w:kern w:val="0"/>
      <w:sz w:val="20"/>
    </w:rPr>
  </w:style>
  <w:style w:type="paragraph" w:customStyle="1" w:styleId="76">
    <w:name w:val="xl3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18"/>
      <w:szCs w:val="18"/>
    </w:rPr>
  </w:style>
  <w:style w:type="paragraph" w:customStyle="1" w:styleId="77">
    <w:name w:val="xl3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kern w:val="0"/>
      <w:sz w:val="18"/>
      <w:szCs w:val="18"/>
    </w:rPr>
  </w:style>
  <w:style w:type="paragraph" w:customStyle="1" w:styleId="78">
    <w:name w:val="xl2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0"/>
    </w:rPr>
  </w:style>
  <w:style w:type="paragraph" w:customStyle="1" w:styleId="79">
    <w:name w:val="xl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bCs/>
      <w:color w:val="000000"/>
      <w:kern w:val="0"/>
      <w:sz w:val="22"/>
      <w:szCs w:val="22"/>
    </w:rPr>
  </w:style>
  <w:style w:type="paragraph" w:customStyle="1" w:styleId="80">
    <w:name w:val="xl45"/>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textAlignment w:val="center"/>
    </w:pPr>
    <w:rPr>
      <w:kern w:val="0"/>
      <w:sz w:val="20"/>
    </w:rPr>
  </w:style>
  <w:style w:type="paragraph" w:customStyle="1" w:styleId="81">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rPr>
  </w:style>
  <w:style w:type="paragraph" w:customStyle="1" w:styleId="8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8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kern w:val="0"/>
      <w:sz w:val="20"/>
    </w:rPr>
  </w:style>
  <w:style w:type="character" w:customStyle="1" w:styleId="84">
    <w:name w:val="图表文本 Char"/>
    <w:link w:val="85"/>
    <w:qFormat/>
    <w:uiPriority w:val="0"/>
    <w:rPr>
      <w:rFonts w:eastAsia="宋体"/>
    </w:rPr>
  </w:style>
  <w:style w:type="paragraph" w:customStyle="1" w:styleId="85">
    <w:name w:val="图表文本"/>
    <w:basedOn w:val="1"/>
    <w:link w:val="84"/>
    <w:qFormat/>
    <w:uiPriority w:val="0"/>
    <w:pPr>
      <w:spacing w:line="240" w:lineRule="auto"/>
      <w:jc w:val="center"/>
    </w:pPr>
    <w:rPr>
      <w:rFonts w:asciiTheme="minorHAnsi" w:hAnsiTheme="minorHAnsi" w:cstheme="minorBidi"/>
      <w:sz w:val="21"/>
      <w:szCs w:val="22"/>
    </w:rPr>
  </w:style>
  <w:style w:type="paragraph" w:customStyle="1" w:styleId="86">
    <w:name w:val="0-正文"/>
    <w:basedOn w:val="1"/>
    <w:link w:val="87"/>
    <w:qFormat/>
    <w:uiPriority w:val="0"/>
    <w:pPr>
      <w:tabs>
        <w:tab w:val="left" w:pos="720"/>
      </w:tabs>
      <w:ind w:firstLine="200" w:firstLineChars="200"/>
    </w:pPr>
    <w:rPr>
      <w:szCs w:val="24"/>
    </w:rPr>
  </w:style>
  <w:style w:type="character" w:customStyle="1" w:styleId="87">
    <w:name w:val="0-正文 Char"/>
    <w:link w:val="86"/>
    <w:qFormat/>
    <w:uiPriority w:val="0"/>
    <w:rPr>
      <w:rFonts w:ascii="Times New Roman" w:hAnsi="Times New Roman" w:eastAsia="宋体" w:cs="Times New Roman"/>
      <w:sz w:val="24"/>
      <w:szCs w:val="24"/>
    </w:rPr>
  </w:style>
  <w:style w:type="paragraph" w:customStyle="1" w:styleId="88">
    <w:name w:val="0-表格"/>
    <w:basedOn w:val="1"/>
    <w:link w:val="89"/>
    <w:qFormat/>
    <w:uiPriority w:val="0"/>
    <w:rPr>
      <w:rFonts w:ascii="宋体" w:hAnsi="宋体"/>
      <w:spacing w:val="-4"/>
      <w:szCs w:val="24"/>
    </w:rPr>
  </w:style>
  <w:style w:type="character" w:customStyle="1" w:styleId="89">
    <w:name w:val="0-表格 Char"/>
    <w:link w:val="88"/>
    <w:qFormat/>
    <w:uiPriority w:val="0"/>
    <w:rPr>
      <w:rFonts w:ascii="宋体" w:hAnsi="宋体" w:eastAsia="宋体" w:cs="Times New Roman"/>
      <w:spacing w:val="-4"/>
      <w:sz w:val="24"/>
      <w:szCs w:val="24"/>
    </w:rPr>
  </w:style>
  <w:style w:type="character" w:customStyle="1" w:styleId="90">
    <w:name w:val="正文文本 字符"/>
    <w:basedOn w:val="20"/>
    <w:link w:val="9"/>
    <w:qFormat/>
    <w:uiPriority w:val="0"/>
    <w:rPr>
      <w:rFonts w:ascii="Times New Roman" w:hAnsi="Times New Roman" w:eastAsia="宋体" w:cs="Times New Roman"/>
      <w:sz w:val="24"/>
      <w:szCs w:val="20"/>
    </w:rPr>
  </w:style>
  <w:style w:type="character" w:customStyle="1" w:styleId="91">
    <w:name w:val="正文首行缩进 字符"/>
    <w:basedOn w:val="90"/>
    <w:link w:val="17"/>
    <w:qFormat/>
    <w:uiPriority w:val="0"/>
    <w:rPr>
      <w:rFonts w:ascii="Times New Roman" w:hAnsi="Times New Roman" w:eastAsia="宋体" w:cs="Times New Roman"/>
      <w:sz w:val="24"/>
      <w:szCs w:val="20"/>
    </w:rPr>
  </w:style>
  <w:style w:type="character" w:customStyle="1" w:styleId="92">
    <w:name w:val="批注框文本 字符"/>
    <w:basedOn w:val="20"/>
    <w:link w:val="13"/>
    <w:qFormat/>
    <w:uiPriority w:val="0"/>
    <w:rPr>
      <w:rFonts w:ascii="Times New Roman" w:hAnsi="Times New Roman" w:eastAsia="宋体" w:cs="Times New Roman"/>
      <w:sz w:val="18"/>
      <w:szCs w:val="18"/>
    </w:rPr>
  </w:style>
  <w:style w:type="character" w:customStyle="1" w:styleId="93">
    <w:name w:val="批注文字 字符"/>
    <w:basedOn w:val="20"/>
    <w:link w:val="8"/>
    <w:semiHidden/>
    <w:qFormat/>
    <w:uiPriority w:val="0"/>
    <w:rPr>
      <w:rFonts w:ascii="Times New Roman" w:hAnsi="Times New Roman" w:eastAsia="宋体" w:cs="Times New Roman"/>
      <w:sz w:val="24"/>
      <w:szCs w:val="20"/>
    </w:rPr>
  </w:style>
  <w:style w:type="character" w:customStyle="1" w:styleId="94">
    <w:name w:val="批注主题 字符"/>
    <w:basedOn w:val="93"/>
    <w:link w:val="16"/>
    <w:semiHidden/>
    <w:qFormat/>
    <w:uiPriority w:val="0"/>
    <w:rPr>
      <w:rFonts w:ascii="Times New Roman" w:hAnsi="Times New Roman" w:eastAsia="宋体" w:cs="Times New Roman"/>
      <w:b/>
      <w:bCs/>
      <w:sz w:val="24"/>
      <w:szCs w:val="20"/>
    </w:rPr>
  </w:style>
  <w:style w:type="paragraph" w:customStyle="1" w:styleId="95">
    <w:name w:val="0-3级标题"/>
    <w:basedOn w:val="41"/>
    <w:link w:val="97"/>
    <w:qFormat/>
    <w:uiPriority w:val="0"/>
    <w:pPr>
      <w:numPr>
        <w:ilvl w:val="2"/>
        <w:numId w:val="1"/>
      </w:numPr>
      <w:ind w:left="246" w:leftChars="100" w:firstLine="489" w:firstLineChars="150"/>
      <w:jc w:val="left"/>
      <w:outlineLvl w:val="2"/>
    </w:pPr>
    <w:rPr>
      <w:rFonts w:ascii="Times New Roman" w:hAnsi="Times New Roman"/>
      <w:b/>
      <w:sz w:val="24"/>
    </w:rPr>
  </w:style>
  <w:style w:type="character" w:customStyle="1" w:styleId="96">
    <w:name w:val="列出段落 字符"/>
    <w:basedOn w:val="20"/>
    <w:link w:val="41"/>
    <w:qFormat/>
    <w:uiPriority w:val="34"/>
    <w:rPr>
      <w:rFonts w:ascii="Calibri" w:hAnsi="Calibri" w:eastAsia="宋体" w:cs="Times New Roman"/>
    </w:rPr>
  </w:style>
  <w:style w:type="character" w:customStyle="1" w:styleId="97">
    <w:name w:val="0-3级标题 字符"/>
    <w:basedOn w:val="96"/>
    <w:link w:val="95"/>
    <w:qFormat/>
    <w:uiPriority w:val="0"/>
    <w:rPr>
      <w:rFonts w:ascii="Times New Roman" w:hAnsi="Times New Roman" w:eastAsia="宋体" w:cs="Times New Roman"/>
      <w:b/>
      <w:sz w:val="24"/>
    </w:rPr>
  </w:style>
  <w:style w:type="paragraph" w:customStyle="1" w:styleId="98">
    <w:name w:val="正文-石板"/>
    <w:basedOn w:val="1"/>
    <w:qFormat/>
    <w:uiPriority w:val="0"/>
    <w:pPr>
      <w:adjustRightInd w:val="0"/>
      <w:snapToGrid w:val="0"/>
      <w:spacing w:line="560" w:lineRule="exact"/>
      <w:ind w:firstLine="200" w:firstLineChars="200"/>
    </w:pPr>
    <w:rPr>
      <w:rFonts w:ascii="宋体" w:hAnsi="宋体"/>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1326</Words>
  <Characters>1657</Characters>
  <Lines>332</Lines>
  <Paragraphs>93</Paragraphs>
  <TotalTime>2</TotalTime>
  <ScaleCrop>false</ScaleCrop>
  <LinksUpToDate>false</LinksUpToDate>
  <CharactersWithSpaces>1738</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2022-12-22T09:31:00Z</dcterms:created>
  <dc:creator>cs1670</dc:creator>
  <cp:lastModifiedBy>WPS_1645594715</cp:lastModifiedBy>
  <cp:lastPrinted>2023-03-14T06:46:00Z</cp:lastPrinted>
  <dcterms:modified xsi:type="dcterms:W3CDTF">2025-09-24T01:39:51Z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78DC7C2641974CB7865584553CBBDC78_13</vt:lpwstr>
  </property>
  <property fmtid="{D5CDD505-2E9C-101B-9397-08002B2CF9AE}" pid="4" name="KSOTemplateDocerSaveRecord">
    <vt:lpwstr>eyJoZGlkIjoiN2IzMGZlMjhlMDE3NzZkNDAxZTFkNmU5OTkzMTU4M2EiLCJ1c2VySWQiOiIxMzM2OTA0MTI5In0=</vt:lpwstr>
  </property>
</Properties>
</file>