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D4FFC">
      <w:pPr>
        <w:spacing w:line="56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重庆医科大学附属康复医院202</w:t>
      </w:r>
      <w:r>
        <w:rPr>
          <w:rFonts w:hint="eastAsia" w:ascii="方正小标宋_GBK" w:hAnsi="方正小标宋_GBK" w:eastAsia="方正小标宋_GBK" w:cs="方正小标宋_GBK"/>
          <w:b w:val="0"/>
          <w:bCs/>
          <w:sz w:val="36"/>
          <w:szCs w:val="36"/>
          <w:lang w:val="en-US" w:eastAsia="zh-CN"/>
        </w:rPr>
        <w:t>5</w:t>
      </w:r>
      <w:r>
        <w:rPr>
          <w:rFonts w:hint="eastAsia" w:ascii="方正小标宋_GBK" w:hAnsi="方正小标宋_GBK" w:eastAsia="方正小标宋_GBK" w:cs="方正小标宋_GBK"/>
          <w:b w:val="0"/>
          <w:bCs/>
          <w:sz w:val="36"/>
          <w:szCs w:val="36"/>
        </w:rPr>
        <w:t>年</w:t>
      </w:r>
      <w:r>
        <w:rPr>
          <w:rFonts w:hint="eastAsia" w:ascii="方正小标宋_GBK" w:hAnsi="方正小标宋_GBK" w:eastAsia="方正小标宋_GBK" w:cs="方正小标宋_GBK"/>
          <w:b w:val="0"/>
          <w:bCs/>
          <w:sz w:val="36"/>
          <w:szCs w:val="36"/>
          <w:lang w:val="en-US" w:eastAsia="zh-CN"/>
        </w:rPr>
        <w:t>设备</w:t>
      </w:r>
      <w:r>
        <w:rPr>
          <w:rFonts w:hint="eastAsia" w:ascii="方正小标宋_GBK" w:hAnsi="方正小标宋_GBK" w:eastAsia="方正小标宋_GBK" w:cs="方正小标宋_GBK"/>
          <w:b w:val="0"/>
          <w:bCs/>
          <w:sz w:val="36"/>
          <w:szCs w:val="36"/>
        </w:rPr>
        <w:t>类采购公告</w:t>
      </w:r>
    </w:p>
    <w:p w14:paraId="22C30FA8">
      <w:pPr>
        <w:spacing w:line="56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w:t>
      </w:r>
      <w:r>
        <w:rPr>
          <w:rFonts w:hint="eastAsia" w:ascii="方正小标宋_GBK" w:hAnsi="方正小标宋_GBK" w:eastAsia="方正小标宋_GBK" w:cs="方正小标宋_GBK"/>
          <w:b w:val="0"/>
          <w:bCs/>
          <w:color w:val="auto"/>
          <w:sz w:val="44"/>
          <w:szCs w:val="44"/>
          <w:highlight w:val="none"/>
          <w:lang w:val="en-US" w:eastAsia="zh-CN"/>
        </w:rPr>
        <w:t>生命支持类设备项目</w:t>
      </w:r>
      <w:r>
        <w:rPr>
          <w:rFonts w:hint="eastAsia" w:ascii="方正小标宋_GBK" w:hAnsi="方正小标宋_GBK" w:eastAsia="方正小标宋_GBK" w:cs="方正小标宋_GBK"/>
          <w:b w:val="0"/>
          <w:bCs/>
          <w:sz w:val="36"/>
          <w:szCs w:val="36"/>
        </w:rPr>
        <w:t>）</w:t>
      </w:r>
    </w:p>
    <w:p w14:paraId="0FD469D7">
      <w:pPr>
        <w:pStyle w:val="18"/>
        <w:keepNext w:val="0"/>
        <w:keepLines w:val="0"/>
        <w:pageBreakBefore w:val="0"/>
        <w:widowControl w:val="0"/>
        <w:numPr>
          <w:ilvl w:val="0"/>
          <w:numId w:val="0"/>
        </w:numPr>
        <w:kinsoku/>
        <w:wordWrap/>
        <w:overflowPunct/>
        <w:topLinePunct w:val="0"/>
        <w:autoSpaceDE/>
        <w:autoSpaceDN/>
        <w:bidi w:val="0"/>
        <w:snapToGrid w:val="0"/>
        <w:spacing w:line="240" w:lineRule="auto"/>
        <w:ind w:firstLine="560" w:firstLineChars="200"/>
        <w:textAlignment w:val="auto"/>
        <w:outlineLvl w:val="1"/>
        <w:rPr>
          <w:rFonts w:hint="eastAsia" w:ascii="方正仿宋_GBK" w:hAnsi="方正仿宋_GBK" w:eastAsia="方正仿宋_GBK" w:cs="方正仿宋_GBK"/>
          <w:sz w:val="28"/>
          <w:szCs w:val="28"/>
          <w:lang w:val="en-US" w:eastAsia="zh-CN"/>
        </w:rPr>
      </w:pPr>
    </w:p>
    <w:p w14:paraId="556505D9">
      <w:pPr>
        <w:pStyle w:val="18"/>
        <w:keepNext w:val="0"/>
        <w:keepLines w:val="0"/>
        <w:pageBreakBefore w:val="0"/>
        <w:widowControl w:val="0"/>
        <w:numPr>
          <w:ilvl w:val="0"/>
          <w:numId w:val="0"/>
        </w:numPr>
        <w:kinsoku/>
        <w:wordWrap/>
        <w:overflowPunct/>
        <w:topLinePunct w:val="0"/>
        <w:autoSpaceDE/>
        <w:autoSpaceDN/>
        <w:bidi w:val="0"/>
        <w:snapToGrid w:val="0"/>
        <w:spacing w:line="240" w:lineRule="auto"/>
        <w:ind w:firstLine="480" w:firstLineChars="200"/>
        <w:textAlignment w:val="auto"/>
        <w:outlineLvl w:val="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项目名称：重庆医科大学附属康复医院</w:t>
      </w:r>
      <w:r>
        <w:rPr>
          <w:rFonts w:hint="eastAsia" w:ascii="方正仿宋_GBK" w:hAnsi="方正仿宋_GBK" w:eastAsia="方正仿宋_GBK" w:cs="方正仿宋_GBK"/>
          <w:sz w:val="24"/>
          <w:szCs w:val="24"/>
          <w:lang w:val="en-US" w:eastAsia="zh-CN"/>
        </w:rPr>
        <w:t>生命支持类设备项目</w:t>
      </w:r>
      <w:r>
        <w:rPr>
          <w:rFonts w:hint="eastAsia" w:ascii="方正仿宋_GBK" w:hAnsi="方正仿宋_GBK" w:eastAsia="方正仿宋_GBK" w:cs="方正仿宋_GBK"/>
          <w:sz w:val="24"/>
          <w:szCs w:val="24"/>
        </w:rPr>
        <w:t>。</w:t>
      </w:r>
    </w:p>
    <w:p w14:paraId="6A033C9E">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项目号：CYKF-S202500</w:t>
      </w:r>
      <w:r>
        <w:rPr>
          <w:rFonts w:hint="eastAsia" w:ascii="方正仿宋_GBK" w:hAnsi="方正仿宋_GBK" w:eastAsia="方正仿宋_GBK" w:cs="方正仿宋_GBK"/>
          <w:sz w:val="24"/>
          <w:szCs w:val="24"/>
          <w:lang w:val="en-US" w:eastAsia="zh-CN"/>
        </w:rPr>
        <w:t>3</w:t>
      </w:r>
    </w:p>
    <w:p w14:paraId="43E4FCBC">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项目</w:t>
      </w:r>
      <w:r>
        <w:rPr>
          <w:rFonts w:hint="eastAsia" w:ascii="方正仿宋_GBK" w:hAnsi="方正仿宋_GBK" w:eastAsia="方正仿宋_GBK" w:cs="方正仿宋_GBK"/>
          <w:sz w:val="24"/>
          <w:szCs w:val="24"/>
          <w:lang w:val="en-US" w:eastAsia="zh-CN"/>
        </w:rPr>
        <w:t>内容</w:t>
      </w:r>
      <w:r>
        <w:rPr>
          <w:rFonts w:hint="eastAsia" w:ascii="方正仿宋_GBK" w:hAnsi="方正仿宋_GBK" w:eastAsia="方正仿宋_GBK" w:cs="方正仿宋_GBK"/>
          <w:sz w:val="24"/>
          <w:szCs w:val="24"/>
        </w:rPr>
        <w:t>：</w:t>
      </w:r>
    </w:p>
    <w:tbl>
      <w:tblPr>
        <w:tblStyle w:val="10"/>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173"/>
        <w:gridCol w:w="612"/>
        <w:gridCol w:w="1470"/>
        <w:gridCol w:w="1440"/>
        <w:gridCol w:w="939"/>
        <w:gridCol w:w="1127"/>
        <w:gridCol w:w="1215"/>
      </w:tblGrid>
      <w:tr w14:paraId="03B4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75" w:type="dxa"/>
            <w:tcBorders>
              <w:top w:val="single" w:color="auto" w:sz="4" w:space="0"/>
              <w:left w:val="single" w:color="auto" w:sz="4" w:space="0"/>
              <w:right w:val="single" w:color="auto" w:sz="4" w:space="0"/>
            </w:tcBorders>
            <w:noWrap w:val="0"/>
            <w:vAlign w:val="center"/>
          </w:tcPr>
          <w:p w14:paraId="05FD9E75">
            <w:pPr>
              <w:widowControl/>
              <w:spacing w:line="240" w:lineRule="auto"/>
              <w:jc w:val="center"/>
              <w:rPr>
                <w:rFonts w:hint="default"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分包号</w:t>
            </w:r>
          </w:p>
        </w:tc>
        <w:tc>
          <w:tcPr>
            <w:tcW w:w="2173" w:type="dxa"/>
            <w:tcBorders>
              <w:top w:val="single" w:color="auto" w:sz="4" w:space="0"/>
              <w:left w:val="single" w:color="auto" w:sz="4" w:space="0"/>
              <w:right w:val="single" w:color="auto" w:sz="4" w:space="0"/>
            </w:tcBorders>
            <w:noWrap w:val="0"/>
            <w:vAlign w:val="center"/>
          </w:tcPr>
          <w:p w14:paraId="1C940504">
            <w:pPr>
              <w:widowControl/>
              <w:spacing w:line="24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lang w:eastAsia="zh-CN"/>
              </w:rPr>
              <w:t>项目</w:t>
            </w:r>
            <w:r>
              <w:rPr>
                <w:rFonts w:hint="eastAsia" w:ascii="方正仿宋_GBK" w:hAnsi="方正仿宋_GBK" w:eastAsia="方正仿宋_GBK" w:cs="方正仿宋_GBK"/>
                <w:b/>
                <w:bCs/>
                <w:kern w:val="0"/>
                <w:sz w:val="24"/>
                <w:szCs w:val="24"/>
                <w:highlight w:val="none"/>
              </w:rPr>
              <w:t>内容</w:t>
            </w:r>
          </w:p>
        </w:tc>
        <w:tc>
          <w:tcPr>
            <w:tcW w:w="612" w:type="dxa"/>
            <w:tcBorders>
              <w:top w:val="single" w:color="auto" w:sz="4" w:space="0"/>
              <w:left w:val="single" w:color="auto" w:sz="4" w:space="0"/>
              <w:right w:val="single" w:color="auto" w:sz="4" w:space="0"/>
            </w:tcBorders>
            <w:noWrap w:val="0"/>
            <w:vAlign w:val="center"/>
          </w:tcPr>
          <w:p w14:paraId="7566DF45">
            <w:pPr>
              <w:spacing w:line="240" w:lineRule="auto"/>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数量</w:t>
            </w:r>
          </w:p>
        </w:tc>
        <w:tc>
          <w:tcPr>
            <w:tcW w:w="1470" w:type="dxa"/>
            <w:tcBorders>
              <w:top w:val="single" w:color="auto" w:sz="4" w:space="0"/>
              <w:left w:val="single" w:color="auto" w:sz="4" w:space="0"/>
              <w:right w:val="single" w:color="auto" w:sz="4" w:space="0"/>
            </w:tcBorders>
            <w:noWrap w:val="0"/>
            <w:vAlign w:val="center"/>
          </w:tcPr>
          <w:p w14:paraId="21A9DACD">
            <w:pPr>
              <w:spacing w:line="240" w:lineRule="auto"/>
              <w:jc w:val="center"/>
              <w:rPr>
                <w:rFonts w:hint="default"/>
                <w:sz w:val="24"/>
                <w:szCs w:val="24"/>
                <w:lang w:val="en-US" w:eastAsia="zh-CN"/>
              </w:rPr>
            </w:pPr>
            <w:r>
              <w:rPr>
                <w:rFonts w:hint="eastAsia" w:ascii="方正仿宋_GBK" w:hAnsi="方正仿宋_GBK" w:eastAsia="方正仿宋_GBK" w:cs="方正仿宋_GBK"/>
                <w:b/>
                <w:bCs/>
                <w:sz w:val="24"/>
                <w:szCs w:val="24"/>
                <w:highlight w:val="none"/>
                <w:lang w:val="en-US" w:eastAsia="zh-CN"/>
              </w:rPr>
              <w:t>预算金额单价（万元）</w:t>
            </w:r>
          </w:p>
        </w:tc>
        <w:tc>
          <w:tcPr>
            <w:tcW w:w="1440" w:type="dxa"/>
            <w:tcBorders>
              <w:top w:val="single" w:color="auto" w:sz="4" w:space="0"/>
              <w:left w:val="single" w:color="auto" w:sz="4" w:space="0"/>
              <w:right w:val="single" w:color="auto" w:sz="4" w:space="0"/>
            </w:tcBorders>
            <w:noWrap w:val="0"/>
            <w:vAlign w:val="center"/>
          </w:tcPr>
          <w:p w14:paraId="59EE4DA6">
            <w:pPr>
              <w:spacing w:line="240" w:lineRule="auto"/>
              <w:jc w:val="center"/>
              <w:outlineLvl w:val="0"/>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rPr>
              <w:t>预算金额</w:t>
            </w:r>
            <w:r>
              <w:rPr>
                <w:rFonts w:hint="eastAsia" w:ascii="方正仿宋_GBK" w:hAnsi="方正仿宋_GBK" w:eastAsia="方正仿宋_GBK" w:cs="方正仿宋_GBK"/>
                <w:b/>
                <w:bCs/>
                <w:sz w:val="24"/>
                <w:szCs w:val="24"/>
                <w:highlight w:val="none"/>
                <w:lang w:val="en-US" w:eastAsia="zh-CN"/>
              </w:rPr>
              <w:t>总价</w:t>
            </w:r>
          </w:p>
          <w:p w14:paraId="5DE4B6C9">
            <w:pPr>
              <w:spacing w:line="24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sz w:val="24"/>
                <w:szCs w:val="24"/>
                <w:highlight w:val="none"/>
              </w:rPr>
              <w:t>（</w:t>
            </w:r>
            <w:r>
              <w:rPr>
                <w:rFonts w:hint="eastAsia" w:ascii="方正仿宋_GBK" w:hAnsi="方正仿宋_GBK" w:eastAsia="方正仿宋_GBK" w:cs="方正仿宋_GBK"/>
                <w:b/>
                <w:bCs/>
                <w:sz w:val="24"/>
                <w:szCs w:val="24"/>
                <w:highlight w:val="none"/>
                <w:lang w:val="en-US" w:eastAsia="zh-CN"/>
              </w:rPr>
              <w:t>万</w:t>
            </w:r>
            <w:r>
              <w:rPr>
                <w:rFonts w:hint="eastAsia" w:ascii="方正仿宋_GBK" w:hAnsi="方正仿宋_GBK" w:eastAsia="方正仿宋_GBK" w:cs="方正仿宋_GBK"/>
                <w:b/>
                <w:bCs/>
                <w:sz w:val="24"/>
                <w:szCs w:val="24"/>
                <w:highlight w:val="none"/>
              </w:rPr>
              <w:t>元）</w:t>
            </w:r>
          </w:p>
        </w:tc>
        <w:tc>
          <w:tcPr>
            <w:tcW w:w="939" w:type="dxa"/>
            <w:tcBorders>
              <w:top w:val="single" w:color="auto" w:sz="4" w:space="0"/>
              <w:left w:val="single" w:color="auto" w:sz="4" w:space="0"/>
              <w:right w:val="single" w:color="auto" w:sz="4" w:space="0"/>
            </w:tcBorders>
            <w:noWrap w:val="0"/>
            <w:vAlign w:val="center"/>
          </w:tcPr>
          <w:p w14:paraId="020F5534">
            <w:pPr>
              <w:spacing w:line="240" w:lineRule="auto"/>
              <w:jc w:val="center"/>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投标保证金（元）</w:t>
            </w:r>
          </w:p>
        </w:tc>
        <w:tc>
          <w:tcPr>
            <w:tcW w:w="1127" w:type="dxa"/>
            <w:tcBorders>
              <w:top w:val="single" w:color="auto" w:sz="4" w:space="0"/>
              <w:left w:val="single" w:color="auto" w:sz="4" w:space="0"/>
              <w:right w:val="single" w:color="auto" w:sz="4" w:space="0"/>
            </w:tcBorders>
            <w:noWrap w:val="0"/>
            <w:vAlign w:val="center"/>
          </w:tcPr>
          <w:p w14:paraId="6D42F11E">
            <w:pPr>
              <w:spacing w:line="240" w:lineRule="auto"/>
              <w:jc w:val="center"/>
              <w:rPr>
                <w:rFonts w:hint="default"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中标人数量（分包中标人数量）</w:t>
            </w:r>
          </w:p>
        </w:tc>
        <w:tc>
          <w:tcPr>
            <w:tcW w:w="1215" w:type="dxa"/>
            <w:tcBorders>
              <w:top w:val="single" w:color="auto" w:sz="4" w:space="0"/>
              <w:left w:val="single" w:color="auto" w:sz="4" w:space="0"/>
              <w:right w:val="single" w:color="auto" w:sz="4" w:space="0"/>
            </w:tcBorders>
            <w:noWrap w:val="0"/>
            <w:vAlign w:val="center"/>
          </w:tcPr>
          <w:p w14:paraId="36A1B64B">
            <w:pPr>
              <w:spacing w:line="240" w:lineRule="auto"/>
              <w:jc w:val="center"/>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b/>
                <w:bCs/>
                <w:kern w:val="0"/>
                <w:sz w:val="24"/>
                <w:szCs w:val="24"/>
                <w:highlight w:val="none"/>
              </w:rPr>
              <w:t>备注</w:t>
            </w:r>
          </w:p>
        </w:tc>
      </w:tr>
      <w:tr w14:paraId="26F3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5" w:type="dxa"/>
            <w:tcBorders>
              <w:top w:val="single" w:color="auto" w:sz="4" w:space="0"/>
              <w:left w:val="single" w:color="auto" w:sz="4" w:space="0"/>
              <w:right w:val="single" w:color="auto" w:sz="4" w:space="0"/>
            </w:tcBorders>
            <w:noWrap w:val="0"/>
            <w:vAlign w:val="center"/>
          </w:tcPr>
          <w:p w14:paraId="523B29B3">
            <w:pPr>
              <w:widowControl/>
              <w:spacing w:line="240" w:lineRule="auto"/>
              <w:jc w:val="center"/>
              <w:rPr>
                <w:rFonts w:hint="default" w:ascii="方正仿宋_GBK" w:hAnsi="方正仿宋_GBK" w:eastAsia="方正仿宋_GBK" w:cs="方正仿宋_GBK"/>
                <w:b w:val="0"/>
                <w:bCs w:val="0"/>
                <w:kern w:val="0"/>
                <w:sz w:val="24"/>
                <w:szCs w:val="24"/>
                <w:highlight w:val="none"/>
                <w:lang w:val="en-US" w:eastAsia="zh-CN" w:bidi="ar-SA"/>
              </w:rPr>
            </w:pPr>
            <w:r>
              <w:rPr>
                <w:rFonts w:hint="eastAsia" w:ascii="方正仿宋_GBK" w:hAnsi="方正仿宋_GBK" w:eastAsia="方正仿宋_GBK" w:cs="方正仿宋_GBK"/>
                <w:b w:val="0"/>
                <w:bCs w:val="0"/>
                <w:kern w:val="0"/>
                <w:sz w:val="24"/>
                <w:szCs w:val="24"/>
                <w:highlight w:val="none"/>
                <w:lang w:val="en-US" w:eastAsia="zh-CN" w:bidi="ar-SA"/>
              </w:rPr>
              <w:t>包1</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591AFF30">
            <w:pPr>
              <w:widowControl/>
              <w:spacing w:line="240" w:lineRule="auto"/>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有创呼吸机</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77DDC888">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3</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FD1D983">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9.5</w:t>
            </w:r>
          </w:p>
        </w:tc>
        <w:tc>
          <w:tcPr>
            <w:tcW w:w="1440" w:type="dxa"/>
            <w:tcBorders>
              <w:top w:val="single" w:color="auto" w:sz="4" w:space="0"/>
              <w:left w:val="single" w:color="auto" w:sz="4" w:space="0"/>
              <w:right w:val="single" w:color="auto" w:sz="4" w:space="0"/>
            </w:tcBorders>
            <w:noWrap w:val="0"/>
            <w:vAlign w:val="center"/>
          </w:tcPr>
          <w:p w14:paraId="2CA7181A">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28.5</w:t>
            </w:r>
          </w:p>
        </w:tc>
        <w:tc>
          <w:tcPr>
            <w:tcW w:w="939" w:type="dxa"/>
            <w:tcBorders>
              <w:top w:val="single" w:color="auto" w:sz="4" w:space="0"/>
              <w:left w:val="single" w:color="auto" w:sz="4" w:space="0"/>
              <w:right w:val="single" w:color="auto" w:sz="4" w:space="0"/>
            </w:tcBorders>
            <w:noWrap w:val="0"/>
            <w:vAlign w:val="center"/>
          </w:tcPr>
          <w:p w14:paraId="2121AB6C">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r>
              <w:rPr>
                <w:rFonts w:hint="eastAsia" w:ascii="方正仿宋_GBK" w:hAnsi="方正仿宋_GBK" w:eastAsia="方正仿宋_GBK" w:cs="方正仿宋_GBK"/>
                <w:b w:val="0"/>
                <w:bCs w:val="0"/>
                <w:color w:val="000000"/>
                <w:kern w:val="2"/>
                <w:sz w:val="24"/>
                <w:szCs w:val="24"/>
                <w:highlight w:val="none"/>
                <w:lang w:val="en-US" w:eastAsia="zh-CN" w:bidi="ar-SA"/>
              </w:rPr>
              <w:t>5700</w:t>
            </w:r>
          </w:p>
        </w:tc>
        <w:tc>
          <w:tcPr>
            <w:tcW w:w="1127" w:type="dxa"/>
            <w:tcBorders>
              <w:top w:val="single" w:color="auto" w:sz="4" w:space="0"/>
              <w:left w:val="single" w:color="auto" w:sz="4" w:space="0"/>
              <w:right w:val="single" w:color="auto" w:sz="4" w:space="0"/>
            </w:tcBorders>
            <w:noWrap w:val="0"/>
            <w:vAlign w:val="center"/>
          </w:tcPr>
          <w:p w14:paraId="5B13BE93">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r>
              <w:rPr>
                <w:rFonts w:hint="eastAsia" w:ascii="方正仿宋_GBK" w:hAnsi="方正仿宋_GBK" w:eastAsia="方正仿宋_GBK" w:cs="方正仿宋_GBK"/>
                <w:b w:val="0"/>
                <w:bCs w:val="0"/>
                <w:color w:val="000000"/>
                <w:kern w:val="2"/>
                <w:sz w:val="24"/>
                <w:szCs w:val="24"/>
                <w:highlight w:val="none"/>
                <w:lang w:val="en-US" w:eastAsia="zh-CN" w:bidi="ar-SA"/>
              </w:rPr>
              <w:t>1</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5B0F592">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p>
        </w:tc>
      </w:tr>
      <w:tr w14:paraId="26C9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5" w:type="dxa"/>
            <w:vMerge w:val="restart"/>
            <w:tcBorders>
              <w:left w:val="single" w:color="auto" w:sz="4" w:space="0"/>
              <w:right w:val="single" w:color="auto" w:sz="4" w:space="0"/>
            </w:tcBorders>
            <w:noWrap w:val="0"/>
            <w:vAlign w:val="center"/>
          </w:tcPr>
          <w:p w14:paraId="714338F2">
            <w:pPr>
              <w:widowControl/>
              <w:spacing w:line="240" w:lineRule="auto"/>
              <w:jc w:val="center"/>
              <w:rPr>
                <w:rFonts w:hint="default"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包2</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6F910F38">
            <w:pPr>
              <w:widowControl/>
              <w:spacing w:line="240" w:lineRule="auto"/>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rPr>
              <w:t>心电监护仪</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6B676C80">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7</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7AC0EB5">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0.54</w:t>
            </w:r>
          </w:p>
        </w:tc>
        <w:tc>
          <w:tcPr>
            <w:tcW w:w="1440" w:type="dxa"/>
            <w:vMerge w:val="restart"/>
            <w:tcBorders>
              <w:left w:val="single" w:color="auto" w:sz="4" w:space="0"/>
              <w:right w:val="single" w:color="auto" w:sz="4" w:space="0"/>
            </w:tcBorders>
            <w:noWrap w:val="0"/>
            <w:vAlign w:val="center"/>
          </w:tcPr>
          <w:p w14:paraId="51A95653">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12.63</w:t>
            </w:r>
          </w:p>
        </w:tc>
        <w:tc>
          <w:tcPr>
            <w:tcW w:w="939" w:type="dxa"/>
            <w:vMerge w:val="restart"/>
            <w:tcBorders>
              <w:left w:val="single" w:color="auto" w:sz="4" w:space="0"/>
              <w:right w:val="single" w:color="auto" w:sz="4" w:space="0"/>
            </w:tcBorders>
            <w:noWrap w:val="0"/>
            <w:vAlign w:val="center"/>
          </w:tcPr>
          <w:p w14:paraId="2342FF60">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r>
              <w:rPr>
                <w:rFonts w:hint="eastAsia" w:ascii="方正仿宋_GBK" w:hAnsi="方正仿宋_GBK" w:eastAsia="方正仿宋_GBK" w:cs="方正仿宋_GBK"/>
                <w:b w:val="0"/>
                <w:bCs w:val="0"/>
                <w:color w:val="000000"/>
                <w:kern w:val="2"/>
                <w:sz w:val="24"/>
                <w:szCs w:val="24"/>
                <w:highlight w:val="none"/>
                <w:lang w:val="en-US" w:eastAsia="zh-CN" w:bidi="ar-SA"/>
              </w:rPr>
              <w:t>2500</w:t>
            </w:r>
          </w:p>
        </w:tc>
        <w:tc>
          <w:tcPr>
            <w:tcW w:w="1127" w:type="dxa"/>
            <w:vMerge w:val="restart"/>
            <w:tcBorders>
              <w:left w:val="single" w:color="auto" w:sz="4" w:space="0"/>
              <w:right w:val="single" w:color="auto" w:sz="4" w:space="0"/>
            </w:tcBorders>
            <w:noWrap w:val="0"/>
            <w:vAlign w:val="center"/>
          </w:tcPr>
          <w:p w14:paraId="6F009E61">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r>
              <w:rPr>
                <w:rFonts w:hint="eastAsia" w:ascii="方正仿宋_GBK" w:hAnsi="方正仿宋_GBK" w:eastAsia="方正仿宋_GBK" w:cs="方正仿宋_GBK"/>
                <w:b w:val="0"/>
                <w:bCs w:val="0"/>
                <w:color w:val="000000"/>
                <w:kern w:val="2"/>
                <w:sz w:val="24"/>
                <w:szCs w:val="24"/>
                <w:highlight w:val="none"/>
                <w:lang w:val="en-US" w:eastAsia="zh-CN" w:bidi="ar-SA"/>
              </w:rPr>
              <w:t>1</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4D7C0F3">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FF0000"/>
                <w:kern w:val="2"/>
                <w:sz w:val="24"/>
                <w:szCs w:val="24"/>
                <w:highlight w:val="none"/>
                <w:lang w:val="en-US" w:eastAsia="zh-CN" w:bidi="ar-SA"/>
              </w:rPr>
            </w:pPr>
          </w:p>
        </w:tc>
      </w:tr>
      <w:tr w14:paraId="5FEF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5" w:type="dxa"/>
            <w:vMerge w:val="continue"/>
            <w:tcBorders>
              <w:left w:val="single" w:color="auto" w:sz="4" w:space="0"/>
              <w:right w:val="single" w:color="auto" w:sz="4" w:space="0"/>
            </w:tcBorders>
            <w:noWrap w:val="0"/>
            <w:vAlign w:val="center"/>
          </w:tcPr>
          <w:p w14:paraId="7D3FCF4B">
            <w:pPr>
              <w:widowControl/>
              <w:spacing w:line="240" w:lineRule="auto"/>
              <w:jc w:val="center"/>
              <w:rPr>
                <w:rFonts w:hint="eastAsia" w:ascii="方正仿宋_GBK" w:hAnsi="方正仿宋_GBK" w:eastAsia="方正仿宋_GBK" w:cs="方正仿宋_GBK"/>
                <w:b w:val="0"/>
                <w:bCs w:val="0"/>
                <w:kern w:val="0"/>
                <w:sz w:val="24"/>
                <w:szCs w:val="24"/>
                <w:highlight w:val="none"/>
                <w:lang w:val="en-US" w:eastAsia="zh-CN" w:bidi="ar-SA"/>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14:paraId="1EBB3E31">
            <w:pPr>
              <w:widowControl/>
              <w:spacing w:line="240" w:lineRule="auto"/>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rPr>
              <w:t>经鼻高流量</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21332FB5">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3</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F8D1E71">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1.8</w:t>
            </w:r>
          </w:p>
        </w:tc>
        <w:tc>
          <w:tcPr>
            <w:tcW w:w="1440" w:type="dxa"/>
            <w:vMerge w:val="continue"/>
            <w:tcBorders>
              <w:left w:val="single" w:color="auto" w:sz="4" w:space="0"/>
              <w:right w:val="single" w:color="auto" w:sz="4" w:space="0"/>
            </w:tcBorders>
            <w:noWrap w:val="0"/>
            <w:vAlign w:val="center"/>
          </w:tcPr>
          <w:p w14:paraId="2B49BEE7">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p>
        </w:tc>
        <w:tc>
          <w:tcPr>
            <w:tcW w:w="939" w:type="dxa"/>
            <w:vMerge w:val="continue"/>
            <w:tcBorders>
              <w:left w:val="single" w:color="auto" w:sz="4" w:space="0"/>
              <w:right w:val="single" w:color="auto" w:sz="4" w:space="0"/>
            </w:tcBorders>
            <w:noWrap w:val="0"/>
            <w:vAlign w:val="center"/>
          </w:tcPr>
          <w:p w14:paraId="037A11DC">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127" w:type="dxa"/>
            <w:vMerge w:val="continue"/>
            <w:tcBorders>
              <w:left w:val="single" w:color="auto" w:sz="4" w:space="0"/>
              <w:right w:val="single" w:color="auto" w:sz="4" w:space="0"/>
            </w:tcBorders>
            <w:noWrap w:val="0"/>
            <w:vAlign w:val="center"/>
          </w:tcPr>
          <w:p w14:paraId="55D42363">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AB85109">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FF0000"/>
                <w:kern w:val="2"/>
                <w:sz w:val="24"/>
                <w:szCs w:val="24"/>
                <w:highlight w:val="none"/>
                <w:lang w:val="en-US" w:eastAsia="zh-CN" w:bidi="ar-SA"/>
              </w:rPr>
            </w:pPr>
          </w:p>
        </w:tc>
      </w:tr>
      <w:tr w14:paraId="46A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5" w:type="dxa"/>
            <w:vMerge w:val="continue"/>
            <w:tcBorders>
              <w:left w:val="single" w:color="auto" w:sz="4" w:space="0"/>
              <w:bottom w:val="single" w:color="auto" w:sz="4" w:space="0"/>
              <w:right w:val="single" w:color="auto" w:sz="4" w:space="0"/>
            </w:tcBorders>
            <w:noWrap w:val="0"/>
            <w:vAlign w:val="center"/>
          </w:tcPr>
          <w:p w14:paraId="71C1147E">
            <w:pPr>
              <w:widowControl/>
              <w:spacing w:line="240" w:lineRule="auto"/>
              <w:jc w:val="center"/>
              <w:rPr>
                <w:rFonts w:hint="default" w:ascii="方正仿宋_GBK" w:hAnsi="方正仿宋_GBK" w:eastAsia="方正仿宋_GBK" w:cs="方正仿宋_GBK"/>
                <w:b w:val="0"/>
                <w:bCs w:val="0"/>
                <w:kern w:val="0"/>
                <w:sz w:val="24"/>
                <w:szCs w:val="24"/>
                <w:highlight w:val="none"/>
                <w:lang w:val="en-US" w:eastAsia="zh-CN"/>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14:paraId="70AD67DE">
            <w:pPr>
              <w:widowControl/>
              <w:spacing w:line="240" w:lineRule="auto"/>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输液泵</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738F5EC1">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0"/>
                <w:sz w:val="28"/>
                <w:szCs w:val="28"/>
                <w:highlight w:val="none"/>
                <w:lang w:val="en-US" w:eastAsia="zh-CN" w:bidi="ar-SA"/>
              </w:rPr>
            </w:pPr>
            <w:r>
              <w:rPr>
                <w:rFonts w:hint="eastAsia" w:ascii="方正仿宋_GBK" w:hAnsi="方正仿宋_GBK" w:eastAsia="方正仿宋_GBK" w:cs="方正仿宋_GBK"/>
                <w:b w:val="0"/>
                <w:bCs w:val="0"/>
                <w:kern w:val="0"/>
                <w:sz w:val="28"/>
                <w:szCs w:val="28"/>
                <w:highlight w:val="none"/>
                <w:lang w:val="en-US" w:eastAsia="zh-CN" w:bidi="ar-SA"/>
              </w:rPr>
              <w:t>15</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D509386">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0.23</w:t>
            </w:r>
          </w:p>
        </w:tc>
        <w:tc>
          <w:tcPr>
            <w:tcW w:w="1440" w:type="dxa"/>
            <w:vMerge w:val="continue"/>
            <w:tcBorders>
              <w:left w:val="single" w:color="auto" w:sz="4" w:space="0"/>
              <w:bottom w:val="single" w:color="auto" w:sz="4" w:space="0"/>
              <w:right w:val="single" w:color="auto" w:sz="4" w:space="0"/>
            </w:tcBorders>
            <w:noWrap w:val="0"/>
            <w:vAlign w:val="center"/>
          </w:tcPr>
          <w:p w14:paraId="611CD122">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p>
        </w:tc>
        <w:tc>
          <w:tcPr>
            <w:tcW w:w="939" w:type="dxa"/>
            <w:vMerge w:val="continue"/>
            <w:tcBorders>
              <w:left w:val="single" w:color="auto" w:sz="4" w:space="0"/>
              <w:bottom w:val="single" w:color="auto" w:sz="4" w:space="0"/>
              <w:right w:val="single" w:color="auto" w:sz="4" w:space="0"/>
            </w:tcBorders>
            <w:noWrap w:val="0"/>
            <w:vAlign w:val="center"/>
          </w:tcPr>
          <w:p w14:paraId="2030FFED">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127" w:type="dxa"/>
            <w:vMerge w:val="continue"/>
            <w:tcBorders>
              <w:left w:val="single" w:color="auto" w:sz="4" w:space="0"/>
              <w:right w:val="single" w:color="auto" w:sz="4" w:space="0"/>
            </w:tcBorders>
            <w:noWrap w:val="0"/>
            <w:vAlign w:val="center"/>
          </w:tcPr>
          <w:p w14:paraId="5F6AE31D">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000000"/>
                <w:kern w:val="2"/>
                <w:sz w:val="24"/>
                <w:szCs w:val="24"/>
                <w:highlight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38ED01B">
            <w:pPr>
              <w:numPr>
                <w:ilvl w:val="0"/>
                <w:numId w:val="0"/>
              </w:numPr>
              <w:spacing w:line="240" w:lineRule="auto"/>
              <w:ind w:left="0" w:leftChars="0" w:firstLine="0" w:firstLineChars="0"/>
              <w:jc w:val="center"/>
              <w:rPr>
                <w:rFonts w:hint="eastAsia" w:ascii="方正仿宋_GBK" w:hAnsi="方正仿宋_GBK" w:eastAsia="方正仿宋_GBK" w:cs="方正仿宋_GBK"/>
                <w:b w:val="0"/>
                <w:bCs w:val="0"/>
                <w:color w:val="FF0000"/>
                <w:kern w:val="2"/>
                <w:sz w:val="24"/>
                <w:szCs w:val="24"/>
                <w:highlight w:val="none"/>
                <w:lang w:val="en-US" w:eastAsia="zh-CN" w:bidi="ar-SA"/>
              </w:rPr>
            </w:pPr>
          </w:p>
        </w:tc>
      </w:tr>
      <w:tr w14:paraId="11BE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0" w:type="dxa"/>
            <w:gridSpan w:val="4"/>
            <w:tcBorders>
              <w:top w:val="single" w:color="auto" w:sz="4" w:space="0"/>
              <w:left w:val="single" w:color="auto" w:sz="4" w:space="0"/>
              <w:right w:val="single" w:color="auto" w:sz="4" w:space="0"/>
            </w:tcBorders>
            <w:noWrap w:val="0"/>
            <w:vAlign w:val="center"/>
          </w:tcPr>
          <w:p w14:paraId="7C96FBB7">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合计</w:t>
            </w:r>
          </w:p>
        </w:tc>
        <w:tc>
          <w:tcPr>
            <w:tcW w:w="4721" w:type="dxa"/>
            <w:gridSpan w:val="4"/>
            <w:tcBorders>
              <w:top w:val="single" w:color="auto" w:sz="4" w:space="0"/>
              <w:left w:val="single" w:color="auto" w:sz="4" w:space="0"/>
              <w:bottom w:val="single" w:color="auto" w:sz="4" w:space="0"/>
              <w:right w:val="single" w:color="auto" w:sz="4" w:space="0"/>
            </w:tcBorders>
            <w:noWrap w:val="0"/>
            <w:vAlign w:val="center"/>
          </w:tcPr>
          <w:p w14:paraId="646F382C">
            <w:pPr>
              <w:numPr>
                <w:ilvl w:val="0"/>
                <w:numId w:val="0"/>
              </w:numPr>
              <w:spacing w:line="240" w:lineRule="auto"/>
              <w:ind w:left="0" w:leftChars="0" w:firstLine="0" w:firstLineChars="0"/>
              <w:jc w:val="center"/>
              <w:rPr>
                <w:rFonts w:hint="default" w:ascii="方正仿宋_GBK" w:hAnsi="方正仿宋_GBK" w:eastAsia="方正仿宋_GBK" w:cs="方正仿宋_GBK"/>
                <w:b w:val="0"/>
                <w:bCs w:val="0"/>
                <w:color w:val="FF0000"/>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41.13万元（人民币肆拾壹万壹仟叁佰元整）</w:t>
            </w:r>
          </w:p>
        </w:tc>
      </w:tr>
    </w:tbl>
    <w:p w14:paraId="3CE5D8DF">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720" w:firstLineChars="300"/>
        <w:textAlignment w:val="auto"/>
        <w:rPr>
          <w:rFonts w:hint="eastAsia" w:ascii="方正仿宋_GBK" w:hAnsi="方正仿宋_GBK" w:eastAsia="方正仿宋_GBK" w:cs="方正仿宋_GBK"/>
          <w:sz w:val="24"/>
          <w:szCs w:val="24"/>
          <w:lang w:val="en-US" w:eastAsia="zh-CN"/>
        </w:rPr>
      </w:pPr>
    </w:p>
    <w:p w14:paraId="52AB8421">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四、投标单位资质要求： </w:t>
      </w:r>
    </w:p>
    <w:p w14:paraId="2FB66366">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（1）具有独立承担民事责任的能力；</w:t>
      </w:r>
    </w:p>
    <w:p w14:paraId="756B5FA3">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（2）具有良好的商业信誉和健全的财务会计制度；</w:t>
      </w:r>
    </w:p>
    <w:p w14:paraId="2FB2F97F">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（3）具有履行合同所必需的设备和专业技术能力；</w:t>
      </w:r>
    </w:p>
    <w:p w14:paraId="6AF69746">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（4）有依法缴纳税收和社会保障资金的良好记录；</w:t>
      </w:r>
    </w:p>
    <w:p w14:paraId="3B537AE9">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（5）参加此采购活动前三年内，在经营活动中没有重大违法记录（由投标人在诚信承诺中作出声明）；</w:t>
      </w:r>
    </w:p>
    <w:p w14:paraId="375EF084">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（6）符合法律、法规规定的其他条件。</w:t>
      </w:r>
    </w:p>
    <w:p w14:paraId="4BCB1C91">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（7）资质证件：</w:t>
      </w:r>
    </w:p>
    <w:p w14:paraId="2201BA46">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①. 供应商和生产企业《营业执照》副本、《税务登记证》副本、《组织机构代码证》副本（若已“三证合一”，仅提供《营业执照》副本）；</w:t>
      </w:r>
    </w:p>
    <w:p w14:paraId="2ECE34A9">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②.《医疗器械生产企业许可证》、《医疗器械经营企业许可证》、《第二类医疗器械经营备案凭证》（若推荐产品为非医疗器械产品，可不提供）；</w:t>
      </w:r>
    </w:p>
    <w:p w14:paraId="3EC8C375">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③. 产品代理授权书、法人委托书（需明确授权范围）、身份证复印件；</w:t>
      </w:r>
    </w:p>
    <w:p w14:paraId="276E8B0D">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④. 产品《医疗器械注册证》（若注册证有附件的，则还须提供与之配套的相应附件），非医疗器械产品需出示国家药品监督管理局相关证明文件（通用设备，如电脑、打印机等除外）；</w:t>
      </w:r>
    </w:p>
    <w:p w14:paraId="57A11971">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⑤. 非医疗器械产品请提供符合国家规定的产品资质；</w:t>
      </w:r>
    </w:p>
    <w:p w14:paraId="1AB26F90">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⑥. 属于重庆市政府采购协议供货目录的商品，供应商必须为重庆市政府采购协议供货平台入围协议供货商，提供相关证明材料。</w:t>
      </w:r>
    </w:p>
    <w:p w14:paraId="62813CDE">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⑦. 消毒类产品需要提供卫生安全评价报告。卫生安全评价报告中的评价资料只包括标签（铭牌）、说明书、检验报告结论、国产产品生产企业卫生许可证、进口产品生产国（地区）允许生产销售的证明文件及报关单。</w:t>
      </w:r>
    </w:p>
    <w:p w14:paraId="66EECA61">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（8）报名材料中提供“没有串标、围标等恶意行为，否则自愿接受医院处罚。”的书面声明。</w:t>
      </w:r>
    </w:p>
    <w:p w14:paraId="424F2AAD">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（9）产品彩页资料。</w:t>
      </w:r>
    </w:p>
    <w:p w14:paraId="6F97B2C2">
      <w:pPr>
        <w:tabs>
          <w:tab w:val="left" w:pos="720"/>
        </w:tabs>
        <w:adjustRightInd w:val="0"/>
        <w:snapToGrid w:val="0"/>
        <w:spacing w:line="240" w:lineRule="auto"/>
        <w:ind w:firstLine="480" w:firstLineChars="200"/>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（10）售后服务承诺。</w:t>
      </w:r>
    </w:p>
    <w:p w14:paraId="43D6E9D7">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五、谈判有关说明</w:t>
      </w:r>
    </w:p>
    <w:p w14:paraId="57C49B66">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1.报名：</w:t>
      </w:r>
      <w:r>
        <w:rPr>
          <w:rFonts w:hint="eastAsia" w:ascii="方正仿宋_GBK" w:hAnsi="方正仿宋_GBK" w:eastAsia="方正仿宋_GBK" w:cs="方正仿宋_GBK"/>
          <w:color w:val="auto"/>
          <w:sz w:val="24"/>
          <w:szCs w:val="24"/>
          <w:lang w:val="en-US" w:eastAsia="zh-CN"/>
        </w:rPr>
        <w:t>2025年6月30日-7月2日8:30—17:00到重庆医科大学附属康复医院大渡口院区4楼招采办报名领取招标文件。</w:t>
      </w:r>
      <w:r>
        <w:rPr>
          <w:rFonts w:hint="eastAsia" w:ascii="方正仿宋_GBK" w:hAnsi="方正仿宋_GBK" w:eastAsia="方正仿宋_GBK" w:cs="方正仿宋_GBK"/>
          <w:sz w:val="24"/>
          <w:szCs w:val="24"/>
        </w:rPr>
        <w:t>（报名提供：营业执照</w:t>
      </w:r>
      <w:r>
        <w:rPr>
          <w:rFonts w:hint="eastAsia" w:ascii="方正仿宋_GBK" w:hAnsi="方正仿宋_GBK" w:eastAsia="方正仿宋_GBK" w:cs="方正仿宋_GBK"/>
          <w:sz w:val="24"/>
          <w:szCs w:val="24"/>
          <w:lang w:val="en-US" w:eastAsia="zh-CN"/>
        </w:rPr>
        <w:t>复印件加盖公章、标书费转账凭证</w:t>
      </w:r>
      <w:r>
        <w:rPr>
          <w:rFonts w:hint="eastAsia" w:ascii="方正仿宋_GBK" w:hAnsi="方正仿宋_GBK" w:eastAsia="方正仿宋_GBK" w:cs="方正仿宋_GBK"/>
          <w:sz w:val="24"/>
          <w:szCs w:val="24"/>
        </w:rPr>
        <w:t>）</w:t>
      </w:r>
    </w:p>
    <w:p w14:paraId="22936F9F">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标书费：</w:t>
      </w:r>
      <w:r>
        <w:rPr>
          <w:rFonts w:hint="eastAsia" w:ascii="方正仿宋_GBK" w:hAnsi="方正仿宋_GBK" w:eastAsia="方正仿宋_GBK" w:cs="方正仿宋_GBK"/>
          <w:color w:val="auto"/>
          <w:sz w:val="24"/>
          <w:szCs w:val="24"/>
          <w:lang w:val="en-US" w:eastAsia="zh-CN"/>
        </w:rPr>
        <w:t>100.00元/包。</w:t>
      </w:r>
    </w:p>
    <w:p w14:paraId="7B004E36">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标书费办理流程：</w:t>
      </w:r>
      <w:r>
        <w:rPr>
          <w:rFonts w:hint="eastAsia" w:ascii="方正仿宋_GBK" w:hAnsi="方正仿宋_GBK" w:eastAsia="方正仿宋_GBK" w:cs="方正仿宋_GBK"/>
          <w:color w:val="auto"/>
          <w:sz w:val="24"/>
          <w:szCs w:val="24"/>
          <w:lang w:val="en-US" w:eastAsia="zh-CN"/>
        </w:rPr>
        <w:t>报名登记前按下述医院账号转账（对公账户）。</w:t>
      </w:r>
    </w:p>
    <w:p w14:paraId="59830C1B">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投标保证金</w:t>
      </w:r>
      <w:r>
        <w:rPr>
          <w:rFonts w:hint="eastAsia" w:ascii="方正仿宋_GBK" w:hAnsi="方正仿宋_GBK" w:eastAsia="方正仿宋_GBK" w:cs="方正仿宋_GBK"/>
          <w:b/>
          <w:bCs/>
          <w:color w:val="auto"/>
          <w:sz w:val="24"/>
          <w:szCs w:val="24"/>
          <w:highlight w:val="none"/>
          <w:lang w:val="en-US" w:eastAsia="zh-CN"/>
        </w:rPr>
        <w:t>：</w:t>
      </w:r>
      <w:r>
        <w:rPr>
          <w:rFonts w:hint="eastAsia" w:ascii="方正仿宋_GBK" w:hAnsi="方正仿宋_GBK" w:eastAsia="方正仿宋_GBK" w:cs="方正仿宋_GBK"/>
          <w:b w:val="0"/>
          <w:bCs w:val="0"/>
          <w:color w:val="auto"/>
          <w:sz w:val="24"/>
          <w:szCs w:val="24"/>
          <w:highlight w:val="none"/>
          <w:lang w:val="en-US" w:eastAsia="zh-CN"/>
        </w:rPr>
        <w:t>包1/5700.00元，包2/2500.00元。</w:t>
      </w:r>
      <w:r>
        <w:rPr>
          <w:rFonts w:hint="eastAsia" w:ascii="方正仿宋_GBK" w:hAnsi="方正仿宋_GBK" w:eastAsia="方正仿宋_GBK" w:cs="方正仿宋_GBK"/>
          <w:b w:val="0"/>
          <w:bCs w:val="0"/>
          <w:color w:val="auto"/>
          <w:sz w:val="24"/>
          <w:szCs w:val="24"/>
          <w:lang w:val="en-US" w:eastAsia="zh-CN"/>
        </w:rPr>
        <w:t>缴纳截止时间：2025年7月3日 17:00。</w:t>
      </w:r>
    </w:p>
    <w:p w14:paraId="0D01BE08">
      <w:pPr>
        <w:adjustRightInd w:val="0"/>
        <w:snapToGrid w:val="0"/>
        <w:spacing w:line="360" w:lineRule="auto"/>
        <w:ind w:firstLine="482" w:firstLineChars="200"/>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以下情形不予退还保证金：</w:t>
      </w:r>
    </w:p>
    <w:p w14:paraId="4E30A151">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投标人在投标截止日期后没有提交投标，且之前也没有任何通知说明。</w:t>
      </w:r>
    </w:p>
    <w:p w14:paraId="7E3F8EDE">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r>
        <w:rPr>
          <w:rFonts w:hint="default" w:ascii="方正仿宋_GBK" w:hAnsi="方正仿宋_GBK" w:eastAsia="方正仿宋_GBK" w:cs="方正仿宋_GBK"/>
          <w:color w:val="auto"/>
          <w:sz w:val="24"/>
          <w:szCs w:val="24"/>
          <w:lang w:val="en-US" w:eastAsia="zh-CN"/>
        </w:rPr>
        <w:t>投标人在提交投标文件后，突然放弃投标。</w:t>
      </w:r>
    </w:p>
    <w:p w14:paraId="69A822F1">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r>
        <w:rPr>
          <w:rFonts w:hint="default" w:ascii="方正仿宋_GBK" w:hAnsi="方正仿宋_GBK" w:eastAsia="方正仿宋_GBK" w:cs="方正仿宋_GBK"/>
          <w:color w:val="auto"/>
          <w:sz w:val="24"/>
          <w:szCs w:val="24"/>
          <w:lang w:val="en-US" w:eastAsia="zh-CN"/>
        </w:rPr>
        <w:t>中标后，在接到通知书的30个工作日以内，在没有正当理由的情况下拒绝与招标人签订合同。</w:t>
      </w:r>
    </w:p>
    <w:p w14:paraId="6CCA977C">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r>
        <w:rPr>
          <w:rFonts w:hint="default" w:ascii="方正仿宋_GBK" w:hAnsi="方正仿宋_GBK" w:eastAsia="方正仿宋_GBK" w:cs="方正仿宋_GBK"/>
          <w:color w:val="auto"/>
          <w:sz w:val="24"/>
          <w:szCs w:val="24"/>
          <w:lang w:val="en-US" w:eastAsia="zh-CN"/>
        </w:rPr>
        <w:t>在投标过程中，被发现有违反法律和纪律的行为。</w:t>
      </w:r>
    </w:p>
    <w:p w14:paraId="3310C67C">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（5）</w:t>
      </w:r>
      <w:r>
        <w:rPr>
          <w:rFonts w:hint="default" w:ascii="方正仿宋_GBK" w:hAnsi="方正仿宋_GBK" w:eastAsia="方正仿宋_GBK" w:cs="方正仿宋_GBK"/>
          <w:color w:val="auto"/>
          <w:sz w:val="24"/>
          <w:szCs w:val="24"/>
          <w:lang w:val="en-US" w:eastAsia="zh-CN"/>
        </w:rPr>
        <w:t>如果在投标过程中，因为违反规定，被他人投诉或举报，事情还没有解决，可以暂时不退还投标保证金，等待事情结束后，根据情况决定</w:t>
      </w:r>
      <w:r>
        <w:rPr>
          <w:rFonts w:hint="eastAsia" w:ascii="方正仿宋_GBK" w:hAnsi="方正仿宋_GBK" w:eastAsia="方正仿宋_GBK" w:cs="方正仿宋_GBK"/>
          <w:color w:val="auto"/>
          <w:sz w:val="24"/>
          <w:szCs w:val="24"/>
          <w:lang w:val="en-US" w:eastAsia="zh-CN"/>
        </w:rPr>
        <w:t>。</w:t>
      </w:r>
    </w:p>
    <w:p w14:paraId="3EBAA363">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w:t>
      </w:r>
      <w:r>
        <w:rPr>
          <w:rFonts w:hint="default" w:ascii="方正仿宋_GBK" w:hAnsi="方正仿宋_GBK" w:eastAsia="方正仿宋_GBK" w:cs="方正仿宋_GBK"/>
          <w:color w:val="auto"/>
          <w:sz w:val="24"/>
          <w:szCs w:val="24"/>
          <w:lang w:val="en-US" w:eastAsia="zh-CN"/>
        </w:rPr>
        <w:t>投标截止后撤销投标。</w:t>
      </w:r>
    </w:p>
    <w:p w14:paraId="073A166F">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（7）</w:t>
      </w:r>
      <w:r>
        <w:rPr>
          <w:rFonts w:hint="default" w:ascii="方正仿宋_GBK" w:hAnsi="方正仿宋_GBK" w:eastAsia="方正仿宋_GBK" w:cs="方正仿宋_GBK"/>
          <w:color w:val="auto"/>
          <w:sz w:val="24"/>
          <w:szCs w:val="24"/>
          <w:lang w:val="en-US" w:eastAsia="zh-CN"/>
        </w:rPr>
        <w:t>中标后不与招标人订立合同。</w:t>
      </w:r>
    </w:p>
    <w:p w14:paraId="71DC7F3A">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（8）</w:t>
      </w:r>
      <w:r>
        <w:rPr>
          <w:rFonts w:hint="default" w:ascii="方正仿宋_GBK" w:hAnsi="方正仿宋_GBK" w:eastAsia="方正仿宋_GBK" w:cs="方正仿宋_GBK"/>
          <w:color w:val="auto"/>
          <w:sz w:val="24"/>
          <w:szCs w:val="24"/>
          <w:lang w:val="en-US" w:eastAsia="zh-CN"/>
        </w:rPr>
        <w:t>中标人签订合同时向招标人提出附加条件。</w:t>
      </w:r>
    </w:p>
    <w:p w14:paraId="7753A930">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w:t>
      </w:r>
      <w:r>
        <w:rPr>
          <w:rFonts w:hint="default" w:ascii="方正仿宋_GBK" w:hAnsi="方正仿宋_GBK" w:eastAsia="方正仿宋_GBK" w:cs="方正仿宋_GBK"/>
          <w:color w:val="auto"/>
          <w:sz w:val="24"/>
          <w:szCs w:val="24"/>
          <w:lang w:val="en-US" w:eastAsia="zh-CN"/>
        </w:rPr>
        <w:t>中标后不按照招标文件要求提交履约保证金。</w:t>
      </w:r>
    </w:p>
    <w:p w14:paraId="7F26920B">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r>
        <w:rPr>
          <w:rFonts w:hint="default" w:ascii="方正仿宋_GBK" w:hAnsi="方正仿宋_GBK" w:eastAsia="方正仿宋_GBK" w:cs="方正仿宋_GBK"/>
          <w:color w:val="auto"/>
          <w:sz w:val="24"/>
          <w:szCs w:val="24"/>
          <w:lang w:val="en-US" w:eastAsia="zh-CN"/>
        </w:rPr>
        <w:t>投标人采用不正当的手段骗取中标。</w:t>
      </w:r>
    </w:p>
    <w:p w14:paraId="18680D5A">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（11）</w:t>
      </w:r>
      <w:r>
        <w:rPr>
          <w:rFonts w:hint="default" w:ascii="方正仿宋_GBK" w:hAnsi="方正仿宋_GBK" w:eastAsia="方正仿宋_GBK" w:cs="方正仿宋_GBK"/>
          <w:color w:val="auto"/>
          <w:sz w:val="24"/>
          <w:szCs w:val="24"/>
          <w:lang w:val="en-US" w:eastAsia="zh-CN"/>
        </w:rPr>
        <w:t>投标人在招标文件中规定的投标有效期内撤回其投标,</w:t>
      </w:r>
    </w:p>
    <w:p w14:paraId="39EA82E6">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w:t>
      </w:r>
      <w:r>
        <w:rPr>
          <w:rFonts w:hint="default" w:ascii="方正仿宋_GBK" w:hAnsi="方正仿宋_GBK" w:eastAsia="方正仿宋_GBK" w:cs="方正仿宋_GBK"/>
          <w:color w:val="auto"/>
          <w:sz w:val="24"/>
          <w:szCs w:val="24"/>
          <w:lang w:val="en-US" w:eastAsia="zh-CN"/>
        </w:rPr>
        <w:t>中标人在规定期限内未能根据规定签订合同或者按规定接受对错误的修正</w:t>
      </w:r>
      <w:r>
        <w:rPr>
          <w:rFonts w:hint="eastAsia" w:ascii="方正仿宋_GBK" w:hAnsi="方正仿宋_GBK" w:eastAsia="方正仿宋_GBK" w:cs="方正仿宋_GBK"/>
          <w:color w:val="auto"/>
          <w:sz w:val="24"/>
          <w:szCs w:val="24"/>
          <w:lang w:val="en-US" w:eastAsia="zh-CN"/>
        </w:rPr>
        <w:t>。</w:t>
      </w:r>
    </w:p>
    <w:p w14:paraId="0A7B798F">
      <w:pPr>
        <w:adjustRightInd w:val="0"/>
        <w:snapToGrid w:val="0"/>
        <w:spacing w:line="360" w:lineRule="auto"/>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（13）</w:t>
      </w:r>
      <w:r>
        <w:rPr>
          <w:rFonts w:hint="default" w:ascii="方正仿宋_GBK" w:hAnsi="方正仿宋_GBK" w:eastAsia="方正仿宋_GBK" w:cs="方正仿宋_GBK"/>
          <w:color w:val="auto"/>
          <w:sz w:val="24"/>
          <w:szCs w:val="24"/>
          <w:lang w:val="en-US" w:eastAsia="zh-CN"/>
        </w:rPr>
        <w:t>根据招标文件规定，未提交履约保证金</w:t>
      </w:r>
      <w:r>
        <w:rPr>
          <w:rFonts w:hint="eastAsia" w:ascii="方正仿宋_GBK" w:hAnsi="方正仿宋_GBK" w:eastAsia="方正仿宋_GBK" w:cs="方正仿宋_GBK"/>
          <w:color w:val="auto"/>
          <w:sz w:val="24"/>
          <w:szCs w:val="24"/>
          <w:lang w:val="en-US" w:eastAsia="zh-CN"/>
        </w:rPr>
        <w:t>。</w:t>
      </w:r>
    </w:p>
    <w:p w14:paraId="18F937A1">
      <w:pPr>
        <w:adjustRightInd w:val="0"/>
        <w:snapToGrid w:val="0"/>
        <w:spacing w:line="360" w:lineRule="auto"/>
        <w:ind w:firstLine="482" w:firstLineChars="200"/>
        <w:rPr>
          <w:rFonts w:hint="eastAsia"/>
          <w:lang w:val="en-US" w:eastAsia="zh-CN"/>
        </w:rPr>
      </w:pPr>
      <w:r>
        <w:rPr>
          <w:rFonts w:hint="eastAsia" w:ascii="方正仿宋_GBK" w:hAnsi="方正仿宋_GBK" w:eastAsia="方正仿宋_GBK" w:cs="方正仿宋_GBK"/>
          <w:b/>
          <w:bCs/>
          <w:color w:val="auto"/>
          <w:sz w:val="24"/>
          <w:szCs w:val="24"/>
          <w:lang w:val="en-US" w:eastAsia="zh-CN"/>
        </w:rPr>
        <w:t>缴纳方式：</w:t>
      </w:r>
      <w:r>
        <w:rPr>
          <w:rFonts w:hint="eastAsia" w:ascii="方正仿宋_GBK" w:hAnsi="方正仿宋_GBK" w:eastAsia="方正仿宋_GBK" w:cs="方正仿宋_GBK"/>
          <w:color w:val="auto"/>
          <w:sz w:val="24"/>
          <w:szCs w:val="24"/>
          <w:lang w:val="en-US" w:eastAsia="zh-CN"/>
        </w:rPr>
        <w:t>要求以转账方式从其基本银行账户支付至我院银行账户。</w:t>
      </w:r>
    </w:p>
    <w:p w14:paraId="3A361899">
      <w:pPr>
        <w:adjustRightInd w:val="0"/>
        <w:snapToGrid w:val="0"/>
        <w:spacing w:line="360" w:lineRule="auto"/>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我院账号信息如下：</w:t>
      </w:r>
    </w:p>
    <w:p w14:paraId="1E1187D8">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户  名：重庆医科大学附属康复医院</w:t>
      </w:r>
    </w:p>
    <w:p w14:paraId="336D00BA">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账  号：31820101040011318</w:t>
      </w:r>
    </w:p>
    <w:p w14:paraId="11AF4DB9">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开户行：中国农业银行石柱支行营业部</w:t>
      </w:r>
    </w:p>
    <w:p w14:paraId="2C1828F2">
      <w:pPr>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特别说明：请各投标人对标书费或投标保证金按项目分别转账，并备注投标项目的名称、包号、标书费或投标保证金等关键信息；参与投标须提供缴纳投标保证金有效票据（投标人转账依据或我院财务科出具票据）。请各投标人自行考虑汇入时间风险，如同城汇入、异地汇入、跨行汇入的时间要求。</w:t>
      </w:r>
    </w:p>
    <w:p w14:paraId="04F4A6F1">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2.响应文件提交：</w:t>
      </w:r>
      <w:r>
        <w:rPr>
          <w:rFonts w:hint="eastAsia" w:ascii="方正仿宋_GBK" w:hAnsi="方正仿宋_GBK" w:eastAsia="方正仿宋_GBK" w:cs="方正仿宋_GBK"/>
          <w:color w:val="auto"/>
          <w:sz w:val="24"/>
          <w:szCs w:val="24"/>
          <w:lang w:val="en-US" w:eastAsia="zh-CN"/>
        </w:rPr>
        <w:t>请于2025年7月4日 9:30-10:00前送达重庆医科大学附属康复医院大渡口院区4楼会议室。</w:t>
      </w:r>
    </w:p>
    <w:p w14:paraId="6E923225">
      <w:pPr>
        <w:adjustRightInd w:val="0"/>
        <w:snapToGrid w:val="0"/>
        <w:spacing w:line="360" w:lineRule="auto"/>
        <w:ind w:firstLine="482"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3.谈判时间：</w:t>
      </w:r>
      <w:r>
        <w:rPr>
          <w:rFonts w:hint="eastAsia" w:ascii="方正仿宋_GBK" w:hAnsi="方正仿宋_GBK" w:eastAsia="方正仿宋_GBK" w:cs="方正仿宋_GBK"/>
          <w:color w:val="auto"/>
          <w:sz w:val="24"/>
          <w:szCs w:val="24"/>
          <w:lang w:val="en-US" w:eastAsia="zh-CN"/>
        </w:rPr>
        <w:t>2025年7月4日10:00。</w:t>
      </w:r>
    </w:p>
    <w:p w14:paraId="2DBA6A0F">
      <w:pPr>
        <w:adjustRightInd w:val="0"/>
        <w:snapToGrid w:val="0"/>
        <w:spacing w:line="360" w:lineRule="auto"/>
        <w:ind w:firstLine="482"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4.谈判地点：</w:t>
      </w:r>
      <w:r>
        <w:rPr>
          <w:rFonts w:hint="eastAsia" w:ascii="方正仿宋_GBK" w:hAnsi="方正仿宋_GBK" w:eastAsia="方正仿宋_GBK" w:cs="方正仿宋_GBK"/>
          <w:color w:val="auto"/>
          <w:sz w:val="24"/>
          <w:szCs w:val="24"/>
          <w:lang w:val="en-US" w:eastAsia="zh-CN"/>
        </w:rPr>
        <w:t>重庆医科大学附属康复医院大渡口院区4楼会议室。</w:t>
      </w:r>
    </w:p>
    <w:p w14:paraId="6305265A">
      <w:pPr>
        <w:adjustRightInd w:val="0"/>
        <w:snapToGrid w:val="0"/>
        <w:spacing w:line="360" w:lineRule="auto"/>
        <w:ind w:firstLine="482" w:firstLineChars="200"/>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5.联系人：</w:t>
      </w:r>
      <w:r>
        <w:rPr>
          <w:rFonts w:hint="eastAsia" w:ascii="方正仿宋_GBK" w:hAnsi="方正仿宋_GBK" w:eastAsia="方正仿宋_GBK" w:cs="方正仿宋_GBK"/>
          <w:b w:val="0"/>
          <w:bCs w:val="0"/>
          <w:color w:val="auto"/>
          <w:sz w:val="24"/>
          <w:szCs w:val="24"/>
          <w:lang w:val="en-US" w:eastAsia="zh-CN"/>
        </w:rPr>
        <w:t>招采办--宋老师   联系电话：023-89868773。</w:t>
      </w:r>
    </w:p>
    <w:p w14:paraId="3D68E9BA">
      <w:pPr>
        <w:adjustRightInd w:val="0"/>
        <w:snapToGrid w:val="0"/>
        <w:spacing w:line="360" w:lineRule="auto"/>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6.本项目不接受联合体投标。</w:t>
      </w:r>
    </w:p>
    <w:p w14:paraId="688E5080">
      <w:pPr>
        <w:keepNext w:val="0"/>
        <w:keepLines w:val="0"/>
        <w:pageBreakBefore w:val="0"/>
        <w:widowControl w:val="0"/>
        <w:kinsoku/>
        <w:wordWrap/>
        <w:overflowPunct/>
        <w:topLinePunct w:val="0"/>
        <w:autoSpaceDE/>
        <w:autoSpaceDN/>
        <w:bidi w:val="0"/>
        <w:adjustRightInd w:val="0"/>
        <w:snapToGrid w:val="0"/>
        <w:spacing w:line="240" w:lineRule="auto"/>
        <w:ind w:firstLine="540" w:firstLineChars="225"/>
        <w:jc w:val="right"/>
        <w:textAlignment w:val="auto"/>
        <w:rPr>
          <w:rFonts w:hint="eastAsia" w:ascii="方正仿宋_GBK" w:hAnsi="方正仿宋_GBK" w:eastAsia="方正仿宋_GBK" w:cs="方正仿宋_GBK"/>
          <w:sz w:val="24"/>
          <w:szCs w:val="24"/>
        </w:rPr>
      </w:pPr>
    </w:p>
    <w:p w14:paraId="7F716668">
      <w:pPr>
        <w:pStyle w:val="2"/>
        <w:rPr>
          <w:rFonts w:hint="eastAsia" w:ascii="方正仿宋_GBK" w:hAnsi="方正仿宋_GBK" w:eastAsia="方正仿宋_GBK" w:cs="方正仿宋_GBK"/>
          <w:sz w:val="24"/>
          <w:szCs w:val="24"/>
        </w:rPr>
      </w:pPr>
    </w:p>
    <w:p w14:paraId="091ECB98">
      <w:pPr>
        <w:rPr>
          <w:rFonts w:hint="eastAsia"/>
        </w:rPr>
      </w:pPr>
    </w:p>
    <w:p w14:paraId="3EBDB11F">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重庆医科大学附属康复医院</w:t>
      </w:r>
    </w:p>
    <w:p w14:paraId="5C9ABA60">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招标采购管理办公室</w:t>
      </w:r>
    </w:p>
    <w:p w14:paraId="5120AB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20</w:t>
      </w:r>
      <w:r>
        <w:rPr>
          <w:rFonts w:hint="eastAsia" w:ascii="方正仿宋_GBK" w:hAnsi="方正仿宋_GBK" w:eastAsia="方正仿宋_GBK" w:cs="方正仿宋_GBK"/>
          <w:sz w:val="24"/>
          <w:szCs w:val="24"/>
          <w:lang w:val="en-US" w:eastAsia="zh-CN"/>
        </w:rPr>
        <w:t>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30</w:t>
      </w:r>
      <w:bookmarkStart w:id="0" w:name="_GoBack"/>
      <w:bookmarkEnd w:id="0"/>
      <w:r>
        <w:rPr>
          <w:rFonts w:hint="eastAsia" w:ascii="方正仿宋_GBK" w:hAnsi="方正仿宋_GBK" w:eastAsia="方正仿宋_GBK" w:cs="方正仿宋_GBK"/>
          <w:sz w:val="24"/>
          <w:szCs w:val="24"/>
        </w:rPr>
        <w:t>日</w:t>
      </w:r>
    </w:p>
    <w:sectPr>
      <w:pgSz w:w="11906" w:h="16838"/>
      <w:pgMar w:top="1191" w:right="624" w:bottom="1191" w:left="62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0NWNjYjdmNjA4OTRhMTQ1OTk0MDM1MzQ0OTA4NWQifQ=="/>
  </w:docVars>
  <w:rsids>
    <w:rsidRoot w:val="00813E7E"/>
    <w:rsid w:val="00003F18"/>
    <w:rsid w:val="000103F1"/>
    <w:rsid w:val="000809CC"/>
    <w:rsid w:val="000E0B4C"/>
    <w:rsid w:val="000E4CA3"/>
    <w:rsid w:val="00140B52"/>
    <w:rsid w:val="001F625D"/>
    <w:rsid w:val="002B2160"/>
    <w:rsid w:val="003B21B1"/>
    <w:rsid w:val="003E2C1F"/>
    <w:rsid w:val="003E5E23"/>
    <w:rsid w:val="004636BF"/>
    <w:rsid w:val="00493B39"/>
    <w:rsid w:val="004A29D6"/>
    <w:rsid w:val="004D6E21"/>
    <w:rsid w:val="004E4AF3"/>
    <w:rsid w:val="004F4B94"/>
    <w:rsid w:val="00544D9F"/>
    <w:rsid w:val="00610634"/>
    <w:rsid w:val="0063094C"/>
    <w:rsid w:val="00685193"/>
    <w:rsid w:val="006B4FCB"/>
    <w:rsid w:val="006C3F7D"/>
    <w:rsid w:val="006F5C74"/>
    <w:rsid w:val="00776216"/>
    <w:rsid w:val="007B0403"/>
    <w:rsid w:val="007B4644"/>
    <w:rsid w:val="00813E7E"/>
    <w:rsid w:val="00831EA1"/>
    <w:rsid w:val="008458D2"/>
    <w:rsid w:val="00864610"/>
    <w:rsid w:val="00866AEE"/>
    <w:rsid w:val="00897AD7"/>
    <w:rsid w:val="009008DB"/>
    <w:rsid w:val="0091754F"/>
    <w:rsid w:val="00931CB9"/>
    <w:rsid w:val="00977878"/>
    <w:rsid w:val="00995C27"/>
    <w:rsid w:val="009C2BBC"/>
    <w:rsid w:val="009F0F7B"/>
    <w:rsid w:val="00A40620"/>
    <w:rsid w:val="00A4409E"/>
    <w:rsid w:val="00A935BE"/>
    <w:rsid w:val="00AF4D33"/>
    <w:rsid w:val="00B06AFC"/>
    <w:rsid w:val="00B63789"/>
    <w:rsid w:val="00B65197"/>
    <w:rsid w:val="00B92D4B"/>
    <w:rsid w:val="00BA382B"/>
    <w:rsid w:val="00BB2C7A"/>
    <w:rsid w:val="00C10964"/>
    <w:rsid w:val="00C2385E"/>
    <w:rsid w:val="00C326DE"/>
    <w:rsid w:val="00C50B2B"/>
    <w:rsid w:val="00C62346"/>
    <w:rsid w:val="00C979DD"/>
    <w:rsid w:val="00CA7B6A"/>
    <w:rsid w:val="00D01E86"/>
    <w:rsid w:val="00D17080"/>
    <w:rsid w:val="00D41FAB"/>
    <w:rsid w:val="00D61787"/>
    <w:rsid w:val="00D72838"/>
    <w:rsid w:val="00DB1033"/>
    <w:rsid w:val="00E04FD6"/>
    <w:rsid w:val="00E84DE7"/>
    <w:rsid w:val="00E9176B"/>
    <w:rsid w:val="00EC0293"/>
    <w:rsid w:val="00F20980"/>
    <w:rsid w:val="00F26D31"/>
    <w:rsid w:val="00F303F8"/>
    <w:rsid w:val="00F37360"/>
    <w:rsid w:val="00F5710D"/>
    <w:rsid w:val="00F77AD3"/>
    <w:rsid w:val="00F8197E"/>
    <w:rsid w:val="00F86709"/>
    <w:rsid w:val="02612380"/>
    <w:rsid w:val="02B32C00"/>
    <w:rsid w:val="02D92666"/>
    <w:rsid w:val="039D18E6"/>
    <w:rsid w:val="11535CDA"/>
    <w:rsid w:val="16D27BE2"/>
    <w:rsid w:val="180715CC"/>
    <w:rsid w:val="18B13527"/>
    <w:rsid w:val="1AF44089"/>
    <w:rsid w:val="1B066E36"/>
    <w:rsid w:val="1B283D33"/>
    <w:rsid w:val="1D352737"/>
    <w:rsid w:val="21077988"/>
    <w:rsid w:val="24942439"/>
    <w:rsid w:val="2592671A"/>
    <w:rsid w:val="2A4144C9"/>
    <w:rsid w:val="2BF51A0F"/>
    <w:rsid w:val="2CD07D6B"/>
    <w:rsid w:val="33064502"/>
    <w:rsid w:val="332E54B8"/>
    <w:rsid w:val="334B3234"/>
    <w:rsid w:val="34C93B7C"/>
    <w:rsid w:val="37A711A3"/>
    <w:rsid w:val="383E235D"/>
    <w:rsid w:val="423C4C52"/>
    <w:rsid w:val="42843695"/>
    <w:rsid w:val="44683FF6"/>
    <w:rsid w:val="509727E6"/>
    <w:rsid w:val="537868FE"/>
    <w:rsid w:val="543D2BD3"/>
    <w:rsid w:val="56373C3F"/>
    <w:rsid w:val="572B728B"/>
    <w:rsid w:val="57A35F14"/>
    <w:rsid w:val="5E7E7CFA"/>
    <w:rsid w:val="602605F4"/>
    <w:rsid w:val="62243469"/>
    <w:rsid w:val="65423204"/>
    <w:rsid w:val="662621EA"/>
    <w:rsid w:val="69B65646"/>
    <w:rsid w:val="6D785A21"/>
    <w:rsid w:val="70EA7C9F"/>
    <w:rsid w:val="72473C14"/>
    <w:rsid w:val="7694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Autospacing="1"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2"/>
    <w:autoRedefine/>
    <w:qFormat/>
    <w:uiPriority w:val="0"/>
    <w:pPr>
      <w:spacing w:line="360" w:lineRule="auto"/>
      <w:ind w:firstLine="420"/>
    </w:pPr>
    <w:rPr>
      <w:rFonts w:ascii="宋体" w:hAnsi="宋体"/>
      <w:sz w:val="24"/>
    </w:rPr>
  </w:style>
  <w:style w:type="table" w:styleId="11">
    <w:name w:val="Table Grid"/>
    <w:basedOn w:val="10"/>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autoRedefine/>
    <w:qFormat/>
    <w:uiPriority w:val="99"/>
    <w:rPr>
      <w:sz w:val="18"/>
      <w:szCs w:val="18"/>
    </w:rPr>
  </w:style>
  <w:style w:type="character" w:customStyle="1" w:styleId="14">
    <w:name w:val="页脚 Char"/>
    <w:basedOn w:val="12"/>
    <w:link w:val="6"/>
    <w:autoRedefine/>
    <w:qFormat/>
    <w:uiPriority w:val="99"/>
    <w:rPr>
      <w:sz w:val="18"/>
      <w:szCs w:val="18"/>
    </w:rPr>
  </w:style>
  <w:style w:type="character" w:customStyle="1" w:styleId="15">
    <w:name w:val="标题 4 Char"/>
    <w:basedOn w:val="12"/>
    <w:link w:val="5"/>
    <w:autoRedefine/>
    <w:qFormat/>
    <w:uiPriority w:val="9"/>
    <w:rPr>
      <w:rFonts w:ascii="宋体" w:hAnsi="宋体" w:eastAsia="宋体" w:cs="宋体"/>
      <w:b/>
      <w:bCs/>
      <w:kern w:val="0"/>
      <w:sz w:val="24"/>
      <w:szCs w:val="24"/>
    </w:rPr>
  </w:style>
  <w:style w:type="character" w:customStyle="1" w:styleId="16">
    <w:name w:val="hidden-print"/>
    <w:basedOn w:val="12"/>
    <w:autoRedefine/>
    <w:qFormat/>
    <w:uiPriority w:val="0"/>
  </w:style>
  <w:style w:type="character" w:customStyle="1" w:styleId="17">
    <w:name w:val="apple-converted-space"/>
    <w:basedOn w:val="12"/>
    <w:autoRedefine/>
    <w:qFormat/>
    <w:uiPriority w:val="0"/>
  </w:style>
  <w:style w:type="paragraph" w:styleId="18">
    <w:name w:val="List Paragraph"/>
    <w:basedOn w:val="1"/>
    <w:autoRedefine/>
    <w:qFormat/>
    <w:uiPriority w:val="34"/>
    <w:pPr>
      <w:ind w:firstLine="420" w:firstLineChars="200"/>
    </w:pPr>
  </w:style>
  <w:style w:type="character" w:customStyle="1" w:styleId="19">
    <w:name w:val="font21"/>
    <w:basedOn w:val="12"/>
    <w:autoRedefine/>
    <w:qFormat/>
    <w:uiPriority w:val="0"/>
    <w:rPr>
      <w:rFonts w:hint="eastAsia" w:ascii="宋体" w:hAnsi="宋体" w:eastAsia="宋体" w:cs="宋体"/>
      <w:b/>
      <w:bCs/>
      <w:color w:val="000000"/>
      <w:sz w:val="20"/>
      <w:szCs w:val="20"/>
      <w:u w:val="none"/>
    </w:rPr>
  </w:style>
  <w:style w:type="character" w:customStyle="1" w:styleId="20">
    <w:name w:val="font31"/>
    <w:basedOn w:val="12"/>
    <w:autoRedefine/>
    <w:qFormat/>
    <w:uiPriority w:val="0"/>
    <w:rPr>
      <w:rFonts w:hint="eastAsia" w:ascii="宋体" w:hAnsi="宋体" w:eastAsia="宋体" w:cs="宋体"/>
      <w:color w:val="000000"/>
      <w:sz w:val="20"/>
      <w:szCs w:val="20"/>
      <w:u w:val="none"/>
    </w:rPr>
  </w:style>
  <w:style w:type="character" w:customStyle="1" w:styleId="21">
    <w:name w:val="font01"/>
    <w:basedOn w:val="12"/>
    <w:autoRedefine/>
    <w:qFormat/>
    <w:uiPriority w:val="0"/>
    <w:rPr>
      <w:rFonts w:hint="default" w:ascii="Tahoma" w:hAnsi="Tahoma" w:eastAsia="Tahoma" w:cs="Tahoma"/>
      <w:color w:val="000000"/>
      <w:sz w:val="18"/>
      <w:szCs w:val="18"/>
      <w:u w:val="none"/>
    </w:rPr>
  </w:style>
  <w:style w:type="character" w:customStyle="1" w:styleId="22">
    <w:name w:val="font51"/>
    <w:basedOn w:val="12"/>
    <w:autoRedefine/>
    <w:qFormat/>
    <w:uiPriority w:val="0"/>
    <w:rPr>
      <w:rFonts w:hint="eastAsia" w:ascii="宋体" w:hAnsi="宋体" w:eastAsia="宋体" w:cs="宋体"/>
      <w:color w:val="000000"/>
      <w:sz w:val="21"/>
      <w:szCs w:val="21"/>
      <w:u w:val="none"/>
    </w:rPr>
  </w:style>
  <w:style w:type="character" w:customStyle="1" w:styleId="23">
    <w:name w:val="font41"/>
    <w:basedOn w:val="12"/>
    <w:autoRedefine/>
    <w:qFormat/>
    <w:uiPriority w:val="0"/>
    <w:rPr>
      <w:rFonts w:hint="default" w:ascii="Calibri" w:hAnsi="Calibri" w:cs="Calibri"/>
      <w:color w:val="000000"/>
      <w:sz w:val="20"/>
      <w:szCs w:val="20"/>
      <w:u w:val="none"/>
    </w:rPr>
  </w:style>
  <w:style w:type="character" w:customStyle="1" w:styleId="24">
    <w:name w:val="font81"/>
    <w:basedOn w:val="12"/>
    <w:autoRedefine/>
    <w:qFormat/>
    <w:uiPriority w:val="0"/>
    <w:rPr>
      <w:rFonts w:hint="eastAsia" w:ascii="宋体" w:hAnsi="宋体" w:eastAsia="宋体" w:cs="宋体"/>
      <w:color w:val="000000"/>
      <w:sz w:val="18"/>
      <w:szCs w:val="18"/>
      <w:u w:val="none"/>
    </w:rPr>
  </w:style>
  <w:style w:type="character" w:customStyle="1" w:styleId="25">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111</Words>
  <Characters>174</Characters>
  <Lines>11</Lines>
  <Paragraphs>3</Paragraphs>
  <TotalTime>0</TotalTime>
  <ScaleCrop>false</ScaleCrop>
  <LinksUpToDate>false</LinksUpToDate>
  <CharactersWithSpaces>274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2021-04-06T07:14:00Z</dcterms:created>
  <dc:creator>微软用户</dc:creator>
  <cp:lastModifiedBy>宋成成</cp:lastModifiedBy>
  <cp:lastPrinted>2023-07-10T07:17:00Z</cp:lastPrinted>
  <dcterms:modified xsi:type="dcterms:W3CDTF">2025-06-30T00:40:54Z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9487C1A6158A4F19840C17B00B6CDCCC</vt:lpwstr>
  </property>
  <property fmtid="{D5CDD505-2E9C-101B-9397-08002B2CF9AE}" pid="4" name="KSOTemplateDocerSaveRecord">
    <vt:lpwstr>eyJoZGlkIjoiZGI0NWNjYjdmNjA4OTRhMTQ1OTk0MDM1MzQ0OTA4NWQiLCJ1c2VySWQiOiIxNTQ5ODY5MzQ3In0=</vt:lpwstr>
  </property>
</Properties>
</file>