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7C26F">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sz w:val="36"/>
          <w:szCs w:val="30"/>
        </w:rPr>
      </w:pPr>
      <w:r>
        <w:rPr>
          <w:rFonts w:hint="eastAsia" w:ascii="宋体" w:hAnsi="宋体" w:eastAsia="宋体" w:cs="宋体"/>
          <w:b/>
          <w:sz w:val="36"/>
          <w:szCs w:val="30"/>
          <w:lang w:val="en-US" w:eastAsia="zh-CN"/>
        </w:rPr>
        <w:t>重庆医科大学袁家岗校区防雷整改</w:t>
      </w:r>
      <w:r>
        <w:rPr>
          <w:rFonts w:hint="eastAsia" w:ascii="宋体" w:hAnsi="宋体" w:eastAsia="宋体" w:cs="宋体"/>
          <w:b/>
          <w:sz w:val="36"/>
          <w:szCs w:val="30"/>
        </w:rPr>
        <w:t>网上询价公告</w:t>
      </w:r>
    </w:p>
    <w:p w14:paraId="10901AA6">
      <w:pPr>
        <w:keepNext w:val="0"/>
        <w:keepLines w:val="0"/>
        <w:pageBreakBefore w:val="0"/>
        <w:kinsoku/>
        <w:wordWrap/>
        <w:overflowPunct/>
        <w:topLinePunct w:val="0"/>
        <w:bidi w:val="0"/>
        <w:spacing w:line="440" w:lineRule="exact"/>
        <w:textAlignment w:val="auto"/>
        <w:outlineLvl w:val="1"/>
        <w:rPr>
          <w:rFonts w:ascii="宋体" w:hAnsi="宋体" w:cs="宋体"/>
          <w:b/>
          <w:snapToGrid w:val="0"/>
          <w:kern w:val="0"/>
          <w:sz w:val="28"/>
          <w:szCs w:val="28"/>
        </w:rPr>
      </w:pPr>
      <w:r>
        <w:rPr>
          <w:rFonts w:hint="eastAsia" w:ascii="宋体" w:hAnsi="宋体" w:cs="宋体"/>
          <w:b/>
          <w:snapToGrid w:val="0"/>
          <w:kern w:val="0"/>
          <w:sz w:val="28"/>
          <w:szCs w:val="28"/>
        </w:rPr>
        <w:t>一、项目说明</w:t>
      </w:r>
    </w:p>
    <w:p w14:paraId="42B88652">
      <w:pPr>
        <w:keepNext w:val="0"/>
        <w:keepLines w:val="0"/>
        <w:pageBreakBefore w:val="0"/>
        <w:kinsoku/>
        <w:wordWrap/>
        <w:overflowPunct/>
        <w:topLinePunct w:val="0"/>
        <w:bidi w:val="0"/>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（一）本项目为非政府采购项目，不适用《中华人民共和国政府采购法》及其实施条例的有关规定。</w:t>
      </w:r>
    </w:p>
    <w:p w14:paraId="4854C574">
      <w:pPr>
        <w:keepNext w:val="0"/>
        <w:keepLines w:val="0"/>
        <w:pageBreakBefore w:val="0"/>
        <w:kinsoku/>
        <w:wordWrap/>
        <w:overflowPunct/>
        <w:topLinePunct w:val="0"/>
        <w:bidi w:val="0"/>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二）本项目根据《重庆医科大学采购管理办法》，参照政府采购的网上询价方式进行采购，在遵守公开、公平、公正、高效廉洁的原则下，以保障本单位科研及教学高质量为前提，合理设置采购需求，自行组织实施采购，并做好预算、合同、资产、</w:t>
      </w:r>
      <w:r>
        <w:rPr>
          <w:rFonts w:hint="eastAsia" w:ascii="宋体" w:hAnsi="宋体"/>
          <w:color w:val="000000"/>
          <w:sz w:val="24"/>
          <w:szCs w:val="24"/>
          <w:lang w:val="en-US" w:eastAsia="zh-CN"/>
        </w:rPr>
        <w:t>收支</w:t>
      </w:r>
      <w:r>
        <w:rPr>
          <w:rFonts w:hint="eastAsia" w:ascii="宋体" w:hAnsi="宋体"/>
          <w:color w:val="000000"/>
          <w:sz w:val="24"/>
          <w:szCs w:val="24"/>
        </w:rPr>
        <w:t>等内控管理工作。</w:t>
      </w:r>
    </w:p>
    <w:p w14:paraId="19525002">
      <w:pPr>
        <w:keepNext w:val="0"/>
        <w:keepLines w:val="0"/>
        <w:pageBreakBefore w:val="0"/>
        <w:kinsoku/>
        <w:wordWrap/>
        <w:overflowPunct/>
        <w:topLinePunct w:val="0"/>
        <w:bidi w:val="0"/>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（三）本项目要求设备采购带安装调试，必须满足所有参数及使用要求，欢迎有符合要求的供应商参与投标。</w:t>
      </w:r>
    </w:p>
    <w:p w14:paraId="2231CE80">
      <w:pPr>
        <w:keepNext w:val="0"/>
        <w:keepLines w:val="0"/>
        <w:pageBreakBefore w:val="0"/>
        <w:kinsoku/>
        <w:wordWrap/>
        <w:overflowPunct/>
        <w:topLinePunct w:val="0"/>
        <w:bidi w:val="0"/>
        <w:spacing w:line="440" w:lineRule="exact"/>
        <w:ind w:firstLine="482" w:firstLineChars="200"/>
        <w:textAlignment w:val="auto"/>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（四）投标供应商一旦参与报价，则视为完全响应询价文件所有要求。</w:t>
      </w:r>
    </w:p>
    <w:p w14:paraId="1EE728BB">
      <w:pPr>
        <w:pStyle w:val="10"/>
        <w:keepNext w:val="0"/>
        <w:keepLines w:val="0"/>
        <w:pageBreakBefore w:val="0"/>
        <w:kinsoku/>
        <w:wordWrap/>
        <w:overflowPunct/>
        <w:topLinePunct w:val="0"/>
        <w:bidi w:val="0"/>
        <w:spacing w:line="440" w:lineRule="exact"/>
        <w:textAlignment w:val="auto"/>
        <w:outlineLvl w:val="1"/>
        <w:rPr>
          <w:rFonts w:hint="eastAsia" w:ascii="宋体" w:hAnsi="宋体" w:eastAsiaTheme="minorEastAsia" w:cstheme="minorBidi"/>
          <w:color w:val="000000"/>
          <w:kern w:val="2"/>
          <w:sz w:val="24"/>
          <w:szCs w:val="24"/>
          <w:lang w:val="en-US" w:eastAsia="zh-CN" w:bidi="ar-SA"/>
        </w:rPr>
      </w:pPr>
      <w:r>
        <w:rPr>
          <w:rFonts w:hint="eastAsia" w:hAnsi="宋体" w:eastAsia="宋体" w:cs="宋体"/>
          <w:b/>
          <w:snapToGrid w:val="0"/>
          <w:kern w:val="0"/>
          <w:sz w:val="28"/>
          <w:szCs w:val="28"/>
        </w:rPr>
        <w:t>二、技术</w:t>
      </w:r>
      <w:r>
        <w:rPr>
          <w:rFonts w:hint="eastAsia" w:hAnsi="宋体" w:eastAsia="宋体" w:cs="宋体"/>
          <w:b/>
          <w:snapToGrid w:val="0"/>
          <w:kern w:val="0"/>
          <w:sz w:val="28"/>
          <w:szCs w:val="28"/>
          <w:lang w:eastAsia="zh-CN"/>
        </w:rPr>
        <w:t>（服务）</w:t>
      </w:r>
      <w:r>
        <w:rPr>
          <w:rFonts w:hint="eastAsia" w:hAnsi="宋体" w:eastAsia="宋体" w:cs="宋体"/>
          <w:b/>
          <w:snapToGrid w:val="0"/>
          <w:kern w:val="0"/>
          <w:sz w:val="28"/>
          <w:szCs w:val="28"/>
        </w:rPr>
        <w:t>要求</w:t>
      </w:r>
    </w:p>
    <w:p w14:paraId="6BF23DD4">
      <w:pPr>
        <w:pStyle w:val="10"/>
        <w:keepNext w:val="0"/>
        <w:keepLines w:val="0"/>
        <w:pageBreakBefore w:val="0"/>
        <w:kinsoku/>
        <w:wordWrap/>
        <w:overflowPunct/>
        <w:topLinePunct w:val="0"/>
        <w:bidi w:val="0"/>
        <w:spacing w:line="440" w:lineRule="exact"/>
        <w:textAlignment w:val="auto"/>
        <w:outlineLvl w:val="1"/>
        <w:rPr>
          <w:rFonts w:hint="default"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（一）项目一览表</w:t>
      </w:r>
    </w:p>
    <w:tbl>
      <w:tblPr>
        <w:tblStyle w:val="19"/>
        <w:tblW w:w="54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896"/>
        <w:gridCol w:w="2018"/>
        <w:gridCol w:w="2548"/>
        <w:gridCol w:w="1312"/>
      </w:tblGrid>
      <w:tr w14:paraId="4D69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92" w:type="pct"/>
            <w:tcBorders>
              <w:tl2br w:val="nil"/>
              <w:tr2bl w:val="nil"/>
            </w:tcBorders>
            <w:vAlign w:val="center"/>
          </w:tcPr>
          <w:p w14:paraId="5995B091">
            <w:pPr>
              <w:keepNext w:val="0"/>
              <w:keepLines w:val="0"/>
              <w:pageBreakBefore w:val="0"/>
              <w:widowControl/>
              <w:kinsoku/>
              <w:wordWrap/>
              <w:overflowPunct/>
              <w:topLinePunct w:val="0"/>
              <w:bidi w:val="0"/>
              <w:spacing w:line="440" w:lineRule="exact"/>
              <w:jc w:val="center"/>
              <w:textAlignment w:val="auto"/>
              <w:rPr>
                <w:rFonts w:ascii="仿宋" w:hAnsi="仿宋" w:eastAsia="仿宋" w:cs="仿宋"/>
                <w:b/>
                <w:bCs/>
                <w:color w:val="auto"/>
                <w:kern w:val="0"/>
                <w:szCs w:val="24"/>
              </w:rPr>
            </w:pPr>
            <w:r>
              <w:rPr>
                <w:rFonts w:hint="eastAsia" w:ascii="仿宋" w:hAnsi="仿宋" w:eastAsia="仿宋" w:cs="仿宋"/>
                <w:b/>
                <w:bCs/>
                <w:color w:val="auto"/>
                <w:kern w:val="0"/>
                <w:szCs w:val="24"/>
              </w:rPr>
              <w:t>项目名称</w:t>
            </w:r>
          </w:p>
        </w:tc>
        <w:tc>
          <w:tcPr>
            <w:tcW w:w="1032" w:type="pct"/>
            <w:tcBorders>
              <w:tl2br w:val="nil"/>
              <w:tr2bl w:val="nil"/>
            </w:tcBorders>
            <w:vAlign w:val="center"/>
          </w:tcPr>
          <w:p w14:paraId="5C5036E9">
            <w:pPr>
              <w:keepNext w:val="0"/>
              <w:keepLines w:val="0"/>
              <w:pageBreakBefore w:val="0"/>
              <w:widowControl/>
              <w:kinsoku/>
              <w:wordWrap/>
              <w:overflowPunct/>
              <w:topLinePunct w:val="0"/>
              <w:bidi w:val="0"/>
              <w:spacing w:line="440" w:lineRule="exact"/>
              <w:jc w:val="center"/>
              <w:textAlignment w:val="auto"/>
              <w:rPr>
                <w:rFonts w:ascii="仿宋" w:hAnsi="仿宋" w:eastAsia="仿宋" w:cs="仿宋"/>
                <w:b/>
                <w:bCs/>
                <w:color w:val="auto"/>
                <w:kern w:val="0"/>
                <w:szCs w:val="24"/>
              </w:rPr>
            </w:pPr>
            <w:r>
              <w:rPr>
                <w:rFonts w:hint="eastAsia" w:ascii="仿宋" w:hAnsi="仿宋" w:eastAsia="仿宋" w:cs="仿宋"/>
                <w:b/>
                <w:bCs/>
                <w:color w:val="auto"/>
                <w:kern w:val="0"/>
                <w:szCs w:val="24"/>
              </w:rPr>
              <w:t>最高限价（元）</w:t>
            </w:r>
          </w:p>
        </w:tc>
        <w:tc>
          <w:tcPr>
            <w:tcW w:w="1303" w:type="pct"/>
            <w:tcBorders>
              <w:tl2br w:val="nil"/>
              <w:tr2bl w:val="nil"/>
            </w:tcBorders>
            <w:vAlign w:val="center"/>
          </w:tcPr>
          <w:p w14:paraId="65D55177">
            <w:pPr>
              <w:keepNext w:val="0"/>
              <w:keepLines w:val="0"/>
              <w:pageBreakBefore w:val="0"/>
              <w:kinsoku/>
              <w:wordWrap/>
              <w:overflowPunct/>
              <w:topLinePunct w:val="0"/>
              <w:bidi w:val="0"/>
              <w:spacing w:line="440" w:lineRule="exact"/>
              <w:jc w:val="center"/>
              <w:textAlignment w:val="auto"/>
              <w:rPr>
                <w:rFonts w:ascii="仿宋" w:hAnsi="仿宋" w:eastAsia="仿宋" w:cs="仿宋"/>
                <w:b/>
                <w:bCs/>
                <w:color w:val="auto"/>
                <w:kern w:val="0"/>
                <w:szCs w:val="24"/>
              </w:rPr>
            </w:pPr>
            <w:r>
              <w:rPr>
                <w:rFonts w:hint="eastAsia" w:ascii="仿宋" w:hAnsi="仿宋" w:eastAsia="仿宋" w:cs="仿宋"/>
                <w:b/>
                <w:bCs/>
                <w:color w:val="auto"/>
                <w:kern w:val="0"/>
                <w:szCs w:val="24"/>
              </w:rPr>
              <w:t>成交供应商数量（名）</w:t>
            </w:r>
          </w:p>
        </w:tc>
        <w:tc>
          <w:tcPr>
            <w:tcW w:w="671" w:type="pct"/>
            <w:tcBorders>
              <w:tl2br w:val="nil"/>
              <w:tr2bl w:val="nil"/>
            </w:tcBorders>
            <w:vAlign w:val="center"/>
          </w:tcPr>
          <w:p w14:paraId="6D816D24">
            <w:pPr>
              <w:keepNext w:val="0"/>
              <w:keepLines w:val="0"/>
              <w:pageBreakBefore w:val="0"/>
              <w:kinsoku/>
              <w:wordWrap/>
              <w:overflowPunct/>
              <w:topLinePunct w:val="0"/>
              <w:bidi w:val="0"/>
              <w:spacing w:line="440" w:lineRule="exact"/>
              <w:jc w:val="center"/>
              <w:textAlignment w:val="auto"/>
              <w:rPr>
                <w:rFonts w:ascii="仿宋" w:hAnsi="仿宋" w:eastAsia="仿宋" w:cs="仿宋"/>
                <w:b/>
                <w:bCs/>
                <w:color w:val="auto"/>
                <w:kern w:val="0"/>
                <w:szCs w:val="24"/>
              </w:rPr>
            </w:pPr>
            <w:r>
              <w:rPr>
                <w:rFonts w:hint="eastAsia" w:ascii="仿宋" w:hAnsi="仿宋" w:eastAsia="仿宋" w:cs="仿宋"/>
                <w:b/>
                <w:bCs/>
                <w:color w:val="auto"/>
                <w:kern w:val="0"/>
                <w:szCs w:val="24"/>
              </w:rPr>
              <w:t>备注</w:t>
            </w:r>
          </w:p>
        </w:tc>
      </w:tr>
      <w:tr w14:paraId="67C8B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92" w:type="pct"/>
            <w:tcBorders>
              <w:tl2br w:val="nil"/>
              <w:tr2bl w:val="nil"/>
            </w:tcBorders>
            <w:vAlign w:val="center"/>
          </w:tcPr>
          <w:p w14:paraId="34523615">
            <w:pPr>
              <w:keepNext w:val="0"/>
              <w:keepLines w:val="0"/>
              <w:pageBreakBefore w:val="0"/>
              <w:widowControl/>
              <w:kinsoku/>
              <w:wordWrap/>
              <w:overflowPunct/>
              <w:topLinePunct w:val="0"/>
              <w:bidi w:val="0"/>
              <w:spacing w:line="440" w:lineRule="exact"/>
              <w:jc w:val="center"/>
              <w:textAlignment w:val="auto"/>
              <w:rPr>
                <w:rFonts w:hint="default" w:ascii="仿宋" w:hAnsi="仿宋" w:eastAsia="仿宋" w:cs="仿宋"/>
                <w:color w:val="auto"/>
                <w:kern w:val="0"/>
                <w:szCs w:val="24"/>
                <w:lang w:val="en-US" w:eastAsia="zh-CN"/>
              </w:rPr>
            </w:pPr>
            <w:r>
              <w:rPr>
                <w:rFonts w:hint="eastAsia" w:ascii="仿宋" w:hAnsi="仿宋" w:eastAsia="仿宋" w:cs="仿宋"/>
                <w:color w:val="auto"/>
                <w:kern w:val="0"/>
                <w:sz w:val="24"/>
                <w:szCs w:val="32"/>
                <w:lang w:val="en-US" w:eastAsia="zh-CN"/>
              </w:rPr>
              <w:t>重庆医科大学袁家岗校区防雷整改</w:t>
            </w:r>
          </w:p>
        </w:tc>
        <w:tc>
          <w:tcPr>
            <w:tcW w:w="1032" w:type="pct"/>
            <w:tcBorders>
              <w:tl2br w:val="nil"/>
              <w:tr2bl w:val="nil"/>
            </w:tcBorders>
            <w:vAlign w:val="center"/>
          </w:tcPr>
          <w:p w14:paraId="4B7B376C">
            <w:pPr>
              <w:keepNext w:val="0"/>
              <w:keepLines w:val="0"/>
              <w:pageBreakBefore w:val="0"/>
              <w:kinsoku/>
              <w:wordWrap/>
              <w:overflowPunct/>
              <w:topLinePunct w:val="0"/>
              <w:bidi w:val="0"/>
              <w:spacing w:line="440" w:lineRule="exact"/>
              <w:jc w:val="center"/>
              <w:textAlignment w:val="auto"/>
              <w:rPr>
                <w:rFonts w:hint="default" w:ascii="仿宋" w:hAnsi="仿宋" w:eastAsia="仿宋" w:cs="仿宋"/>
                <w:color w:val="auto"/>
                <w:szCs w:val="21"/>
                <w:lang w:val="en-US"/>
              </w:rPr>
            </w:pPr>
            <w:r>
              <w:rPr>
                <w:rFonts w:hint="eastAsia" w:ascii="仿宋" w:hAnsi="仿宋" w:eastAsia="仿宋" w:cs="仿宋"/>
                <w:color w:val="auto"/>
                <w:kern w:val="0"/>
                <w:sz w:val="24"/>
                <w:szCs w:val="32"/>
                <w:lang w:val="en-US" w:eastAsia="zh-CN"/>
              </w:rPr>
              <w:t>76210</w:t>
            </w:r>
          </w:p>
        </w:tc>
        <w:tc>
          <w:tcPr>
            <w:tcW w:w="1303" w:type="pct"/>
            <w:tcBorders>
              <w:tl2br w:val="nil"/>
              <w:tr2bl w:val="nil"/>
            </w:tcBorders>
            <w:vAlign w:val="center"/>
          </w:tcPr>
          <w:p w14:paraId="2F68D4B3">
            <w:pPr>
              <w:keepNext w:val="0"/>
              <w:keepLines w:val="0"/>
              <w:pageBreakBefore w:val="0"/>
              <w:kinsoku/>
              <w:wordWrap/>
              <w:overflowPunct/>
              <w:topLinePunct w:val="0"/>
              <w:bidi w:val="0"/>
              <w:spacing w:line="44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1</w:t>
            </w:r>
          </w:p>
        </w:tc>
        <w:tc>
          <w:tcPr>
            <w:tcW w:w="671" w:type="pct"/>
            <w:tcBorders>
              <w:tl2br w:val="nil"/>
              <w:tr2bl w:val="nil"/>
            </w:tcBorders>
            <w:vAlign w:val="center"/>
          </w:tcPr>
          <w:p w14:paraId="2925155A">
            <w:pPr>
              <w:keepNext w:val="0"/>
              <w:keepLines w:val="0"/>
              <w:pageBreakBefore w:val="0"/>
              <w:kinsoku/>
              <w:wordWrap/>
              <w:overflowPunct/>
              <w:topLinePunct w:val="0"/>
              <w:bidi w:val="0"/>
              <w:spacing w:line="440" w:lineRule="exact"/>
              <w:jc w:val="left"/>
              <w:textAlignment w:val="auto"/>
              <w:rPr>
                <w:rFonts w:ascii="仿宋" w:hAnsi="仿宋" w:eastAsia="仿宋" w:cs="仿宋"/>
                <w:b/>
                <w:color w:val="auto"/>
                <w:szCs w:val="21"/>
              </w:rPr>
            </w:pPr>
          </w:p>
        </w:tc>
      </w:tr>
    </w:tbl>
    <w:p w14:paraId="13F10DB4">
      <w:pPr>
        <w:pStyle w:val="10"/>
        <w:keepNext w:val="0"/>
        <w:keepLines w:val="0"/>
        <w:pageBreakBefore w:val="0"/>
        <w:numPr>
          <w:ilvl w:val="0"/>
          <w:numId w:val="1"/>
        </w:numPr>
        <w:kinsoku/>
        <w:wordWrap/>
        <w:overflowPunct/>
        <w:topLinePunct w:val="0"/>
        <w:bidi w:val="0"/>
        <w:spacing w:line="440" w:lineRule="exact"/>
        <w:textAlignment w:val="auto"/>
        <w:outlineLvl w:val="1"/>
        <w:rPr>
          <w:rFonts w:hint="eastAsia"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具体</w:t>
      </w:r>
      <w:r>
        <w:rPr>
          <w:rFonts w:hint="eastAsia" w:hAnsi="宋体" w:cstheme="minorBidi"/>
          <w:color w:val="000000"/>
          <w:kern w:val="2"/>
          <w:sz w:val="24"/>
          <w:szCs w:val="24"/>
          <w:lang w:val="en-US" w:eastAsia="zh-CN" w:bidi="ar-SA"/>
        </w:rPr>
        <w:t>服务</w:t>
      </w:r>
      <w:r>
        <w:rPr>
          <w:rFonts w:hint="eastAsia" w:ascii="宋体" w:hAnsi="宋体" w:eastAsiaTheme="minorEastAsia" w:cstheme="minorBidi"/>
          <w:color w:val="000000"/>
          <w:kern w:val="2"/>
          <w:sz w:val="24"/>
          <w:szCs w:val="24"/>
          <w:lang w:val="en-US" w:eastAsia="zh-CN" w:bidi="ar-SA"/>
        </w:rPr>
        <w:t>要求</w:t>
      </w:r>
    </w:p>
    <w:p w14:paraId="7642D855">
      <w:pPr>
        <w:pStyle w:val="10"/>
        <w:keepNext w:val="0"/>
        <w:keepLines w:val="0"/>
        <w:pageBreakBefore w:val="0"/>
        <w:numPr>
          <w:ilvl w:val="0"/>
          <w:numId w:val="0"/>
        </w:numPr>
        <w:kinsoku/>
        <w:wordWrap/>
        <w:overflowPunct/>
        <w:topLinePunct w:val="0"/>
        <w:bidi w:val="0"/>
        <w:spacing w:line="440" w:lineRule="exact"/>
        <w:ind w:firstLine="480" w:firstLineChars="200"/>
        <w:textAlignment w:val="auto"/>
        <w:outlineLvl w:val="1"/>
        <w:rPr>
          <w:rFonts w:hint="eastAsia"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详见附件《</w:t>
      </w:r>
      <w:r>
        <w:rPr>
          <w:rFonts w:hint="eastAsia" w:hAnsi="宋体" w:cstheme="minorBidi"/>
          <w:color w:val="000000"/>
          <w:kern w:val="2"/>
          <w:sz w:val="24"/>
          <w:szCs w:val="24"/>
          <w:lang w:val="en-US" w:eastAsia="zh-CN" w:bidi="ar-SA"/>
        </w:rPr>
        <w:t>防雷整改意见书</w:t>
      </w:r>
      <w:r>
        <w:rPr>
          <w:rFonts w:hint="eastAsia" w:ascii="宋体" w:hAnsi="宋体" w:eastAsiaTheme="minorEastAsia" w:cstheme="minorBidi"/>
          <w:color w:val="000000"/>
          <w:kern w:val="2"/>
          <w:sz w:val="24"/>
          <w:szCs w:val="24"/>
          <w:lang w:val="en-US" w:eastAsia="zh-CN" w:bidi="ar-SA"/>
        </w:rPr>
        <w:t>》。附件中所涉及的</w:t>
      </w:r>
      <w:r>
        <w:rPr>
          <w:rFonts w:hint="eastAsia" w:hAnsi="宋体" w:cstheme="minorBidi"/>
          <w:color w:val="000000"/>
          <w:kern w:val="2"/>
          <w:sz w:val="24"/>
          <w:szCs w:val="24"/>
          <w:lang w:val="en-US" w:eastAsia="zh-CN" w:bidi="ar-SA"/>
        </w:rPr>
        <w:t>需整改情况为本项目服务</w:t>
      </w:r>
      <w:r>
        <w:rPr>
          <w:rFonts w:hint="eastAsia" w:ascii="宋体" w:hAnsi="宋体" w:eastAsiaTheme="minorEastAsia" w:cstheme="minorBidi"/>
          <w:color w:val="000000"/>
          <w:kern w:val="2"/>
          <w:sz w:val="24"/>
          <w:szCs w:val="24"/>
          <w:lang w:val="en-US" w:eastAsia="zh-CN" w:bidi="ar-SA"/>
        </w:rPr>
        <w:t>内容</w:t>
      </w:r>
      <w:r>
        <w:rPr>
          <w:rFonts w:hint="eastAsia" w:hAnsi="宋体" w:cstheme="minorBidi"/>
          <w:color w:val="000000"/>
          <w:kern w:val="2"/>
          <w:sz w:val="24"/>
          <w:szCs w:val="24"/>
          <w:lang w:val="en-US" w:eastAsia="zh-CN" w:bidi="ar-SA"/>
        </w:rPr>
        <w:t>，请供应商</w:t>
      </w:r>
      <w:r>
        <w:rPr>
          <w:rFonts w:hint="eastAsia" w:ascii="宋体" w:hAnsi="宋体" w:eastAsiaTheme="minorEastAsia" w:cstheme="minorBidi"/>
          <w:color w:val="000000"/>
          <w:kern w:val="2"/>
          <w:sz w:val="24"/>
          <w:szCs w:val="24"/>
          <w:lang w:val="en-US" w:eastAsia="zh-CN" w:bidi="ar-SA"/>
        </w:rPr>
        <w:t>须按照《</w:t>
      </w:r>
      <w:r>
        <w:rPr>
          <w:rFonts w:hint="eastAsia" w:hAnsi="宋体" w:cstheme="minorBidi"/>
          <w:color w:val="000000"/>
          <w:kern w:val="2"/>
          <w:sz w:val="24"/>
          <w:szCs w:val="24"/>
          <w:lang w:val="en-US" w:eastAsia="zh-CN" w:bidi="ar-SA"/>
        </w:rPr>
        <w:t>防雷整改意见书</w:t>
      </w:r>
      <w:r>
        <w:rPr>
          <w:rFonts w:hint="eastAsia" w:ascii="宋体" w:hAnsi="宋体" w:eastAsiaTheme="minorEastAsia" w:cstheme="minorBidi"/>
          <w:color w:val="000000"/>
          <w:kern w:val="2"/>
          <w:sz w:val="24"/>
          <w:szCs w:val="24"/>
          <w:lang w:val="en-US" w:eastAsia="zh-CN" w:bidi="ar-SA"/>
        </w:rPr>
        <w:t>》及防雷相关规范进行整改，自行测算并报出总价包干价</w:t>
      </w:r>
      <w:r>
        <w:rPr>
          <w:rFonts w:hint="eastAsia" w:hAnsi="宋体" w:cstheme="minorBidi"/>
          <w:color w:val="000000"/>
          <w:kern w:val="2"/>
          <w:sz w:val="24"/>
          <w:szCs w:val="24"/>
          <w:lang w:val="en-US" w:eastAsia="zh-CN" w:bidi="ar-SA"/>
        </w:rPr>
        <w:t>，</w:t>
      </w:r>
      <w:r>
        <w:rPr>
          <w:rFonts w:hint="eastAsia" w:ascii="宋体" w:hAnsi="宋体" w:eastAsiaTheme="minorEastAsia" w:cstheme="minorBidi"/>
          <w:color w:val="000000"/>
          <w:kern w:val="2"/>
          <w:sz w:val="24"/>
          <w:szCs w:val="24"/>
          <w:lang w:val="en-US" w:eastAsia="zh-CN" w:bidi="ar-SA"/>
        </w:rPr>
        <w:t>确保</w:t>
      </w:r>
      <w:r>
        <w:rPr>
          <w:rFonts w:hint="eastAsia" w:hAnsi="宋体" w:cstheme="minorBidi"/>
          <w:color w:val="000000"/>
          <w:kern w:val="2"/>
          <w:sz w:val="24"/>
          <w:szCs w:val="24"/>
          <w:lang w:val="en-US" w:eastAsia="zh-CN" w:bidi="ar-SA"/>
        </w:rPr>
        <w:t>采购人</w:t>
      </w:r>
      <w:r>
        <w:rPr>
          <w:rFonts w:hint="eastAsia" w:ascii="宋体" w:hAnsi="宋体" w:eastAsiaTheme="minorEastAsia" w:cstheme="minorBidi"/>
          <w:color w:val="000000"/>
          <w:kern w:val="2"/>
          <w:sz w:val="24"/>
          <w:szCs w:val="24"/>
          <w:lang w:val="en-US" w:eastAsia="zh-CN" w:bidi="ar-SA"/>
        </w:rPr>
        <w:t>最终拿到</w:t>
      </w:r>
      <w:r>
        <w:rPr>
          <w:rFonts w:hint="eastAsia" w:hAnsi="宋体" w:cstheme="minorBidi"/>
          <w:color w:val="000000"/>
          <w:kern w:val="2"/>
          <w:sz w:val="24"/>
          <w:szCs w:val="24"/>
          <w:lang w:val="en-US" w:eastAsia="zh-CN" w:bidi="ar-SA"/>
        </w:rPr>
        <w:t>防雷整改</w:t>
      </w:r>
      <w:r>
        <w:rPr>
          <w:rFonts w:hint="eastAsia" w:ascii="宋体" w:hAnsi="宋体" w:eastAsiaTheme="minorEastAsia" w:cstheme="minorBidi"/>
          <w:color w:val="000000"/>
          <w:kern w:val="2"/>
          <w:sz w:val="24"/>
          <w:szCs w:val="24"/>
          <w:lang w:val="en-US" w:eastAsia="zh-CN" w:bidi="ar-SA"/>
        </w:rPr>
        <w:t>合格</w:t>
      </w:r>
      <w:r>
        <w:rPr>
          <w:rFonts w:hint="eastAsia" w:hAnsi="宋体" w:cstheme="minorBidi"/>
          <w:color w:val="000000"/>
          <w:kern w:val="2"/>
          <w:sz w:val="24"/>
          <w:szCs w:val="24"/>
          <w:lang w:val="en-US" w:eastAsia="zh-CN" w:bidi="ar-SA"/>
        </w:rPr>
        <w:t>的</w:t>
      </w:r>
      <w:r>
        <w:rPr>
          <w:rFonts w:hint="eastAsia" w:ascii="宋体" w:hAnsi="宋体" w:eastAsiaTheme="minorEastAsia" w:cstheme="minorBidi"/>
          <w:color w:val="000000"/>
          <w:kern w:val="2"/>
          <w:sz w:val="24"/>
          <w:szCs w:val="24"/>
          <w:lang w:val="en-US" w:eastAsia="zh-CN" w:bidi="ar-SA"/>
        </w:rPr>
        <w:t>报告。</w:t>
      </w:r>
    </w:p>
    <w:p w14:paraId="759AB9CE">
      <w:pPr>
        <w:pStyle w:val="10"/>
        <w:keepNext w:val="0"/>
        <w:keepLines w:val="0"/>
        <w:pageBreakBefore w:val="0"/>
        <w:numPr>
          <w:ilvl w:val="0"/>
          <w:numId w:val="0"/>
        </w:numPr>
        <w:kinsoku/>
        <w:wordWrap/>
        <w:overflowPunct/>
        <w:topLinePunct w:val="0"/>
        <w:bidi w:val="0"/>
        <w:spacing w:line="440" w:lineRule="exact"/>
        <w:ind w:firstLine="480" w:firstLineChars="200"/>
        <w:textAlignment w:val="auto"/>
        <w:outlineLvl w:val="1"/>
        <w:rPr>
          <w:rFonts w:hint="eastAsia"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交付服务时，严格按照《建筑物雷电防护装置检测技术规范》（GB/T 21431—2023）进行验收，若不能达到要求，则须进行整改。整改后项目必须满足防雷检测要求并委托原检测单位或第三方检测单位出具合格的检测报告，如不满足，供应商必须负责继续整改，并承担后续检测费用，直至检测合格</w:t>
      </w:r>
      <w:r>
        <w:rPr>
          <w:rFonts w:hint="eastAsia" w:hAnsi="宋体" w:cstheme="minorBidi"/>
          <w:color w:val="000000"/>
          <w:kern w:val="2"/>
          <w:sz w:val="24"/>
          <w:szCs w:val="24"/>
          <w:lang w:val="en-US" w:eastAsia="zh-CN" w:bidi="ar-SA"/>
        </w:rPr>
        <w:t>。</w:t>
      </w:r>
    </w:p>
    <w:p w14:paraId="4E61D74F">
      <w:pPr>
        <w:keepNext w:val="0"/>
        <w:keepLines w:val="0"/>
        <w:pageBreakBefore w:val="0"/>
        <w:kinsoku/>
        <w:wordWrap/>
        <w:overflowPunct/>
        <w:topLinePunct w:val="0"/>
        <w:autoSpaceDE/>
        <w:autoSpaceDN/>
        <w:bidi w:val="0"/>
        <w:adjustRightInd w:val="0"/>
        <w:snapToGrid w:val="0"/>
        <w:spacing w:line="440" w:lineRule="exact"/>
        <w:ind w:firstLine="482" w:firstLineChars="200"/>
        <w:jc w:val="left"/>
        <w:textAlignment w:val="auto"/>
        <w:rPr>
          <w:rFonts w:hint="eastAsia" w:hAnsi="宋体"/>
          <w:b/>
          <w:bCs/>
          <w:color w:val="000000"/>
          <w:sz w:val="24"/>
          <w:szCs w:val="24"/>
          <w:lang w:val="en-US" w:eastAsia="zh-CN"/>
        </w:rPr>
      </w:pPr>
      <w:r>
        <w:rPr>
          <w:rFonts w:hint="eastAsia" w:hAnsi="宋体"/>
          <w:b/>
          <w:bCs/>
          <w:color w:val="000000"/>
          <w:sz w:val="24"/>
          <w:szCs w:val="24"/>
          <w:lang w:val="en-US" w:eastAsia="zh-CN"/>
        </w:rPr>
        <w:t>注：</w:t>
      </w:r>
    </w:p>
    <w:p w14:paraId="3344DC3F">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hAnsi="宋体"/>
          <w:b w:val="0"/>
          <w:bCs w:val="0"/>
          <w:color w:val="auto"/>
          <w:sz w:val="24"/>
          <w:szCs w:val="24"/>
          <w:highlight w:val="none"/>
        </w:rPr>
      </w:pPr>
      <w:r>
        <w:rPr>
          <w:rFonts w:hint="eastAsia" w:hAnsi="宋体"/>
          <w:b w:val="0"/>
          <w:bCs w:val="0"/>
          <w:color w:val="auto"/>
          <w:sz w:val="24"/>
          <w:szCs w:val="24"/>
          <w:highlight w:val="none"/>
          <w:lang w:val="en-US" w:eastAsia="zh-CN"/>
        </w:rPr>
        <w:t>1.中标结果公示后，采购人有权对中标人的资质要求和需求、商务响应情况进行核查。</w:t>
      </w:r>
      <w:r>
        <w:rPr>
          <w:rFonts w:hint="eastAsia" w:hAnsi="宋体"/>
          <w:b/>
          <w:bCs/>
          <w:color w:val="auto"/>
          <w:sz w:val="24"/>
          <w:szCs w:val="24"/>
          <w:highlight w:val="none"/>
          <w:lang w:val="en-US" w:eastAsia="zh-CN"/>
        </w:rPr>
        <w:t>中标结果公示结束后3个工作日内，须向需求部门提供有效的营业执照复印件并加盖供应商公章和有效的资质证书复印件并加盖供应商公章。</w:t>
      </w:r>
    </w:p>
    <w:p w14:paraId="16801F26">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hAnsi="宋体" w:eastAsia="宋体" w:cs="宋体"/>
          <w:b/>
          <w:snapToGrid w:val="0"/>
          <w:kern w:val="0"/>
          <w:sz w:val="28"/>
          <w:szCs w:val="28"/>
        </w:rPr>
      </w:pPr>
      <w:r>
        <w:rPr>
          <w:rFonts w:hint="eastAsia" w:hAnsi="宋体"/>
          <w:b w:val="0"/>
          <w:bCs w:val="0"/>
          <w:color w:val="auto"/>
          <w:sz w:val="24"/>
          <w:szCs w:val="24"/>
          <w:highlight w:val="none"/>
          <w:lang w:val="en-US" w:eastAsia="zh-CN"/>
        </w:rPr>
        <w:t>2.</w:t>
      </w:r>
      <w:r>
        <w:rPr>
          <w:rFonts w:hint="eastAsia" w:hAnsi="宋体"/>
          <w:b w:val="0"/>
          <w:bCs w:val="0"/>
          <w:color w:val="auto"/>
          <w:sz w:val="24"/>
          <w:szCs w:val="24"/>
          <w:highlight w:val="none"/>
        </w:rPr>
        <w:t>未能在规</w:t>
      </w:r>
      <w:r>
        <w:rPr>
          <w:rFonts w:hint="eastAsia" w:hAnsi="宋体"/>
          <w:bCs/>
          <w:color w:val="auto"/>
          <w:sz w:val="24"/>
          <w:szCs w:val="24"/>
          <w:highlight w:val="none"/>
        </w:rPr>
        <w:t>定时间内提供相关的资料或提供的资料不能证明满足本询价文件</w:t>
      </w:r>
      <w:r>
        <w:rPr>
          <w:rFonts w:hint="eastAsia" w:hAnsi="宋体"/>
          <w:bCs/>
          <w:color w:val="auto"/>
          <w:sz w:val="24"/>
          <w:szCs w:val="24"/>
          <w:highlight w:val="none"/>
          <w:lang w:eastAsia="zh-CN"/>
        </w:rPr>
        <w:t>的</w:t>
      </w:r>
      <w:r>
        <w:rPr>
          <w:rFonts w:hint="eastAsia" w:hAnsi="宋体"/>
          <w:bCs/>
          <w:color w:val="auto"/>
          <w:sz w:val="24"/>
          <w:szCs w:val="24"/>
          <w:highlight w:val="none"/>
        </w:rPr>
        <w:t>要求，将视其</w:t>
      </w:r>
      <w:r>
        <w:rPr>
          <w:rFonts w:hint="eastAsia" w:hAnsi="宋体"/>
          <w:bCs/>
          <w:color w:val="auto"/>
          <w:sz w:val="24"/>
          <w:szCs w:val="24"/>
          <w:highlight w:val="none"/>
          <w:lang w:eastAsia="zh-CN"/>
        </w:rPr>
        <w:t>自动放弃中标资格或</w:t>
      </w:r>
      <w:r>
        <w:rPr>
          <w:rFonts w:hint="eastAsia" w:hAnsi="宋体"/>
          <w:bCs/>
          <w:color w:val="auto"/>
          <w:sz w:val="24"/>
          <w:szCs w:val="24"/>
          <w:highlight w:val="none"/>
        </w:rPr>
        <w:t>虚假应标，采购人有权取消其中标资格或不予退还其缴纳的全部保证金，不支付任何款项，禁止其再次参与本项目相关内容投标。情节严重者，直接列入我校信惩戒对象名单。</w:t>
      </w:r>
      <w:r>
        <w:rPr>
          <w:rFonts w:hint="eastAsia" w:hAnsi="宋体" w:eastAsia="宋体" w:cs="宋体"/>
          <w:b/>
          <w:snapToGrid w:val="0"/>
          <w:kern w:val="0"/>
          <w:sz w:val="28"/>
          <w:szCs w:val="28"/>
        </w:rPr>
        <w:br w:type="textWrapping"/>
      </w:r>
      <w:r>
        <w:rPr>
          <w:rFonts w:hint="eastAsia" w:hAnsi="宋体" w:eastAsia="宋体" w:cs="宋体"/>
          <w:b/>
          <w:snapToGrid w:val="0"/>
          <w:kern w:val="0"/>
          <w:sz w:val="28"/>
          <w:szCs w:val="28"/>
        </w:rPr>
        <w:t>三、资格条件</w:t>
      </w:r>
    </w:p>
    <w:p w14:paraId="04871783">
      <w:pPr>
        <w:pStyle w:val="5"/>
        <w:keepNext w:val="0"/>
        <w:keepLines w:val="0"/>
        <w:pageBreakBefore w:val="0"/>
        <w:kinsoku/>
        <w:wordWrap/>
        <w:overflowPunct/>
        <w:topLinePunct w:val="0"/>
        <w:bidi w:val="0"/>
        <w:spacing w:line="440" w:lineRule="exact"/>
        <w:ind w:firstLine="0"/>
        <w:textAlignment w:val="auto"/>
        <w:rPr>
          <w:rFonts w:ascii="方正黑体_GBK" w:hAnsi="方正黑体_GBK" w:eastAsia="方正黑体_GBK" w:cs="方正黑体_GBK"/>
          <w:color w:val="000000"/>
          <w:szCs w:val="24"/>
        </w:rPr>
      </w:pPr>
      <w:r>
        <w:rPr>
          <w:rFonts w:hint="eastAsia" w:ascii="方正黑体_GBK" w:hAnsi="方正黑体_GBK" w:eastAsia="方正黑体_GBK" w:cs="方正黑体_GBK"/>
          <w:color w:val="000000"/>
          <w:szCs w:val="24"/>
        </w:rPr>
        <w:t>（一）一般资格条件</w:t>
      </w:r>
    </w:p>
    <w:p w14:paraId="639F0478">
      <w:pPr>
        <w:keepNext w:val="0"/>
        <w:keepLines w:val="0"/>
        <w:pageBreakBefore w:val="0"/>
        <w:kinsoku/>
        <w:wordWrap/>
        <w:overflowPunct/>
        <w:topLinePunct w:val="0"/>
        <w:bidi w:val="0"/>
        <w:spacing w:line="440" w:lineRule="exact"/>
        <w:ind w:firstLine="480" w:firstLineChars="200"/>
        <w:textAlignment w:val="auto"/>
        <w:rPr>
          <w:rFonts w:hAnsi="宋体"/>
          <w:bCs/>
          <w:color w:val="000000"/>
          <w:sz w:val="24"/>
          <w:szCs w:val="24"/>
        </w:rPr>
      </w:pPr>
      <w:r>
        <w:rPr>
          <w:rFonts w:hint="eastAsia" w:hAnsi="宋体"/>
          <w:bCs/>
          <w:color w:val="000000"/>
          <w:sz w:val="24"/>
          <w:szCs w:val="24"/>
          <w:lang w:eastAsia="zh-CN"/>
        </w:rPr>
        <w:t>1.</w:t>
      </w:r>
      <w:r>
        <w:rPr>
          <w:rFonts w:hint="eastAsia" w:hAnsi="宋体"/>
          <w:bCs/>
          <w:color w:val="000000"/>
          <w:sz w:val="24"/>
          <w:szCs w:val="24"/>
        </w:rPr>
        <w:t>具有独立承担民事责任的能力；</w:t>
      </w:r>
    </w:p>
    <w:p w14:paraId="2CACF27A">
      <w:pPr>
        <w:keepNext w:val="0"/>
        <w:keepLines w:val="0"/>
        <w:pageBreakBefore w:val="0"/>
        <w:kinsoku/>
        <w:wordWrap/>
        <w:overflowPunct/>
        <w:topLinePunct w:val="0"/>
        <w:bidi w:val="0"/>
        <w:spacing w:line="440" w:lineRule="exact"/>
        <w:ind w:firstLine="480" w:firstLineChars="200"/>
        <w:textAlignment w:val="auto"/>
        <w:rPr>
          <w:rFonts w:hAnsi="宋体"/>
          <w:bCs/>
          <w:color w:val="000000"/>
          <w:sz w:val="24"/>
          <w:szCs w:val="24"/>
        </w:rPr>
      </w:pPr>
      <w:r>
        <w:rPr>
          <w:rFonts w:hint="eastAsia" w:hAnsi="宋体"/>
          <w:bCs/>
          <w:color w:val="000000"/>
          <w:sz w:val="24"/>
          <w:szCs w:val="24"/>
          <w:lang w:eastAsia="zh-CN"/>
        </w:rPr>
        <w:t>2.</w:t>
      </w:r>
      <w:r>
        <w:rPr>
          <w:rFonts w:hint="eastAsia" w:hAnsi="宋体"/>
          <w:bCs/>
          <w:color w:val="000000"/>
          <w:sz w:val="24"/>
          <w:szCs w:val="24"/>
        </w:rPr>
        <w:t>具有良好的商业信誉和健全的财务会计制度；</w:t>
      </w:r>
    </w:p>
    <w:p w14:paraId="3D80629D">
      <w:pPr>
        <w:keepNext w:val="0"/>
        <w:keepLines w:val="0"/>
        <w:pageBreakBefore w:val="0"/>
        <w:kinsoku/>
        <w:wordWrap/>
        <w:overflowPunct/>
        <w:topLinePunct w:val="0"/>
        <w:bidi w:val="0"/>
        <w:spacing w:line="440" w:lineRule="exact"/>
        <w:ind w:firstLine="480" w:firstLineChars="200"/>
        <w:textAlignment w:val="auto"/>
        <w:rPr>
          <w:rFonts w:hAnsi="宋体"/>
          <w:bCs/>
          <w:color w:val="000000"/>
          <w:sz w:val="24"/>
          <w:szCs w:val="24"/>
        </w:rPr>
      </w:pPr>
      <w:r>
        <w:rPr>
          <w:rFonts w:hint="eastAsia" w:hAnsi="宋体"/>
          <w:bCs/>
          <w:color w:val="000000"/>
          <w:sz w:val="24"/>
          <w:szCs w:val="24"/>
          <w:lang w:eastAsia="zh-CN"/>
        </w:rPr>
        <w:t>3.</w:t>
      </w:r>
      <w:r>
        <w:rPr>
          <w:rFonts w:hint="eastAsia" w:hAnsi="宋体"/>
          <w:bCs/>
          <w:color w:val="000000"/>
          <w:sz w:val="24"/>
          <w:szCs w:val="24"/>
        </w:rPr>
        <w:t>具有履行合同所必需的设备和专业技术能力；</w:t>
      </w:r>
    </w:p>
    <w:p w14:paraId="5B59B2BD">
      <w:pPr>
        <w:keepNext w:val="0"/>
        <w:keepLines w:val="0"/>
        <w:pageBreakBefore w:val="0"/>
        <w:kinsoku/>
        <w:wordWrap/>
        <w:overflowPunct/>
        <w:topLinePunct w:val="0"/>
        <w:bidi w:val="0"/>
        <w:spacing w:line="440" w:lineRule="exact"/>
        <w:ind w:firstLine="480" w:firstLineChars="200"/>
        <w:textAlignment w:val="auto"/>
        <w:rPr>
          <w:rFonts w:hAnsi="宋体"/>
          <w:bCs/>
          <w:color w:val="000000"/>
          <w:sz w:val="24"/>
          <w:szCs w:val="24"/>
        </w:rPr>
      </w:pPr>
      <w:r>
        <w:rPr>
          <w:rFonts w:hint="eastAsia" w:hAnsi="宋体"/>
          <w:bCs/>
          <w:color w:val="000000"/>
          <w:sz w:val="24"/>
          <w:szCs w:val="24"/>
          <w:lang w:eastAsia="zh-CN"/>
        </w:rPr>
        <w:t>4.</w:t>
      </w:r>
      <w:r>
        <w:rPr>
          <w:rFonts w:hint="eastAsia" w:hAnsi="宋体"/>
          <w:bCs/>
          <w:color w:val="000000"/>
          <w:sz w:val="24"/>
          <w:szCs w:val="24"/>
        </w:rPr>
        <w:t>有依法缴纳税收和社会保障资金的良好记录；</w:t>
      </w:r>
    </w:p>
    <w:p w14:paraId="3C974560">
      <w:pPr>
        <w:keepNext w:val="0"/>
        <w:keepLines w:val="0"/>
        <w:pageBreakBefore w:val="0"/>
        <w:kinsoku/>
        <w:wordWrap/>
        <w:overflowPunct/>
        <w:topLinePunct w:val="0"/>
        <w:bidi w:val="0"/>
        <w:spacing w:line="440" w:lineRule="exact"/>
        <w:ind w:firstLine="480" w:firstLineChars="200"/>
        <w:textAlignment w:val="auto"/>
        <w:rPr>
          <w:rFonts w:hAnsi="宋体"/>
          <w:bCs/>
          <w:color w:val="000000"/>
          <w:sz w:val="24"/>
          <w:szCs w:val="24"/>
        </w:rPr>
      </w:pPr>
      <w:r>
        <w:rPr>
          <w:rFonts w:hint="eastAsia" w:hAnsi="宋体"/>
          <w:bCs/>
          <w:color w:val="000000"/>
          <w:sz w:val="24"/>
          <w:szCs w:val="24"/>
          <w:lang w:eastAsia="zh-CN"/>
        </w:rPr>
        <w:t>5.</w:t>
      </w:r>
      <w:r>
        <w:rPr>
          <w:rFonts w:hint="eastAsia" w:hAnsi="宋体"/>
          <w:bCs/>
          <w:color w:val="000000"/>
          <w:sz w:val="24"/>
          <w:szCs w:val="24"/>
        </w:rPr>
        <w:t>参加</w:t>
      </w:r>
      <w:r>
        <w:rPr>
          <w:rFonts w:hint="eastAsia" w:hAnsi="宋体"/>
          <w:bCs/>
          <w:color w:val="000000"/>
          <w:sz w:val="24"/>
          <w:szCs w:val="24"/>
          <w:lang w:eastAsia="zh-CN"/>
        </w:rPr>
        <w:t>本次网上询价</w:t>
      </w:r>
      <w:r>
        <w:rPr>
          <w:rFonts w:hint="eastAsia" w:hAnsi="宋体"/>
          <w:bCs/>
          <w:color w:val="000000"/>
          <w:sz w:val="24"/>
          <w:szCs w:val="24"/>
        </w:rPr>
        <w:t>采购活动前三年内，在经营活动中没有重大违法记录；</w:t>
      </w:r>
    </w:p>
    <w:p w14:paraId="44D26F54">
      <w:pPr>
        <w:keepNext w:val="0"/>
        <w:keepLines w:val="0"/>
        <w:pageBreakBefore w:val="0"/>
        <w:kinsoku/>
        <w:wordWrap/>
        <w:overflowPunct/>
        <w:topLinePunct w:val="0"/>
        <w:bidi w:val="0"/>
        <w:spacing w:line="440" w:lineRule="exact"/>
        <w:ind w:firstLine="480" w:firstLineChars="200"/>
        <w:textAlignment w:val="auto"/>
        <w:rPr>
          <w:rFonts w:hint="eastAsia" w:hAnsi="宋体"/>
          <w:bCs/>
          <w:color w:val="000000"/>
          <w:sz w:val="24"/>
          <w:szCs w:val="24"/>
        </w:rPr>
      </w:pPr>
      <w:r>
        <w:rPr>
          <w:rFonts w:hint="eastAsia" w:hAnsi="宋体"/>
          <w:bCs/>
          <w:color w:val="000000"/>
          <w:sz w:val="24"/>
          <w:szCs w:val="24"/>
          <w:lang w:eastAsia="zh-CN"/>
        </w:rPr>
        <w:t>6.</w:t>
      </w:r>
      <w:r>
        <w:rPr>
          <w:rFonts w:hint="eastAsia" w:hAnsi="宋体"/>
          <w:bCs/>
          <w:color w:val="000000"/>
          <w:sz w:val="24"/>
          <w:szCs w:val="24"/>
        </w:rPr>
        <w:t>法律、行政法规规定的其他条件。</w:t>
      </w:r>
    </w:p>
    <w:p w14:paraId="44BBF5D6">
      <w:pPr>
        <w:pStyle w:val="5"/>
        <w:keepNext w:val="0"/>
        <w:keepLines w:val="0"/>
        <w:pageBreakBefore w:val="0"/>
        <w:kinsoku/>
        <w:wordWrap/>
        <w:overflowPunct/>
        <w:topLinePunct w:val="0"/>
        <w:bidi w:val="0"/>
        <w:spacing w:line="440" w:lineRule="exact"/>
        <w:ind w:firstLine="0"/>
        <w:textAlignment w:val="auto"/>
        <w:rPr>
          <w:rFonts w:hint="eastAsia" w:ascii="方正黑体_GBK" w:hAnsi="方正黑体_GBK" w:eastAsia="方正黑体_GBK" w:cs="方正黑体_GBK"/>
          <w:color w:val="000000"/>
          <w:szCs w:val="24"/>
          <w:lang w:eastAsia="zh-CN"/>
        </w:rPr>
      </w:pPr>
      <w:r>
        <w:rPr>
          <w:rFonts w:hint="eastAsia" w:ascii="方正黑体_GBK" w:hAnsi="方正黑体_GBK" w:eastAsia="方正黑体_GBK" w:cs="方正黑体_GBK"/>
          <w:color w:val="000000"/>
          <w:szCs w:val="24"/>
          <w:lang w:eastAsia="zh-CN"/>
        </w:rPr>
        <w:t>（二）</w:t>
      </w:r>
      <w:r>
        <w:rPr>
          <w:rFonts w:hint="eastAsia" w:ascii="方正黑体_GBK" w:hAnsi="方正黑体_GBK" w:eastAsia="方正黑体_GBK" w:cs="方正黑体_GBK"/>
          <w:color w:val="000000"/>
          <w:szCs w:val="24"/>
        </w:rPr>
        <w:t>特定资格</w:t>
      </w:r>
      <w:r>
        <w:rPr>
          <w:rFonts w:hint="eastAsia" w:ascii="方正黑体_GBK" w:hAnsi="方正黑体_GBK" w:eastAsia="方正黑体_GBK" w:cs="方正黑体_GBK"/>
          <w:color w:val="000000"/>
          <w:szCs w:val="24"/>
          <w:lang w:eastAsia="zh-CN"/>
        </w:rPr>
        <w:t>条件</w:t>
      </w:r>
    </w:p>
    <w:p w14:paraId="6297B217">
      <w:pPr>
        <w:keepNext w:val="0"/>
        <w:keepLines w:val="0"/>
        <w:pageBreakBefore w:val="0"/>
        <w:kinsoku/>
        <w:wordWrap/>
        <w:overflowPunct/>
        <w:topLinePunct w:val="0"/>
        <w:bidi w:val="0"/>
        <w:spacing w:line="440" w:lineRule="exact"/>
        <w:ind w:firstLine="480" w:firstLineChars="200"/>
        <w:textAlignment w:val="auto"/>
        <w:rPr>
          <w:rFonts w:hint="eastAsia" w:hAnsi="宋体"/>
          <w:bCs/>
          <w:color w:val="000000"/>
          <w:sz w:val="24"/>
          <w:szCs w:val="24"/>
          <w:lang w:val="en-US" w:eastAsia="zh-CN"/>
        </w:rPr>
      </w:pPr>
      <w:r>
        <w:rPr>
          <w:rFonts w:hint="eastAsia" w:hAnsi="宋体"/>
          <w:bCs/>
          <w:color w:val="000000"/>
          <w:sz w:val="24"/>
          <w:szCs w:val="24"/>
          <w:lang w:val="en-US" w:eastAsia="zh-CN"/>
        </w:rPr>
        <w:t>1.具备以下资质条件二选一</w:t>
      </w:r>
      <w:r>
        <w:rPr>
          <w:rFonts w:hint="eastAsia" w:hAnsi="宋体"/>
          <w:bCs/>
          <w:color w:val="000000"/>
          <w:sz w:val="24"/>
          <w:szCs w:val="24"/>
        </w:rPr>
        <w:t>（提供有效的</w:t>
      </w:r>
      <w:r>
        <w:rPr>
          <w:rFonts w:hint="eastAsia" w:hAnsi="宋体"/>
          <w:bCs/>
          <w:color w:val="000000"/>
          <w:sz w:val="24"/>
          <w:szCs w:val="24"/>
          <w:lang w:val="en-US" w:eastAsia="zh-CN"/>
        </w:rPr>
        <w:t>资质</w:t>
      </w:r>
      <w:r>
        <w:rPr>
          <w:rFonts w:hint="eastAsia" w:hAnsi="宋体"/>
          <w:bCs/>
          <w:color w:val="000000"/>
          <w:sz w:val="24"/>
          <w:szCs w:val="24"/>
        </w:rPr>
        <w:t>证书复印件并加盖供应商公章）</w:t>
      </w:r>
      <w:r>
        <w:rPr>
          <w:rFonts w:hint="eastAsia" w:hAnsi="宋体"/>
          <w:bCs/>
          <w:color w:val="000000"/>
          <w:sz w:val="24"/>
          <w:szCs w:val="24"/>
          <w:lang w:val="en-US" w:eastAsia="zh-CN"/>
        </w:rPr>
        <w:t>：</w:t>
      </w:r>
    </w:p>
    <w:p w14:paraId="2DCDB6ED">
      <w:pPr>
        <w:keepNext w:val="0"/>
        <w:keepLines w:val="0"/>
        <w:pageBreakBefore w:val="0"/>
        <w:kinsoku/>
        <w:wordWrap/>
        <w:overflowPunct/>
        <w:topLinePunct w:val="0"/>
        <w:bidi w:val="0"/>
        <w:spacing w:line="440" w:lineRule="exact"/>
        <w:ind w:firstLine="480" w:firstLineChars="200"/>
        <w:textAlignment w:val="auto"/>
        <w:rPr>
          <w:rFonts w:hint="eastAsia" w:hAnsi="宋体" w:eastAsiaTheme="minorEastAsia"/>
          <w:bCs/>
          <w:color w:val="000000"/>
          <w:sz w:val="24"/>
          <w:szCs w:val="24"/>
          <w:lang w:eastAsia="zh-CN"/>
        </w:rPr>
      </w:pPr>
      <w:r>
        <w:rPr>
          <w:rFonts w:hint="eastAsia" w:hAnsi="宋体"/>
          <w:bCs/>
          <w:color w:val="000000"/>
          <w:sz w:val="24"/>
          <w:szCs w:val="24"/>
          <w:lang w:val="en-US" w:eastAsia="zh-CN"/>
        </w:rPr>
        <w:t>（1）</w:t>
      </w:r>
      <w:r>
        <w:rPr>
          <w:rFonts w:hint="eastAsia" w:hAnsi="宋体"/>
          <w:bCs/>
          <w:color w:val="000000"/>
          <w:sz w:val="24"/>
          <w:szCs w:val="24"/>
        </w:rPr>
        <w:t>具备建设行政主管部门颁发的建筑工程施工总承包三级及以上资质</w:t>
      </w:r>
      <w:r>
        <w:rPr>
          <w:rFonts w:hint="eastAsia" w:hAnsi="宋体"/>
          <w:bCs/>
          <w:color w:val="000000"/>
          <w:sz w:val="24"/>
          <w:szCs w:val="24"/>
          <w:lang w:eastAsia="zh-CN"/>
        </w:rPr>
        <w:t>；</w:t>
      </w:r>
    </w:p>
    <w:p w14:paraId="2F80E702">
      <w:pPr>
        <w:keepNext w:val="0"/>
        <w:keepLines w:val="0"/>
        <w:pageBreakBefore w:val="0"/>
        <w:kinsoku/>
        <w:wordWrap/>
        <w:overflowPunct/>
        <w:topLinePunct w:val="0"/>
        <w:bidi w:val="0"/>
        <w:spacing w:line="440" w:lineRule="exact"/>
        <w:ind w:firstLine="480" w:firstLineChars="200"/>
        <w:textAlignment w:val="auto"/>
        <w:rPr>
          <w:rFonts w:hint="eastAsia" w:hAnsi="宋体"/>
          <w:bCs/>
          <w:color w:val="000000"/>
          <w:sz w:val="24"/>
          <w:szCs w:val="24"/>
          <w:lang w:val="en-US" w:eastAsia="zh-CN"/>
        </w:rPr>
      </w:pPr>
      <w:r>
        <w:rPr>
          <w:rFonts w:hint="eastAsia" w:hAnsi="宋体"/>
          <w:bCs/>
          <w:color w:val="000000"/>
          <w:sz w:val="24"/>
          <w:szCs w:val="24"/>
          <w:lang w:val="en-US" w:eastAsia="zh-CN"/>
        </w:rPr>
        <w:t>（2）特种工程（特种防雷）专业承包不分等级资质</w:t>
      </w:r>
      <w:r>
        <w:rPr>
          <w:rFonts w:hint="eastAsia" w:hAnsi="宋体"/>
          <w:bCs/>
          <w:color w:val="000000"/>
          <w:sz w:val="24"/>
          <w:szCs w:val="24"/>
        </w:rPr>
        <w:t>。</w:t>
      </w:r>
    </w:p>
    <w:p w14:paraId="03814D3A">
      <w:pPr>
        <w:pStyle w:val="10"/>
        <w:keepNext w:val="0"/>
        <w:keepLines w:val="0"/>
        <w:pageBreakBefore w:val="0"/>
        <w:kinsoku/>
        <w:wordWrap/>
        <w:overflowPunct/>
        <w:topLinePunct w:val="0"/>
        <w:bidi w:val="0"/>
        <w:spacing w:line="440" w:lineRule="exact"/>
        <w:textAlignment w:val="auto"/>
        <w:outlineLvl w:val="1"/>
        <w:rPr>
          <w:rFonts w:hAnsi="宋体" w:eastAsia="宋体" w:cs="宋体"/>
          <w:b/>
          <w:snapToGrid w:val="0"/>
          <w:kern w:val="0"/>
          <w:sz w:val="28"/>
          <w:szCs w:val="28"/>
        </w:rPr>
      </w:pPr>
      <w:r>
        <w:rPr>
          <w:rFonts w:hint="eastAsia" w:hAnsi="宋体" w:eastAsia="宋体" w:cs="宋体"/>
          <w:b/>
          <w:snapToGrid w:val="0"/>
          <w:kern w:val="0"/>
          <w:sz w:val="28"/>
          <w:szCs w:val="28"/>
          <w:lang w:eastAsia="zh-CN"/>
        </w:rPr>
        <w:t>四</w:t>
      </w:r>
      <w:r>
        <w:rPr>
          <w:rFonts w:hint="eastAsia" w:hAnsi="宋体" w:eastAsia="宋体" w:cs="宋体"/>
          <w:b/>
          <w:snapToGrid w:val="0"/>
          <w:kern w:val="0"/>
          <w:sz w:val="28"/>
          <w:szCs w:val="28"/>
        </w:rPr>
        <w:t>、报价要求</w:t>
      </w:r>
    </w:p>
    <w:p w14:paraId="6047F51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（一）本次报价须为人民币包干价，本</w:t>
      </w:r>
      <w:bookmarkStart w:id="50" w:name="_GoBack"/>
      <w:bookmarkEnd w:id="50"/>
      <w:r>
        <w:rPr>
          <w:rFonts w:hint="eastAsia" w:ascii="宋体" w:hAnsi="宋体" w:eastAsia="宋体" w:cs="宋体"/>
          <w:sz w:val="24"/>
          <w:szCs w:val="24"/>
          <w:lang w:eastAsia="zh-CN"/>
        </w:rPr>
        <w:t>项目报价时无需评审响应文件，报价时只需</w:t>
      </w:r>
      <w:r>
        <w:rPr>
          <w:rFonts w:hint="eastAsia" w:ascii="宋体" w:hAnsi="宋体" w:eastAsia="宋体" w:cs="宋体"/>
          <w:color w:val="auto"/>
          <w:sz w:val="24"/>
          <w:szCs w:val="24"/>
          <w:highlight w:val="none"/>
          <w:lang w:eastAsia="zh-CN"/>
        </w:rPr>
        <w:t>在系统报总报价。</w:t>
      </w:r>
    </w:p>
    <w:p w14:paraId="5AAEBD13">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报价包含</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本项目所需的整体施工</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rPr>
        <w:t>、材料</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rPr>
        <w:t>、机械</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rPr>
        <w:t>、人工</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rPr>
        <w:t>、税</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整改后的复检配合费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设备或货物购买（制造）费、辅材费、保险费、运输费（含装卸费）、人工费、机械费、搬运费、出渣弃渣费、安全措施费、安装调试费以及甲方未考虑到的其他各种费用。中</w:t>
      </w:r>
      <w:r>
        <w:rPr>
          <w:rFonts w:hint="eastAsia" w:ascii="宋体" w:hAnsi="宋体" w:eastAsia="宋体" w:cs="宋体"/>
          <w:sz w:val="24"/>
          <w:szCs w:val="24"/>
        </w:rPr>
        <w:t>标后采购人不追加任何费用，若成交供应商因价格问题拖延供货及安装，采购人有权没收其履约保证金，取消其中标资格，终止项目。请供应商在投标时充分考虑所有费用。因成交供应商自身原因造成漏报、少报皆由其自行承担责任，采购人不再补偿。</w:t>
      </w:r>
    </w:p>
    <w:p w14:paraId="0D95EA8C">
      <w:pPr>
        <w:pStyle w:val="10"/>
        <w:keepNext w:val="0"/>
        <w:keepLines w:val="0"/>
        <w:pageBreakBefore w:val="0"/>
        <w:kinsoku/>
        <w:wordWrap/>
        <w:overflowPunct/>
        <w:topLinePunct w:val="0"/>
        <w:bidi w:val="0"/>
        <w:spacing w:line="440" w:lineRule="exact"/>
        <w:textAlignment w:val="auto"/>
        <w:outlineLvl w:val="1"/>
        <w:rPr>
          <w:rFonts w:hint="eastAsia" w:hAnsi="宋体" w:eastAsia="宋体" w:cs="宋体"/>
          <w:b/>
          <w:snapToGrid w:val="0"/>
          <w:kern w:val="0"/>
          <w:sz w:val="28"/>
          <w:szCs w:val="28"/>
          <w:lang w:eastAsia="zh-CN"/>
        </w:rPr>
      </w:pPr>
      <w:r>
        <w:rPr>
          <w:rFonts w:hint="eastAsia" w:hAnsi="宋体" w:eastAsia="宋体" w:cs="宋体"/>
          <w:b/>
          <w:snapToGrid w:val="0"/>
          <w:kern w:val="0"/>
          <w:sz w:val="28"/>
          <w:szCs w:val="28"/>
          <w:lang w:eastAsia="zh-CN"/>
        </w:rPr>
        <w:t>五</w:t>
      </w:r>
      <w:r>
        <w:rPr>
          <w:rFonts w:hint="eastAsia" w:hAnsi="宋体" w:eastAsia="宋体" w:cs="宋体"/>
          <w:b/>
          <w:snapToGrid w:val="0"/>
          <w:kern w:val="0"/>
          <w:sz w:val="28"/>
          <w:szCs w:val="28"/>
        </w:rPr>
        <w:t>、供货期及供货地点</w:t>
      </w:r>
      <w:r>
        <w:rPr>
          <w:rFonts w:hint="eastAsia" w:hAnsi="宋体" w:eastAsia="宋体" w:cs="宋体"/>
          <w:b/>
          <w:snapToGrid w:val="0"/>
          <w:kern w:val="0"/>
          <w:sz w:val="28"/>
          <w:szCs w:val="28"/>
          <w:lang w:eastAsia="zh-CN"/>
        </w:rPr>
        <w:t>（服务期及服务地点）</w:t>
      </w:r>
    </w:p>
    <w:p w14:paraId="3A73FD7A">
      <w:pPr>
        <w:keepNext w:val="0"/>
        <w:keepLines w:val="0"/>
        <w:pageBreakBefore w:val="0"/>
        <w:kinsoku/>
        <w:wordWrap/>
        <w:overflowPunct/>
        <w:topLinePunct w:val="0"/>
        <w:bidi w:val="0"/>
        <w:spacing w:line="440" w:lineRule="exact"/>
        <w:ind w:left="239" w:leftChars="114" w:firstLine="480" w:firstLineChars="200"/>
        <w:textAlignment w:val="auto"/>
        <w:rPr>
          <w:rFonts w:hint="eastAsia" w:hAnsi="宋体"/>
          <w:bCs/>
          <w:sz w:val="24"/>
          <w:szCs w:val="24"/>
        </w:rPr>
      </w:pPr>
      <w:r>
        <w:rPr>
          <w:rFonts w:hint="eastAsia" w:hAnsi="宋体"/>
          <w:bCs/>
          <w:sz w:val="24"/>
          <w:szCs w:val="24"/>
        </w:rPr>
        <w:t>（一</w:t>
      </w:r>
      <w:r>
        <w:rPr>
          <w:rFonts w:hint="eastAsia" w:hAnsi="宋体"/>
          <w:bCs/>
          <w:color w:val="auto"/>
          <w:sz w:val="24"/>
          <w:szCs w:val="24"/>
        </w:rPr>
        <w:t>）</w:t>
      </w:r>
      <w:r>
        <w:rPr>
          <w:rFonts w:hint="eastAsia" w:hAnsi="宋体"/>
          <w:bCs/>
          <w:color w:val="auto"/>
          <w:sz w:val="24"/>
          <w:szCs w:val="24"/>
          <w:lang w:eastAsia="zh-CN"/>
        </w:rPr>
        <w:t>服务期</w:t>
      </w:r>
      <w:r>
        <w:rPr>
          <w:rFonts w:hint="eastAsia" w:hAnsi="宋体"/>
          <w:bCs/>
          <w:color w:val="auto"/>
          <w:sz w:val="24"/>
          <w:szCs w:val="24"/>
        </w:rPr>
        <w:t>：</w:t>
      </w:r>
    </w:p>
    <w:p w14:paraId="4081C34A">
      <w:pPr>
        <w:pStyle w:val="12"/>
        <w:keepNext w:val="0"/>
        <w:keepLines w:val="0"/>
        <w:pageBreakBefore w:val="0"/>
        <w:kinsoku/>
        <w:wordWrap/>
        <w:overflowPunct/>
        <w:topLinePunct w:val="0"/>
        <w:bidi w:val="0"/>
        <w:spacing w:line="440" w:lineRule="exact"/>
        <w:ind w:firstLine="720" w:firstLineChars="300"/>
        <w:textAlignment w:val="auto"/>
        <w:rPr>
          <w:rFonts w:hint="eastAsia" w:asciiTheme="minorEastAsia" w:hAnsiTheme="minorEastAsia" w:eastAsiaTheme="minorEastAsia" w:cstheme="minorEastAsia"/>
          <w:bCs/>
          <w:color w:val="auto"/>
          <w:sz w:val="24"/>
          <w:szCs w:val="24"/>
          <w:highlight w:val="none"/>
        </w:rPr>
      </w:pPr>
      <w:bookmarkStart w:id="0" w:name="OLE_LINK12"/>
      <w:r>
        <w:rPr>
          <w:rFonts w:hint="eastAsia" w:asciiTheme="minorEastAsia" w:hAnsiTheme="minorEastAsia" w:eastAsiaTheme="minorEastAsia" w:cstheme="minorEastAsia"/>
          <w:color w:val="auto"/>
          <w:sz w:val="24"/>
          <w:szCs w:val="24"/>
          <w:highlight w:val="none"/>
          <w:lang w:eastAsia="zh-CN"/>
        </w:rPr>
        <w:t>自合同签订之日</w:t>
      </w:r>
      <w:r>
        <w:rPr>
          <w:rFonts w:hint="eastAsia" w:asciiTheme="minorEastAsia" w:hAnsiTheme="minorEastAsia" w:cstheme="minorEastAsia"/>
          <w:color w:val="auto"/>
          <w:sz w:val="24"/>
          <w:szCs w:val="24"/>
          <w:highlight w:val="none"/>
          <w:lang w:val="en-US" w:eastAsia="zh-CN"/>
        </w:rPr>
        <w:t>（如无合同，则是中标结果公示结束</w:t>
      </w:r>
      <w:r>
        <w:rPr>
          <w:rFonts w:hint="eastAsia" w:asciiTheme="minorEastAsia" w:hAnsiTheme="minorEastAsia" w:eastAsiaTheme="minorEastAsia" w:cstheme="minorEastAsia"/>
          <w:color w:val="auto"/>
          <w:sz w:val="24"/>
          <w:szCs w:val="24"/>
          <w:highlight w:val="none"/>
          <w:lang w:eastAsia="zh-CN"/>
        </w:rPr>
        <w:t>起</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u w:val="single"/>
          <w:lang w:val="en-US" w:eastAsia="zh-CN"/>
        </w:rPr>
        <w:t>15个</w:t>
      </w:r>
      <w:r>
        <w:rPr>
          <w:rFonts w:hint="eastAsia" w:asciiTheme="minorEastAsia" w:hAnsiTheme="minorEastAsia" w:eastAsiaTheme="minorEastAsia" w:cstheme="minorEastAsia"/>
          <w:color w:val="auto"/>
          <w:sz w:val="24"/>
          <w:szCs w:val="24"/>
          <w:highlight w:val="none"/>
          <w:lang w:val="en-US" w:eastAsia="zh-CN"/>
        </w:rPr>
        <w:t>日历日内完成全部服务内容</w:t>
      </w:r>
      <w:bookmarkEnd w:id="0"/>
      <w:r>
        <w:rPr>
          <w:rFonts w:hint="eastAsia" w:asciiTheme="minorEastAsia" w:hAnsiTheme="minorEastAsia" w:eastAsiaTheme="minorEastAsia" w:cstheme="minorEastAsia"/>
          <w:color w:val="auto"/>
          <w:sz w:val="24"/>
          <w:szCs w:val="24"/>
          <w:highlight w:val="none"/>
        </w:rPr>
        <w:t>。</w:t>
      </w:r>
    </w:p>
    <w:p w14:paraId="4FB56F6F">
      <w:pPr>
        <w:keepNext w:val="0"/>
        <w:keepLines w:val="0"/>
        <w:pageBreakBefore w:val="0"/>
        <w:kinsoku/>
        <w:wordWrap/>
        <w:overflowPunct/>
        <w:topLinePunct w:val="0"/>
        <w:bidi w:val="0"/>
        <w:spacing w:line="440" w:lineRule="exact"/>
        <w:ind w:left="239" w:leftChars="114" w:firstLine="480" w:firstLineChars="200"/>
        <w:textAlignment w:val="auto"/>
        <w:rPr>
          <w:rFonts w:hint="eastAsia" w:hAnsi="宋体" w:eastAsiaTheme="minorEastAsia"/>
          <w:bCs/>
          <w:sz w:val="24"/>
          <w:szCs w:val="24"/>
          <w:highlight w:val="none"/>
          <w:lang w:eastAsia="zh-CN"/>
        </w:rPr>
      </w:pPr>
      <w:r>
        <w:rPr>
          <w:rFonts w:hint="eastAsia" w:hAnsi="宋体"/>
          <w:bCs/>
          <w:sz w:val="24"/>
          <w:szCs w:val="24"/>
        </w:rPr>
        <w:t>注：中标人应按本条规定的时间供货及完成安装调试。若未在规定时间内完成供货</w:t>
      </w:r>
      <w:r>
        <w:rPr>
          <w:rFonts w:hint="eastAsia" w:hAnsi="宋体"/>
          <w:bCs/>
          <w:sz w:val="24"/>
          <w:szCs w:val="24"/>
          <w:lang w:val="en-US" w:eastAsia="zh-CN"/>
        </w:rPr>
        <w:t>和相应服务</w:t>
      </w:r>
      <w:r>
        <w:rPr>
          <w:rFonts w:hint="eastAsia" w:hAnsi="宋体"/>
          <w:bCs/>
          <w:sz w:val="24"/>
          <w:szCs w:val="24"/>
        </w:rPr>
        <w:t>，将视为中标人违反询价</w:t>
      </w:r>
      <w:r>
        <w:rPr>
          <w:rFonts w:hint="eastAsia" w:hAnsi="宋体"/>
          <w:bCs/>
          <w:sz w:val="24"/>
          <w:szCs w:val="24"/>
          <w:lang w:eastAsia="zh-CN"/>
        </w:rPr>
        <w:t>项目要求</w:t>
      </w:r>
      <w:r>
        <w:rPr>
          <w:rFonts w:hint="eastAsia" w:hAnsi="宋体"/>
          <w:bCs/>
          <w:sz w:val="24"/>
          <w:szCs w:val="24"/>
        </w:rPr>
        <w:t>，采购人有权</w:t>
      </w:r>
      <w:r>
        <w:rPr>
          <w:rFonts w:hint="eastAsia" w:hAnsi="宋体"/>
          <w:bCs/>
          <w:sz w:val="24"/>
          <w:szCs w:val="24"/>
          <w:lang w:eastAsia="zh-CN"/>
        </w:rPr>
        <w:t>取消其中标资格，终</w:t>
      </w:r>
      <w:r>
        <w:rPr>
          <w:rFonts w:hint="eastAsia" w:hAnsi="宋体"/>
          <w:bCs/>
          <w:sz w:val="24"/>
          <w:szCs w:val="24"/>
        </w:rPr>
        <w:t>止合同，不支付任何款</w:t>
      </w:r>
      <w:r>
        <w:rPr>
          <w:rFonts w:hint="eastAsia" w:hAnsi="宋体"/>
          <w:bCs/>
          <w:sz w:val="24"/>
          <w:szCs w:val="24"/>
          <w:highlight w:val="none"/>
        </w:rPr>
        <w:t>项，并没</w:t>
      </w:r>
      <w:r>
        <w:rPr>
          <w:rFonts w:hint="eastAsia" w:hAnsi="宋体"/>
          <w:bCs/>
          <w:sz w:val="24"/>
          <w:szCs w:val="24"/>
          <w:highlight w:val="none"/>
          <w:lang w:eastAsia="zh-CN"/>
        </w:rPr>
        <w:t>收</w:t>
      </w:r>
      <w:r>
        <w:rPr>
          <w:rFonts w:hint="eastAsia" w:hAnsi="宋体"/>
          <w:bCs/>
          <w:sz w:val="24"/>
          <w:szCs w:val="24"/>
          <w:highlight w:val="none"/>
        </w:rPr>
        <w:t>履约保证金。</w:t>
      </w:r>
    </w:p>
    <w:p w14:paraId="204101BA">
      <w:pPr>
        <w:keepNext w:val="0"/>
        <w:keepLines w:val="0"/>
        <w:pageBreakBefore w:val="0"/>
        <w:kinsoku/>
        <w:wordWrap/>
        <w:overflowPunct/>
        <w:topLinePunct w:val="0"/>
        <w:bidi w:val="0"/>
        <w:spacing w:line="440" w:lineRule="exact"/>
        <w:ind w:firstLine="720" w:firstLineChars="300"/>
        <w:textAlignment w:val="auto"/>
        <w:rPr>
          <w:highlight w:val="none"/>
        </w:rPr>
      </w:pPr>
      <w:r>
        <w:rPr>
          <w:rFonts w:hint="eastAsia" w:hAnsi="宋体"/>
          <w:bCs/>
          <w:color w:val="000000"/>
          <w:sz w:val="24"/>
          <w:szCs w:val="24"/>
          <w:highlight w:val="none"/>
        </w:rPr>
        <w:t>（</w:t>
      </w:r>
      <w:r>
        <w:rPr>
          <w:rFonts w:hint="eastAsia" w:hAnsi="宋体"/>
          <w:bCs/>
          <w:color w:val="000000"/>
          <w:sz w:val="24"/>
          <w:szCs w:val="24"/>
          <w:highlight w:val="none"/>
          <w:lang w:eastAsia="zh-CN"/>
        </w:rPr>
        <w:t>三</w:t>
      </w:r>
      <w:r>
        <w:rPr>
          <w:rFonts w:hint="eastAsia" w:hAnsi="宋体"/>
          <w:bCs/>
          <w:color w:val="000000"/>
          <w:sz w:val="24"/>
          <w:szCs w:val="24"/>
          <w:highlight w:val="none"/>
        </w:rPr>
        <w:t>）供货地点：重庆医科大学</w:t>
      </w:r>
      <w:r>
        <w:rPr>
          <w:rFonts w:hint="eastAsia" w:hAnsi="宋体"/>
          <w:bCs/>
          <w:color w:val="000000"/>
          <w:sz w:val="24"/>
          <w:szCs w:val="24"/>
          <w:highlight w:val="none"/>
          <w:lang w:val="en-US" w:eastAsia="zh-CN"/>
        </w:rPr>
        <w:t>袁家岗校区</w:t>
      </w:r>
      <w:r>
        <w:rPr>
          <w:rFonts w:hint="eastAsia" w:hAnsi="宋体"/>
          <w:bCs/>
          <w:color w:val="000000"/>
          <w:sz w:val="24"/>
          <w:szCs w:val="24"/>
          <w:highlight w:val="none"/>
        </w:rPr>
        <w:t>采购人指定地点。</w:t>
      </w:r>
    </w:p>
    <w:p w14:paraId="01E1025D">
      <w:pPr>
        <w:pStyle w:val="10"/>
        <w:keepNext w:val="0"/>
        <w:keepLines w:val="0"/>
        <w:pageBreakBefore w:val="0"/>
        <w:widowControl w:val="0"/>
        <w:kinsoku/>
        <w:wordWrap/>
        <w:overflowPunct/>
        <w:topLinePunct w:val="0"/>
        <w:autoSpaceDE/>
        <w:autoSpaceDN/>
        <w:bidi w:val="0"/>
        <w:spacing w:line="440" w:lineRule="exact"/>
        <w:textAlignment w:val="auto"/>
        <w:outlineLvl w:val="1"/>
        <w:rPr>
          <w:rFonts w:hAnsi="宋体" w:asciiTheme="minorHAnsi"/>
          <w:bCs/>
          <w:color w:val="000000"/>
          <w:sz w:val="24"/>
          <w:szCs w:val="24"/>
          <w:highlight w:val="none"/>
        </w:rPr>
      </w:pPr>
      <w:r>
        <w:rPr>
          <w:rFonts w:hint="eastAsia" w:hAnsi="宋体" w:eastAsia="宋体" w:cs="宋体"/>
          <w:b/>
          <w:snapToGrid w:val="0"/>
          <w:kern w:val="0"/>
          <w:sz w:val="28"/>
          <w:szCs w:val="28"/>
          <w:highlight w:val="none"/>
          <w:lang w:eastAsia="zh-CN"/>
        </w:rPr>
        <w:t>六</w:t>
      </w:r>
      <w:r>
        <w:rPr>
          <w:rFonts w:hint="eastAsia" w:hAnsi="宋体" w:eastAsia="宋体" w:cs="宋体"/>
          <w:b/>
          <w:snapToGrid w:val="0"/>
          <w:kern w:val="0"/>
          <w:sz w:val="28"/>
          <w:szCs w:val="28"/>
          <w:highlight w:val="none"/>
        </w:rPr>
        <w:t>、付款方式</w:t>
      </w:r>
    </w:p>
    <w:p w14:paraId="5BA0DA1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hAnsi="宋体"/>
          <w:bCs/>
          <w:color w:val="auto"/>
          <w:sz w:val="24"/>
          <w:szCs w:val="24"/>
          <w:highlight w:val="none"/>
          <w:lang w:val="en-US" w:eastAsia="zh-CN"/>
        </w:rPr>
      </w:pPr>
      <w:r>
        <w:rPr>
          <w:rFonts w:hint="eastAsia" w:hAnsi="宋体"/>
          <w:bCs/>
          <w:color w:val="000000"/>
          <w:sz w:val="24"/>
          <w:szCs w:val="24"/>
        </w:rPr>
        <w:t>（一）</w:t>
      </w:r>
      <w:bookmarkStart w:id="1" w:name="OLE_LINK4"/>
      <w:bookmarkStart w:id="2" w:name="OLE_LINK3"/>
      <w:r>
        <w:rPr>
          <w:rFonts w:hint="eastAsia" w:hAnsi="宋体"/>
          <w:bCs/>
          <w:color w:val="auto"/>
          <w:sz w:val="24"/>
          <w:szCs w:val="24"/>
          <w:highlight w:val="none"/>
          <w:lang w:val="en-US" w:eastAsia="zh-CN"/>
        </w:rPr>
        <w:t>本项目结算均使用人民币。</w:t>
      </w:r>
    </w:p>
    <w:p w14:paraId="05825E7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hAnsi="宋体"/>
          <w:bCs/>
          <w:color w:val="000000"/>
          <w:sz w:val="24"/>
          <w:szCs w:val="24"/>
        </w:rPr>
      </w:pPr>
      <w:r>
        <w:rPr>
          <w:rFonts w:hint="eastAsia" w:hAnsi="宋体"/>
          <w:bCs/>
          <w:color w:val="auto"/>
          <w:sz w:val="24"/>
          <w:szCs w:val="24"/>
          <w:highlight w:val="none"/>
          <w:lang w:val="en-US" w:eastAsia="zh-CN"/>
        </w:rPr>
        <w:t>（二）</w:t>
      </w:r>
      <w:r>
        <w:rPr>
          <w:rFonts w:hint="eastAsia" w:hAnsi="宋体"/>
          <w:bCs/>
          <w:color w:val="auto"/>
          <w:sz w:val="24"/>
          <w:szCs w:val="24"/>
        </w:rPr>
        <w:t>合同签订</w:t>
      </w:r>
      <w:r>
        <w:rPr>
          <w:rFonts w:hint="eastAsia" w:hAnsi="宋体"/>
          <w:bCs/>
          <w:color w:val="auto"/>
          <w:sz w:val="24"/>
          <w:szCs w:val="24"/>
          <w:u w:val="none"/>
          <w:lang w:eastAsia="zh-CN"/>
        </w:rPr>
        <w:t>时</w:t>
      </w:r>
      <w:r>
        <w:rPr>
          <w:rFonts w:hint="eastAsia" w:asciiTheme="minorEastAsia" w:hAnsiTheme="minorEastAsia" w:cstheme="minorEastAsia"/>
          <w:color w:val="auto"/>
          <w:sz w:val="24"/>
          <w:szCs w:val="24"/>
          <w:highlight w:val="none"/>
          <w:lang w:val="en-US" w:eastAsia="zh-CN"/>
        </w:rPr>
        <w:t>（如无合同，则是中标结果公示结束</w:t>
      </w:r>
      <w:r>
        <w:rPr>
          <w:rFonts w:hint="eastAsia" w:asciiTheme="minorEastAsia" w:hAnsiTheme="minorEastAsia" w:eastAsiaTheme="minorEastAsia" w:cstheme="minorEastAsia"/>
          <w:color w:val="auto"/>
          <w:sz w:val="24"/>
          <w:szCs w:val="24"/>
          <w:highlight w:val="none"/>
          <w:lang w:eastAsia="zh-CN"/>
        </w:rPr>
        <w:t>起</w:t>
      </w:r>
      <w:r>
        <w:rPr>
          <w:rFonts w:hint="eastAsia" w:asciiTheme="minorEastAsia" w:hAnsiTheme="minorEastAsia" w:cstheme="minorEastAsia"/>
          <w:color w:val="auto"/>
          <w:sz w:val="24"/>
          <w:szCs w:val="24"/>
          <w:highlight w:val="none"/>
          <w:lang w:val="en-US" w:eastAsia="zh-CN"/>
        </w:rPr>
        <w:t>5个日历日内）</w:t>
      </w:r>
      <w:r>
        <w:rPr>
          <w:rFonts w:hint="eastAsia" w:hAnsi="宋体"/>
          <w:bCs/>
          <w:color w:val="auto"/>
          <w:sz w:val="24"/>
          <w:szCs w:val="24"/>
        </w:rPr>
        <w:t>，</w:t>
      </w:r>
      <w:r>
        <w:rPr>
          <w:rFonts w:hint="eastAsia" w:hAnsi="宋体"/>
          <w:bCs/>
          <w:color w:val="000000"/>
          <w:sz w:val="24"/>
          <w:szCs w:val="24"/>
        </w:rPr>
        <w:t>中标人向采购人缴纳合同金额</w:t>
      </w:r>
      <w:r>
        <w:rPr>
          <w:rFonts w:hint="eastAsia" w:hAnsi="宋体"/>
          <w:bCs/>
          <w:color w:val="000000"/>
          <w:sz w:val="24"/>
          <w:szCs w:val="24"/>
          <w:u w:val="single"/>
          <w:lang w:val="en-US" w:eastAsia="zh-CN"/>
        </w:rPr>
        <w:t xml:space="preserve"> 5</w:t>
      </w:r>
      <w:r>
        <w:rPr>
          <w:rFonts w:hint="eastAsia" w:hAnsi="宋体"/>
          <w:bCs/>
          <w:color w:val="000000"/>
          <w:sz w:val="24"/>
          <w:szCs w:val="24"/>
          <w:u w:val="single"/>
        </w:rPr>
        <w:t>%</w:t>
      </w:r>
      <w:r>
        <w:rPr>
          <w:rFonts w:hint="eastAsia" w:hAnsi="宋体"/>
          <w:bCs/>
          <w:color w:val="000000"/>
          <w:sz w:val="24"/>
          <w:szCs w:val="24"/>
          <w:u w:val="single"/>
          <w:lang w:val="en-US" w:eastAsia="zh-CN"/>
        </w:rPr>
        <w:t xml:space="preserve"> </w:t>
      </w:r>
      <w:r>
        <w:rPr>
          <w:rFonts w:hint="eastAsia" w:hAnsi="宋体"/>
          <w:bCs/>
          <w:color w:val="000000"/>
          <w:sz w:val="24"/>
          <w:szCs w:val="24"/>
        </w:rPr>
        <w:t>的履约保证金（可以现金形式</w:t>
      </w:r>
      <w:r>
        <w:rPr>
          <w:rFonts w:hint="eastAsia" w:hAnsi="宋体"/>
          <w:bCs/>
          <w:color w:val="000000"/>
          <w:sz w:val="24"/>
          <w:szCs w:val="24"/>
          <w:highlight w:val="none"/>
          <w:lang w:eastAsia="zh-CN"/>
        </w:rPr>
        <w:t>（</w:t>
      </w:r>
      <w:r>
        <w:rPr>
          <w:rFonts w:hint="eastAsia" w:hAnsi="宋体"/>
          <w:bCs/>
          <w:color w:val="000000"/>
          <w:sz w:val="24"/>
          <w:szCs w:val="24"/>
          <w:highlight w:val="none"/>
          <w:lang w:val="en-US" w:eastAsia="zh-CN"/>
        </w:rPr>
        <w:t>银行转账方式</w:t>
      </w:r>
      <w:r>
        <w:rPr>
          <w:rFonts w:hint="eastAsia" w:hAnsi="宋体"/>
          <w:bCs/>
          <w:color w:val="000000"/>
          <w:sz w:val="24"/>
          <w:szCs w:val="24"/>
          <w:highlight w:val="none"/>
          <w:lang w:eastAsia="zh-CN"/>
        </w:rPr>
        <w:t>）</w:t>
      </w:r>
      <w:r>
        <w:rPr>
          <w:rFonts w:hint="eastAsia" w:hAnsi="宋体"/>
          <w:bCs/>
          <w:color w:val="000000"/>
          <w:sz w:val="24"/>
          <w:szCs w:val="24"/>
          <w:highlight w:val="none"/>
        </w:rPr>
        <w:t>，或以支票、汇票、本票或者金融机构、担保机构出具的保函等非现金形式提交</w:t>
      </w:r>
      <w:bookmarkEnd w:id="1"/>
      <w:bookmarkEnd w:id="2"/>
      <w:r>
        <w:rPr>
          <w:rFonts w:hint="eastAsia" w:hAnsi="宋体"/>
          <w:bCs/>
          <w:color w:val="000000"/>
          <w:sz w:val="24"/>
          <w:szCs w:val="24"/>
          <w:highlight w:val="none"/>
        </w:rPr>
        <w:t>）</w:t>
      </w:r>
      <w:r>
        <w:rPr>
          <w:rFonts w:hint="eastAsia" w:hAnsi="宋体"/>
          <w:bCs/>
          <w:color w:val="000000"/>
          <w:sz w:val="24"/>
          <w:szCs w:val="24"/>
          <w:highlight w:val="none"/>
          <w:lang w:eastAsia="zh-CN"/>
        </w:rPr>
        <w:t>。</w:t>
      </w:r>
      <w:r>
        <w:rPr>
          <w:rFonts w:hint="eastAsia" w:ascii="宋体" w:hAnsi="宋体" w:eastAsia="宋体" w:cs="宋体"/>
          <w:bCs/>
          <w:color w:val="auto"/>
          <w:sz w:val="24"/>
          <w:szCs w:val="24"/>
          <w:highlight w:val="none"/>
        </w:rPr>
        <w:t>若</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未在规定时间内缴纳履约保证金，</w:t>
      </w:r>
      <w:r>
        <w:rPr>
          <w:rFonts w:hint="eastAsia" w:ascii="宋体" w:hAnsi="宋体" w:eastAsia="宋体" w:cs="宋体"/>
          <w:bCs/>
          <w:color w:val="auto"/>
          <w:sz w:val="24"/>
          <w:szCs w:val="24"/>
          <w:highlight w:val="none"/>
          <w:lang w:eastAsia="zh-CN"/>
        </w:rPr>
        <w:t>采购人有权拒绝支付</w:t>
      </w:r>
      <w:r>
        <w:rPr>
          <w:rFonts w:hint="eastAsia" w:ascii="宋体" w:hAnsi="宋体" w:eastAsia="宋体" w:cs="宋体"/>
          <w:bCs/>
          <w:color w:val="auto"/>
          <w:sz w:val="24"/>
          <w:szCs w:val="24"/>
          <w:highlight w:val="none"/>
          <w:lang w:val="en-US" w:eastAsia="zh-CN"/>
        </w:rPr>
        <w:t>相关</w:t>
      </w:r>
      <w:r>
        <w:rPr>
          <w:rFonts w:hint="eastAsia" w:ascii="宋体" w:hAnsi="宋体" w:eastAsia="宋体" w:cs="宋体"/>
          <w:bCs/>
          <w:color w:val="auto"/>
          <w:sz w:val="24"/>
          <w:szCs w:val="24"/>
          <w:highlight w:val="none"/>
          <w:lang w:eastAsia="zh-CN"/>
        </w:rPr>
        <w:t>款项</w:t>
      </w:r>
      <w:r>
        <w:rPr>
          <w:rFonts w:hint="eastAsia" w:ascii="宋体" w:hAnsi="宋体" w:eastAsia="宋体" w:cs="宋体"/>
          <w:bCs/>
          <w:color w:val="000000"/>
          <w:sz w:val="24"/>
          <w:szCs w:val="24"/>
          <w:lang w:eastAsia="zh-CN"/>
        </w:rPr>
        <w:t>。</w:t>
      </w:r>
    </w:p>
    <w:p w14:paraId="1129913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hAnsi="宋体"/>
          <w:bCs/>
          <w:color w:val="000000"/>
          <w:sz w:val="24"/>
          <w:szCs w:val="24"/>
        </w:rPr>
      </w:pPr>
      <w:r>
        <w:rPr>
          <w:rFonts w:hint="eastAsia" w:hAnsi="宋体"/>
          <w:bCs/>
          <w:color w:val="000000"/>
          <w:sz w:val="24"/>
          <w:szCs w:val="24"/>
        </w:rPr>
        <w:t>（</w:t>
      </w:r>
      <w:r>
        <w:rPr>
          <w:rFonts w:hint="eastAsia" w:hAnsi="宋体"/>
          <w:bCs/>
          <w:color w:val="000000"/>
          <w:sz w:val="24"/>
          <w:szCs w:val="24"/>
          <w:lang w:eastAsia="zh-CN"/>
        </w:rPr>
        <w:t>三</w:t>
      </w:r>
      <w:r>
        <w:rPr>
          <w:rFonts w:hint="eastAsia" w:hAnsi="宋体"/>
          <w:bCs/>
          <w:color w:val="000000"/>
          <w:sz w:val="24"/>
          <w:szCs w:val="24"/>
        </w:rPr>
        <w:t>）全部服务履约验收合格、且中标人向采购人开具等额有效的发票后，采购人以银行转账方式向中标人一次性支付款项；</w:t>
      </w:r>
    </w:p>
    <w:p w14:paraId="40C23C2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hAnsi="宋体"/>
          <w:bCs/>
          <w:color w:val="000000"/>
          <w:sz w:val="24"/>
          <w:szCs w:val="24"/>
        </w:rPr>
      </w:pPr>
      <w:r>
        <w:rPr>
          <w:rFonts w:hint="eastAsia" w:hAnsi="宋体"/>
          <w:bCs/>
          <w:color w:val="000000"/>
          <w:sz w:val="24"/>
          <w:szCs w:val="24"/>
        </w:rPr>
        <w:t>（</w:t>
      </w:r>
      <w:r>
        <w:rPr>
          <w:rFonts w:hint="eastAsia" w:hAnsi="宋体"/>
          <w:bCs/>
          <w:color w:val="000000"/>
          <w:sz w:val="24"/>
          <w:szCs w:val="24"/>
          <w:lang w:val="en-US" w:eastAsia="zh-CN"/>
        </w:rPr>
        <w:t>四</w:t>
      </w:r>
      <w:r>
        <w:rPr>
          <w:rFonts w:hint="eastAsia" w:hAnsi="宋体"/>
          <w:bCs/>
          <w:color w:val="000000"/>
          <w:sz w:val="24"/>
          <w:szCs w:val="24"/>
        </w:rPr>
        <w:t>）履约保证金无息退还时间：合同履约验收完成</w:t>
      </w:r>
      <w:r>
        <w:rPr>
          <w:rFonts w:hint="eastAsia" w:hAnsi="宋体"/>
          <w:bCs/>
          <w:color w:val="000000"/>
          <w:sz w:val="24"/>
          <w:szCs w:val="24"/>
          <w:lang w:eastAsia="zh-CN"/>
        </w:rPr>
        <w:t>或项目履约</w:t>
      </w:r>
      <w:r>
        <w:rPr>
          <w:rFonts w:hint="eastAsia" w:hAnsi="宋体"/>
          <w:bCs/>
          <w:color w:val="000000"/>
          <w:sz w:val="24"/>
          <w:szCs w:val="24"/>
          <w:lang w:val="en-US" w:eastAsia="zh-CN"/>
        </w:rPr>
        <w:t>验收</w:t>
      </w:r>
      <w:r>
        <w:rPr>
          <w:rFonts w:hint="eastAsia" w:hAnsi="宋体"/>
          <w:bCs/>
          <w:color w:val="000000"/>
          <w:sz w:val="24"/>
          <w:szCs w:val="24"/>
          <w:lang w:eastAsia="zh-CN"/>
        </w:rPr>
        <w:t>完成</w:t>
      </w:r>
      <w:r>
        <w:rPr>
          <w:rFonts w:hint="eastAsia" w:hAnsi="宋体"/>
          <w:bCs/>
          <w:color w:val="000000"/>
          <w:sz w:val="24"/>
          <w:szCs w:val="24"/>
        </w:rPr>
        <w:t>后，中标人提供的服务</w:t>
      </w:r>
      <w:r>
        <w:rPr>
          <w:rFonts w:hint="eastAsia" w:hAnsi="宋体"/>
          <w:bCs/>
          <w:color w:val="000000"/>
          <w:sz w:val="24"/>
          <w:szCs w:val="24"/>
          <w:lang w:eastAsia="zh-CN"/>
        </w:rPr>
        <w:t>或货物</w:t>
      </w:r>
      <w:r>
        <w:rPr>
          <w:rFonts w:hint="eastAsia" w:hAnsi="宋体"/>
          <w:bCs/>
          <w:color w:val="000000"/>
          <w:sz w:val="24"/>
          <w:szCs w:val="24"/>
        </w:rPr>
        <w:t>无质量问题且没有其他违约行为，经采购人用户单位同意，无息退还该</w:t>
      </w:r>
      <w:r>
        <w:rPr>
          <w:rFonts w:hint="eastAsia" w:ascii="宋体" w:hAnsi="宋体" w:eastAsia="宋体" w:cs="宋体"/>
          <w:bCs/>
          <w:sz w:val="24"/>
          <w:szCs w:val="24"/>
          <w:lang w:eastAsia="zh-CN"/>
        </w:rPr>
        <w:t>（履约保证金退还方式请百度“重庆医科大学招标采购中心”官网，详见</w:t>
      </w:r>
      <w:r>
        <w:rPr>
          <w:rFonts w:hint="eastAsia" w:ascii="宋体" w:hAnsi="宋体" w:eastAsia="宋体" w:cs="宋体"/>
          <w:bCs/>
          <w:sz w:val="24"/>
          <w:szCs w:val="24"/>
          <w:lang w:val="en-US" w:eastAsia="zh-CN"/>
        </w:rPr>
        <w:t>“通知公告”第一条</w:t>
      </w:r>
      <w:r>
        <w:rPr>
          <w:rFonts w:hint="eastAsia" w:ascii="宋体" w:hAnsi="宋体" w:eastAsia="宋体" w:cs="宋体"/>
          <w:bCs/>
          <w:sz w:val="24"/>
          <w:szCs w:val="24"/>
          <w:lang w:eastAsia="zh-CN"/>
        </w:rPr>
        <w:t>）；</w:t>
      </w:r>
    </w:p>
    <w:p w14:paraId="1A9C14C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hAnsi="宋体"/>
          <w:bCs/>
          <w:color w:val="000000"/>
          <w:sz w:val="24"/>
          <w:szCs w:val="24"/>
        </w:rPr>
      </w:pPr>
      <w:r>
        <w:rPr>
          <w:rFonts w:hint="eastAsia" w:hAnsi="宋体"/>
          <w:bCs/>
          <w:color w:val="000000"/>
          <w:sz w:val="24"/>
          <w:szCs w:val="24"/>
        </w:rPr>
        <w:t>（</w:t>
      </w:r>
      <w:r>
        <w:rPr>
          <w:rFonts w:hint="eastAsia" w:hAnsi="宋体"/>
          <w:bCs/>
          <w:color w:val="000000"/>
          <w:sz w:val="24"/>
          <w:szCs w:val="24"/>
          <w:lang w:val="en-US" w:eastAsia="zh-CN"/>
        </w:rPr>
        <w:t>五</w:t>
      </w:r>
      <w:r>
        <w:rPr>
          <w:rFonts w:hint="eastAsia" w:hAnsi="宋体"/>
          <w:bCs/>
          <w:color w:val="000000"/>
          <w:sz w:val="24"/>
          <w:szCs w:val="24"/>
        </w:rPr>
        <w:t>）因服务不善造成采购人财产和经济损失的，采购人在书面通知中标供应商后，有权从合同款中扣除相关损失的费用。</w:t>
      </w:r>
    </w:p>
    <w:p w14:paraId="6D8F8602">
      <w:pPr>
        <w:pStyle w:val="10"/>
        <w:keepNext w:val="0"/>
        <w:keepLines w:val="0"/>
        <w:pageBreakBefore w:val="0"/>
        <w:kinsoku/>
        <w:wordWrap/>
        <w:overflowPunct/>
        <w:topLinePunct w:val="0"/>
        <w:bidi w:val="0"/>
        <w:spacing w:line="440" w:lineRule="exact"/>
        <w:textAlignment w:val="auto"/>
        <w:outlineLvl w:val="1"/>
        <w:rPr>
          <w:rFonts w:hint="eastAsia" w:hAnsi="宋体" w:eastAsia="宋体" w:cs="宋体"/>
          <w:b/>
          <w:snapToGrid w:val="0"/>
          <w:kern w:val="0"/>
          <w:sz w:val="28"/>
          <w:szCs w:val="28"/>
          <w:lang w:eastAsia="zh-CN"/>
        </w:rPr>
      </w:pPr>
      <w:r>
        <w:rPr>
          <w:rFonts w:hint="eastAsia" w:hAnsi="宋体" w:eastAsia="宋体" w:cs="宋体"/>
          <w:b/>
          <w:snapToGrid w:val="0"/>
          <w:kern w:val="0"/>
          <w:sz w:val="28"/>
          <w:szCs w:val="28"/>
          <w:lang w:eastAsia="zh-CN"/>
        </w:rPr>
        <w:t>七</w:t>
      </w:r>
      <w:r>
        <w:rPr>
          <w:rFonts w:hint="eastAsia" w:hAnsi="宋体" w:eastAsia="宋体" w:cs="宋体"/>
          <w:b/>
          <w:snapToGrid w:val="0"/>
          <w:kern w:val="0"/>
          <w:sz w:val="28"/>
          <w:szCs w:val="28"/>
        </w:rPr>
        <w:t>、项目实施和验收</w:t>
      </w:r>
    </w:p>
    <w:p w14:paraId="47268F10">
      <w:pPr>
        <w:keepNext w:val="0"/>
        <w:keepLines w:val="0"/>
        <w:pageBreakBefore w:val="0"/>
        <w:kinsoku/>
        <w:wordWrap/>
        <w:overflowPunct/>
        <w:topLinePunct w:val="0"/>
        <w:bidi w:val="0"/>
        <w:spacing w:line="440" w:lineRule="exact"/>
        <w:ind w:firstLine="482" w:firstLineChars="200"/>
        <w:textAlignment w:val="auto"/>
        <w:rPr>
          <w:rFonts w:hint="eastAsia" w:hAnsi="宋体"/>
          <w:b/>
          <w:bCs w:val="0"/>
          <w:color w:val="000000"/>
          <w:sz w:val="24"/>
          <w:szCs w:val="24"/>
          <w:lang w:val="en-US" w:eastAsia="zh-CN"/>
        </w:rPr>
      </w:pPr>
      <w:r>
        <w:rPr>
          <w:rFonts w:hint="eastAsia" w:hAnsi="宋体"/>
          <w:b/>
          <w:bCs w:val="0"/>
          <w:color w:val="000000"/>
          <w:sz w:val="24"/>
          <w:szCs w:val="24"/>
          <w:lang w:val="en-US" w:eastAsia="zh-CN"/>
        </w:rPr>
        <w:t>（一）项目实施要求</w:t>
      </w:r>
    </w:p>
    <w:p w14:paraId="5F73959D">
      <w:pPr>
        <w:keepNext w:val="0"/>
        <w:keepLines w:val="0"/>
        <w:pageBreakBefore w:val="0"/>
        <w:kinsoku/>
        <w:wordWrap/>
        <w:overflowPunct/>
        <w:topLinePunct w:val="0"/>
        <w:bidi w:val="0"/>
        <w:spacing w:line="440" w:lineRule="exact"/>
        <w:ind w:firstLine="480" w:firstLineChars="200"/>
        <w:textAlignment w:val="auto"/>
        <w:rPr>
          <w:rFonts w:hint="eastAsia" w:hAnsi="宋体"/>
          <w:bCs/>
          <w:color w:val="000000"/>
          <w:sz w:val="24"/>
          <w:szCs w:val="24"/>
        </w:rPr>
      </w:pPr>
      <w:r>
        <w:rPr>
          <w:rFonts w:hint="eastAsia" w:hAnsi="宋体"/>
          <w:bCs/>
          <w:color w:val="000000"/>
          <w:sz w:val="24"/>
          <w:szCs w:val="24"/>
          <w:lang w:val="en-US" w:eastAsia="zh-CN"/>
        </w:rPr>
        <w:t>1.中标结果公示后采购人有权对中标人响应文件进行核查，投标人在中标后，如不按时提供查验资料或查验资料不齐全或查实中标人存在虚假应标、弄虚作假、恶意中标等不良情况，将</w:t>
      </w:r>
      <w:r>
        <w:rPr>
          <w:rFonts w:hint="eastAsia" w:hAnsi="宋体"/>
          <w:bCs/>
          <w:sz w:val="24"/>
          <w:szCs w:val="24"/>
        </w:rPr>
        <w:t>列入我校失信惩戒对象名单</w:t>
      </w:r>
      <w:r>
        <w:rPr>
          <w:rFonts w:hint="eastAsia" w:hAnsi="宋体"/>
          <w:bCs/>
          <w:color w:val="000000"/>
          <w:sz w:val="24"/>
          <w:szCs w:val="24"/>
          <w:lang w:val="en-US" w:eastAsia="zh-CN"/>
        </w:rPr>
        <w:t>。</w:t>
      </w:r>
    </w:p>
    <w:p w14:paraId="54D35DF3">
      <w:pPr>
        <w:keepNext w:val="0"/>
        <w:keepLines w:val="0"/>
        <w:pageBreakBefore w:val="0"/>
        <w:kinsoku/>
        <w:wordWrap/>
        <w:overflowPunct/>
        <w:topLinePunct w:val="0"/>
        <w:bidi w:val="0"/>
        <w:spacing w:line="440" w:lineRule="exact"/>
        <w:ind w:firstLine="480" w:firstLineChars="200"/>
        <w:textAlignment w:val="auto"/>
        <w:rPr>
          <w:rFonts w:hAnsi="宋体"/>
          <w:bCs/>
          <w:color w:val="000000"/>
          <w:sz w:val="24"/>
          <w:szCs w:val="24"/>
        </w:rPr>
      </w:pPr>
      <w:r>
        <w:rPr>
          <w:rFonts w:hint="eastAsia" w:hAnsi="宋体"/>
          <w:bCs/>
          <w:color w:val="000000"/>
          <w:sz w:val="24"/>
          <w:szCs w:val="24"/>
          <w:lang w:val="en-US" w:eastAsia="zh-CN"/>
        </w:rPr>
        <w:t>2.</w:t>
      </w:r>
      <w:r>
        <w:rPr>
          <w:rFonts w:hint="eastAsia" w:hAnsi="宋体"/>
          <w:bCs/>
          <w:color w:val="000000"/>
          <w:sz w:val="24"/>
          <w:szCs w:val="24"/>
        </w:rPr>
        <w:t>中标供应商提供的货物须为原厂制造并检验合格，全新、未被使用过。设备到货时，须确保产品包装完好、所有标识清晰、封条完整。</w:t>
      </w:r>
    </w:p>
    <w:p w14:paraId="0D125981">
      <w:pPr>
        <w:keepNext w:val="0"/>
        <w:keepLines w:val="0"/>
        <w:pageBreakBefore w:val="0"/>
        <w:kinsoku/>
        <w:wordWrap/>
        <w:overflowPunct/>
        <w:topLinePunct w:val="0"/>
        <w:bidi w:val="0"/>
        <w:spacing w:line="440" w:lineRule="exact"/>
        <w:ind w:firstLine="480" w:firstLineChars="200"/>
        <w:textAlignment w:val="auto"/>
        <w:rPr>
          <w:rFonts w:hint="eastAsia" w:hAnsi="宋体"/>
          <w:bCs/>
          <w:sz w:val="24"/>
          <w:szCs w:val="24"/>
          <w:lang w:eastAsia="zh-CN"/>
        </w:rPr>
      </w:pPr>
      <w:r>
        <w:rPr>
          <w:rFonts w:hint="eastAsia" w:hAnsi="宋体"/>
          <w:bCs/>
          <w:color w:val="auto"/>
          <w:sz w:val="24"/>
          <w:szCs w:val="24"/>
          <w:lang w:val="en-US" w:eastAsia="zh-CN"/>
        </w:rPr>
        <w:t>3.</w:t>
      </w:r>
      <w:r>
        <w:rPr>
          <w:rFonts w:hint="eastAsia" w:hAnsi="宋体"/>
          <w:bCs/>
          <w:color w:val="auto"/>
          <w:sz w:val="24"/>
          <w:szCs w:val="24"/>
        </w:rPr>
        <w:t>中标单位按合同</w:t>
      </w:r>
      <w:r>
        <w:rPr>
          <w:rFonts w:hint="eastAsia" w:hAnsi="宋体"/>
          <w:bCs/>
          <w:color w:val="auto"/>
          <w:sz w:val="24"/>
          <w:szCs w:val="24"/>
          <w:lang w:val="en-US" w:eastAsia="zh-CN"/>
        </w:rPr>
        <w:t>和询价文件</w:t>
      </w:r>
      <w:r>
        <w:rPr>
          <w:rFonts w:hint="eastAsia" w:hAnsi="宋体"/>
          <w:bCs/>
          <w:color w:val="auto"/>
          <w:sz w:val="24"/>
          <w:szCs w:val="24"/>
        </w:rPr>
        <w:t>要求</w:t>
      </w:r>
      <w:r>
        <w:rPr>
          <w:rFonts w:hint="eastAsia" w:hAnsi="宋体"/>
          <w:bCs/>
          <w:color w:val="auto"/>
          <w:sz w:val="24"/>
          <w:szCs w:val="24"/>
          <w:lang w:val="en-US" w:eastAsia="zh-CN"/>
        </w:rPr>
        <w:t>提供服务</w:t>
      </w:r>
      <w:r>
        <w:rPr>
          <w:rFonts w:hint="eastAsia" w:hAnsi="宋体"/>
          <w:bCs/>
          <w:color w:val="auto"/>
          <w:sz w:val="24"/>
          <w:szCs w:val="24"/>
        </w:rPr>
        <w:t>，并安装调试完成，采购人按技术要求组织验收，如供货时实际产品技术参数达不到询价文件的</w:t>
      </w:r>
      <w:r>
        <w:rPr>
          <w:rFonts w:hint="eastAsia" w:hAnsi="宋体"/>
          <w:bCs/>
          <w:color w:val="auto"/>
          <w:sz w:val="24"/>
          <w:szCs w:val="24"/>
          <w:lang w:val="en-US" w:eastAsia="zh-CN"/>
        </w:rPr>
        <w:t>服务</w:t>
      </w:r>
      <w:r>
        <w:rPr>
          <w:rFonts w:hint="eastAsia" w:hAnsi="宋体"/>
          <w:bCs/>
          <w:color w:val="auto"/>
          <w:sz w:val="24"/>
          <w:szCs w:val="24"/>
        </w:rPr>
        <w:t>要求或所提供的参选产品存在假冒、侵权、不达标准等情形之一的，采购人将终止本项目，不支付任何货款，同时列入我校</w:t>
      </w:r>
      <w:r>
        <w:rPr>
          <w:rFonts w:hint="eastAsia" w:hAnsi="宋体"/>
          <w:bCs/>
          <w:sz w:val="24"/>
          <w:szCs w:val="24"/>
        </w:rPr>
        <w:t>失信惩戒对象名单</w:t>
      </w:r>
      <w:r>
        <w:rPr>
          <w:rFonts w:hint="eastAsia" w:hAnsi="宋体"/>
          <w:bCs/>
          <w:sz w:val="24"/>
          <w:szCs w:val="24"/>
          <w:lang w:eastAsia="zh-CN"/>
        </w:rPr>
        <w:t>。</w:t>
      </w:r>
    </w:p>
    <w:p w14:paraId="33936CA8">
      <w:pPr>
        <w:keepNext w:val="0"/>
        <w:keepLines w:val="0"/>
        <w:pageBreakBefore w:val="0"/>
        <w:kinsoku/>
        <w:wordWrap/>
        <w:overflowPunct/>
        <w:topLinePunct w:val="0"/>
        <w:bidi w:val="0"/>
        <w:spacing w:line="440" w:lineRule="exact"/>
        <w:ind w:firstLine="480" w:firstLineChars="200"/>
        <w:textAlignment w:val="auto"/>
        <w:rPr>
          <w:rFonts w:hint="eastAsia" w:hAnsi="宋体"/>
          <w:bCs/>
          <w:color w:val="00000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中标人在供货期间安全责任自行承担。</w:t>
      </w:r>
    </w:p>
    <w:p w14:paraId="1FDB68EB">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bookmarkStart w:id="3" w:name="OLE_LINK49"/>
      <w:r>
        <w:rPr>
          <w:rFonts w:hint="eastAsia" w:ascii="宋体" w:hAnsi="宋体" w:eastAsia="宋体" w:cs="宋体"/>
          <w:b/>
          <w:bCs/>
          <w:color w:val="auto"/>
          <w:sz w:val="24"/>
          <w:szCs w:val="24"/>
          <w:highlight w:val="none"/>
          <w:lang w:val="en-US" w:eastAsia="zh-CN"/>
        </w:rPr>
        <w:t>（二）验收方式</w:t>
      </w:r>
    </w:p>
    <w:p w14:paraId="137300A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交付</w:t>
      </w:r>
      <w:bookmarkStart w:id="4" w:name="OLE_LINK7"/>
      <w:r>
        <w:rPr>
          <w:rFonts w:hint="eastAsia" w:ascii="宋体" w:hAnsi="宋体" w:eastAsia="宋体" w:cs="宋体"/>
          <w:b w:val="0"/>
          <w:bCs w:val="0"/>
          <w:color w:val="auto"/>
          <w:sz w:val="24"/>
          <w:szCs w:val="24"/>
          <w:highlight w:val="none"/>
          <w:lang w:val="en-US" w:eastAsia="zh-CN"/>
        </w:rPr>
        <w:t>货物/服务</w:t>
      </w:r>
      <w:bookmarkEnd w:id="4"/>
      <w:r>
        <w:rPr>
          <w:rFonts w:hint="eastAsia" w:ascii="宋体" w:hAnsi="宋体" w:eastAsia="宋体" w:cs="宋体"/>
          <w:b w:val="0"/>
          <w:bCs w:val="0"/>
          <w:color w:val="auto"/>
          <w:sz w:val="24"/>
          <w:szCs w:val="24"/>
          <w:highlight w:val="none"/>
          <w:lang w:val="en-US" w:eastAsia="zh-CN"/>
        </w:rPr>
        <w:t>时，严格按照《建筑物雷电防护装置检测技术规范》（GB/T 21431—2023）进行验收，若不能达到要求，则须进行整改。</w:t>
      </w:r>
      <w:r>
        <w:rPr>
          <w:rFonts w:hint="eastAsia"/>
          <w:color w:val="auto"/>
          <w:sz w:val="24"/>
          <w:szCs w:val="24"/>
          <w:lang w:val="en-US" w:eastAsia="zh-CN"/>
        </w:rPr>
        <w:t>整改后项目必须满足防雷检测要求并委托原检测单位或第三方检测单位出具合格的检测报告，如不满足，供应商必须负责继续整改，并承担后续检测费用，直至检测合格</w:t>
      </w:r>
      <w:r>
        <w:rPr>
          <w:rFonts w:hint="eastAsia" w:ascii="宋体" w:hAnsi="宋体" w:eastAsia="宋体" w:cs="宋体"/>
          <w:color w:val="auto"/>
          <w:sz w:val="24"/>
          <w:szCs w:val="24"/>
          <w:highlight w:val="none"/>
          <w:lang w:val="en-US" w:eastAsia="zh-CN"/>
        </w:rPr>
        <w:t>。</w:t>
      </w:r>
    </w:p>
    <w:p w14:paraId="0557ABA5">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2.供应商应当保证货物/服务到达采购人所在地完好无损，如有缺漏、损坏，由供应商负责调换、补齐或赔偿。</w:t>
      </w:r>
    </w:p>
    <w:p w14:paraId="07405A25">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3.供应商应随货物/服务提供完备的技术资料、装箱单和合格证等，并派遣专业技术人员进行现场支持。按履约验收方案，验收合格条件如下：</w:t>
      </w:r>
    </w:p>
    <w:p w14:paraId="22DB42E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（1）货物/服务商务参数、技术参数与本合同一致，性能指标达到规定的标准。</w:t>
      </w:r>
    </w:p>
    <w:p w14:paraId="7A2D3B6B">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（2）货物/服务技术资料、装箱单、合格证等资料齐全。</w:t>
      </w:r>
    </w:p>
    <w:p w14:paraId="4E5099D1">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（3）在系统试运行期间所出现的问题得到解决，并运行正常。</w:t>
      </w:r>
    </w:p>
    <w:p w14:paraId="46C0F91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（4）在规定时间内完成交付并验收，并经采购人确认。</w:t>
      </w:r>
    </w:p>
    <w:p w14:paraId="61AD3C2B">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货物/服务在试运行符合要求后，才作为最终验收。采购人对供应商交付货物/服务的验收仅为表面验收，验收合格不视为供应商对质量问题免责；采购人验收时未提出异议不视为对供应商货物/服务质量合格之认定。若供应商货物/服务存在任何质量问题，采购人有权要求供应商承担相应责任。</w:t>
      </w:r>
    </w:p>
    <w:p w14:paraId="226F45B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所交货物/服务的质量指标不得低于采购人招标文件要求、供应商提供的试用货物/服务指标、供应商承诺的质量指标或有关国家标准（标准不一致的，以高标准计）。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91DA635">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质量要求，按招标文件和投标文件的内容执行。供应商交付时，采购人可根据需要随机抽取一部分货物/服务送有关权威检测部门检测（费用由供应商承担）；如检测不合格，供应商应承担采购人所支出的检测费用并向采购人赔偿一切损失。供应商所交货物/服务若未达到招标文件要求，且对采购人造成损失的，由供应商承担一切责任，并赔偿所造成的损失。</w:t>
      </w:r>
    </w:p>
    <w:p w14:paraId="1EBF74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如验收不合格，采购人有权单方解除本合同并没收履约保证金；供应商应当赔偿采购人一切损失，并返还采购人已支付的全部合同款，并据实接受行政主管部门的相关处罚结果。</w:t>
      </w:r>
    </w:p>
    <w:p w14:paraId="05EF82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6.采购人需要对供应商交付的货物/服务（包括质量、技术参数等）进行确认的，供应商应予以配合，并出具书面意见。</w:t>
      </w:r>
    </w:p>
    <w:p w14:paraId="241D54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snapToGrid w:val="0"/>
          <w:kern w:val="0"/>
          <w:sz w:val="28"/>
          <w:szCs w:val="28"/>
        </w:rPr>
      </w:pPr>
      <w:r>
        <w:rPr>
          <w:rFonts w:hint="eastAsia" w:ascii="宋体" w:hAnsi="宋体" w:eastAsia="宋体" w:cs="宋体"/>
          <w:color w:val="auto"/>
          <w:sz w:val="24"/>
          <w:szCs w:val="24"/>
          <w:highlight w:val="none"/>
          <w:lang w:val="en-US" w:eastAsia="zh-CN"/>
        </w:rPr>
        <w:t>7.货物/服务包装材料归采购人所有。供应商负责及时将货物/服务包装材料清运离开采购人所在地，由此产生的费用由供应商自行承担。</w:t>
      </w:r>
      <w:bookmarkEnd w:id="3"/>
      <w:r>
        <w:rPr>
          <w:rFonts w:hint="eastAsia" w:ascii="宋体" w:hAnsi="宋体" w:eastAsia="宋体" w:cs="宋体"/>
          <w:sz w:val="24"/>
          <w:szCs w:val="28"/>
          <w:lang w:val="en-US" w:eastAsia="zh-CN"/>
        </w:rPr>
        <w:br w:type="textWrapping"/>
      </w:r>
      <w:r>
        <w:rPr>
          <w:rFonts w:hint="eastAsia" w:ascii="宋体" w:hAnsi="宋体" w:eastAsia="宋体" w:cs="宋体"/>
          <w:b/>
          <w:snapToGrid w:val="0"/>
          <w:kern w:val="0"/>
          <w:sz w:val="28"/>
          <w:szCs w:val="28"/>
          <w:lang w:eastAsia="zh-CN"/>
        </w:rPr>
        <w:t>八、质量保证及售后服务</w:t>
      </w:r>
    </w:p>
    <w:p w14:paraId="27841D21">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（一）产品质量保证期</w:t>
      </w:r>
    </w:p>
    <w:p w14:paraId="7F5C5745">
      <w:pPr>
        <w:pStyle w:val="10"/>
        <w:keepNext w:val="0"/>
        <w:keepLines w:val="0"/>
        <w:pageBreakBefore w:val="0"/>
        <w:kinsoku/>
        <w:wordWrap/>
        <w:overflowPunct/>
        <w:topLinePunct w:val="0"/>
        <w:bidi w:val="0"/>
        <w:spacing w:line="440" w:lineRule="exact"/>
        <w:ind w:left="719" w:leftChars="114" w:right="-255" w:hanging="480" w:hangingChars="200"/>
        <w:jc w:val="left"/>
        <w:textAlignment w:val="auto"/>
        <w:rPr>
          <w:rFonts w:hint="eastAsia" w:hAnsi="宋体" w:eastAsia="宋体" w:cs="宋体"/>
          <w:color w:val="FF0000"/>
          <w:sz w:val="24"/>
          <w:szCs w:val="24"/>
          <w:highlight w:val="none"/>
        </w:rPr>
      </w:pPr>
      <w:r>
        <w:rPr>
          <w:rFonts w:hint="eastAsia" w:hAnsi="宋体" w:eastAsia="宋体" w:cs="宋体"/>
          <w:color w:val="000000"/>
          <w:sz w:val="24"/>
          <w:szCs w:val="24"/>
          <w:highlight w:val="none"/>
          <w:lang w:eastAsia="zh-CN"/>
        </w:rPr>
        <w:t>1.</w:t>
      </w:r>
      <w:r>
        <w:rPr>
          <w:rFonts w:hint="eastAsia" w:hAnsi="宋体" w:eastAsia="宋体" w:cs="宋体"/>
          <w:color w:val="000000"/>
          <w:sz w:val="24"/>
          <w:szCs w:val="24"/>
          <w:highlight w:val="none"/>
        </w:rPr>
        <w:t>自验收合格且通过安装调试之日起，其投标产品质量保证期达到</w:t>
      </w:r>
      <w:r>
        <w:rPr>
          <w:rFonts w:hint="eastAsia" w:hAnsi="宋体" w:eastAsia="宋体" w:cs="宋体"/>
          <w:color w:val="000000"/>
          <w:sz w:val="24"/>
          <w:szCs w:val="24"/>
          <w:highlight w:val="none"/>
          <w:lang w:val="en-US" w:eastAsia="zh-CN"/>
        </w:rPr>
        <w:t>2</w:t>
      </w:r>
      <w:r>
        <w:rPr>
          <w:rFonts w:hint="eastAsia" w:hAnsi="宋体" w:eastAsia="宋体" w:cs="宋体"/>
          <w:color w:val="000000"/>
          <w:sz w:val="24"/>
          <w:szCs w:val="24"/>
          <w:highlight w:val="none"/>
        </w:rPr>
        <w:t>年。</w:t>
      </w:r>
    </w:p>
    <w:p w14:paraId="42D1AED8">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（二）售后服务内容</w:t>
      </w:r>
    </w:p>
    <w:p w14:paraId="265A2E3E">
      <w:pPr>
        <w:pStyle w:val="10"/>
        <w:keepNext w:val="0"/>
        <w:keepLines w:val="0"/>
        <w:pageBreakBefore w:val="0"/>
        <w:kinsoku/>
        <w:wordWrap/>
        <w:overflowPunct/>
        <w:topLinePunct w:val="0"/>
        <w:bidi w:val="0"/>
        <w:spacing w:line="440" w:lineRule="exact"/>
        <w:ind w:right="-255" w:firstLine="480" w:firstLineChars="200"/>
        <w:textAlignment w:val="auto"/>
        <w:rPr>
          <w:rFonts w:hAnsi="宋体" w:eastAsia="宋体" w:cs="宋体"/>
          <w:color w:val="000000"/>
          <w:sz w:val="24"/>
          <w:szCs w:val="24"/>
        </w:rPr>
      </w:pPr>
      <w:r>
        <w:rPr>
          <w:rFonts w:hint="eastAsia" w:hAnsi="宋体" w:eastAsia="宋体" w:cs="宋体"/>
          <w:color w:val="000000"/>
          <w:sz w:val="24"/>
          <w:szCs w:val="24"/>
        </w:rPr>
        <w:t>供应商所报产品提供原厂质保，在质量保证期内应当为采购人提供以下技术支持服务：</w:t>
      </w:r>
    </w:p>
    <w:p w14:paraId="27331953">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lang w:eastAsia="zh-CN"/>
        </w:rPr>
        <w:t>1.</w:t>
      </w:r>
      <w:r>
        <w:rPr>
          <w:rFonts w:hint="eastAsia" w:hAnsi="宋体" w:eastAsia="宋体" w:cs="宋体"/>
          <w:color w:val="000000"/>
          <w:sz w:val="24"/>
          <w:szCs w:val="24"/>
        </w:rPr>
        <w:t>质量保证期内服务要求</w:t>
      </w:r>
    </w:p>
    <w:p w14:paraId="37889796">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（1）电话咨询</w:t>
      </w:r>
    </w:p>
    <w:p w14:paraId="0361E7ED">
      <w:pPr>
        <w:pStyle w:val="10"/>
        <w:keepNext w:val="0"/>
        <w:keepLines w:val="0"/>
        <w:pageBreakBefore w:val="0"/>
        <w:kinsoku/>
        <w:wordWrap/>
        <w:overflowPunct/>
        <w:topLinePunct w:val="0"/>
        <w:bidi w:val="0"/>
        <w:spacing w:line="440" w:lineRule="exact"/>
        <w:ind w:right="-255" w:firstLine="480" w:firstLineChars="200"/>
        <w:textAlignment w:val="auto"/>
        <w:rPr>
          <w:rFonts w:hAnsi="宋体" w:eastAsia="宋体" w:cs="宋体"/>
          <w:color w:val="000000"/>
          <w:sz w:val="24"/>
          <w:szCs w:val="24"/>
        </w:rPr>
      </w:pPr>
      <w:r>
        <w:rPr>
          <w:rFonts w:hint="eastAsia" w:hAnsi="宋体" w:eastAsia="宋体" w:cs="宋体"/>
          <w:color w:val="000000"/>
          <w:sz w:val="24"/>
          <w:szCs w:val="24"/>
        </w:rPr>
        <w:t>供应商和厂家应当为用户提供技术援助电话，解答用户在使用中遇到的问题，及时为用户提出解决问题的建议。</w:t>
      </w:r>
    </w:p>
    <w:p w14:paraId="1FF1C55A">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（2）现场响应</w:t>
      </w:r>
    </w:p>
    <w:p w14:paraId="6E82CE92">
      <w:pPr>
        <w:pStyle w:val="10"/>
        <w:keepNext w:val="0"/>
        <w:keepLines w:val="0"/>
        <w:pageBreakBefore w:val="0"/>
        <w:kinsoku/>
        <w:wordWrap/>
        <w:overflowPunct/>
        <w:topLinePunct w:val="0"/>
        <w:bidi w:val="0"/>
        <w:spacing w:line="440" w:lineRule="exact"/>
        <w:ind w:right="-255" w:firstLine="480" w:firstLineChars="200"/>
        <w:textAlignment w:val="auto"/>
        <w:rPr>
          <w:rFonts w:hAnsi="宋体" w:eastAsia="宋体" w:cs="宋体"/>
          <w:color w:val="000000"/>
          <w:sz w:val="24"/>
          <w:szCs w:val="24"/>
        </w:rPr>
      </w:pPr>
      <w:r>
        <w:rPr>
          <w:rFonts w:hint="eastAsia" w:hAnsi="宋体" w:eastAsia="宋体" w:cs="宋体"/>
          <w:color w:val="000000"/>
          <w:sz w:val="24"/>
          <w:szCs w:val="24"/>
        </w:rPr>
        <w:t xml:space="preserve">用户遇到使用及技术问题，电话咨询不能解决的，供应商和厂家应在2小时内响应并采取相应措施，提供上门服务，确保产品正常工作。 </w:t>
      </w:r>
    </w:p>
    <w:p w14:paraId="5CE12A6E">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（3）技术升级</w:t>
      </w:r>
    </w:p>
    <w:p w14:paraId="7F92EBB4">
      <w:pPr>
        <w:pStyle w:val="10"/>
        <w:keepNext w:val="0"/>
        <w:keepLines w:val="0"/>
        <w:pageBreakBefore w:val="0"/>
        <w:kinsoku/>
        <w:wordWrap/>
        <w:overflowPunct/>
        <w:topLinePunct w:val="0"/>
        <w:bidi w:val="0"/>
        <w:spacing w:line="440" w:lineRule="exact"/>
        <w:ind w:right="-255" w:firstLine="480" w:firstLineChars="200"/>
        <w:textAlignment w:val="auto"/>
        <w:rPr>
          <w:rFonts w:hAnsi="宋体" w:eastAsia="宋体" w:cs="宋体"/>
          <w:color w:val="000000"/>
          <w:sz w:val="24"/>
          <w:szCs w:val="24"/>
        </w:rPr>
      </w:pPr>
      <w:r>
        <w:rPr>
          <w:rFonts w:hint="eastAsia" w:hAnsi="宋体" w:eastAsia="宋体" w:cs="宋体"/>
          <w:color w:val="000000"/>
          <w:sz w:val="24"/>
          <w:szCs w:val="24"/>
        </w:rPr>
        <w:t>在</w:t>
      </w:r>
      <w:r>
        <w:rPr>
          <w:rFonts w:hint="eastAsia" w:hAnsi="宋体" w:eastAsia="宋体" w:cs="宋体"/>
          <w:color w:val="000000"/>
          <w:sz w:val="24"/>
          <w:szCs w:val="24"/>
          <w:lang w:eastAsia="zh-CN"/>
        </w:rPr>
        <w:t>质量保证期</w:t>
      </w:r>
      <w:r>
        <w:rPr>
          <w:rFonts w:hint="eastAsia" w:hAnsi="宋体" w:eastAsia="宋体" w:cs="宋体"/>
          <w:color w:val="000000"/>
          <w:sz w:val="24"/>
          <w:szCs w:val="24"/>
        </w:rPr>
        <w:t>内，如果供应商和厂家的产品技术升级，供应商应及时通知采购人；如采购人有相应要求，供应商和厂家应对采购人进行升级服务。</w:t>
      </w:r>
    </w:p>
    <w:p w14:paraId="4C4C8842">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lang w:eastAsia="zh-CN"/>
        </w:rPr>
        <w:t>2.</w:t>
      </w:r>
      <w:r>
        <w:rPr>
          <w:rFonts w:hint="eastAsia" w:hAnsi="宋体" w:eastAsia="宋体" w:cs="宋体"/>
          <w:color w:val="000000"/>
          <w:sz w:val="24"/>
          <w:szCs w:val="24"/>
        </w:rPr>
        <w:t>质量保证期外服务要求</w:t>
      </w:r>
    </w:p>
    <w:p w14:paraId="3560635D">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（1）质量保证期过后，供应商和厂家应同样提供免费电话咨询服务，并应承诺提供产品上门维护服务。</w:t>
      </w:r>
    </w:p>
    <w:p w14:paraId="6FB9F036">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（2）质量保证期过后，采购人需要继续由原供应商和厂家提供售后服务的，该供应商和厂家应以优惠价格提供售后服务。</w:t>
      </w:r>
    </w:p>
    <w:p w14:paraId="524C2E76">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（三）故障响应时间要求</w:t>
      </w:r>
    </w:p>
    <w:p w14:paraId="42D62C33">
      <w:pPr>
        <w:pStyle w:val="10"/>
        <w:keepNext w:val="0"/>
        <w:keepLines w:val="0"/>
        <w:pageBreakBefore w:val="0"/>
        <w:kinsoku/>
        <w:wordWrap/>
        <w:overflowPunct/>
        <w:topLinePunct w:val="0"/>
        <w:bidi w:val="0"/>
        <w:spacing w:line="440" w:lineRule="exact"/>
        <w:ind w:right="-255" w:firstLine="480" w:firstLineChars="200"/>
        <w:textAlignment w:val="auto"/>
        <w:rPr>
          <w:rFonts w:hAnsi="宋体" w:eastAsia="宋体" w:cs="宋体"/>
          <w:color w:val="000000"/>
          <w:sz w:val="24"/>
          <w:szCs w:val="24"/>
        </w:rPr>
      </w:pPr>
      <w:r>
        <w:rPr>
          <w:rFonts w:hint="eastAsia" w:hAnsi="宋体" w:eastAsia="宋体" w:cs="宋体"/>
          <w:color w:val="000000"/>
          <w:sz w:val="24"/>
          <w:szCs w:val="24"/>
        </w:rPr>
        <w:t>在</w:t>
      </w:r>
      <w:r>
        <w:rPr>
          <w:rFonts w:hint="eastAsia" w:hAnsi="宋体" w:eastAsia="宋体" w:cs="宋体"/>
          <w:color w:val="000000"/>
          <w:sz w:val="24"/>
          <w:szCs w:val="24"/>
          <w:lang w:eastAsia="zh-CN"/>
        </w:rPr>
        <w:t>质量保证期</w:t>
      </w:r>
      <w:r>
        <w:rPr>
          <w:rFonts w:hint="eastAsia" w:hAnsi="宋体" w:eastAsia="宋体" w:cs="宋体"/>
          <w:color w:val="000000"/>
          <w:sz w:val="24"/>
          <w:szCs w:val="24"/>
        </w:rPr>
        <w:t>内，属质量问题者无条件保修。要求具备相应的维护保养服务能力，包括拥有本次所出售设备的备件、专用设备，拥有属其公司的可随时上门作维修及检测服务的专业技术人员。售后响应时间：1小时内响应，2小时内到达现场，无法在2小时内排除故障的，提供备用产品，确保用户能够正常使用。</w:t>
      </w:r>
    </w:p>
    <w:p w14:paraId="157BC010">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（四）维修配件</w:t>
      </w:r>
    </w:p>
    <w:p w14:paraId="6357B742">
      <w:pPr>
        <w:pStyle w:val="10"/>
        <w:keepNext w:val="0"/>
        <w:keepLines w:val="0"/>
        <w:pageBreakBefore w:val="0"/>
        <w:kinsoku/>
        <w:wordWrap/>
        <w:overflowPunct/>
        <w:topLinePunct w:val="0"/>
        <w:bidi w:val="0"/>
        <w:spacing w:line="440" w:lineRule="exact"/>
        <w:ind w:right="-255" w:firstLine="480" w:firstLineChars="200"/>
        <w:textAlignment w:val="auto"/>
      </w:pPr>
      <w:r>
        <w:rPr>
          <w:rFonts w:hint="eastAsia" w:hAnsi="宋体" w:eastAsia="宋体" w:cs="宋体"/>
          <w:color w:val="000000"/>
          <w:sz w:val="24"/>
          <w:szCs w:val="24"/>
        </w:rPr>
        <w:t>供应商和厂家售后服务中，使用的维修零配件应为原厂配件，未经用户同意不得使用非原厂配件。质保期内非人为故障均为免费维修，质保期后的维保采用先维修后付款的方式，终身免费维修，只收取配件或耗材成本费。</w:t>
      </w:r>
    </w:p>
    <w:p w14:paraId="4029125E">
      <w:pPr>
        <w:pStyle w:val="10"/>
        <w:keepNext w:val="0"/>
        <w:keepLines w:val="0"/>
        <w:pageBreakBefore w:val="0"/>
        <w:kinsoku/>
        <w:wordWrap/>
        <w:overflowPunct/>
        <w:topLinePunct w:val="0"/>
        <w:bidi w:val="0"/>
        <w:spacing w:line="440" w:lineRule="exact"/>
        <w:textAlignment w:val="auto"/>
        <w:outlineLvl w:val="1"/>
        <w:rPr>
          <w:rFonts w:hint="eastAsia" w:hAnsi="宋体" w:eastAsia="宋体" w:cs="宋体"/>
          <w:b/>
          <w:snapToGrid w:val="0"/>
          <w:kern w:val="0"/>
          <w:sz w:val="28"/>
          <w:szCs w:val="28"/>
          <w:lang w:eastAsia="zh-CN"/>
        </w:rPr>
      </w:pPr>
      <w:r>
        <w:rPr>
          <w:rFonts w:hint="eastAsia" w:hAnsi="宋体" w:eastAsia="宋体" w:cs="宋体"/>
          <w:b/>
          <w:snapToGrid w:val="0"/>
          <w:kern w:val="0"/>
          <w:sz w:val="28"/>
          <w:szCs w:val="28"/>
          <w:lang w:eastAsia="zh-CN"/>
        </w:rPr>
        <w:t>九、其他说明</w:t>
      </w:r>
    </w:p>
    <w:p w14:paraId="360DDB7D">
      <w:pPr>
        <w:pStyle w:val="12"/>
        <w:keepNext w:val="0"/>
        <w:keepLines w:val="0"/>
        <w:pageBreakBefore w:val="0"/>
        <w:kinsoku/>
        <w:wordWrap/>
        <w:overflowPunct/>
        <w:topLinePunct w:val="0"/>
        <w:bidi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（一）供货及安装、服务期间，所有安全责任全部由中标人承担。</w:t>
      </w:r>
    </w:p>
    <w:p w14:paraId="18149E4F">
      <w:pPr>
        <w:pStyle w:val="12"/>
        <w:keepNext w:val="0"/>
        <w:keepLines w:val="0"/>
        <w:pageBreakBefore w:val="0"/>
        <w:kinsoku/>
        <w:wordWrap/>
        <w:overflowPunct/>
        <w:topLinePunct w:val="0"/>
        <w:bidi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（二）供应商对其提供产品的使用和操作应尽培训义务。供应商应提供对采购人的基本免费培训，使采购人使用人员能够正常操作。</w:t>
      </w:r>
    </w:p>
    <w:p w14:paraId="673D63D0">
      <w:pPr>
        <w:pStyle w:val="12"/>
        <w:keepNext w:val="0"/>
        <w:keepLines w:val="0"/>
        <w:pageBreakBefore w:val="0"/>
        <w:kinsoku/>
        <w:wordWrap/>
        <w:overflowPunct/>
        <w:topLinePunct w:val="0"/>
        <w:bidi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（三）采购人在中华人民共和国境内使用成交供应商提供的货物及服务时免受第三方提出的侵犯其专利权或其它知识产权的起诉。如果第三方提出侵权指控，成交供应商应承担由此而引起的一切法律责任和费用。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9688625">
      <w:pPr>
        <w:pStyle w:val="12"/>
        <w:keepNext w:val="0"/>
        <w:keepLines w:val="0"/>
        <w:pageBreakBefore w:val="0"/>
        <w:kinsoku/>
        <w:wordWrap/>
        <w:overflowPunct/>
        <w:topLinePunct w:val="0"/>
        <w:bidi w:val="0"/>
        <w:spacing w:line="440" w:lineRule="exact"/>
        <w:ind w:firstLine="480" w:firstLineChars="200"/>
        <w:textAlignment w:val="auto"/>
        <w:rPr>
          <w:rFonts w:hint="eastAsia" w:hAnsi="宋体" w:eastAsia="宋体" w:cs="宋体"/>
          <w:b/>
          <w:snapToGrid w:val="0"/>
          <w:kern w:val="0"/>
          <w:sz w:val="28"/>
          <w:szCs w:val="28"/>
          <w:lang w:eastAsia="zh-CN"/>
        </w:rPr>
      </w:pPr>
      <w:r>
        <w:rPr>
          <w:rFonts w:hint="eastAsia" w:hAnsi="宋体"/>
          <w:color w:val="000000"/>
          <w:sz w:val="24"/>
          <w:szCs w:val="24"/>
        </w:rPr>
        <w:t>（四）其他未尽事宜由供需双方在采购合同中详细约定。</w:t>
      </w:r>
    </w:p>
    <w:p w14:paraId="05C6F9D9">
      <w:pPr>
        <w:pStyle w:val="10"/>
        <w:keepNext w:val="0"/>
        <w:keepLines w:val="0"/>
        <w:pageBreakBefore w:val="0"/>
        <w:kinsoku/>
        <w:wordWrap/>
        <w:overflowPunct/>
        <w:topLinePunct w:val="0"/>
        <w:bidi w:val="0"/>
        <w:spacing w:line="440" w:lineRule="exact"/>
        <w:textAlignment w:val="auto"/>
        <w:outlineLvl w:val="1"/>
        <w:rPr>
          <w:rFonts w:hAnsi="宋体" w:eastAsia="宋体" w:cs="宋体"/>
          <w:b/>
          <w:snapToGrid w:val="0"/>
          <w:kern w:val="0"/>
          <w:sz w:val="28"/>
          <w:szCs w:val="28"/>
        </w:rPr>
      </w:pPr>
      <w:r>
        <w:rPr>
          <w:rFonts w:hint="eastAsia" w:hAnsi="宋体" w:eastAsia="宋体" w:cs="宋体"/>
          <w:b/>
          <w:snapToGrid w:val="0"/>
          <w:kern w:val="0"/>
          <w:sz w:val="28"/>
          <w:szCs w:val="28"/>
        </w:rPr>
        <w:t>十、现场踏勘</w:t>
      </w:r>
    </w:p>
    <w:p w14:paraId="1490E47F">
      <w:pPr>
        <w:keepNext w:val="0"/>
        <w:keepLines w:val="0"/>
        <w:pageBreakBefore w:val="0"/>
        <w:kinsoku/>
        <w:wordWrap/>
        <w:overflowPunct/>
        <w:topLinePunct w:val="0"/>
        <w:bidi w:val="0"/>
        <w:spacing w:line="440" w:lineRule="exact"/>
        <w:textAlignment w:val="auto"/>
        <w:rPr>
          <w:rFonts w:eastAsia="宋体"/>
        </w:rPr>
      </w:pP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请自行估价，如对项目内容有疑问，可前往我校袁家岗校区自行踏勘。无论是否踏勘，都视为已了解项目情况</w:t>
      </w:r>
      <w:r>
        <w:rPr>
          <w:rFonts w:hint="eastAsia" w:ascii="宋体" w:hAnsi="宋体" w:eastAsia="宋体" w:cs="宋体"/>
          <w:color w:val="000000"/>
          <w:sz w:val="24"/>
          <w:szCs w:val="24"/>
        </w:rPr>
        <w:t>。踏勘联系人：后勤管理处</w:t>
      </w:r>
      <w:r>
        <w:rPr>
          <w:rFonts w:hint="eastAsia" w:ascii="宋体" w:hAnsi="宋体" w:eastAsia="宋体" w:cs="宋体"/>
          <w:color w:val="000000"/>
          <w:sz w:val="24"/>
          <w:szCs w:val="24"/>
          <w:lang w:val="en-US" w:eastAsia="zh-CN"/>
        </w:rPr>
        <w:t>刘</w:t>
      </w:r>
      <w:r>
        <w:rPr>
          <w:rFonts w:hint="eastAsia" w:ascii="宋体" w:hAnsi="宋体" w:eastAsia="宋体" w:cs="宋体"/>
          <w:color w:val="000000"/>
          <w:sz w:val="24"/>
          <w:szCs w:val="24"/>
        </w:rPr>
        <w:t>老师，</w:t>
      </w:r>
      <w:r>
        <w:rPr>
          <w:rFonts w:hint="eastAsia" w:ascii="宋体" w:hAnsi="宋体" w:eastAsia="宋体" w:cs="宋体"/>
          <w:color w:val="000000"/>
          <w:sz w:val="24"/>
          <w:szCs w:val="24"/>
          <w:lang w:val="en-US" w:eastAsia="zh-CN"/>
        </w:rPr>
        <w:t>023-68485488</w:t>
      </w:r>
      <w:r>
        <w:rPr>
          <w:rFonts w:hint="eastAsia" w:ascii="宋体" w:hAnsi="宋体" w:eastAsia="宋体" w:cs="宋体"/>
          <w:color w:val="000000"/>
          <w:sz w:val="24"/>
          <w:szCs w:val="24"/>
        </w:rPr>
        <w:t>。</w:t>
      </w:r>
    </w:p>
    <w:p w14:paraId="38455259">
      <w:pPr>
        <w:pStyle w:val="10"/>
        <w:keepNext w:val="0"/>
        <w:keepLines w:val="0"/>
        <w:pageBreakBefore w:val="0"/>
        <w:kinsoku/>
        <w:wordWrap/>
        <w:overflowPunct/>
        <w:topLinePunct w:val="0"/>
        <w:bidi w:val="0"/>
        <w:spacing w:line="440" w:lineRule="exact"/>
        <w:textAlignment w:val="auto"/>
        <w:outlineLvl w:val="1"/>
        <w:rPr>
          <w:rFonts w:hAnsi="宋体" w:eastAsia="宋体" w:cs="宋体"/>
          <w:b/>
          <w:snapToGrid w:val="0"/>
          <w:kern w:val="0"/>
          <w:sz w:val="28"/>
          <w:szCs w:val="28"/>
        </w:rPr>
      </w:pPr>
      <w:r>
        <w:rPr>
          <w:rFonts w:hint="eastAsia" w:hAnsi="宋体" w:eastAsia="宋体" w:cs="宋体"/>
          <w:b/>
          <w:snapToGrid w:val="0"/>
          <w:kern w:val="0"/>
          <w:sz w:val="28"/>
          <w:szCs w:val="28"/>
        </w:rPr>
        <w:t>十</w:t>
      </w:r>
      <w:r>
        <w:rPr>
          <w:rFonts w:hint="eastAsia" w:hAnsi="宋体" w:eastAsia="宋体" w:cs="宋体"/>
          <w:b/>
          <w:snapToGrid w:val="0"/>
          <w:kern w:val="0"/>
          <w:sz w:val="28"/>
          <w:szCs w:val="28"/>
          <w:lang w:eastAsia="zh-CN"/>
        </w:rPr>
        <w:t>一</w:t>
      </w:r>
      <w:r>
        <w:rPr>
          <w:rFonts w:hint="eastAsia" w:hAnsi="宋体" w:eastAsia="宋体" w:cs="宋体"/>
          <w:b/>
          <w:snapToGrid w:val="0"/>
          <w:kern w:val="0"/>
          <w:sz w:val="28"/>
          <w:szCs w:val="28"/>
        </w:rPr>
        <w:t>、联系方式</w:t>
      </w:r>
    </w:p>
    <w:p w14:paraId="0B7B814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采购执行方：重庆医科大学</w:t>
      </w:r>
      <w:r>
        <w:rPr>
          <w:rFonts w:hint="eastAsia" w:ascii="宋体" w:hAnsi="宋体" w:eastAsia="宋体" w:cs="宋体"/>
          <w:sz w:val="24"/>
          <w:szCs w:val="24"/>
          <w:lang w:eastAsia="zh-CN"/>
        </w:rPr>
        <w:t>招标采购中心</w:t>
      </w:r>
    </w:p>
    <w:p w14:paraId="0F3F5BC0">
      <w:pPr>
        <w:keepNext w:val="0"/>
        <w:keepLines w:val="0"/>
        <w:pageBreakBefore w:val="0"/>
        <w:kinsoku/>
        <w:wordWrap/>
        <w:overflowPunct/>
        <w:topLinePunct w:val="0"/>
        <w:bidi w:val="0"/>
        <w:spacing w:line="440" w:lineRule="exact"/>
        <w:ind w:left="720" w:firstLine="720" w:firstLineChars="300"/>
        <w:textAlignment w:val="auto"/>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鲁</w:t>
      </w:r>
      <w:r>
        <w:rPr>
          <w:rFonts w:ascii="宋体" w:hAnsi="宋体" w:eastAsia="宋体" w:cs="宋体"/>
          <w:sz w:val="24"/>
          <w:szCs w:val="24"/>
        </w:rPr>
        <w:t>老师</w:t>
      </w:r>
    </w:p>
    <w:p w14:paraId="41ECEBCF">
      <w:pPr>
        <w:keepNext w:val="0"/>
        <w:keepLines w:val="0"/>
        <w:pageBreakBefore w:val="0"/>
        <w:kinsoku/>
        <w:wordWrap/>
        <w:overflowPunct/>
        <w:topLinePunct w:val="0"/>
        <w:bidi w:val="0"/>
        <w:spacing w:line="440" w:lineRule="exact"/>
        <w:ind w:left="720"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  话：</w:t>
      </w:r>
      <w:r>
        <w:rPr>
          <w:rFonts w:ascii="宋体" w:hAnsi="宋体" w:eastAsia="宋体" w:cs="宋体"/>
          <w:sz w:val="24"/>
          <w:szCs w:val="24"/>
        </w:rPr>
        <w:t>023-</w:t>
      </w:r>
      <w:r>
        <w:rPr>
          <w:rFonts w:hint="eastAsia" w:ascii="宋体" w:hAnsi="宋体" w:eastAsia="宋体" w:cs="宋体"/>
          <w:sz w:val="24"/>
          <w:szCs w:val="24"/>
          <w:lang w:val="en-US" w:eastAsia="zh-CN"/>
        </w:rPr>
        <w:t>68485118</w:t>
      </w:r>
    </w:p>
    <w:p w14:paraId="7BDCD7B2">
      <w:pPr>
        <w:keepNext w:val="0"/>
        <w:keepLines w:val="0"/>
        <w:pageBreakBefore w:val="0"/>
        <w:kinsoku/>
        <w:wordWrap/>
        <w:overflowPunct/>
        <w:topLinePunct w:val="0"/>
        <w:bidi w:val="0"/>
        <w:spacing w:line="440" w:lineRule="exact"/>
        <w:ind w:left="720" w:firstLine="720" w:firstLineChars="300"/>
        <w:textAlignment w:val="auto"/>
        <w:rPr>
          <w:rFonts w:hint="eastAsia" w:ascii="宋体" w:hAnsi="宋体" w:eastAsia="宋体" w:cs="宋体"/>
          <w:bCs/>
          <w:color w:val="000000"/>
          <w:sz w:val="24"/>
          <w:szCs w:val="24"/>
        </w:rPr>
      </w:pPr>
      <w:r>
        <w:rPr>
          <w:rFonts w:hint="eastAsia" w:ascii="宋体" w:hAnsi="宋体" w:eastAsia="宋体" w:cs="宋体"/>
          <w:sz w:val="24"/>
          <w:szCs w:val="24"/>
        </w:rPr>
        <w:t>地  址：</w:t>
      </w:r>
      <w:r>
        <w:rPr>
          <w:rFonts w:hint="eastAsia" w:ascii="宋体" w:hAnsi="宋体" w:eastAsia="宋体" w:cs="宋体"/>
          <w:bCs/>
          <w:color w:val="000000"/>
          <w:sz w:val="24"/>
          <w:szCs w:val="24"/>
        </w:rPr>
        <w:t>重庆医科大学袁家岗校区南楼B</w:t>
      </w:r>
      <w:r>
        <w:rPr>
          <w:rFonts w:hint="eastAsia" w:ascii="宋体" w:hAnsi="宋体" w:eastAsia="宋体" w:cs="宋体"/>
          <w:bCs/>
          <w:color w:val="000000"/>
          <w:sz w:val="24"/>
          <w:szCs w:val="24"/>
          <w:lang w:val="en-US" w:eastAsia="zh-CN"/>
        </w:rPr>
        <w:t>129</w:t>
      </w:r>
      <w:r>
        <w:rPr>
          <w:rFonts w:hint="eastAsia" w:ascii="宋体" w:hAnsi="宋体" w:eastAsia="宋体" w:cs="宋体"/>
          <w:bCs/>
          <w:color w:val="000000"/>
          <w:sz w:val="24"/>
          <w:szCs w:val="24"/>
        </w:rPr>
        <w:t>招标采购中心</w:t>
      </w:r>
    </w:p>
    <w:p w14:paraId="7F9CAD22">
      <w:pPr>
        <w:keepNext w:val="0"/>
        <w:keepLines w:val="0"/>
        <w:pageBreakBefore w:val="0"/>
        <w:kinsoku/>
        <w:wordWrap/>
        <w:overflowPunct/>
        <w:topLinePunct w:val="0"/>
        <w:bidi w:val="0"/>
        <w:spacing w:line="440" w:lineRule="exact"/>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采购需求方：重庆医科大学</w:t>
      </w:r>
    </w:p>
    <w:p w14:paraId="18941FDA">
      <w:pPr>
        <w:keepNext w:val="0"/>
        <w:keepLines w:val="0"/>
        <w:pageBreakBefore w:val="0"/>
        <w:kinsoku/>
        <w:wordWrap/>
        <w:overflowPunct/>
        <w:topLinePunct w:val="0"/>
        <w:bidi w:val="0"/>
        <w:spacing w:line="440" w:lineRule="exact"/>
        <w:ind w:left="720"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成老师</w:t>
      </w:r>
    </w:p>
    <w:p w14:paraId="6C26AABF">
      <w:pPr>
        <w:keepNext w:val="0"/>
        <w:keepLines w:val="0"/>
        <w:pageBreakBefore w:val="0"/>
        <w:kinsoku/>
        <w:wordWrap/>
        <w:overflowPunct/>
        <w:topLinePunct w:val="0"/>
        <w:bidi w:val="0"/>
        <w:spacing w:line="440" w:lineRule="exact"/>
        <w:ind w:left="720" w:firstLine="720" w:firstLineChars="3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val="en-US" w:eastAsia="zh-CN"/>
        </w:rPr>
        <w:t>023-68485003</w:t>
      </w:r>
    </w:p>
    <w:p w14:paraId="789D6618">
      <w:pPr>
        <w:pStyle w:val="10"/>
        <w:keepNext w:val="0"/>
        <w:keepLines w:val="0"/>
        <w:pageBreakBefore w:val="0"/>
        <w:kinsoku/>
        <w:wordWrap/>
        <w:overflowPunct/>
        <w:topLinePunct w:val="0"/>
        <w:bidi w:val="0"/>
        <w:spacing w:line="440" w:lineRule="exact"/>
        <w:textAlignment w:val="auto"/>
        <w:outlineLvl w:val="1"/>
        <w:rPr>
          <w:rFonts w:hAnsi="宋体" w:eastAsia="宋体" w:cs="宋体"/>
          <w:b/>
          <w:snapToGrid w:val="0"/>
          <w:kern w:val="0"/>
          <w:sz w:val="28"/>
          <w:szCs w:val="28"/>
        </w:rPr>
      </w:pPr>
      <w:r>
        <w:rPr>
          <w:rFonts w:hint="eastAsia" w:hAnsi="宋体" w:eastAsia="宋体" w:cs="宋体"/>
          <w:b/>
          <w:snapToGrid w:val="0"/>
          <w:kern w:val="0"/>
          <w:sz w:val="28"/>
          <w:szCs w:val="28"/>
        </w:rPr>
        <w:t>十</w:t>
      </w:r>
      <w:r>
        <w:rPr>
          <w:rFonts w:hint="eastAsia" w:hAnsi="宋体" w:eastAsia="宋体" w:cs="宋体"/>
          <w:b/>
          <w:snapToGrid w:val="0"/>
          <w:kern w:val="0"/>
          <w:sz w:val="28"/>
          <w:szCs w:val="28"/>
          <w:lang w:eastAsia="zh-CN"/>
        </w:rPr>
        <w:t>二</w:t>
      </w:r>
      <w:r>
        <w:rPr>
          <w:rFonts w:hint="eastAsia" w:hAnsi="宋体" w:eastAsia="宋体" w:cs="宋体"/>
          <w:b/>
          <w:snapToGrid w:val="0"/>
          <w:kern w:val="0"/>
          <w:sz w:val="28"/>
          <w:szCs w:val="28"/>
        </w:rPr>
        <w:t>、成交及废标原则</w:t>
      </w:r>
    </w:p>
    <w:p w14:paraId="57A2EC0B">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rPr>
        <w:t>（一）成交原则：</w:t>
      </w:r>
    </w:p>
    <w:p w14:paraId="516BAA29">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rPr>
        <w:t>在符合项目要求的供应商数量不少于“3家”的前提下，按报价最低的原则推荐成交供应商，如出现两个以上相同最低报价的，则以先报价的供应商为中标供应商。中标公告期限为1个工作日。</w:t>
      </w:r>
    </w:p>
    <w:p w14:paraId="3ED7B176">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rPr>
        <w:t>（二）采购异议处理：</w:t>
      </w:r>
    </w:p>
    <w:p w14:paraId="51826B1C">
      <w:pPr>
        <w:pStyle w:val="12"/>
        <w:keepNext w:val="0"/>
        <w:keepLines w:val="0"/>
        <w:pageBreakBefore w:val="0"/>
        <w:kinsoku/>
        <w:wordWrap/>
        <w:overflowPunct/>
        <w:topLinePunct w:val="0"/>
        <w:bidi w:val="0"/>
        <w:spacing w:line="440" w:lineRule="exact"/>
        <w:ind w:firstLine="480" w:firstLineChars="200"/>
        <w:textAlignment w:val="auto"/>
        <w:rPr>
          <w:rFonts w:hAnsi="宋体"/>
          <w:color w:val="auto"/>
          <w:sz w:val="24"/>
          <w:szCs w:val="24"/>
        </w:rPr>
      </w:pPr>
      <w:r>
        <w:rPr>
          <w:rFonts w:hint="eastAsia" w:hAnsi="宋体"/>
          <w:color w:val="000000"/>
          <w:sz w:val="24"/>
          <w:szCs w:val="24"/>
          <w:lang w:eastAsia="zh-CN"/>
        </w:rPr>
        <w:t>1.</w:t>
      </w:r>
      <w:r>
        <w:rPr>
          <w:rFonts w:hint="eastAsia" w:hAnsi="宋体"/>
          <w:color w:val="000000"/>
          <w:sz w:val="24"/>
          <w:szCs w:val="24"/>
        </w:rPr>
        <w:t>供应商对采购文件中供应商特定资格条件、技术质量和商务要求、评审标准及评审细则有异议的</w:t>
      </w:r>
      <w:r>
        <w:rPr>
          <w:rFonts w:hint="eastAsia" w:hAnsi="宋体"/>
          <w:color w:val="auto"/>
          <w:sz w:val="24"/>
          <w:szCs w:val="24"/>
        </w:rPr>
        <w:t>，应</w:t>
      </w:r>
      <w:r>
        <w:rPr>
          <w:rFonts w:hint="eastAsia" w:hAnsi="宋体"/>
          <w:color w:val="auto"/>
          <w:sz w:val="24"/>
          <w:szCs w:val="24"/>
          <w:lang w:eastAsia="zh-CN"/>
        </w:rPr>
        <w:t>以书面形式在询价公告发布之日起</w:t>
      </w:r>
      <w:r>
        <w:rPr>
          <w:rFonts w:hint="eastAsia" w:hAnsi="宋体"/>
          <w:color w:val="auto"/>
          <w:sz w:val="24"/>
          <w:szCs w:val="24"/>
          <w:lang w:val="en-US" w:eastAsia="zh-CN"/>
        </w:rPr>
        <w:t>2个日历日内</w:t>
      </w:r>
      <w:r>
        <w:rPr>
          <w:rFonts w:hint="eastAsia" w:hAnsi="宋体"/>
          <w:color w:val="auto"/>
          <w:sz w:val="24"/>
          <w:szCs w:val="24"/>
        </w:rPr>
        <w:t>及时向采购人提出。</w:t>
      </w:r>
    </w:p>
    <w:p w14:paraId="3F9A0C45">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lang w:eastAsia="zh-CN"/>
        </w:rPr>
        <w:t>2.</w:t>
      </w:r>
      <w:r>
        <w:rPr>
          <w:rFonts w:hint="eastAsia" w:hAnsi="宋体"/>
          <w:color w:val="000000"/>
          <w:sz w:val="24"/>
          <w:szCs w:val="24"/>
        </w:rPr>
        <w:t>供应商对成交结果或中标结果有异议的，应当在成交预公示发布之日起1个日历日内以书面形式向采购人提出，并附相关证明材料。</w:t>
      </w:r>
    </w:p>
    <w:p w14:paraId="279025F2">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lang w:eastAsia="zh-CN"/>
        </w:rPr>
        <w:t>3.</w:t>
      </w:r>
      <w:r>
        <w:rPr>
          <w:rFonts w:hint="eastAsia" w:hAnsi="宋体"/>
          <w:color w:val="000000"/>
          <w:sz w:val="24"/>
          <w:szCs w:val="24"/>
        </w:rPr>
        <w:t>采购人在收到供应商书面异议后3个工作日内，通过书面方式对异议进行答复。</w:t>
      </w:r>
    </w:p>
    <w:p w14:paraId="20881F11">
      <w:pPr>
        <w:pStyle w:val="12"/>
        <w:keepNext w:val="0"/>
        <w:keepLines w:val="0"/>
        <w:pageBreakBefore w:val="0"/>
        <w:kinsoku/>
        <w:wordWrap/>
        <w:overflowPunct/>
        <w:topLinePunct w:val="0"/>
        <w:bidi w:val="0"/>
        <w:spacing w:line="440" w:lineRule="exact"/>
        <w:ind w:firstLine="480" w:firstLineChars="200"/>
        <w:textAlignment w:val="auto"/>
        <w:rPr>
          <w:rFonts w:hint="eastAsia" w:hAnsi="宋体"/>
          <w:color w:val="000000"/>
          <w:sz w:val="24"/>
          <w:szCs w:val="24"/>
          <w:lang w:val="en-US" w:eastAsia="zh-CN"/>
        </w:rPr>
      </w:pPr>
      <w:r>
        <w:rPr>
          <w:rFonts w:hint="eastAsia" w:hAnsi="宋体"/>
          <w:color w:val="000000"/>
          <w:sz w:val="24"/>
          <w:szCs w:val="24"/>
          <w:lang w:eastAsia="zh-CN"/>
        </w:rPr>
        <w:t>4.</w:t>
      </w:r>
      <w:r>
        <w:rPr>
          <w:rFonts w:hint="eastAsia" w:hAnsi="宋体"/>
          <w:color w:val="000000"/>
          <w:sz w:val="24"/>
          <w:szCs w:val="24"/>
        </w:rPr>
        <w:t>对于供应商弄虚作假、恶意中标或中标后</w:t>
      </w:r>
      <w:r>
        <w:rPr>
          <w:rFonts w:hint="eastAsia" w:hAnsi="宋体"/>
          <w:color w:val="000000"/>
          <w:sz w:val="24"/>
          <w:szCs w:val="24"/>
          <w:lang w:eastAsia="zh-CN"/>
        </w:rPr>
        <w:t>无正当理由放弃项目中标资格、拒绝与学校签订经济合同或拒绝履行合同义务</w:t>
      </w:r>
      <w:r>
        <w:rPr>
          <w:rFonts w:hint="eastAsia" w:hAnsi="宋体"/>
          <w:color w:val="000000"/>
          <w:sz w:val="24"/>
          <w:szCs w:val="24"/>
        </w:rPr>
        <w:t>等不良行为，</w:t>
      </w:r>
      <w:r>
        <w:rPr>
          <w:rFonts w:hint="eastAsia" w:hAnsi="宋体"/>
          <w:color w:val="000000"/>
          <w:sz w:val="24"/>
          <w:szCs w:val="24"/>
          <w:lang w:eastAsia="zh-CN"/>
        </w:rPr>
        <w:t>采购人</w:t>
      </w:r>
      <w:r>
        <w:rPr>
          <w:rFonts w:hint="eastAsia" w:hAnsi="宋体"/>
          <w:color w:val="000000"/>
          <w:sz w:val="24"/>
          <w:szCs w:val="24"/>
          <w:lang w:val="en-US" w:eastAsia="zh-CN"/>
        </w:rPr>
        <w:t>将其列入我校失信惩戒对象名单，并视其行为性质和情节轻重给予处理。</w:t>
      </w:r>
    </w:p>
    <w:p w14:paraId="00489464">
      <w:pPr>
        <w:pStyle w:val="12"/>
        <w:keepNext w:val="0"/>
        <w:keepLines w:val="0"/>
        <w:pageBreakBefore w:val="0"/>
        <w:kinsoku/>
        <w:wordWrap/>
        <w:overflowPunct/>
        <w:topLinePunct w:val="0"/>
        <w:bidi w:val="0"/>
        <w:spacing w:line="440" w:lineRule="exact"/>
        <w:ind w:firstLine="480" w:firstLineChars="200"/>
        <w:textAlignment w:val="auto"/>
        <w:rPr>
          <w:rFonts w:hint="eastAsia" w:hAnsi="宋体" w:eastAsiaTheme="minorEastAsia"/>
          <w:color w:val="000000"/>
          <w:sz w:val="24"/>
          <w:szCs w:val="24"/>
          <w:highlight w:val="none"/>
          <w:lang w:eastAsia="zh-CN"/>
        </w:rPr>
      </w:pPr>
      <w:r>
        <w:rPr>
          <w:rFonts w:hint="eastAsia" w:hAnsi="宋体"/>
          <w:color w:val="000000"/>
          <w:sz w:val="24"/>
          <w:szCs w:val="24"/>
          <w:highlight w:val="none"/>
          <w:lang w:eastAsia="zh-CN"/>
        </w:rPr>
        <w:t>注：若网上询价公告和本询价文件表述不一致的地方，以本询价文件为准。</w:t>
      </w:r>
    </w:p>
    <w:p w14:paraId="3F6AA3B8">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rPr>
        <w:t>（三）废标条款</w:t>
      </w:r>
    </w:p>
    <w:p w14:paraId="7594A5E1">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rPr>
        <w:t>出现下列情形之一的，采购人有权终止询价采购活动，发布项目终止公告并说明原因，根据采购人需求视情进行重新采购：</w:t>
      </w:r>
    </w:p>
    <w:p w14:paraId="07F2372A">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lang w:eastAsia="zh-CN"/>
        </w:rPr>
        <w:t>1.</w:t>
      </w:r>
      <w:r>
        <w:rPr>
          <w:rFonts w:hint="eastAsia" w:hAnsi="宋体"/>
          <w:color w:val="000000"/>
          <w:sz w:val="24"/>
          <w:szCs w:val="24"/>
        </w:rPr>
        <w:t>因采购人需求做了变更，又无法补遗的情况下；</w:t>
      </w:r>
    </w:p>
    <w:p w14:paraId="6EB9A658">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lang w:eastAsia="zh-CN"/>
        </w:rPr>
        <w:t>2.</w:t>
      </w:r>
      <w:r>
        <w:rPr>
          <w:rFonts w:hint="eastAsia" w:hAnsi="宋体"/>
          <w:color w:val="000000"/>
          <w:sz w:val="24"/>
          <w:szCs w:val="24"/>
        </w:rPr>
        <w:t>出现影响采购公正的违法、违规行为的；</w:t>
      </w:r>
    </w:p>
    <w:p w14:paraId="67B30C7F">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lang w:eastAsia="zh-CN"/>
        </w:rPr>
        <w:t>3.</w:t>
      </w:r>
      <w:r>
        <w:rPr>
          <w:rFonts w:hint="eastAsia" w:hAnsi="宋体"/>
          <w:color w:val="000000"/>
          <w:sz w:val="24"/>
          <w:szCs w:val="24"/>
        </w:rPr>
        <w:t>在采购过程中符合竞争要求的供应商或者报价未超过采购预算的供应商不足3家的；</w:t>
      </w:r>
    </w:p>
    <w:p w14:paraId="385F86C9">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lang w:eastAsia="zh-CN"/>
        </w:rPr>
        <w:t>4.</w:t>
      </w:r>
      <w:r>
        <w:rPr>
          <w:rFonts w:hint="eastAsia" w:hAnsi="宋体"/>
          <w:color w:val="000000"/>
          <w:sz w:val="24"/>
          <w:szCs w:val="24"/>
        </w:rPr>
        <w:t>开标后，采购人需求做出改变，与询价需求严重不符时，采购人有权取消本次询价采购，并说明原因。</w:t>
      </w:r>
    </w:p>
    <w:p w14:paraId="794C321A">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rPr>
        <w:t>（四）成交供应商的变更情况</w:t>
      </w:r>
    </w:p>
    <w:p w14:paraId="4EFD1A88">
      <w:pPr>
        <w:pStyle w:val="12"/>
        <w:keepNext w:val="0"/>
        <w:keepLines w:val="0"/>
        <w:pageBreakBefore w:val="0"/>
        <w:kinsoku/>
        <w:wordWrap/>
        <w:overflowPunct/>
        <w:topLinePunct w:val="0"/>
        <w:bidi w:val="0"/>
        <w:spacing w:line="440" w:lineRule="exact"/>
        <w:ind w:firstLine="480" w:firstLineChars="200"/>
        <w:textAlignment w:val="auto"/>
        <w:rPr>
          <w:rFonts w:hint="eastAsia" w:hAnsi="宋体"/>
          <w:color w:val="000000"/>
          <w:sz w:val="24"/>
          <w:szCs w:val="24"/>
        </w:rPr>
      </w:pPr>
      <w:r>
        <w:rPr>
          <w:rFonts w:hint="eastAsia" w:hAnsi="宋体"/>
          <w:color w:val="000000"/>
          <w:sz w:val="24"/>
          <w:szCs w:val="24"/>
        </w:rPr>
        <w:t>成交供应商因不可抗力或者自身原因不能履行合同的，采购人可以确定排名其后一位的成交候选人为成交供应商或重新组织挂网招标。</w:t>
      </w:r>
    </w:p>
    <w:p w14:paraId="348968A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snapToGrid w:val="0"/>
          <w:color w:val="FF0000"/>
          <w:kern w:val="0"/>
          <w:sz w:val="28"/>
          <w:szCs w:val="28"/>
          <w:highlight w:val="yellow"/>
          <w:lang w:val="en-US" w:eastAsia="zh-CN"/>
        </w:rPr>
      </w:pPr>
      <w:r>
        <w:rPr>
          <w:rFonts w:hint="eastAsia" w:hAnsi="宋体"/>
          <w:color w:val="000000"/>
          <w:sz w:val="24"/>
          <w:szCs w:val="24"/>
          <w:lang w:eastAsia="zh-CN"/>
        </w:rPr>
        <w:t>（五）</w:t>
      </w:r>
      <w:r>
        <w:rPr>
          <w:rFonts w:hint="eastAsia" w:hAnsi="宋体"/>
          <w:bCs/>
          <w:sz w:val="24"/>
          <w:szCs w:val="24"/>
        </w:rPr>
        <w:t>列入我校失信惩戒对象名单</w:t>
      </w:r>
      <w:r>
        <w:rPr>
          <w:rFonts w:hint="eastAsia" w:hAnsi="宋体"/>
          <w:bCs/>
          <w:sz w:val="24"/>
          <w:szCs w:val="24"/>
          <w:lang w:eastAsia="zh-CN"/>
        </w:rPr>
        <w:t>的供应商将视情节严重程度，给予其中标无效、没收其投标保证金、履约保证金，扣减合同价款、单方面解除合同、要求其赔偿损失等，禁止供应商及关联关系方（指单位负责人为同一人或存在直接控股、关联关系的不同供应商）3个月至3年内参与学校自主采购项目投标。情节特别严重的，向财政行政部门或其他有关部门上报。</w:t>
      </w:r>
      <w:r>
        <w:rPr>
          <w:rFonts w:hint="eastAsia" w:ascii="宋体" w:hAnsi="宋体" w:eastAsia="宋体" w:cs="宋体"/>
          <w:b/>
          <w:snapToGrid w:val="0"/>
          <w:kern w:val="0"/>
          <w:sz w:val="28"/>
          <w:szCs w:val="28"/>
        </w:rPr>
        <w:br w:type="textWrapping"/>
      </w:r>
      <w:r>
        <w:rPr>
          <w:rFonts w:hint="eastAsia" w:ascii="宋体" w:hAnsi="宋体" w:eastAsia="宋体" w:cs="宋体"/>
          <w:b/>
          <w:snapToGrid w:val="0"/>
          <w:kern w:val="0"/>
          <w:sz w:val="28"/>
          <w:szCs w:val="28"/>
        </w:rPr>
        <w:t>十</w:t>
      </w:r>
      <w:r>
        <w:rPr>
          <w:rFonts w:hint="eastAsia" w:ascii="宋体" w:hAnsi="宋体" w:eastAsia="宋体" w:cs="宋体"/>
          <w:b/>
          <w:snapToGrid w:val="0"/>
          <w:kern w:val="0"/>
          <w:sz w:val="28"/>
          <w:szCs w:val="28"/>
          <w:lang w:eastAsia="zh-CN"/>
        </w:rPr>
        <w:t>三</w:t>
      </w:r>
      <w:r>
        <w:rPr>
          <w:rFonts w:hint="eastAsia" w:ascii="宋体" w:hAnsi="宋体" w:eastAsia="宋体" w:cs="宋体"/>
          <w:b/>
          <w:snapToGrid w:val="0"/>
          <w:kern w:val="0"/>
          <w:sz w:val="28"/>
          <w:szCs w:val="28"/>
        </w:rPr>
        <w:t>、签订采购合同的要求及模版</w:t>
      </w:r>
    </w:p>
    <w:p w14:paraId="573F2E16">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（一）签订采购合同的要求</w:t>
      </w:r>
    </w:p>
    <w:p w14:paraId="539D02A3">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bookmarkStart w:id="5" w:name="_Toc303945820"/>
      <w:bookmarkStart w:id="6" w:name="_Toc148265480"/>
      <w:r>
        <w:rPr>
          <w:rFonts w:hint="eastAsia" w:asciiTheme="minorEastAsia" w:hAnsiTheme="minorEastAsia" w:cstheme="minorEastAsia"/>
          <w:color w:val="000000"/>
          <w:sz w:val="24"/>
          <w:szCs w:val="24"/>
          <w:lang w:eastAsia="zh-CN"/>
        </w:rPr>
        <w:t>1.</w:t>
      </w:r>
      <w:r>
        <w:rPr>
          <w:rFonts w:hint="eastAsia" w:asciiTheme="minorEastAsia" w:hAnsiTheme="minorEastAsia" w:cstheme="minorEastAsia"/>
          <w:color w:val="000000"/>
          <w:sz w:val="24"/>
          <w:szCs w:val="24"/>
        </w:rPr>
        <w:t>采购人应当自中标结果公示结束之日起三十日内，按照询价文件和成交供应商响应文件的约定，与成交供应商签订书面合同。所签订的合同不得对询价文件和供应商的响应文件作实质性修改。其他未尽事宜由采购人和成交供应商在采购合同中详细约定。</w:t>
      </w:r>
    </w:p>
    <w:p w14:paraId="7506737C">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2.</w:t>
      </w:r>
      <w:r>
        <w:rPr>
          <w:rFonts w:hint="eastAsia" w:asciiTheme="minorEastAsia" w:hAnsiTheme="minorEastAsia" w:cstheme="minorEastAsia"/>
          <w:color w:val="000000"/>
          <w:sz w:val="24"/>
          <w:szCs w:val="24"/>
        </w:rPr>
        <w:t>询价文件、供应商的响应文件及澄清文件等，均为签订合同的依据。</w:t>
      </w:r>
    </w:p>
    <w:p w14:paraId="2C19FE03">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3.</w:t>
      </w:r>
      <w:r>
        <w:rPr>
          <w:rFonts w:hint="eastAsia" w:asciiTheme="minorEastAsia" w:hAnsiTheme="minorEastAsia" w:cstheme="minorEastAsia"/>
          <w:color w:val="000000"/>
          <w:sz w:val="24"/>
          <w:szCs w:val="24"/>
        </w:rPr>
        <w:t>合同生效条款由供需双方约定，法律、行政法规规定应当办理批准、登记等手续后生效的合同，依照其规定。</w:t>
      </w:r>
    </w:p>
    <w:p w14:paraId="4C5D8171">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4.</w:t>
      </w:r>
      <w:r>
        <w:rPr>
          <w:rFonts w:hint="eastAsia" w:asciiTheme="minorEastAsia" w:hAnsiTheme="minorEastAsia" w:cstheme="minorEastAsia"/>
          <w:color w:val="000000"/>
          <w:sz w:val="24"/>
          <w:szCs w:val="24"/>
        </w:rPr>
        <w:t>合同原则上应按照重庆医科大学提供的合同模板进行签订，相关单位要求适用合同通用格式版本的，采购人视实际情况处理。</w:t>
      </w:r>
    </w:p>
    <w:p w14:paraId="205F7D1C">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5.</w:t>
      </w:r>
      <w:r>
        <w:rPr>
          <w:rFonts w:hint="eastAsia" w:asciiTheme="minorEastAsia" w:hAnsiTheme="minorEastAsia" w:cstheme="minorEastAsia"/>
          <w:color w:val="000000"/>
          <w:sz w:val="24"/>
          <w:szCs w:val="24"/>
        </w:rPr>
        <w:t>采购人要求成交供应商提供履约保证金的，应当在询价文件中予以约定。成交供应商履约完毕后，采购人根据采购文件规定无息退还其履约保证金。</w:t>
      </w:r>
    </w:p>
    <w:p w14:paraId="6B0082F7">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6.</w:t>
      </w:r>
      <w:r>
        <w:rPr>
          <w:rFonts w:hint="eastAsia" w:asciiTheme="minorEastAsia" w:hAnsiTheme="minorEastAsia" w:cstheme="minorEastAsia"/>
          <w:color w:val="000000"/>
          <w:sz w:val="24"/>
          <w:szCs w:val="24"/>
        </w:rPr>
        <w:t>联系方式：023-68486495，李老师。</w:t>
      </w:r>
    </w:p>
    <w:p w14:paraId="4E1649C5">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（二）采购合同主要条款及模板</w:t>
      </w:r>
    </w:p>
    <w:p w14:paraId="60F9A00B">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1.定义</w:t>
      </w:r>
      <w:r>
        <w:rPr>
          <w:rFonts w:hint="eastAsia" w:hAnsi="宋体"/>
          <w:color w:val="000000"/>
          <w:sz w:val="24"/>
          <w:szCs w:val="24"/>
        </w:rPr>
        <w:tab/>
      </w:r>
    </w:p>
    <w:p w14:paraId="251776BC">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1.1甲方（需方）即采购人，是指通过招标采购，接受合同货物及服务的各级国家机关、事业单位和团体组织。</w:t>
      </w:r>
    </w:p>
    <w:p w14:paraId="267B52EF">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1.2乙方（供方）即中标人，是指中标后提供合同货物和服务的自然人、法人及其他组织。</w:t>
      </w:r>
    </w:p>
    <w:p w14:paraId="5BFDDD97">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1.3合同是指由甲乙双方按照招标文件和投标文件的实质性内容，通过协商一致达成的书面协议。</w:t>
      </w:r>
    </w:p>
    <w:p w14:paraId="28D320B6">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1.4合同价格指以中标价格为依据，在供方全面履行合同义务后，需方（或财政部门）应支付给供方的金额。</w:t>
      </w:r>
    </w:p>
    <w:p w14:paraId="1BB7CDE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1.5技术资料是指合同货物及其相关的设计、制造、监造、检验、验收等文件（包括图纸、各种文字说明、标准）。</w:t>
      </w:r>
    </w:p>
    <w:p w14:paraId="6FADC91B">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2.货物内容</w:t>
      </w:r>
    </w:p>
    <w:p w14:paraId="5D04B8BB">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合同包括以下内容：货物名称、型号规格、技术参数、数量（单位）等内容。</w:t>
      </w:r>
    </w:p>
    <w:p w14:paraId="18C4BC7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3.合同价格</w:t>
      </w:r>
    </w:p>
    <w:p w14:paraId="4E32992E">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3.1合同价格即合同总价。</w:t>
      </w:r>
    </w:p>
    <w:p w14:paraId="0FEAE5A4">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3.2合同价格包括合同货物、技术资料、合同货物的税费、运杂费、保险费、包装费、装卸费及与货物有关的供方应纳的税费，所有税费由乙方负担。</w:t>
      </w:r>
    </w:p>
    <w:p w14:paraId="2FBE522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3.3合同货物单价为不变价。</w:t>
      </w:r>
    </w:p>
    <w:p w14:paraId="39F11373">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4.转包或分包</w:t>
      </w:r>
    </w:p>
    <w:p w14:paraId="1B0FBDA0">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4.1本合同范围的货物，应由乙方直接供应，不得转让他人供应；</w:t>
      </w:r>
    </w:p>
    <w:p w14:paraId="2DE61CDB">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4.2非经甲方书面同意，乙方不得将本合同范围的货物全部或部分分包给他人供应；</w:t>
      </w:r>
    </w:p>
    <w:p w14:paraId="7B612C1D">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4.3如有转让和未经甲方同意的分包行为，甲方有权解除合同，没收履约保证金并追究乙方的违约责任。</w:t>
      </w:r>
    </w:p>
    <w:p w14:paraId="2A52BCAE">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5.质量保证及售后服务</w:t>
      </w:r>
    </w:p>
    <w:p w14:paraId="3D9075C8">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5.1乙方应按招标文件规定的货物性能、技术要求、质量标准向甲方提供未经使用的全新产品。</w:t>
      </w:r>
    </w:p>
    <w:p w14:paraId="49CD5763">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5.2乙方提供的货物在质保期内因货物本身的质量问题发生故障，乙方应负责免费更换。对达不到技术要求者，根据实际情况，经双方协商，可按以下办法处理：</w:t>
      </w:r>
    </w:p>
    <w:p w14:paraId="5961E27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5.2.1更换：由乙方承担所发生的全部费用。</w:t>
      </w:r>
    </w:p>
    <w:p w14:paraId="6D4618DE">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5.2.2贬值处理：由甲乙双方合议定价。</w:t>
      </w:r>
    </w:p>
    <w:p w14:paraId="18BFC98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5.2.3退货处理：乙方应退还甲方支付的合同款，同时应承担该货物的直接费用（运输、保险、检验、货款利息及银行手续费等）。</w:t>
      </w:r>
    </w:p>
    <w:p w14:paraId="3AD9AC3F">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5.3如在使用过程中发生质量问题，乙方应按本项目“九、质量保证及售后服务”中的要求处理。</w:t>
      </w:r>
    </w:p>
    <w:p w14:paraId="586A4B6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5.4在质保期内，乙方应对货物出现的质量及安全问题负责处理解决并承担一切费用。</w:t>
      </w:r>
    </w:p>
    <w:p w14:paraId="6D3752F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5.5 如甲方要求乙方提供履约保证金的，履约保证金的收取和退还应按本项目“四、保证金”中的要求处理。</w:t>
      </w:r>
    </w:p>
    <w:p w14:paraId="254DEDE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6.付款</w:t>
      </w:r>
    </w:p>
    <w:p w14:paraId="4D966567">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6.1本合同使用货币币制如未作特别说明均为人民币。</w:t>
      </w:r>
    </w:p>
    <w:p w14:paraId="5EC74EC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6.2付款方式：银行转账、现金支票。</w:t>
      </w:r>
    </w:p>
    <w:p w14:paraId="3C1E689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6.3付款方法：同本项目“七 付款方式”中关于付款方式的约定。</w:t>
      </w:r>
    </w:p>
    <w:p w14:paraId="1016DD0D">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7.检查验收</w:t>
      </w:r>
    </w:p>
    <w:p w14:paraId="40BF47A0">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7.1供方应随货物提供合格证和质量证明文件，如是国外进口的货物还须提供入关证明。</w:t>
      </w:r>
    </w:p>
    <w:p w14:paraId="5462F266">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7.2货物验收</w:t>
      </w:r>
    </w:p>
    <w:p w14:paraId="582643E7">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760709AD">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7.3货物验收报告应由需方、供方经办人签字，并加盖双方公章，以此作为支付凭据。</w:t>
      </w:r>
    </w:p>
    <w:p w14:paraId="627C5AE5">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8.索赔</w:t>
      </w:r>
    </w:p>
    <w:p w14:paraId="534CF73A">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供方对货物与合同要求不符负有责任，并且需方已于规定交货内和质量保证期内提出索赔，供方应按需方同意的下述一种或多种方法解决索赔事宜。</w:t>
      </w:r>
    </w:p>
    <w:p w14:paraId="0CA4552D">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59DE835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8.2根据货物的疵劣和受损程度以及需方遭受损失的金额，经双方同意降低货物价格。</w:t>
      </w:r>
    </w:p>
    <w:p w14:paraId="6EA8A0CA">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9.知识产权</w:t>
      </w:r>
    </w:p>
    <w:p w14:paraId="67D9505E">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14:paraId="731D3108">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10.合同争议的解决</w:t>
      </w:r>
    </w:p>
    <w:p w14:paraId="3D0B9F86">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10.1当事人友好协商达成一致</w:t>
      </w:r>
    </w:p>
    <w:p w14:paraId="7880AE83">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10.2在60天内当事人协商不能达成协议的，可提请采购人当地仲裁机构仲裁。</w:t>
      </w:r>
    </w:p>
    <w:p w14:paraId="3E278C17">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11.违约责任</w:t>
      </w:r>
    </w:p>
    <w:p w14:paraId="148816B4">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按《中华人民共和国民法典》、《中华人民共和国政府采购法》有关条款，或由供需双方约定。</w:t>
      </w:r>
    </w:p>
    <w:p w14:paraId="5546ABE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12.合同生效及其它</w:t>
      </w:r>
    </w:p>
    <w:p w14:paraId="10F9E98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12.1合同生效及其效力应符合《中华人民共和国民法典》有关规定。</w:t>
      </w:r>
    </w:p>
    <w:p w14:paraId="014D70F3">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12.2合同应经当事人法定代表人或委托代理人签字，加盖双方合同专用章或公章。</w:t>
      </w:r>
    </w:p>
    <w:p w14:paraId="0AF47E6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12.3合同所包括附件，是合同不可分割的一部分，具有同等法律效力。</w:t>
      </w:r>
    </w:p>
    <w:p w14:paraId="67BD633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12.4合同需提供担保的，按《中华人民共和国民法典》规定执行。</w:t>
      </w:r>
    </w:p>
    <w:p w14:paraId="02C39246">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12.5本合同条件未尽事宜依照《中华人民共和国民法典》，由供需双方共同协商确定。</w:t>
      </w:r>
    </w:p>
    <w:bookmarkEnd w:id="5"/>
    <w:bookmarkEnd w:id="6"/>
    <w:p w14:paraId="301F18E3">
      <w:pPr>
        <w:keepNext w:val="0"/>
        <w:keepLines w:val="0"/>
        <w:pageBreakBefore w:val="0"/>
        <w:kinsoku/>
        <w:wordWrap/>
        <w:overflowPunct/>
        <w:topLinePunct w:val="0"/>
        <w:bidi w:val="0"/>
        <w:spacing w:line="440" w:lineRule="exact"/>
        <w:textAlignment w:val="auto"/>
        <w:rPr>
          <w:rFonts w:ascii="黑体" w:hAnsi="黑体" w:eastAsia="黑体"/>
        </w:rPr>
      </w:pPr>
    </w:p>
    <w:p w14:paraId="7E19588F">
      <w:pPr>
        <w:keepNext w:val="0"/>
        <w:keepLines w:val="0"/>
        <w:pageBreakBefore w:val="0"/>
        <w:kinsoku/>
        <w:wordWrap/>
        <w:overflowPunct/>
        <w:topLinePunct w:val="0"/>
        <w:bidi w:val="0"/>
        <w:spacing w:line="440" w:lineRule="exact"/>
        <w:textAlignment w:val="auto"/>
        <w:rPr>
          <w:rFonts w:ascii="黑体" w:hAnsi="黑体" w:eastAsia="黑体"/>
        </w:rPr>
      </w:pPr>
      <w:r>
        <w:rPr>
          <w:rFonts w:hint="eastAsia" w:ascii="黑体" w:hAnsi="黑体" w:eastAsia="黑体"/>
        </w:rPr>
        <w:br w:type="page"/>
      </w:r>
    </w:p>
    <w:p w14:paraId="5CCE0ED0">
      <w:pPr>
        <w:snapToGrid w:val="0"/>
        <w:spacing w:line="400" w:lineRule="exact"/>
        <w:outlineLvl w:val="0"/>
        <w:rPr>
          <w:rFonts w:hint="default" w:ascii="Times New Roman" w:hAnsi="Times New Roman" w:eastAsia="仿宋" w:cs="Times New Roman"/>
          <w:bCs/>
          <w:color w:val="000000"/>
          <w:sz w:val="24"/>
          <w:highlight w:val="none"/>
        </w:rPr>
      </w:pPr>
    </w:p>
    <w:p w14:paraId="659E9DE4">
      <w:pPr>
        <w:spacing w:line="560" w:lineRule="exact"/>
        <w:jc w:val="center"/>
        <w:rPr>
          <w:rFonts w:hint="default" w:ascii="Times New Roman" w:hAnsi="Times New Roman" w:eastAsia="方正仿宋_GBK" w:cs="Times New Roman"/>
          <w:color w:val="000000"/>
          <w:sz w:val="32"/>
          <w:szCs w:val="32"/>
          <w:highlight w:val="none"/>
          <w:u w:val="single"/>
        </w:rPr>
      </w:pPr>
      <w:r>
        <w:rPr>
          <w:rFonts w:hint="default" w:ascii="Times New Roman" w:hAnsi="Times New Roman" w:eastAsia="方正仿宋_GBK" w:cs="Times New Roman"/>
          <w:color w:val="000000"/>
          <w:szCs w:val="28"/>
          <w:highlight w:val="none"/>
        </w:rPr>
        <w:t xml:space="preserve">                       </w:t>
      </w:r>
      <w:r>
        <w:rPr>
          <w:rFonts w:hint="default" w:ascii="Times New Roman" w:hAnsi="Times New Roman" w:eastAsia="方正仿宋_GBK" w:cs="Times New Roman"/>
          <w:color w:val="000000"/>
          <w:sz w:val="32"/>
          <w:szCs w:val="32"/>
          <w:highlight w:val="none"/>
        </w:rPr>
        <w:t xml:space="preserve">  合同编号：</w:t>
      </w:r>
      <w:r>
        <w:rPr>
          <w:rFonts w:hint="default" w:ascii="Times New Roman" w:hAnsi="Times New Roman" w:eastAsia="方正仿宋_GBK" w:cs="Times New Roman"/>
          <w:color w:val="000000"/>
          <w:sz w:val="32"/>
          <w:szCs w:val="32"/>
          <w:highlight w:val="none"/>
          <w:u w:val="single"/>
        </w:rPr>
        <w:t xml:space="preserve">         </w:t>
      </w:r>
    </w:p>
    <w:p w14:paraId="545537E1">
      <w:pPr>
        <w:spacing w:line="56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正本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副本</w:t>
      </w:r>
    </w:p>
    <w:p w14:paraId="2209A530">
      <w:pPr>
        <w:spacing w:line="560" w:lineRule="exact"/>
        <w:rPr>
          <w:rFonts w:hint="default" w:ascii="Times New Roman" w:hAnsi="Times New Roman" w:eastAsia="方正仿宋_GBK" w:cs="Times New Roman"/>
          <w:color w:val="000000"/>
          <w:szCs w:val="28"/>
          <w:highlight w:val="none"/>
        </w:rPr>
      </w:pPr>
    </w:p>
    <w:p w14:paraId="411F328F">
      <w:pPr>
        <w:spacing w:line="560" w:lineRule="exact"/>
        <w:rPr>
          <w:rFonts w:hint="default" w:ascii="Times New Roman" w:hAnsi="Times New Roman" w:eastAsia="方正仿宋_GBK" w:cs="Times New Roman"/>
          <w:color w:val="000000"/>
          <w:szCs w:val="28"/>
          <w:highlight w:val="none"/>
        </w:rPr>
      </w:pPr>
    </w:p>
    <w:p w14:paraId="76F3B3B3">
      <w:pPr>
        <w:spacing w:line="900" w:lineRule="exact"/>
        <w:jc w:val="center"/>
        <w:rPr>
          <w:rFonts w:hint="default" w:ascii="Times New Roman" w:hAnsi="Times New Roman" w:eastAsia="方正小标宋简体" w:cs="Times New Roman"/>
          <w:color w:val="000000"/>
          <w:sz w:val="72"/>
          <w:szCs w:val="72"/>
          <w:highlight w:val="none"/>
        </w:rPr>
      </w:pPr>
      <w:r>
        <w:rPr>
          <w:rFonts w:hint="default" w:ascii="Times New Roman" w:hAnsi="Times New Roman" w:eastAsia="方正小标宋简体" w:cs="Times New Roman"/>
          <w:color w:val="000000"/>
          <w:sz w:val="72"/>
          <w:szCs w:val="72"/>
          <w:highlight w:val="none"/>
        </w:rPr>
        <w:t>重庆医科大学经济合同</w:t>
      </w:r>
    </w:p>
    <w:p w14:paraId="3C59ACE5">
      <w:pPr>
        <w:spacing w:line="64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（采购类）</w:t>
      </w:r>
    </w:p>
    <w:p w14:paraId="7A492C64">
      <w:pPr>
        <w:spacing w:line="640" w:lineRule="exact"/>
        <w:jc w:val="center"/>
        <w:rPr>
          <w:rFonts w:hint="default" w:ascii="Times New Roman" w:hAnsi="Times New Roman" w:eastAsia="方正仿宋_GBK" w:cs="Times New Roman"/>
          <w:color w:val="000000"/>
          <w:szCs w:val="28"/>
          <w:highlight w:val="none"/>
        </w:rPr>
      </w:pPr>
    </w:p>
    <w:p w14:paraId="0C4777C8">
      <w:pPr>
        <w:spacing w:line="640" w:lineRule="exact"/>
        <w:rPr>
          <w:rFonts w:hint="default" w:ascii="Times New Roman" w:hAnsi="Times New Roman" w:eastAsia="方正仿宋_GBK" w:cs="Times New Roman"/>
          <w:color w:val="000000"/>
          <w:szCs w:val="28"/>
          <w:highlight w:val="none"/>
        </w:rPr>
      </w:pPr>
    </w:p>
    <w:p w14:paraId="1936472F">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合同类型：</w:t>
      </w:r>
      <w:r>
        <w:rPr>
          <w:rFonts w:hint="default" w:ascii="Times New Roman" w:hAnsi="Times New Roman" w:eastAsia="方正仿宋_GBK" w:cs="Times New Roman"/>
          <w:color w:val="000000"/>
          <w:sz w:val="32"/>
          <w:szCs w:val="32"/>
          <w:highlight w:val="none"/>
        </w:rPr>
        <w:sym w:font="Wingdings 2" w:char="0052"/>
      </w:r>
      <w:r>
        <w:rPr>
          <w:rFonts w:hint="default" w:ascii="Times New Roman" w:hAnsi="Times New Roman" w:eastAsia="方正仿宋_GBK" w:cs="Times New Roman"/>
          <w:color w:val="000000"/>
          <w:sz w:val="32"/>
          <w:szCs w:val="32"/>
          <w:highlight w:val="none"/>
        </w:rPr>
        <w:t xml:space="preserve">买卖合同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建设工程合同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物业服务合同</w:t>
      </w:r>
    </w:p>
    <w:p w14:paraId="014EC6A1">
      <w:pPr>
        <w:spacing w:line="640" w:lineRule="exact"/>
        <w:ind w:firstLine="2240" w:firstLineChars="7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委托合同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运输合同 </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租赁合同</w:t>
      </w:r>
    </w:p>
    <w:p w14:paraId="15DE01EB">
      <w:pPr>
        <w:spacing w:line="640" w:lineRule="exact"/>
        <w:ind w:firstLine="2240" w:firstLineChars="700"/>
        <w:rPr>
          <w:rFonts w:hint="default" w:ascii="Times New Roman" w:hAnsi="Times New Roman" w:eastAsia="方正仿宋_GBK" w:cs="Times New Roman"/>
          <w:color w:val="000000"/>
          <w:sz w:val="32"/>
          <w:szCs w:val="32"/>
          <w:highlight w:val="none"/>
          <w:u w:val="single"/>
        </w:rPr>
      </w:pP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其它典型合同 </w:t>
      </w:r>
      <w:r>
        <w:rPr>
          <w:rFonts w:hint="default" w:ascii="Times New Roman" w:hAnsi="Times New Roman" w:eastAsia="方正仿宋_GBK" w:cs="Times New Roman"/>
          <w:color w:val="000000"/>
          <w:sz w:val="32"/>
          <w:szCs w:val="32"/>
          <w:highlight w:val="none"/>
          <w:u w:val="single"/>
        </w:rPr>
        <w:t xml:space="preserve">              </w:t>
      </w:r>
    </w:p>
    <w:p w14:paraId="3D2B139E">
      <w:pPr>
        <w:spacing w:line="640" w:lineRule="exact"/>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项目名称：</w:t>
      </w:r>
      <w:r>
        <w:rPr>
          <w:rFonts w:hint="default" w:ascii="Times New Roman" w:hAnsi="Times New Roman" w:eastAsia="方正仿宋_GBK" w:cs="Times New Roman"/>
          <w:color w:val="000000"/>
          <w:sz w:val="32"/>
          <w:szCs w:val="32"/>
          <w:highlight w:val="none"/>
          <w:u w:val="single"/>
        </w:rPr>
        <w:t xml:space="preserve">                                        </w:t>
      </w:r>
    </w:p>
    <w:p w14:paraId="4AD26955">
      <w:pPr>
        <w:spacing w:line="640" w:lineRule="exact"/>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u w:val="single"/>
        </w:rPr>
        <w:t xml:space="preserve">                                        </w:t>
      </w:r>
    </w:p>
    <w:p w14:paraId="2F5FC7CB">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合同甲方：重庆医科大学</w:t>
      </w:r>
    </w:p>
    <w:p w14:paraId="281B9F80">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合同乙方：</w:t>
      </w:r>
      <w:r>
        <w:rPr>
          <w:rFonts w:hint="default" w:ascii="Times New Roman" w:hAnsi="Times New Roman" w:eastAsia="方正仿宋_GBK" w:cs="Times New Roman"/>
          <w:color w:val="000000"/>
          <w:sz w:val="32"/>
          <w:szCs w:val="32"/>
          <w:highlight w:val="none"/>
          <w:u w:val="single"/>
        </w:rPr>
        <w:t xml:space="preserve">                    </w:t>
      </w:r>
    </w:p>
    <w:p w14:paraId="1321F83F">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合同金额：人民币</w:t>
      </w:r>
      <w:r>
        <w:rPr>
          <w:rFonts w:hint="default" w:ascii="Times New Roman" w:hAnsi="Times New Roman" w:eastAsia="方正仿宋_GBK" w:cs="Times New Roman"/>
          <w:color w:val="000000"/>
          <w:sz w:val="32"/>
          <w:szCs w:val="32"/>
          <w:highlight w:val="none"/>
          <w:u w:val="single"/>
        </w:rPr>
        <w:t xml:space="preserve">              </w:t>
      </w:r>
      <w:r>
        <w:rPr>
          <w:rFonts w:hint="default" w:ascii="Times New Roman" w:hAnsi="Times New Roman" w:eastAsia="方正仿宋_GBK" w:cs="Times New Roman"/>
          <w:color w:val="000000"/>
          <w:sz w:val="32"/>
          <w:szCs w:val="32"/>
          <w:highlight w:val="none"/>
        </w:rPr>
        <w:t>元</w:t>
      </w:r>
    </w:p>
    <w:p w14:paraId="3E113B87">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项目</w:t>
      </w:r>
      <w:r>
        <w:rPr>
          <w:rFonts w:hint="eastAsia" w:eastAsia="方正仿宋_GBK" w:cs="Times New Roman"/>
          <w:color w:val="000000"/>
          <w:sz w:val="32"/>
          <w:szCs w:val="32"/>
          <w:highlight w:val="none"/>
          <w:lang w:val="en-US" w:eastAsia="zh-CN"/>
        </w:rPr>
        <w:t>号</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u w:val="single"/>
        </w:rPr>
        <w:t xml:space="preserve">                    </w:t>
      </w:r>
    </w:p>
    <w:p w14:paraId="7C974E2E">
      <w:pPr>
        <w:spacing w:line="640" w:lineRule="exact"/>
        <w:ind w:firstLine="640" w:firstLineChars="200"/>
        <w:rPr>
          <w:rFonts w:hint="default" w:ascii="Times New Roman" w:hAnsi="Times New Roman" w:eastAsia="方正仿宋_GBK" w:cs="Times New Roman"/>
          <w:color w:val="000000"/>
          <w:sz w:val="32"/>
          <w:szCs w:val="32"/>
          <w:highlight w:val="none"/>
        </w:rPr>
      </w:pPr>
    </w:p>
    <w:p w14:paraId="5F21C59D">
      <w:pPr>
        <w:spacing w:line="64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签订时间：     年   月   日</w:t>
      </w:r>
    </w:p>
    <w:p w14:paraId="7B31ECD2">
      <w:pPr>
        <w:rPr>
          <w:rFonts w:hint="default" w:ascii="Times New Roman" w:hAnsi="Times New Roman" w:eastAsia="楷体" w:cs="Times New Roman"/>
          <w:color w:val="000000"/>
          <w:sz w:val="36"/>
          <w:szCs w:val="36"/>
          <w:highlight w:val="none"/>
        </w:rPr>
      </w:pPr>
    </w:p>
    <w:p w14:paraId="4C8E7CFE">
      <w:pPr>
        <w:snapToGrid w:val="0"/>
        <w:spacing w:line="500" w:lineRule="exact"/>
        <w:jc w:val="center"/>
        <w:outlineLvl w:val="0"/>
        <w:rPr>
          <w:rFonts w:hint="default" w:ascii="Times New Roman" w:hAnsi="Times New Roman" w:eastAsia="方正仿宋_GBK" w:cs="Times New Roman"/>
          <w:color w:val="000000"/>
          <w:sz w:val="32"/>
          <w:szCs w:val="32"/>
          <w:highlight w:val="none"/>
        </w:rPr>
      </w:pPr>
    </w:p>
    <w:p w14:paraId="48429503">
      <w:pPr>
        <w:snapToGrid w:val="0"/>
        <w:spacing w:line="500" w:lineRule="exact"/>
        <w:jc w:val="center"/>
        <w:outlineLvl w:val="0"/>
        <w:rPr>
          <w:rFonts w:hint="default" w:ascii="Times New Roman" w:hAnsi="Times New Roman" w:eastAsia="仿宋" w:cs="Times New Roman"/>
          <w:color w:val="000000"/>
          <w:sz w:val="44"/>
          <w:highlight w:val="none"/>
        </w:rPr>
        <w:sectPr>
          <w:headerReference r:id="rId3" w:type="default"/>
          <w:footerReference r:id="rId4" w:type="default"/>
          <w:pgSz w:w="11907" w:h="16840"/>
          <w:pgMar w:top="1588" w:right="1588" w:bottom="1361" w:left="1588" w:header="964" w:footer="992" w:gutter="0"/>
          <w:cols w:space="720" w:num="1"/>
          <w:docGrid w:linePitch="312" w:charSpace="0"/>
        </w:sectPr>
      </w:pPr>
    </w:p>
    <w:p w14:paraId="0FD1094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color w:val="000000"/>
          <w:sz w:val="44"/>
          <w:highlight w:val="none"/>
        </w:rPr>
      </w:pPr>
      <w:r>
        <w:rPr>
          <w:rFonts w:hint="eastAsia" w:ascii="方正小标宋简体" w:hAnsi="方正小标宋简体" w:eastAsia="方正小标宋简体" w:cs="方正小标宋简体"/>
          <w:b w:val="0"/>
          <w:bCs/>
          <w:color w:val="000000"/>
          <w:sz w:val="44"/>
          <w:highlight w:val="none"/>
        </w:rPr>
        <w:t>采购</w:t>
      </w:r>
      <w:r>
        <w:rPr>
          <w:rFonts w:hint="eastAsia" w:ascii="方正小标宋简体" w:hAnsi="方正小标宋简体" w:eastAsia="方正小标宋简体" w:cs="方正小标宋简体"/>
          <w:b w:val="0"/>
          <w:bCs/>
          <w:color w:val="000000"/>
          <w:sz w:val="44"/>
          <w:highlight w:val="none"/>
          <w:lang w:val="en-US" w:eastAsia="zh-CN"/>
        </w:rPr>
        <w:t>类经济</w:t>
      </w:r>
      <w:r>
        <w:rPr>
          <w:rFonts w:hint="eastAsia" w:ascii="方正小标宋简体" w:hAnsi="方正小标宋简体" w:eastAsia="方正小标宋简体" w:cs="方正小标宋简体"/>
          <w:b w:val="0"/>
          <w:bCs/>
          <w:color w:val="000000"/>
          <w:sz w:val="44"/>
          <w:highlight w:val="none"/>
        </w:rPr>
        <w:t>合同</w:t>
      </w:r>
    </w:p>
    <w:p w14:paraId="19BD65E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highlight w:val="none"/>
        </w:rPr>
      </w:pPr>
    </w:p>
    <w:p w14:paraId="57C52A4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甲方（需方、</w:t>
      </w:r>
      <w:r>
        <w:rPr>
          <w:rFonts w:hint="default" w:ascii="Times New Roman" w:hAnsi="Times New Roman" w:eastAsia="仿宋" w:cs="Times New Roman"/>
          <w:bCs/>
          <w:color w:val="000000"/>
          <w:sz w:val="24"/>
          <w:highlight w:val="none"/>
        </w:rPr>
        <w:t>采购人</w:t>
      </w:r>
      <w:r>
        <w:rPr>
          <w:rFonts w:hint="default" w:ascii="Times New Roman" w:hAnsi="Times New Roman" w:eastAsia="仿宋" w:cs="Times New Roman"/>
          <w:color w:val="000000"/>
          <w:sz w:val="24"/>
          <w:highlight w:val="none"/>
        </w:rPr>
        <w:t>）：</w:t>
      </w:r>
      <w:r>
        <w:rPr>
          <w:rFonts w:hint="default" w:ascii="Times New Roman" w:hAnsi="Times New Roman" w:eastAsia="仿宋" w:cs="Times New Roman"/>
          <w:color w:val="000000"/>
          <w:sz w:val="24"/>
          <w:highlight w:val="none"/>
          <w:u w:val="single"/>
        </w:rPr>
        <w:t>重庆医科大学</w:t>
      </w:r>
      <w:r>
        <w:rPr>
          <w:rFonts w:hint="default" w:ascii="Times New Roman" w:hAnsi="Times New Roman" w:eastAsia="仿宋" w:cs="Times New Roman"/>
          <w:color w:val="000000"/>
          <w:sz w:val="24"/>
          <w:highlight w:val="none"/>
        </w:rPr>
        <w:t xml:space="preserve">       </w:t>
      </w:r>
      <w:r>
        <w:rPr>
          <w:rFonts w:hint="eastAsia" w:eastAsia="仿宋" w:cs="Times New Roman"/>
          <w:color w:val="000000"/>
          <w:sz w:val="24"/>
          <w:highlight w:val="none"/>
          <w:lang w:val="en-US" w:eastAsia="zh-CN"/>
        </w:rPr>
        <w:t xml:space="preserve">      </w:t>
      </w:r>
      <w:r>
        <w:rPr>
          <w:rFonts w:hint="default" w:ascii="Times New Roman" w:hAnsi="Times New Roman" w:eastAsia="仿宋" w:cs="Times New Roman"/>
          <w:color w:val="000000"/>
          <w:sz w:val="24"/>
          <w:highlight w:val="none"/>
        </w:rPr>
        <w:t>计价单位：</w:t>
      </w:r>
      <w:r>
        <w:rPr>
          <w:rFonts w:hint="default" w:ascii="Times New Roman" w:hAnsi="Times New Roman" w:eastAsia="仿宋" w:cs="Times New Roman"/>
          <w:color w:val="000000"/>
          <w:sz w:val="24"/>
          <w:highlight w:val="none"/>
          <w:u w:val="single"/>
        </w:rPr>
        <w:t>人民币：元</w:t>
      </w:r>
    </w:p>
    <w:p w14:paraId="0230567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乙方（供方、</w:t>
      </w:r>
      <w:r>
        <w:rPr>
          <w:rFonts w:hint="default" w:ascii="Times New Roman" w:hAnsi="Times New Roman" w:eastAsia="仿宋" w:cs="Times New Roman"/>
          <w:bCs/>
          <w:color w:val="000000"/>
          <w:sz w:val="24"/>
          <w:highlight w:val="none"/>
        </w:rPr>
        <w:t>中标人</w:t>
      </w:r>
      <w:r>
        <w:rPr>
          <w:rFonts w:hint="default" w:ascii="Times New Roman" w:hAnsi="Times New Roman" w:eastAsia="仿宋" w:cs="Times New Roman"/>
          <w:color w:val="000000"/>
          <w:sz w:val="24"/>
          <w:highlight w:val="none"/>
        </w:rPr>
        <w:t>）：___________________      计量单位：_____________</w:t>
      </w:r>
    </w:p>
    <w:p w14:paraId="1FEDD33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Times New Roman" w:hAnsi="Times New Roman" w:eastAsia="仿宋" w:cs="Times New Roman"/>
          <w:color w:val="000000"/>
          <w:sz w:val="21"/>
          <w:szCs w:val="21"/>
          <w:highlight w:val="none"/>
        </w:rPr>
      </w:pPr>
      <w:bookmarkStart w:id="7" w:name="OLE_LINK16"/>
      <w:r>
        <w:rPr>
          <w:rFonts w:hint="default" w:ascii="Times New Roman" w:hAnsi="Times New Roman" w:eastAsia="仿宋" w:cs="Times New Roman"/>
          <w:color w:val="000000"/>
          <w:sz w:val="21"/>
          <w:szCs w:val="21"/>
          <w:highlight w:val="none"/>
        </w:rPr>
        <w:t>根据《中华人民共和国民法典》《中华人民共和国政府采购法》等法律规定，</w:t>
      </w:r>
      <w:r>
        <w:rPr>
          <w:rFonts w:hint="eastAsia" w:eastAsia="仿宋" w:cs="Times New Roman"/>
          <w:color w:val="000000"/>
          <w:sz w:val="21"/>
          <w:szCs w:val="21"/>
          <w:highlight w:val="none"/>
          <w:lang w:val="en-US" w:eastAsia="zh-CN"/>
        </w:rPr>
        <w:t>结合本项目采购文件确定事项，</w:t>
      </w:r>
      <w:r>
        <w:rPr>
          <w:rFonts w:hint="default" w:ascii="Times New Roman" w:hAnsi="Times New Roman" w:eastAsia="仿宋" w:cs="Times New Roman"/>
          <w:color w:val="000000"/>
          <w:sz w:val="21"/>
          <w:szCs w:val="21"/>
          <w:highlight w:val="none"/>
        </w:rPr>
        <w:t>经双方协商一致，</w:t>
      </w:r>
      <w:r>
        <w:rPr>
          <w:rFonts w:hint="eastAsia" w:eastAsia="仿宋" w:cs="Times New Roman"/>
          <w:color w:val="000000"/>
          <w:sz w:val="21"/>
          <w:szCs w:val="21"/>
          <w:highlight w:val="none"/>
          <w:lang w:val="en-US" w:eastAsia="zh-CN"/>
        </w:rPr>
        <w:t>同意签订本</w:t>
      </w:r>
      <w:r>
        <w:rPr>
          <w:rFonts w:hint="default" w:ascii="Times New Roman" w:hAnsi="Times New Roman" w:eastAsia="仿宋" w:cs="Times New Roman"/>
          <w:color w:val="000000"/>
          <w:sz w:val="21"/>
          <w:szCs w:val="21"/>
          <w:highlight w:val="none"/>
        </w:rPr>
        <w:t>合同</w:t>
      </w:r>
      <w:bookmarkEnd w:id="7"/>
      <w:r>
        <w:rPr>
          <w:rFonts w:hint="default" w:ascii="Times New Roman" w:hAnsi="Times New Roman" w:eastAsia="仿宋" w:cs="Times New Roman"/>
          <w:color w:val="000000"/>
          <w:sz w:val="21"/>
          <w:szCs w:val="21"/>
          <w:highlight w:val="none"/>
        </w:rPr>
        <w:t>：</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992"/>
        <w:gridCol w:w="1276"/>
        <w:gridCol w:w="992"/>
        <w:gridCol w:w="992"/>
        <w:gridCol w:w="2410"/>
        <w:gridCol w:w="1454"/>
      </w:tblGrid>
      <w:tr w14:paraId="2885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12" w:type="dxa"/>
            <w:noWrap w:val="0"/>
            <w:vAlign w:val="center"/>
          </w:tcPr>
          <w:p w14:paraId="3F57D73B">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服务</w:t>
            </w:r>
            <w:r>
              <w:rPr>
                <w:rFonts w:hint="default" w:ascii="Times New Roman" w:hAnsi="Times New Roman" w:eastAsia="仿宋" w:cs="Times New Roman"/>
                <w:color w:val="000000"/>
                <w:sz w:val="21"/>
                <w:szCs w:val="21"/>
                <w:highlight w:val="none"/>
              </w:rPr>
              <w:t>名称</w:t>
            </w:r>
          </w:p>
        </w:tc>
        <w:tc>
          <w:tcPr>
            <w:tcW w:w="992" w:type="dxa"/>
            <w:noWrap w:val="0"/>
            <w:vAlign w:val="center"/>
          </w:tcPr>
          <w:p w14:paraId="0F5F2197">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品牌规格型号</w:t>
            </w:r>
          </w:p>
        </w:tc>
        <w:tc>
          <w:tcPr>
            <w:tcW w:w="1276" w:type="dxa"/>
            <w:noWrap w:val="0"/>
            <w:vAlign w:val="center"/>
          </w:tcPr>
          <w:p w14:paraId="65A0175B">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数量/单位</w:t>
            </w:r>
          </w:p>
        </w:tc>
        <w:tc>
          <w:tcPr>
            <w:tcW w:w="992" w:type="dxa"/>
            <w:noWrap w:val="0"/>
            <w:vAlign w:val="center"/>
          </w:tcPr>
          <w:p w14:paraId="4E98B38D">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bookmarkStart w:id="8" w:name="OLE_LINK17"/>
            <w:r>
              <w:rPr>
                <w:rFonts w:hint="default" w:ascii="Times New Roman" w:hAnsi="Times New Roman" w:eastAsia="仿宋" w:cs="Times New Roman"/>
                <w:color w:val="000000"/>
                <w:sz w:val="21"/>
                <w:szCs w:val="21"/>
                <w:highlight w:val="none"/>
              </w:rPr>
              <w:t>单价</w:t>
            </w:r>
            <w:bookmarkEnd w:id="8"/>
          </w:p>
        </w:tc>
        <w:tc>
          <w:tcPr>
            <w:tcW w:w="992" w:type="dxa"/>
            <w:noWrap w:val="0"/>
            <w:vAlign w:val="center"/>
          </w:tcPr>
          <w:p w14:paraId="6004E8BA">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总价（元）</w:t>
            </w:r>
          </w:p>
        </w:tc>
        <w:tc>
          <w:tcPr>
            <w:tcW w:w="2410" w:type="dxa"/>
            <w:noWrap w:val="0"/>
            <w:vAlign w:val="center"/>
          </w:tcPr>
          <w:p w14:paraId="00C9C897">
            <w:pPr>
              <w:keepNext w:val="0"/>
              <w:keepLines w:val="0"/>
              <w:pageBreakBefore w:val="0"/>
              <w:kinsoku/>
              <w:wordWrap/>
              <w:overflowPunct/>
              <w:topLinePunct w:val="0"/>
              <w:bidi w:val="0"/>
              <w:snapToGrid/>
              <w:spacing w:line="300" w:lineRule="exact"/>
              <w:jc w:val="center"/>
              <w:textAlignment w:val="auto"/>
              <w:rPr>
                <w:rFonts w:hint="eastAsia" w:ascii="Times New Roman" w:hAnsi="Times New Roman" w:eastAsia="仿宋" w:cs="Times New Roman"/>
                <w:color w:val="000000"/>
                <w:sz w:val="21"/>
                <w:szCs w:val="21"/>
                <w:highlight w:val="none"/>
                <w:lang w:eastAsia="zh-CN"/>
              </w:rPr>
            </w:pPr>
            <w:r>
              <w:rPr>
                <w:rFonts w:hint="eastAsia" w:eastAsia="仿宋" w:cs="Times New Roman"/>
                <w:color w:val="000000"/>
                <w:sz w:val="21"/>
                <w:szCs w:val="21"/>
                <w:highlight w:val="none"/>
                <w:lang w:val="en-US" w:eastAsia="zh-CN"/>
              </w:rPr>
              <w:t>服务期</w:t>
            </w:r>
          </w:p>
        </w:tc>
        <w:tc>
          <w:tcPr>
            <w:tcW w:w="1454" w:type="dxa"/>
            <w:noWrap w:val="0"/>
            <w:vAlign w:val="center"/>
          </w:tcPr>
          <w:p w14:paraId="751E6F72">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交付地点</w:t>
            </w:r>
          </w:p>
          <w:p w14:paraId="2C1C103B">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（履行地点）</w:t>
            </w:r>
          </w:p>
        </w:tc>
      </w:tr>
      <w:tr w14:paraId="2D66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512" w:type="dxa"/>
            <w:noWrap w:val="0"/>
            <w:vAlign w:val="center"/>
          </w:tcPr>
          <w:p w14:paraId="13EADEB8">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992" w:type="dxa"/>
            <w:noWrap w:val="0"/>
            <w:vAlign w:val="center"/>
          </w:tcPr>
          <w:p w14:paraId="6E4AEC65">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1276" w:type="dxa"/>
            <w:noWrap w:val="0"/>
            <w:vAlign w:val="center"/>
          </w:tcPr>
          <w:p w14:paraId="6189DC6F">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992" w:type="dxa"/>
            <w:noWrap w:val="0"/>
            <w:vAlign w:val="center"/>
          </w:tcPr>
          <w:p w14:paraId="2A139863">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992" w:type="dxa"/>
            <w:noWrap w:val="0"/>
            <w:vAlign w:val="center"/>
          </w:tcPr>
          <w:p w14:paraId="225BCA87">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2410" w:type="dxa"/>
            <w:noWrap w:val="0"/>
            <w:vAlign w:val="center"/>
          </w:tcPr>
          <w:p w14:paraId="2AB87339">
            <w:pPr>
              <w:keepNext w:val="0"/>
              <w:keepLines w:val="0"/>
              <w:pageBreakBefore w:val="0"/>
              <w:kinsoku/>
              <w:wordWrap/>
              <w:overflowPunct/>
              <w:topLinePunct w:val="0"/>
              <w:bidi w:val="0"/>
              <w:snapToGrid/>
              <w:spacing w:line="300" w:lineRule="exact"/>
              <w:jc w:val="left"/>
              <w:textAlignment w:val="auto"/>
              <w:rPr>
                <w:rFonts w:hint="eastAsia"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rPr>
              <w:t xml:space="preserve">   </w:t>
            </w:r>
            <w:r>
              <w:rPr>
                <w:rFonts w:hint="eastAsia" w:eastAsia="仿宋" w:cs="Times New Roman"/>
                <w:color w:val="000000"/>
                <w:sz w:val="21"/>
                <w:szCs w:val="21"/>
                <w:highlight w:val="none"/>
                <w:lang w:val="en-US" w:eastAsia="zh-CN"/>
              </w:rPr>
              <w:t xml:space="preserve">   </w:t>
            </w:r>
            <w:r>
              <w:rPr>
                <w:rFonts w:hint="default" w:ascii="Times New Roman" w:hAnsi="Times New Roman" w:eastAsia="仿宋" w:cs="Times New Roman"/>
                <w:color w:val="000000"/>
                <w:sz w:val="21"/>
                <w:szCs w:val="21"/>
                <w:highlight w:val="none"/>
              </w:rPr>
              <w:t>年  月  日</w:t>
            </w:r>
            <w:r>
              <w:rPr>
                <w:rFonts w:hint="eastAsia" w:eastAsia="仿宋" w:cs="Times New Roman"/>
                <w:color w:val="000000"/>
                <w:sz w:val="21"/>
                <w:szCs w:val="21"/>
                <w:highlight w:val="none"/>
                <w:lang w:val="en-US" w:eastAsia="zh-CN"/>
              </w:rPr>
              <w:t>起，至</w:t>
            </w:r>
            <w:r>
              <w:rPr>
                <w:rFonts w:hint="default" w:ascii="Times New Roman" w:hAnsi="Times New Roman" w:eastAsia="仿宋" w:cs="Times New Roman"/>
                <w:color w:val="000000"/>
                <w:sz w:val="21"/>
                <w:szCs w:val="21"/>
                <w:highlight w:val="none"/>
              </w:rPr>
              <w:t xml:space="preserve">    年  月  日</w:t>
            </w:r>
            <w:r>
              <w:rPr>
                <w:rFonts w:hint="eastAsia" w:eastAsia="仿宋" w:cs="Times New Roman"/>
                <w:color w:val="000000"/>
                <w:sz w:val="21"/>
                <w:szCs w:val="21"/>
                <w:highlight w:val="none"/>
                <w:lang w:val="en-US" w:eastAsia="zh-CN"/>
              </w:rPr>
              <w:t>止。</w:t>
            </w:r>
          </w:p>
          <w:p w14:paraId="7AFF422B">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（不超过3年）</w:t>
            </w:r>
          </w:p>
        </w:tc>
        <w:tc>
          <w:tcPr>
            <w:tcW w:w="1454" w:type="dxa"/>
            <w:noWrap w:val="0"/>
            <w:vAlign w:val="center"/>
          </w:tcPr>
          <w:p w14:paraId="741E1747">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重庆医科大学用户单位指定地点</w:t>
            </w:r>
          </w:p>
        </w:tc>
      </w:tr>
      <w:tr w14:paraId="2D2D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jc w:val="center"/>
        </w:trPr>
        <w:tc>
          <w:tcPr>
            <w:tcW w:w="9628" w:type="dxa"/>
            <w:gridSpan w:val="7"/>
            <w:noWrap w:val="0"/>
            <w:vAlign w:val="center"/>
          </w:tcPr>
          <w:p w14:paraId="2F3F35C6">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合同总价（含税）：人民币</w:t>
            </w:r>
            <w:bookmarkStart w:id="9" w:name="OLE_LINK29"/>
            <w:r>
              <w:rPr>
                <w:rFonts w:hint="default" w:ascii="Times New Roman" w:hAnsi="Times New Roman" w:eastAsia="仿宋" w:cs="Times New Roman"/>
                <w:color w:val="000000"/>
                <w:sz w:val="21"/>
                <w:szCs w:val="21"/>
                <w:highlight w:val="none"/>
                <w:u w:val="single"/>
              </w:rPr>
              <w:t xml:space="preserve">       </w:t>
            </w:r>
            <w:bookmarkEnd w:id="9"/>
            <w:r>
              <w:rPr>
                <w:rFonts w:hint="default" w:ascii="Times New Roman" w:hAnsi="Times New Roman" w:eastAsia="仿宋" w:cs="Times New Roman"/>
                <w:color w:val="000000"/>
                <w:sz w:val="21"/>
                <w:szCs w:val="21"/>
                <w:highlight w:val="none"/>
              </w:rPr>
              <w:t>元（大写：</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w:t>
            </w:r>
          </w:p>
          <w:p w14:paraId="0D975092">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bookmarkStart w:id="10" w:name="OLE_LINK18"/>
            <w:r>
              <w:rPr>
                <w:rFonts w:hint="default" w:ascii="Times New Roman" w:hAnsi="Times New Roman" w:eastAsia="仿宋" w:cs="Times New Roman"/>
                <w:color w:val="000000"/>
                <w:sz w:val="21"/>
                <w:szCs w:val="21"/>
                <w:highlight w:val="none"/>
              </w:rPr>
              <w:t>备注：</w:t>
            </w:r>
          </w:p>
          <w:p w14:paraId="0F856AF0">
            <w:pPr>
              <w:keepNext w:val="0"/>
              <w:keepLines w:val="0"/>
              <w:pageBreakBefore w:val="0"/>
              <w:numPr>
                <w:ilvl w:val="0"/>
                <w:numId w:val="0"/>
              </w:numPr>
              <w:kinsoku/>
              <w:wordWrap/>
              <w:overflowPunct/>
              <w:topLinePunct w:val="0"/>
              <w:bidi w:val="0"/>
              <w:snapToGrid/>
              <w:spacing w:line="300" w:lineRule="exact"/>
              <w:jc w:val="left"/>
              <w:textAlignment w:val="auto"/>
              <w:rPr>
                <w:rFonts w:hint="default" w:ascii="Times New Roman" w:hAnsi="Times New Roman" w:eastAsia="方正仿宋_GBK" w:cs="Times New Roman"/>
                <w:color w:val="000000"/>
                <w:sz w:val="21"/>
                <w:szCs w:val="21"/>
                <w:highlight w:val="none"/>
                <w:u w:val="single"/>
                <w:lang w:val="en-US" w:eastAsia="zh-CN"/>
              </w:rPr>
            </w:pPr>
            <w:r>
              <w:rPr>
                <w:rFonts w:hint="eastAsia" w:eastAsia="仿宋" w:cs="Times New Roman"/>
                <w:color w:val="000000"/>
                <w:sz w:val="21"/>
                <w:szCs w:val="21"/>
                <w:highlight w:val="none"/>
                <w:lang w:val="en-US" w:eastAsia="zh-CN"/>
              </w:rPr>
              <w:t>1.本项目合同总价为：</w:t>
            </w:r>
            <w:bookmarkStart w:id="11" w:name="OLE_LINK6"/>
            <w:r>
              <w:rPr>
                <w:rFonts w:hint="default" w:ascii="Times New Roman" w:hAnsi="Times New Roman" w:eastAsia="方正仿宋_GBK" w:cs="Times New Roman"/>
                <w:color w:val="000000"/>
                <w:sz w:val="21"/>
                <w:szCs w:val="21"/>
                <w:highlight w:val="none"/>
              </w:rPr>
              <w:sym w:font="Wingdings 2" w:char="00A3"/>
            </w:r>
            <w:bookmarkEnd w:id="11"/>
            <w:r>
              <w:rPr>
                <w:rFonts w:hint="eastAsia" w:eastAsia="仿宋" w:cs="Times New Roman"/>
                <w:color w:val="000000"/>
                <w:sz w:val="21"/>
                <w:szCs w:val="21"/>
                <w:highlight w:val="none"/>
                <w:lang w:val="en-US" w:eastAsia="zh-CN"/>
              </w:rPr>
              <w:t xml:space="preserve">固定总价  </w:t>
            </w:r>
            <w:bookmarkStart w:id="12" w:name="OLE_LINK5"/>
            <w:r>
              <w:rPr>
                <w:rFonts w:hint="default" w:ascii="Times New Roman" w:hAnsi="Times New Roman" w:eastAsia="方正仿宋_GBK" w:cs="Times New Roman"/>
                <w:color w:val="000000"/>
                <w:sz w:val="21"/>
                <w:szCs w:val="21"/>
                <w:highlight w:val="none"/>
              </w:rPr>
              <w:sym w:font="Wingdings 2" w:char="00A3"/>
            </w:r>
            <w:bookmarkEnd w:id="12"/>
            <w:r>
              <w:rPr>
                <w:rFonts w:hint="eastAsia" w:ascii="Times New Roman" w:hAnsi="Times New Roman" w:eastAsia="方正仿宋_GBK" w:cs="Times New Roman"/>
                <w:color w:val="000000"/>
                <w:sz w:val="21"/>
                <w:szCs w:val="21"/>
                <w:highlight w:val="none"/>
                <w:lang w:val="en-US" w:eastAsia="zh-CN"/>
              </w:rPr>
              <w:t>暂</w:t>
            </w:r>
            <w:r>
              <w:rPr>
                <w:rFonts w:hint="eastAsia" w:eastAsia="仿宋" w:cs="Times New Roman"/>
                <w:color w:val="000000"/>
                <w:sz w:val="21"/>
                <w:szCs w:val="21"/>
                <w:highlight w:val="none"/>
                <w:lang w:val="en-US" w:eastAsia="zh-CN"/>
              </w:rPr>
              <w:t>定总价（最高限价），</w:t>
            </w:r>
            <w:r>
              <w:rPr>
                <w:rFonts w:hint="eastAsia" w:eastAsia="仿宋" w:cs="Times New Roman"/>
                <w:color w:val="000000"/>
                <w:sz w:val="21"/>
                <w:szCs w:val="21"/>
                <w:highlight w:val="none"/>
                <w:u w:val="single"/>
                <w:lang w:val="en-US" w:eastAsia="zh-CN"/>
              </w:rPr>
              <w:t>固定单价/固定费率</w:t>
            </w:r>
            <w:r>
              <w:rPr>
                <w:rFonts w:hint="eastAsia" w:eastAsia="仿宋" w:cs="Times New Roman"/>
                <w:color w:val="000000"/>
                <w:sz w:val="21"/>
                <w:szCs w:val="21"/>
                <w:highlight w:val="none"/>
                <w:u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其它</w:t>
            </w:r>
            <w:r>
              <w:rPr>
                <w:rFonts w:hint="eastAsia" w:ascii="Times New Roman" w:hAnsi="Times New Roman" w:eastAsia="方正仿宋_GBK" w:cs="Times New Roman"/>
                <w:color w:val="000000"/>
                <w:sz w:val="21"/>
                <w:szCs w:val="21"/>
                <w:highlight w:val="none"/>
                <w:u w:val="single"/>
                <w:lang w:val="en-US" w:eastAsia="zh-CN"/>
              </w:rPr>
              <w:t xml:space="preserve">      </w:t>
            </w:r>
          </w:p>
          <w:bookmarkEnd w:id="10"/>
          <w:p w14:paraId="6BB95EBD">
            <w:pPr>
              <w:keepNext w:val="0"/>
              <w:keepLines w:val="0"/>
              <w:pageBreakBefore w:val="0"/>
              <w:kinsoku/>
              <w:wordWrap/>
              <w:overflowPunct/>
              <w:topLinePunct w:val="0"/>
              <w:bidi w:val="0"/>
              <w:snapToGrid/>
              <w:spacing w:line="300" w:lineRule="exact"/>
              <w:jc w:val="left"/>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2.</w:t>
            </w:r>
            <w:bookmarkStart w:id="13" w:name="OLE_LINK34"/>
            <w:r>
              <w:rPr>
                <w:rFonts w:hint="default" w:ascii="Times New Roman" w:hAnsi="Times New Roman" w:eastAsia="仿宋" w:cs="Times New Roman"/>
                <w:color w:val="000000"/>
                <w:sz w:val="21"/>
                <w:szCs w:val="21"/>
                <w:highlight w:val="none"/>
              </w:rPr>
              <w:t>本项目</w:t>
            </w:r>
            <w:r>
              <w:rPr>
                <w:rFonts w:hint="eastAsia" w:eastAsia="仿宋" w:cs="Times New Roman"/>
                <w:color w:val="000000"/>
                <w:sz w:val="21"/>
                <w:szCs w:val="21"/>
                <w:highlight w:val="none"/>
                <w:lang w:val="en-US" w:eastAsia="zh-CN"/>
              </w:rPr>
              <w:t>的</w:t>
            </w:r>
            <w:r>
              <w:rPr>
                <w:rFonts w:hint="default" w:ascii="Times New Roman" w:hAnsi="Times New Roman" w:eastAsia="仿宋" w:cs="Times New Roman"/>
                <w:color w:val="000000"/>
                <w:sz w:val="21"/>
                <w:szCs w:val="21"/>
                <w:highlight w:val="none"/>
              </w:rPr>
              <w:t>合同总价</w:t>
            </w:r>
            <w:bookmarkEnd w:id="13"/>
            <w:r>
              <w:rPr>
                <w:rFonts w:hint="default" w:ascii="Times New Roman" w:hAnsi="Times New Roman" w:eastAsia="仿宋" w:cs="Times New Roman"/>
                <w:color w:val="000000"/>
                <w:sz w:val="21"/>
                <w:szCs w:val="21"/>
                <w:highlight w:val="none"/>
              </w:rPr>
              <w:t>为“包干价”，包括但不限于：乙方为履行合同所需的</w:t>
            </w:r>
            <w:r>
              <w:rPr>
                <w:rFonts w:hint="default" w:ascii="Times New Roman" w:hAnsi="Times New Roman" w:eastAsia="仿宋" w:cs="Times New Roman"/>
                <w:color w:val="000000"/>
                <w:sz w:val="24"/>
                <w:highlight w:val="none"/>
              </w:rPr>
              <w:t>________________</w:t>
            </w:r>
            <w:r>
              <w:rPr>
                <w:rFonts w:hint="default" w:ascii="Times New Roman" w:hAnsi="Times New Roman" w:eastAsia="仿宋" w:cs="Times New Roman"/>
                <w:color w:val="000000"/>
                <w:sz w:val="21"/>
                <w:szCs w:val="21"/>
                <w:highlight w:val="none"/>
              </w:rPr>
              <w:t>及所有税费。乙方投标时已充分考虑到所有费用，此外，甲方不额外支付任何费用。</w:t>
            </w:r>
          </w:p>
          <w:p w14:paraId="30C29C70">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3</w:t>
            </w:r>
            <w:r>
              <w:rPr>
                <w:rFonts w:hint="default" w:ascii="Times New Roman" w:hAnsi="Times New Roman" w:eastAsia="仿宋" w:cs="Times New Roman"/>
                <w:color w:val="000000"/>
                <w:sz w:val="21"/>
                <w:szCs w:val="21"/>
                <w:highlight w:val="none"/>
              </w:rPr>
              <w:t>.本合同商务参数详见附件1，技术参数详见附件2。甲方用户单位已逐页确认，符合其采购需求。</w:t>
            </w:r>
          </w:p>
          <w:p w14:paraId="49DF2438">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4</w:t>
            </w:r>
            <w:r>
              <w:rPr>
                <w:rFonts w:hint="default" w:ascii="Times New Roman" w:hAnsi="Times New Roman" w:eastAsia="仿宋" w:cs="Times New Roman"/>
                <w:color w:val="000000"/>
                <w:sz w:val="21"/>
                <w:szCs w:val="21"/>
                <w:highlight w:val="none"/>
              </w:rPr>
              <w:t>.税率：乙方承诺，严格依照国家税务管理部门的要求向甲方开具等额有效的发票并依法纳税。</w:t>
            </w:r>
          </w:p>
        </w:tc>
      </w:tr>
      <w:tr w14:paraId="244C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9628" w:type="dxa"/>
            <w:gridSpan w:val="7"/>
            <w:noWrap w:val="0"/>
            <w:vAlign w:val="center"/>
          </w:tcPr>
          <w:p w14:paraId="65B9008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一、服务要求和技术标准。乙方提供的服务必须是全新的（按招标文件规定的服务性能、技术要求、质量标准），完全符合国家有关技术</w:t>
            </w:r>
            <w:r>
              <w:rPr>
                <w:rFonts w:hint="eastAsia" w:eastAsia="仿宋" w:cs="Times New Roman"/>
                <w:color w:val="000000"/>
                <w:sz w:val="21"/>
                <w:szCs w:val="21"/>
                <w:highlight w:val="none"/>
                <w:lang w:val="en-US" w:eastAsia="zh-CN"/>
              </w:rPr>
              <w:t>/服务</w:t>
            </w:r>
            <w:r>
              <w:rPr>
                <w:rFonts w:hint="default" w:ascii="Times New Roman" w:hAnsi="Times New Roman" w:eastAsia="仿宋" w:cs="Times New Roman"/>
                <w:color w:val="000000"/>
                <w:sz w:val="21"/>
                <w:szCs w:val="21"/>
                <w:highlight w:val="none"/>
              </w:rPr>
              <w:t>标准。乙方的质量保证及售后服务承诺如下：</w:t>
            </w:r>
          </w:p>
          <w:p w14:paraId="4A17F56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（一）服务期：</w:t>
            </w:r>
          </w:p>
          <w:p w14:paraId="61BA869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年，自甲方验收合格之日起计算（若为分段验收的，应明确验收合格之日所属阶段）。服务属于国家规定“三包”范围的，其服务质量不得低于“三包”规定；乙方服务质量承诺优于国家“三包”规定的，按乙方实际承诺执行。</w:t>
            </w:r>
          </w:p>
          <w:p w14:paraId="6917FAC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（二）保修范围：</w:t>
            </w:r>
          </w:p>
          <w:p w14:paraId="2F4CF869">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上述列表所示的所有服务均属保修范围</w:t>
            </w:r>
            <w:bookmarkStart w:id="14" w:name="OLE_LINK19"/>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且</w:t>
            </w:r>
            <w:r>
              <w:rPr>
                <w:rFonts w:hint="default" w:ascii="Times New Roman" w:hAnsi="Times New Roman" w:eastAsia="仿宋" w:cs="Times New Roman"/>
                <w:color w:val="000000"/>
                <w:sz w:val="21"/>
                <w:szCs w:val="21"/>
                <w:highlight w:val="none"/>
              </w:rPr>
              <w:t>符合国家有关安全、环保、卫生的规定</w:t>
            </w:r>
            <w:r>
              <w:rPr>
                <w:rFonts w:hint="eastAsia" w:eastAsia="仿宋" w:cs="Times New Roman"/>
                <w:color w:val="000000"/>
                <w:sz w:val="21"/>
                <w:szCs w:val="21"/>
                <w:highlight w:val="none"/>
                <w:lang w:eastAsia="zh-CN"/>
              </w:rPr>
              <w:t>。</w:t>
            </w:r>
            <w:bookmarkEnd w:id="14"/>
            <w:r>
              <w:rPr>
                <w:rFonts w:hint="default" w:ascii="Times New Roman" w:hAnsi="Times New Roman" w:eastAsia="仿宋" w:cs="Times New Roman"/>
                <w:color w:val="000000"/>
                <w:sz w:val="21"/>
                <w:szCs w:val="21"/>
                <w:highlight w:val="none"/>
              </w:rPr>
              <w:t>服务期内，乙方应当对甲方正常使用中、非人为原因、基于不可抗力出现质量及安全问题的服务，负责处理解决并承担一切费用。</w:t>
            </w:r>
          </w:p>
          <w:p w14:paraId="5FA6191F">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（三）服务措施：</w:t>
            </w:r>
          </w:p>
          <w:p w14:paraId="1770DB48">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rPr>
              <w:t>1.服务期内，乙方提供的服务发生质量问题，乙方应负责免费更换。</w:t>
            </w:r>
            <w:bookmarkStart w:id="15" w:name="OLE_LINK20"/>
            <w:r>
              <w:rPr>
                <w:rFonts w:hint="eastAsia" w:eastAsia="仿宋" w:cs="Times New Roman"/>
                <w:color w:val="000000"/>
                <w:sz w:val="21"/>
                <w:szCs w:val="21"/>
                <w:highlight w:val="none"/>
                <w:lang w:val="en-US" w:eastAsia="zh-CN"/>
              </w:rPr>
              <w:t>注：甲方未支付款项的，</w:t>
            </w:r>
            <w:r>
              <w:rPr>
                <w:rFonts w:hint="default" w:ascii="Times New Roman" w:hAnsi="Times New Roman" w:eastAsia="仿宋" w:cs="Times New Roman"/>
                <w:color w:val="000000"/>
                <w:sz w:val="21"/>
                <w:szCs w:val="21"/>
                <w:highlight w:val="none"/>
              </w:rPr>
              <w:t>由乙方承担所发生的全部费用</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甲方已支付款项的，</w:t>
            </w:r>
            <w:r>
              <w:rPr>
                <w:rFonts w:hint="default" w:ascii="Times New Roman" w:hAnsi="Times New Roman" w:eastAsia="仿宋" w:cs="Times New Roman"/>
                <w:color w:val="000000"/>
                <w:sz w:val="21"/>
                <w:szCs w:val="21"/>
                <w:highlight w:val="none"/>
              </w:rPr>
              <w:t>乙方应退还甲方</w:t>
            </w:r>
            <w:r>
              <w:rPr>
                <w:rFonts w:hint="eastAsia" w:ascii="Times New Roman" w:hAnsi="Times New Roman" w:eastAsia="仿宋" w:cs="Times New Roman"/>
                <w:color w:val="000000"/>
                <w:sz w:val="21"/>
                <w:szCs w:val="21"/>
                <w:highlight w:val="none"/>
                <w:lang w:val="en-US" w:eastAsia="zh-CN"/>
              </w:rPr>
              <w:t>已</w:t>
            </w:r>
            <w:r>
              <w:rPr>
                <w:rFonts w:hint="default" w:ascii="Times New Roman" w:hAnsi="Times New Roman" w:eastAsia="仿宋" w:cs="Times New Roman"/>
                <w:color w:val="000000"/>
                <w:sz w:val="21"/>
                <w:szCs w:val="21"/>
                <w:highlight w:val="none"/>
              </w:rPr>
              <w:t>支付的</w:t>
            </w:r>
            <w:r>
              <w:rPr>
                <w:rFonts w:hint="eastAsia" w:ascii="Times New Roman" w:hAnsi="Times New Roman" w:eastAsia="仿宋" w:cs="Times New Roman"/>
                <w:color w:val="000000"/>
                <w:sz w:val="21"/>
                <w:szCs w:val="21"/>
                <w:highlight w:val="none"/>
                <w:lang w:val="en-US" w:eastAsia="zh-CN"/>
              </w:rPr>
              <w:t>款项</w:t>
            </w:r>
            <w:r>
              <w:rPr>
                <w:rFonts w:hint="default" w:ascii="Times New Roman" w:hAnsi="Times New Roman" w:eastAsia="仿宋" w:cs="Times New Roman"/>
                <w:color w:val="000000"/>
                <w:sz w:val="21"/>
                <w:szCs w:val="21"/>
                <w:highlight w:val="none"/>
              </w:rPr>
              <w:t>，同时应承担所发生的全部费用（运输、保险、检验、服务费利息及银行手续费等）。</w:t>
            </w:r>
          </w:p>
          <w:bookmarkEnd w:id="15"/>
          <w:p w14:paraId="6089F15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2.服务期内，乙方应当及时采取以下措施，并承担所有费用：</w:t>
            </w:r>
          </w:p>
          <w:p w14:paraId="11BC7C6F">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（1）电话或网络在线咨询：乙方应当为甲方提供技术援助电话、网络等服务，解答甲方在使用中遇到的问题，及时为甲方用户单位提出解决问题的建议。</w:t>
            </w:r>
          </w:p>
          <w:p w14:paraId="78BD7963">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（2）现场响应：甲方遇到使用和技术问题，电话、网络咨询不能解决的，乙方应在</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小时内到达甲方现场进行处理，确保服务正常工作；到达后，无法在</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小时内解决的，应当在</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小时内提供符合质量标准且确保正常工作的备用服务，协助甲方用户单位正常开展科研教学管理工作。</w:t>
            </w:r>
          </w:p>
          <w:p w14:paraId="05E7AA92">
            <w:pPr>
              <w:keepNext w:val="0"/>
              <w:keepLines w:val="0"/>
              <w:pageBreakBefore w:val="0"/>
              <w:kinsoku/>
              <w:wordWrap/>
              <w:overflowPunct/>
              <w:topLinePunct w:val="0"/>
              <w:bidi w:val="0"/>
              <w:snapToGrid/>
              <w:spacing w:line="300" w:lineRule="exact"/>
              <w:ind w:firstLine="420" w:firstLineChars="200"/>
              <w:textAlignment w:val="auto"/>
              <w:rPr>
                <w:rFonts w:hint="default"/>
                <w:color w:val="000000"/>
                <w:highlight w:val="none"/>
              </w:rPr>
            </w:pPr>
            <w:r>
              <w:rPr>
                <w:rFonts w:hint="default" w:ascii="Times New Roman" w:hAnsi="Times New Roman" w:eastAsia="仿宋" w:cs="Times New Roman"/>
                <w:color w:val="000000"/>
                <w:sz w:val="21"/>
                <w:szCs w:val="21"/>
                <w:highlight w:val="none"/>
              </w:rPr>
              <w:t>（3）技术升级：在服务期内，如果乙方的服务技术升级，乙方应及时通知甲方，如甲方有相应要求，乙方应对甲方购买的服务进行升级服务。</w:t>
            </w:r>
          </w:p>
        </w:tc>
      </w:tr>
      <w:tr w14:paraId="4781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jc w:val="center"/>
        </w:trPr>
        <w:tc>
          <w:tcPr>
            <w:tcW w:w="9628" w:type="dxa"/>
            <w:gridSpan w:val="7"/>
            <w:noWrap w:val="0"/>
            <w:vAlign w:val="top"/>
          </w:tcPr>
          <w:p w14:paraId="1F971596">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 xml:space="preserve">（四）服务期后服务： </w:t>
            </w:r>
          </w:p>
          <w:p w14:paraId="5E0099BF">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1. 继续提供电话或网络在线咨询：乙方应同样提供免费电话、网络咨询服务，并应承诺提供上门维护服务。</w:t>
            </w:r>
          </w:p>
          <w:p w14:paraId="3D673FF9">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2. 继续提供优惠价售后服务：甲方需要继续由乙方提供售后服务的，乙方应当以优惠价提供售后服务；若甲方需要添购，乙方应当依法与甲方另行达成补充协议。</w:t>
            </w:r>
          </w:p>
          <w:p w14:paraId="3E877B76">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（五）备用服务、备件及易损件：</w:t>
            </w:r>
          </w:p>
          <w:p w14:paraId="5FD1A8C0">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乙方售后服务中，维修使用的备用服务、备件及易损件应为原厂标准，未经甲方同意不得使用非原厂标准的备用服务、备件及易损件。常用的、容易损坏的备用服务、备件及易损件的价格清单，乙方已在投标文件中列出。</w:t>
            </w:r>
          </w:p>
        </w:tc>
      </w:tr>
      <w:tr w14:paraId="2272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9628" w:type="dxa"/>
            <w:gridSpan w:val="7"/>
            <w:noWrap w:val="0"/>
            <w:vAlign w:val="top"/>
          </w:tcPr>
          <w:p w14:paraId="41F1630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二、服务附随备品、附件、工具数量及供应方法：</w:t>
            </w:r>
          </w:p>
          <w:p w14:paraId="6492FF0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服务所附的备件、服务使用说明书、技术资料及配套工具应当随服务主体一次性交付至甲方，由甲方用户单位统一保管。</w:t>
            </w:r>
          </w:p>
        </w:tc>
      </w:tr>
      <w:tr w14:paraId="1797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9628" w:type="dxa"/>
            <w:gridSpan w:val="7"/>
            <w:noWrap w:val="0"/>
            <w:vAlign w:val="top"/>
          </w:tcPr>
          <w:p w14:paraId="11076E04">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三、交付方式：</w:t>
            </w:r>
          </w:p>
          <w:p w14:paraId="2532DAEF">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lang w:val="en-US" w:eastAsia="zh-CN"/>
              </w:rPr>
            </w:pPr>
            <w:bookmarkStart w:id="16" w:name="OLE_LINK21"/>
            <w:r>
              <w:rPr>
                <w:rFonts w:hint="default" w:ascii="Times New Roman" w:hAnsi="Times New Roman" w:eastAsia="仿宋" w:cs="Times New Roman"/>
                <w:color w:val="000000"/>
                <w:sz w:val="21"/>
                <w:szCs w:val="21"/>
                <w:highlight w:val="none"/>
              </w:rPr>
              <w:t>（一）</w:t>
            </w:r>
            <w:r>
              <w:rPr>
                <w:rFonts w:hint="eastAsia" w:eastAsia="仿宋" w:cs="Times New Roman"/>
                <w:color w:val="000000"/>
                <w:sz w:val="21"/>
                <w:szCs w:val="21"/>
                <w:highlight w:val="none"/>
                <w:lang w:val="en-US" w:eastAsia="zh-CN"/>
              </w:rPr>
              <w:t>分包、转让</w:t>
            </w:r>
          </w:p>
          <w:p w14:paraId="19C456B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u w:val="single"/>
                <w:lang w:val="en-US" w:eastAsia="zh-CN"/>
              </w:rPr>
            </w:pPr>
            <w:bookmarkStart w:id="17" w:name="OLE_LINK8"/>
            <w:r>
              <w:rPr>
                <w:rFonts w:hint="default" w:ascii="Times New Roman" w:hAnsi="Times New Roman" w:eastAsia="方正仿宋_GBK" w:cs="Times New Roman"/>
                <w:color w:val="000000"/>
                <w:sz w:val="21"/>
                <w:szCs w:val="21"/>
                <w:highlight w:val="none"/>
              </w:rPr>
              <w:sym w:font="Wingdings 2" w:char="00A3"/>
            </w:r>
            <w:bookmarkEnd w:id="17"/>
            <w:r>
              <w:rPr>
                <w:rFonts w:hint="eastAsia" w:eastAsia="仿宋" w:cs="Times New Roman"/>
                <w:color w:val="000000"/>
                <w:sz w:val="21"/>
                <w:szCs w:val="21"/>
                <w:highlight w:val="none"/>
                <w:lang w:val="en-US" w:eastAsia="zh-CN"/>
              </w:rPr>
              <w:t>本合同范围的服务，可以分包、转让：</w:t>
            </w:r>
            <w:r>
              <w:rPr>
                <w:rFonts w:hint="eastAsia" w:eastAsia="仿宋" w:cs="Times New Roman"/>
                <w:color w:val="000000"/>
                <w:sz w:val="21"/>
                <w:szCs w:val="21"/>
                <w:highlight w:val="none"/>
                <w:u w:val="single"/>
                <w:lang w:val="en-US" w:eastAsia="zh-CN"/>
              </w:rPr>
              <w:t xml:space="preserve">《分包意向协议》详见本合同附件                 </w:t>
            </w:r>
          </w:p>
          <w:p w14:paraId="15AEEF18">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方正仿宋_GBK" w:cs="Times New Roman"/>
                <w:color w:val="000000"/>
                <w:sz w:val="21"/>
                <w:szCs w:val="21"/>
                <w:highlight w:val="none"/>
              </w:rPr>
              <w:sym w:font="Wingdings 2" w:char="00A3"/>
            </w:r>
            <w:bookmarkEnd w:id="16"/>
            <w:r>
              <w:rPr>
                <w:rFonts w:hint="default" w:ascii="Times New Roman" w:hAnsi="Times New Roman" w:eastAsia="仿宋" w:cs="Times New Roman"/>
                <w:color w:val="000000"/>
                <w:sz w:val="21"/>
                <w:szCs w:val="21"/>
                <w:highlight w:val="none"/>
              </w:rPr>
              <w:t>本合同范围的服务，应由乙方直接供应，不得转让他人供应；非经甲方书面同意，乙方不得将本合同范围的服务全部或部分分包给他人供应；如有转让和未经甲方书面同意的分包行为，甲方有权</w:t>
            </w:r>
            <w:r>
              <w:rPr>
                <w:rFonts w:hint="eastAsia" w:eastAsia="仿宋" w:cs="Times New Roman"/>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解除合同，没收履约保证金并追究乙方的违约责任。</w:t>
            </w:r>
          </w:p>
          <w:p w14:paraId="24464BB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（二）乙方应当在</w:t>
            </w:r>
            <w:r>
              <w:rPr>
                <w:rFonts w:hint="default" w:ascii="Times New Roman" w:hAnsi="Times New Roman" w:eastAsia="仿宋" w:cs="Times New Roman"/>
                <w:color w:val="000000"/>
                <w:sz w:val="24"/>
                <w:highlight w:val="none"/>
              </w:rPr>
              <w:t>_____________</w:t>
            </w:r>
            <w:r>
              <w:rPr>
                <w:rFonts w:hint="default" w:ascii="Times New Roman" w:hAnsi="Times New Roman" w:eastAsia="仿宋" w:cs="Times New Roman"/>
                <w:color w:val="000000"/>
                <w:sz w:val="21"/>
                <w:szCs w:val="21"/>
                <w:highlight w:val="none"/>
              </w:rPr>
              <w:t>内（履行期间），将服务交付至甲方用户单位指定地点。</w:t>
            </w:r>
          </w:p>
        </w:tc>
      </w:tr>
      <w:tr w14:paraId="3A18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8" w:type="dxa"/>
            <w:gridSpan w:val="7"/>
            <w:noWrap w:val="0"/>
            <w:vAlign w:val="top"/>
          </w:tcPr>
          <w:p w14:paraId="3057607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000000"/>
                <w:sz w:val="21"/>
                <w:szCs w:val="21"/>
                <w:highlight w:val="none"/>
              </w:rPr>
              <w:t>四、</w:t>
            </w:r>
            <w:r>
              <w:rPr>
                <w:rFonts w:hint="eastAsia" w:eastAsia="仿宋" w:cs="Times New Roman"/>
                <w:color w:val="auto"/>
                <w:sz w:val="21"/>
                <w:szCs w:val="21"/>
                <w:highlight w:val="none"/>
                <w:lang w:val="en-US" w:eastAsia="zh-CN"/>
              </w:rPr>
              <w:t>履约</w:t>
            </w:r>
            <w:r>
              <w:rPr>
                <w:rFonts w:hint="default" w:ascii="Times New Roman" w:hAnsi="Times New Roman" w:eastAsia="仿宋" w:cs="Times New Roman"/>
                <w:color w:val="auto"/>
                <w:sz w:val="21"/>
                <w:szCs w:val="21"/>
                <w:highlight w:val="none"/>
              </w:rPr>
              <w:t>验收标准、方法：</w:t>
            </w:r>
          </w:p>
          <w:p w14:paraId="313CB7A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（一）</w:t>
            </w:r>
            <w:r>
              <w:rPr>
                <w:rFonts w:hint="eastAsia" w:eastAsia="仿宋" w:cs="Times New Roman"/>
                <w:color w:val="auto"/>
                <w:sz w:val="21"/>
                <w:szCs w:val="21"/>
                <w:highlight w:val="none"/>
                <w:lang w:val="en-US" w:eastAsia="zh-CN"/>
              </w:rPr>
              <w:t>甲方组织验收，乙方协助配合。乙方</w:t>
            </w:r>
            <w:r>
              <w:rPr>
                <w:rFonts w:hint="default" w:ascii="Times New Roman" w:hAnsi="Times New Roman" w:eastAsia="仿宋" w:cs="Times New Roman"/>
                <w:color w:val="auto"/>
                <w:sz w:val="21"/>
                <w:szCs w:val="21"/>
                <w:highlight w:val="none"/>
              </w:rPr>
              <w:t>交付服务时，乙方应在甲方用户单位在场情况下当面交付，共同清点、检查，作出交付记录，双方签字确认。</w:t>
            </w:r>
          </w:p>
          <w:p w14:paraId="44B5C40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（二）乙方应当保证服务到达甲方所在地完好无损，如有缺漏、损坏，由乙方负责调换、补齐或赔偿。</w:t>
            </w:r>
          </w:p>
          <w:p w14:paraId="5C790CF9">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（三）乙方应随服务提供完备的技术资料、装箱单和合格证等，并派遣专业技术人员进行现场</w:t>
            </w:r>
            <w:r>
              <w:rPr>
                <w:rFonts w:hint="eastAsia" w:eastAsia="仿宋" w:cs="Times New Roman"/>
                <w:color w:val="auto"/>
                <w:sz w:val="21"/>
                <w:szCs w:val="21"/>
                <w:highlight w:val="none"/>
                <w:lang w:val="en-US" w:eastAsia="zh-CN"/>
              </w:rPr>
              <w:t>支持</w:t>
            </w:r>
            <w:r>
              <w:rPr>
                <w:rFonts w:hint="default" w:ascii="Times New Roman" w:hAnsi="Times New Roman" w:eastAsia="仿宋" w:cs="Times New Roman"/>
                <w:color w:val="auto"/>
                <w:sz w:val="21"/>
                <w:szCs w:val="21"/>
                <w:highlight w:val="none"/>
              </w:rPr>
              <w:t>。</w:t>
            </w:r>
            <w:bookmarkStart w:id="18" w:name="OLE_LINK22"/>
            <w:r>
              <w:rPr>
                <w:rFonts w:hint="eastAsia" w:eastAsia="仿宋" w:cs="Times New Roman"/>
                <w:color w:val="auto"/>
                <w:sz w:val="21"/>
                <w:szCs w:val="21"/>
                <w:highlight w:val="none"/>
                <w:lang w:val="en-US" w:eastAsia="zh-CN"/>
              </w:rPr>
              <w:t>按履约验收方案，</w:t>
            </w:r>
            <w:bookmarkEnd w:id="18"/>
            <w:r>
              <w:rPr>
                <w:rFonts w:hint="default" w:ascii="Times New Roman" w:hAnsi="Times New Roman" w:eastAsia="仿宋" w:cs="Times New Roman"/>
                <w:color w:val="auto"/>
                <w:sz w:val="21"/>
                <w:szCs w:val="21"/>
                <w:highlight w:val="none"/>
              </w:rPr>
              <w:t>验收合格条件如下：</w:t>
            </w:r>
          </w:p>
          <w:p w14:paraId="2AB97D71">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1服务商务参数、技术参数与本合同一致，性能指标达到规定的标准。</w:t>
            </w:r>
          </w:p>
          <w:p w14:paraId="41185131">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2.服务技术资料、装箱单、合格证等资料齐全。</w:t>
            </w:r>
          </w:p>
          <w:p w14:paraId="547C5A0F">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3.在系统试运行期间所出现的问题得到解决，并运行正常。</w:t>
            </w:r>
          </w:p>
          <w:p w14:paraId="5786E2C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4.在规定时间内完成交付并验收，并经甲方确认。</w:t>
            </w:r>
          </w:p>
          <w:p w14:paraId="5CE11330">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四）服务在试运行符合要求后，才作为最终验收。甲方对乙方交付服务的验收仅为表面验收，验收合格不视为乙方对质量问题免责；甲方验收时未提出异议不视为对乙方服务质量合格之认定。若乙方服务存在任何质量问题，甲方有权要求乙方承担相应责任。</w:t>
            </w:r>
          </w:p>
          <w:p w14:paraId="07EB2D30">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（五）乙方所交服务的质量指标不得低于甲方招标文件要求、</w:t>
            </w:r>
            <w:bookmarkStart w:id="19" w:name="OLE_LINK35"/>
            <w:r>
              <w:rPr>
                <w:rFonts w:hint="default" w:ascii="Times New Roman" w:hAnsi="Times New Roman" w:eastAsia="仿宋" w:cs="Times New Roman"/>
                <w:color w:val="auto"/>
                <w:sz w:val="21"/>
                <w:szCs w:val="21"/>
                <w:highlight w:val="none"/>
              </w:rPr>
              <w:t>乙方提供的</w:t>
            </w:r>
            <w:r>
              <w:rPr>
                <w:rFonts w:hint="eastAsia" w:eastAsia="仿宋" w:cs="Times New Roman"/>
                <w:color w:val="auto"/>
                <w:sz w:val="21"/>
                <w:szCs w:val="21"/>
                <w:highlight w:val="none"/>
                <w:lang w:val="en-US" w:eastAsia="zh-CN"/>
              </w:rPr>
              <w:t>试用服务</w:t>
            </w:r>
            <w:r>
              <w:rPr>
                <w:rFonts w:hint="default" w:ascii="Times New Roman" w:hAnsi="Times New Roman" w:eastAsia="仿宋" w:cs="Times New Roman"/>
                <w:color w:val="auto"/>
                <w:sz w:val="21"/>
                <w:szCs w:val="21"/>
                <w:highlight w:val="none"/>
              </w:rPr>
              <w:t>指标、</w:t>
            </w:r>
            <w:bookmarkEnd w:id="19"/>
            <w:r>
              <w:rPr>
                <w:rFonts w:hint="default" w:ascii="Times New Roman" w:hAnsi="Times New Roman" w:eastAsia="仿宋" w:cs="Times New Roman"/>
                <w:color w:val="auto"/>
                <w:sz w:val="21"/>
                <w:szCs w:val="21"/>
                <w:highlight w:val="none"/>
              </w:rPr>
              <w:t>乙方承诺的质量指标或有关国家标准（标准不一致的，以高标准计）</w:t>
            </w:r>
            <w:r>
              <w:rPr>
                <w:rFonts w:hint="eastAsia"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47644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售后服务质量要求，按招标文件和投标文件的内容执行。乙方交付时，甲方可根据需要随机抽取一部分服务送有关权威检测部门检测</w:t>
            </w:r>
            <w:r>
              <w:rPr>
                <w:rFonts w:hint="eastAsia" w:eastAsia="仿宋" w:cs="Times New Roman"/>
                <w:color w:val="auto"/>
                <w:sz w:val="21"/>
                <w:szCs w:val="21"/>
                <w:highlight w:val="none"/>
                <w:lang w:eastAsia="zh-CN"/>
              </w:rPr>
              <w:t>（</w:t>
            </w:r>
            <w:r>
              <w:rPr>
                <w:rFonts w:hint="eastAsia" w:eastAsia="仿宋" w:cs="Times New Roman"/>
                <w:color w:val="auto"/>
                <w:sz w:val="21"/>
                <w:szCs w:val="21"/>
                <w:highlight w:val="none"/>
                <w:lang w:val="en-US" w:eastAsia="zh-CN"/>
              </w:rPr>
              <w:t>费用由乙方承担</w:t>
            </w:r>
            <w:r>
              <w:rPr>
                <w:rFonts w:hint="eastAsia"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rPr>
              <w:t>；如检测不合格，乙方应承担甲方所支出的检测费用并向甲方赔偿一切损失。乙方所交服务若未达到招标文件要求，且对甲方造成损失的，由乙方承担一切责任，并赔偿所造成的损失。</w:t>
            </w:r>
          </w:p>
          <w:p w14:paraId="61E4F6A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如验收不合格</w:t>
            </w:r>
            <w:r>
              <w:rPr>
                <w:rFonts w:hint="eastAsia" w:eastAsia="仿宋" w:cs="Times New Roman"/>
                <w:color w:val="auto"/>
                <w:sz w:val="21"/>
                <w:szCs w:val="21"/>
                <w:highlight w:val="none"/>
                <w:lang w:eastAsia="zh-CN"/>
              </w:rPr>
              <w:t>（</w:t>
            </w:r>
            <w:r>
              <w:rPr>
                <w:rFonts w:hint="eastAsia" w:eastAsia="仿宋" w:cs="Times New Roman"/>
                <w:color w:val="auto"/>
                <w:sz w:val="21"/>
                <w:szCs w:val="21"/>
                <w:highlight w:val="none"/>
                <w:lang w:val="en-US" w:eastAsia="zh-CN"/>
              </w:rPr>
              <w:t>甚至发生违约</w:t>
            </w:r>
            <w:r>
              <w:rPr>
                <w:rFonts w:hint="default" w:ascii="Times New Roman" w:hAnsi="Times New Roman" w:eastAsia="仿宋" w:cs="Times New Roman"/>
                <w:color w:val="auto"/>
                <w:sz w:val="21"/>
                <w:szCs w:val="21"/>
                <w:highlight w:val="none"/>
              </w:rPr>
              <w:t>、侵权</w:t>
            </w:r>
            <w:r>
              <w:rPr>
                <w:rFonts w:hint="eastAsia" w:ascii="Times New Roman" w:hAnsi="Times New Roman" w:eastAsia="仿宋" w:cs="Times New Roman"/>
                <w:color w:val="auto"/>
                <w:sz w:val="21"/>
                <w:szCs w:val="21"/>
                <w:highlight w:val="none"/>
                <w:lang w:val="en-US" w:eastAsia="zh-CN"/>
              </w:rPr>
              <w:t>事件，提供假冒伪劣服务或</w:t>
            </w:r>
            <w:r>
              <w:rPr>
                <w:rFonts w:hint="default" w:ascii="Times New Roman" w:hAnsi="Times New Roman" w:eastAsia="仿宋" w:cs="Times New Roman"/>
                <w:color w:val="auto"/>
                <w:sz w:val="21"/>
                <w:szCs w:val="21"/>
                <w:highlight w:val="none"/>
              </w:rPr>
              <w:t>不</w:t>
            </w:r>
            <w:r>
              <w:rPr>
                <w:rFonts w:hint="eastAsia" w:ascii="Times New Roman" w:hAnsi="Times New Roman" w:eastAsia="仿宋" w:cs="Times New Roman"/>
                <w:color w:val="auto"/>
                <w:sz w:val="21"/>
                <w:szCs w:val="21"/>
                <w:highlight w:val="none"/>
                <w:lang w:val="en-US" w:eastAsia="zh-CN"/>
              </w:rPr>
              <w:t>满足合同约定</w:t>
            </w:r>
            <w:r>
              <w:rPr>
                <w:rFonts w:hint="default" w:ascii="Times New Roman" w:hAnsi="Times New Roman" w:eastAsia="仿宋" w:cs="Times New Roman"/>
                <w:color w:val="auto"/>
                <w:sz w:val="21"/>
                <w:szCs w:val="21"/>
                <w:highlight w:val="none"/>
              </w:rPr>
              <w:t>标准等</w:t>
            </w:r>
            <w:r>
              <w:rPr>
                <w:rFonts w:hint="eastAsia" w:ascii="Times New Roman" w:hAnsi="Times New Roman" w:eastAsia="仿宋" w:cs="Times New Roman"/>
                <w:color w:val="auto"/>
                <w:sz w:val="21"/>
                <w:szCs w:val="21"/>
                <w:highlight w:val="none"/>
                <w:lang w:val="en-US" w:eastAsia="zh-CN"/>
              </w:rPr>
              <w:t>任一</w:t>
            </w:r>
            <w:r>
              <w:rPr>
                <w:rFonts w:hint="default" w:ascii="Times New Roman" w:hAnsi="Times New Roman" w:eastAsia="仿宋" w:cs="Times New Roman"/>
                <w:color w:val="auto"/>
                <w:sz w:val="21"/>
                <w:szCs w:val="21"/>
                <w:highlight w:val="none"/>
              </w:rPr>
              <w:t>情形的</w:t>
            </w:r>
            <w:r>
              <w:rPr>
                <w:rFonts w:hint="eastAsia"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rPr>
              <w:t>，甲方有权</w:t>
            </w:r>
            <w:r>
              <w:rPr>
                <w:rFonts w:hint="eastAsia" w:eastAsia="仿宋" w:cs="Times New Roman"/>
                <w:color w:val="auto"/>
                <w:sz w:val="21"/>
                <w:szCs w:val="21"/>
                <w:highlight w:val="none"/>
                <w:lang w:val="en-US" w:eastAsia="zh-CN"/>
              </w:rPr>
              <w:t>单方</w:t>
            </w:r>
            <w:r>
              <w:rPr>
                <w:rFonts w:hint="default" w:ascii="Times New Roman" w:hAnsi="Times New Roman" w:eastAsia="仿宋" w:cs="Times New Roman"/>
                <w:color w:val="auto"/>
                <w:sz w:val="21"/>
                <w:szCs w:val="21"/>
                <w:highlight w:val="none"/>
              </w:rPr>
              <w:t>解除本合同并没收履约保证金；乙方应当赔偿甲方一切损失，并返还甲方已支付的全部合同款，并据实接受行政主管部门的相关处罚结果。</w:t>
            </w:r>
          </w:p>
          <w:p w14:paraId="4036733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（六）大型或者复杂的政府采购服务项目，甲方应当邀请国家认可的质量检测机构参加验收工作。</w:t>
            </w:r>
          </w:p>
          <w:p w14:paraId="386BDC7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（七）甲方需要对乙方交付的服务（包括质量、技术参数等）进行确认的，</w:t>
            </w:r>
            <w:r>
              <w:rPr>
                <w:rFonts w:hint="eastAsia" w:eastAsia="仿宋" w:cs="Times New Roman"/>
                <w:color w:val="000000"/>
                <w:sz w:val="21"/>
                <w:szCs w:val="21"/>
                <w:highlight w:val="none"/>
                <w:lang w:val="en-US" w:eastAsia="zh-CN"/>
              </w:rPr>
              <w:t>乙方</w:t>
            </w:r>
            <w:r>
              <w:rPr>
                <w:rFonts w:hint="default" w:ascii="Times New Roman" w:hAnsi="Times New Roman" w:eastAsia="仿宋" w:cs="Times New Roman"/>
                <w:color w:val="000000"/>
                <w:sz w:val="21"/>
                <w:szCs w:val="21"/>
                <w:highlight w:val="none"/>
              </w:rPr>
              <w:t>应予以配合，并出具书面意见。</w:t>
            </w:r>
          </w:p>
          <w:p w14:paraId="595C854C">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（八）服务包装材料归甲方所有。乙方负责及时将服务包装材料清运离开甲方所在地，由此产生的费用由乙方自行承担。</w:t>
            </w:r>
            <w:bookmarkStart w:id="20" w:name="OLE_LINK23"/>
          </w:p>
          <w:p w14:paraId="2DBC2879">
            <w:pPr>
              <w:keepNext w:val="0"/>
              <w:keepLines w:val="0"/>
              <w:pageBreakBefore w:val="0"/>
              <w:kinsoku/>
              <w:wordWrap/>
              <w:overflowPunct/>
              <w:topLinePunct w:val="0"/>
              <w:bidi w:val="0"/>
              <w:snapToGrid/>
              <w:spacing w:line="300" w:lineRule="exact"/>
              <w:ind w:firstLine="420" w:firstLineChars="200"/>
              <w:textAlignment w:val="auto"/>
              <w:rPr>
                <w:rFonts w:hint="eastAsia" w:eastAsia="仿宋"/>
                <w:color w:val="000000"/>
                <w:highlight w:val="none"/>
                <w:lang w:eastAsia="zh-CN"/>
              </w:rPr>
            </w:pP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九</w:t>
            </w:r>
            <w:r>
              <w:rPr>
                <w:rFonts w:hint="eastAsia" w:eastAsia="仿宋" w:cs="Times New Roman"/>
                <w:color w:val="000000"/>
                <w:sz w:val="21"/>
                <w:szCs w:val="21"/>
                <w:highlight w:val="none"/>
                <w:lang w:eastAsia="zh-CN"/>
              </w:rPr>
              <w:t>）自本项目结果公告发布之日，</w:t>
            </w:r>
            <w:r>
              <w:rPr>
                <w:rFonts w:hint="eastAsia" w:eastAsia="仿宋" w:cs="Times New Roman"/>
                <w:color w:val="000000"/>
                <w:sz w:val="21"/>
                <w:szCs w:val="21"/>
                <w:highlight w:val="none"/>
                <w:lang w:val="en-US" w:eastAsia="zh-CN"/>
              </w:rPr>
              <w:t>乙方应当</w:t>
            </w:r>
            <w:r>
              <w:rPr>
                <w:rFonts w:hint="eastAsia" w:eastAsia="仿宋" w:cs="Times New Roman"/>
                <w:color w:val="000000"/>
                <w:sz w:val="21"/>
                <w:szCs w:val="21"/>
                <w:highlight w:val="none"/>
                <w:lang w:eastAsia="zh-CN"/>
              </w:rPr>
              <w:t>配合</w:t>
            </w:r>
            <w:r>
              <w:rPr>
                <w:rFonts w:hint="eastAsia" w:eastAsia="仿宋" w:cs="Times New Roman"/>
                <w:color w:val="000000"/>
                <w:sz w:val="21"/>
                <w:szCs w:val="21"/>
                <w:highlight w:val="none"/>
                <w:lang w:val="en-US" w:eastAsia="zh-CN"/>
              </w:rPr>
              <w:t>甲方</w:t>
            </w:r>
            <w:r>
              <w:rPr>
                <w:rFonts w:hint="eastAsia" w:eastAsia="仿宋" w:cs="Times New Roman"/>
                <w:color w:val="000000"/>
                <w:sz w:val="21"/>
                <w:szCs w:val="21"/>
                <w:highlight w:val="none"/>
                <w:lang w:eastAsia="zh-CN"/>
              </w:rPr>
              <w:t>在法定时限范围内完成合同签订。若</w:t>
            </w:r>
            <w:r>
              <w:rPr>
                <w:rFonts w:hint="eastAsia" w:eastAsia="仿宋" w:cs="Times New Roman"/>
                <w:color w:val="000000"/>
                <w:sz w:val="21"/>
                <w:szCs w:val="21"/>
                <w:highlight w:val="none"/>
                <w:lang w:val="en-US" w:eastAsia="zh-CN"/>
              </w:rPr>
              <w:t>乙方</w:t>
            </w:r>
            <w:r>
              <w:rPr>
                <w:rFonts w:hint="eastAsia" w:eastAsia="仿宋" w:cs="Times New Roman"/>
                <w:color w:val="000000"/>
                <w:sz w:val="21"/>
                <w:szCs w:val="21"/>
                <w:highlight w:val="none"/>
                <w:lang w:eastAsia="zh-CN"/>
              </w:rPr>
              <w:t>无正当理由不签订合同或故意拖延签订时间，被查证属实的，</w:t>
            </w:r>
            <w:r>
              <w:rPr>
                <w:rFonts w:hint="eastAsia" w:eastAsia="仿宋" w:cs="Times New Roman"/>
                <w:color w:val="000000"/>
                <w:sz w:val="21"/>
                <w:szCs w:val="21"/>
                <w:highlight w:val="none"/>
                <w:lang w:val="en-US" w:eastAsia="zh-CN"/>
              </w:rPr>
              <w:t>乙方须</w:t>
            </w:r>
            <w:r>
              <w:rPr>
                <w:rFonts w:hint="eastAsia" w:eastAsia="仿宋" w:cs="Times New Roman"/>
                <w:color w:val="000000"/>
                <w:sz w:val="21"/>
                <w:szCs w:val="21"/>
                <w:highlight w:val="none"/>
                <w:lang w:eastAsia="zh-CN"/>
              </w:rPr>
              <w:t>依法承担相关法律责任。</w:t>
            </w:r>
          </w:p>
          <w:p w14:paraId="5A787405">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rPr>
              <w:t>如乙方对上述（一）至（</w:t>
            </w:r>
            <w:r>
              <w:rPr>
                <w:rFonts w:hint="eastAsia" w:eastAsia="仿宋" w:cs="Times New Roman"/>
                <w:color w:val="000000"/>
                <w:sz w:val="21"/>
                <w:szCs w:val="21"/>
                <w:highlight w:val="none"/>
                <w:lang w:val="en-US" w:eastAsia="zh-CN"/>
              </w:rPr>
              <w:t>九</w:t>
            </w:r>
            <w:r>
              <w:rPr>
                <w:rFonts w:hint="default" w:ascii="Times New Roman" w:hAnsi="Times New Roman" w:eastAsia="仿宋" w:cs="Times New Roman"/>
                <w:color w:val="000000"/>
                <w:sz w:val="21"/>
                <w:szCs w:val="21"/>
                <w:highlight w:val="none"/>
              </w:rPr>
              <w:t>）项约定有异议，请自本合同生效后</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个自然日内向甲方提出。</w:t>
            </w:r>
            <w:bookmarkEnd w:id="20"/>
          </w:p>
        </w:tc>
      </w:tr>
      <w:tr w14:paraId="7623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628" w:type="dxa"/>
            <w:gridSpan w:val="7"/>
            <w:noWrap w:val="0"/>
            <w:vAlign w:val="top"/>
          </w:tcPr>
          <w:p w14:paraId="28F1DB3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五、付款方式：</w:t>
            </w:r>
          </w:p>
          <w:p w14:paraId="0B493673">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（一）履约担保：</w:t>
            </w:r>
          </w:p>
          <w:p w14:paraId="4D774B84">
            <w:pPr>
              <w:pStyle w:val="23"/>
              <w:rPr>
                <w:rFonts w:hint="default" w:eastAsia="方正仿宋_GBK"/>
                <w:color w:val="000000"/>
                <w:highlight w:val="none"/>
                <w:lang w:val="en-US" w:eastAsia="zh-CN"/>
              </w:rPr>
            </w:pPr>
            <w:r>
              <w:rPr>
                <w:rFonts w:hint="eastAsia" w:ascii="Times New Roman" w:hAnsi="Times New Roman" w:eastAsia="仿宋" w:cs="Times New Roman"/>
                <w:color w:val="000000"/>
                <w:sz w:val="21"/>
                <w:szCs w:val="21"/>
                <w:highlight w:val="none"/>
                <w:lang w:val="en-US" w:eastAsia="zh-CN"/>
              </w:rPr>
              <w:t xml:space="preserve">1. </w:t>
            </w: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本项目无需乙方向甲方提交履约担保</w:t>
            </w:r>
          </w:p>
          <w:p w14:paraId="413412CD">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方正仿宋_GBK" w:cs="Times New Roman"/>
                <w:color w:val="000000"/>
                <w:sz w:val="21"/>
                <w:szCs w:val="21"/>
                <w:highlight w:val="none"/>
                <w:lang w:val="en-US" w:eastAsia="zh-CN"/>
              </w:rPr>
            </w:pPr>
            <w:r>
              <w:rPr>
                <w:rFonts w:hint="eastAsia" w:eastAsia="仿宋" w:cs="Times New Roman"/>
                <w:color w:val="000000"/>
                <w:sz w:val="21"/>
                <w:szCs w:val="21"/>
                <w:highlight w:val="none"/>
                <w:lang w:val="en-US" w:eastAsia="zh-CN"/>
              </w:rPr>
              <w:t xml:space="preserve">2. </w:t>
            </w: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本项目需要乙方向甲方提交履约担保</w:t>
            </w:r>
          </w:p>
          <w:p w14:paraId="41D38783">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本</w:t>
            </w:r>
            <w:r>
              <w:rPr>
                <w:rFonts w:hint="default" w:ascii="Times New Roman" w:hAnsi="Times New Roman" w:eastAsia="仿宋" w:cs="Times New Roman"/>
                <w:color w:val="000000"/>
                <w:sz w:val="21"/>
                <w:szCs w:val="21"/>
                <w:highlight w:val="none"/>
              </w:rPr>
              <w:t>合同签订</w:t>
            </w:r>
            <w:bookmarkStart w:id="21" w:name="OLE_LINK14"/>
            <w:r>
              <w:rPr>
                <w:rFonts w:hint="default" w:ascii="Times New Roman" w:hAnsi="Times New Roman" w:eastAsia="方正仿宋_GBK" w:cs="Times New Roman"/>
                <w:color w:val="000000"/>
                <w:sz w:val="21"/>
                <w:szCs w:val="21"/>
                <w:highlight w:val="none"/>
              </w:rPr>
              <w:sym w:font="Wingdings 2" w:char="00A3"/>
            </w:r>
            <w:bookmarkEnd w:id="21"/>
            <w:r>
              <w:rPr>
                <w:rFonts w:hint="default" w:ascii="Times New Roman" w:hAnsi="Times New Roman" w:eastAsia="仿宋" w:cs="Times New Roman"/>
                <w:color w:val="000000"/>
                <w:sz w:val="21"/>
                <w:szCs w:val="21"/>
                <w:highlight w:val="none"/>
                <w:u w:val="single"/>
              </w:rPr>
              <w:t>前</w:t>
            </w:r>
            <w:bookmarkStart w:id="22" w:name="OLE_LINK11"/>
            <w:r>
              <w:rPr>
                <w:rFonts w:hint="eastAsia" w:eastAsia="仿宋" w:cs="Times New Roman"/>
                <w:color w:val="000000"/>
                <w:sz w:val="21"/>
                <w:szCs w:val="21"/>
                <w:highlight w:val="none"/>
                <w:u w:val="none"/>
                <w:lang w:val="en-US" w:eastAsia="zh-CN"/>
              </w:rPr>
              <w:t xml:space="preserve"> </w:t>
            </w:r>
            <w:bookmarkEnd w:id="22"/>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u w:val="single"/>
              </w:rPr>
              <w:t>时</w:t>
            </w:r>
            <w:r>
              <w:rPr>
                <w:rFonts w:hint="eastAsia" w:eastAsia="仿宋" w:cs="Times New Roman"/>
                <w:color w:val="000000"/>
                <w:sz w:val="21"/>
                <w:szCs w:val="21"/>
                <w:highlight w:val="none"/>
                <w:u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u w:val="single"/>
              </w:rPr>
              <w:t>后</w:t>
            </w:r>
            <w:r>
              <w:rPr>
                <w:rFonts w:hint="default" w:ascii="Times New Roman" w:hAnsi="Times New Roman" w:eastAsia="仿宋" w:cs="Times New Roman"/>
                <w:color w:val="000000"/>
                <w:sz w:val="21"/>
                <w:szCs w:val="21"/>
                <w:highlight w:val="none"/>
              </w:rPr>
              <w:t>，乙方应当按本合同总价的</w:t>
            </w:r>
            <w:r>
              <w:rPr>
                <w:rFonts w:hint="default" w:ascii="Times New Roman" w:hAnsi="Times New Roman" w:eastAsia="仿宋" w:cs="Times New Roman"/>
                <w:color w:val="000000"/>
                <w:sz w:val="21"/>
                <w:szCs w:val="21"/>
                <w:highlight w:val="none"/>
                <w:u w:val="single"/>
              </w:rPr>
              <w:t>5</w:t>
            </w:r>
            <w:r>
              <w:rPr>
                <w:rFonts w:hint="default" w:ascii="Times New Roman" w:hAnsi="Times New Roman" w:eastAsia="仿宋" w:cs="Times New Roman"/>
                <w:color w:val="000000"/>
                <w:sz w:val="21"/>
                <w:szCs w:val="21"/>
                <w:highlight w:val="none"/>
              </w:rPr>
              <w:t>%（若有特殊情况，以招标文件要求为准）向甲方交纳履约保证金（可以</w:t>
            </w:r>
            <w:r>
              <w:rPr>
                <w:rFonts w:hint="eastAsia" w:eastAsia="仿宋" w:cs="Times New Roman"/>
                <w:color w:val="000000"/>
                <w:sz w:val="21"/>
                <w:szCs w:val="21"/>
                <w:highlight w:val="none"/>
                <w:lang w:val="en-US" w:eastAsia="zh-CN"/>
              </w:rPr>
              <w:t>现金形式，或</w:t>
            </w:r>
            <w:r>
              <w:rPr>
                <w:rFonts w:hint="default" w:ascii="Times New Roman" w:hAnsi="Times New Roman" w:eastAsia="仿宋" w:cs="Times New Roman"/>
                <w:color w:val="000000"/>
                <w:sz w:val="21"/>
                <w:szCs w:val="21"/>
                <w:highlight w:val="none"/>
              </w:rPr>
              <w:t>支票、汇票、本票或者金融机构、担保机构出具的保函等非现金形式提交）；乙方未支付履约保证金的，甲方有权拒绝支付本合同总价款项，且不承担任何迟延履行责任。合同履行期内，履约保证金减少的，乙方应当补足，逾期未补足的视为违约。涉及提供担保的，按《中华人民共和国民法典》规定执行。</w:t>
            </w:r>
          </w:p>
          <w:p w14:paraId="2427184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（二）乙方按本合同约定交付、经甲方验收合格后，由甲方出具项目验收报告。</w:t>
            </w:r>
          </w:p>
          <w:p w14:paraId="5ABCB339">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w:t>
            </w:r>
            <w:bookmarkStart w:id="23" w:name="OLE_LINK24"/>
            <w:r>
              <w:rPr>
                <w:rFonts w:hint="default" w:ascii="Times New Roman" w:hAnsi="Times New Roman" w:eastAsia="仿宋" w:cs="Times New Roman"/>
                <w:color w:val="000000"/>
                <w:sz w:val="21"/>
                <w:szCs w:val="21"/>
                <w:highlight w:val="none"/>
              </w:rPr>
              <w:t>付款：</w:t>
            </w:r>
          </w:p>
          <w:p w14:paraId="71AF0A28">
            <w:pPr>
              <w:pStyle w:val="23"/>
              <w:keepNext w:val="0"/>
              <w:keepLines w:val="0"/>
              <w:pageBreakBefore w:val="0"/>
              <w:kinsoku/>
              <w:wordWrap/>
              <w:overflowPunct/>
              <w:topLinePunct w:val="0"/>
              <w:bidi w:val="0"/>
              <w:snapToGrid/>
              <w:spacing w:line="300" w:lineRule="exact"/>
              <w:textAlignment w:val="auto"/>
              <w:rPr>
                <w:rFonts w:hint="eastAsia"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1. 付款主体：</w:t>
            </w:r>
          </w:p>
          <w:p w14:paraId="56582166">
            <w:pPr>
              <w:pStyle w:val="23"/>
              <w:keepNext w:val="0"/>
              <w:keepLines w:val="0"/>
              <w:pageBreakBefore w:val="0"/>
              <w:kinsoku/>
              <w:wordWrap/>
              <w:overflowPunct/>
              <w:topLinePunct w:val="0"/>
              <w:bidi w:val="0"/>
              <w:snapToGrid/>
              <w:spacing w:line="300" w:lineRule="exact"/>
              <w:textAlignment w:val="auto"/>
              <w:rPr>
                <w:rFonts w:hint="default" w:ascii="Times New Roman" w:hAnsi="Times New Roman" w:eastAsia="方正仿宋_GBK" w:cs="Times New Roman"/>
                <w:color w:val="000000"/>
                <w:sz w:val="21"/>
                <w:szCs w:val="21"/>
                <w:highlight w:val="none"/>
                <w:lang w:val="en-US" w:eastAsia="zh-CN"/>
              </w:rPr>
            </w:pPr>
            <w:bookmarkStart w:id="24" w:name="OLE_LINK10"/>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w:t>
            </w:r>
            <w:bookmarkEnd w:id="24"/>
            <w:r>
              <w:rPr>
                <w:rFonts w:hint="eastAsia" w:ascii="Times New Roman" w:hAnsi="Times New Roman" w:eastAsia="方正仿宋_GBK" w:cs="Times New Roman"/>
                <w:color w:val="000000"/>
                <w:sz w:val="21"/>
                <w:szCs w:val="21"/>
                <w:highlight w:val="none"/>
                <w:lang w:val="en-US" w:eastAsia="zh-CN"/>
              </w:rPr>
              <w:t>甲方向乙方支付</w:t>
            </w:r>
          </w:p>
          <w:p w14:paraId="12E467E0">
            <w:pPr>
              <w:pStyle w:val="23"/>
              <w:keepNext w:val="0"/>
              <w:keepLines w:val="0"/>
              <w:pageBreakBefore w:val="0"/>
              <w:kinsoku/>
              <w:wordWrap/>
              <w:overflowPunct/>
              <w:topLinePunct w:val="0"/>
              <w:bidi w:val="0"/>
              <w:snapToGrid/>
              <w:spacing w:line="300" w:lineRule="exact"/>
              <w:textAlignment w:val="auto"/>
              <w:rPr>
                <w:rFonts w:hint="default" w:ascii="Times New Roman" w:hAnsi="Times New Roman" w:eastAsia="方正仿宋_GBK" w:cs="Times New Roman"/>
                <w:color w:val="000000"/>
                <w:sz w:val="21"/>
                <w:szCs w:val="21"/>
                <w:highlight w:val="none"/>
                <w:lang w:val="en-US" w:eastAsia="zh-CN"/>
              </w:rPr>
            </w:pP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甲方指定的第三人向乙方支付（第三人：</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lang w:val="en-US" w:eastAsia="zh-CN"/>
              </w:rPr>
              <w:t>）</w:t>
            </w:r>
          </w:p>
          <w:p w14:paraId="01F7BD2B">
            <w:pPr>
              <w:pStyle w:val="23"/>
              <w:keepNext w:val="0"/>
              <w:keepLines w:val="0"/>
              <w:pageBreakBefore w:val="0"/>
              <w:numPr>
                <w:ilvl w:val="0"/>
                <w:numId w:val="2"/>
              </w:numPr>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付款方法：</w:t>
            </w:r>
          </w:p>
          <w:p w14:paraId="73D2CB2B">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方正仿宋_GBK" w:cs="Times New Roman"/>
                <w:color w:val="000000"/>
                <w:sz w:val="21"/>
                <w:szCs w:val="21"/>
                <w:highlight w:val="none"/>
                <w:lang w:val="en-US" w:eastAsia="zh-CN"/>
              </w:rPr>
            </w:pPr>
            <w:bookmarkStart w:id="25" w:name="OLE_LINK9"/>
            <w:r>
              <w:rPr>
                <w:rFonts w:hint="default" w:ascii="Times New Roman" w:hAnsi="Times New Roman" w:eastAsia="方正仿宋_GBK" w:cs="Times New Roman"/>
                <w:color w:val="000000"/>
                <w:sz w:val="21"/>
                <w:szCs w:val="21"/>
                <w:highlight w:val="none"/>
              </w:rPr>
              <w:sym w:font="Wingdings 2" w:char="00A3"/>
            </w:r>
            <w:bookmarkEnd w:id="25"/>
            <w:r>
              <w:rPr>
                <w:rFonts w:hint="eastAsia" w:ascii="Times New Roman" w:hAnsi="Times New Roman" w:eastAsia="方正仿宋_GBK" w:cs="Times New Roman"/>
                <w:color w:val="000000"/>
                <w:sz w:val="21"/>
                <w:szCs w:val="21"/>
                <w:highlight w:val="none"/>
                <w:lang w:val="en-US" w:eastAsia="zh-CN"/>
              </w:rPr>
              <w:t xml:space="preserve"> 先交付、后一次性付款：</w:t>
            </w:r>
          </w:p>
          <w:p w14:paraId="56E396A0">
            <w:pPr>
              <w:pStyle w:val="23"/>
              <w:keepNext w:val="0"/>
              <w:keepLines w:val="0"/>
              <w:pageBreakBefore w:val="0"/>
              <w:numPr>
                <w:ilvl w:val="0"/>
                <w:numId w:val="0"/>
              </w:numPr>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rPr>
              <w:t>服务</w:t>
            </w:r>
            <w:r>
              <w:rPr>
                <w:rFonts w:hint="default" w:ascii="Times New Roman" w:hAnsi="Times New Roman" w:eastAsia="仿宋" w:cs="Times New Roman"/>
                <w:color w:val="000000"/>
                <w:sz w:val="21"/>
                <w:szCs w:val="21"/>
                <w:highlight w:val="none"/>
                <w:u w:val="none"/>
              </w:rPr>
              <w:t>全部交付并经甲方验收合格，</w:t>
            </w:r>
            <w:bookmarkStart w:id="26" w:name="OLE_LINK31"/>
            <w:r>
              <w:rPr>
                <w:rFonts w:hint="default" w:ascii="Times New Roman" w:hAnsi="Times New Roman" w:eastAsia="仿宋" w:cs="Times New Roman"/>
                <w:color w:val="000000"/>
                <w:sz w:val="21"/>
                <w:szCs w:val="21"/>
                <w:highlight w:val="none"/>
                <w:u w:val="none"/>
              </w:rPr>
              <w:t>乙方向甲方开具等额有效的增值税发票后，</w:t>
            </w:r>
            <w:bookmarkStart w:id="27" w:name="OLE_LINK15"/>
            <w:r>
              <w:rPr>
                <w:rFonts w:hint="default" w:ascii="Times New Roman" w:hAnsi="Times New Roman" w:eastAsia="仿宋" w:cs="Times New Roman"/>
                <w:color w:val="000000"/>
                <w:sz w:val="21"/>
                <w:szCs w:val="21"/>
                <w:highlight w:val="none"/>
                <w:u w:val="none"/>
              </w:rPr>
              <w:t>甲方原则上在收到发票后</w:t>
            </w:r>
            <w:r>
              <w:rPr>
                <w:rFonts w:hint="eastAsia" w:ascii="Times New Roman" w:hAnsi="Times New Roman" w:eastAsia="仿宋" w:cs="Times New Roman"/>
                <w:color w:val="000000"/>
                <w:sz w:val="21"/>
                <w:szCs w:val="21"/>
                <w:highlight w:val="none"/>
                <w:u w:val="none"/>
                <w:lang w:val="en-US" w:eastAsia="zh-CN"/>
              </w:rPr>
              <w:t>的</w:t>
            </w:r>
            <w:r>
              <w:rPr>
                <w:rFonts w:hint="default" w:ascii="Times New Roman" w:hAnsi="Times New Roman" w:eastAsia="仿宋" w:cs="Times New Roman"/>
                <w:color w:val="000000"/>
                <w:sz w:val="21"/>
                <w:szCs w:val="21"/>
                <w:highlight w:val="none"/>
                <w:u w:val="none"/>
              </w:rPr>
              <w:t>5个工作日内按程序办理支付手续</w:t>
            </w:r>
            <w:r>
              <w:rPr>
                <w:rFonts w:hint="eastAsia" w:ascii="Times New Roman" w:hAnsi="Times New Roman" w:eastAsia="仿宋" w:cs="Times New Roman"/>
                <w:color w:val="000000"/>
                <w:sz w:val="21"/>
                <w:szCs w:val="21"/>
                <w:highlight w:val="none"/>
                <w:u w:val="none"/>
                <w:lang w:eastAsia="zh-CN"/>
              </w:rPr>
              <w:t>（</w:t>
            </w:r>
            <w:r>
              <w:rPr>
                <w:rFonts w:hint="default" w:ascii="Times New Roman" w:hAnsi="Times New Roman" w:eastAsia="仿宋" w:cs="Times New Roman"/>
                <w:color w:val="000000"/>
                <w:sz w:val="21"/>
                <w:szCs w:val="21"/>
                <w:highlight w:val="none"/>
                <w:u w:val="none"/>
              </w:rPr>
              <w:t>以银行转账方式按本合同总价</w:t>
            </w:r>
            <w:r>
              <w:rPr>
                <w:rFonts w:hint="default" w:ascii="Times New Roman" w:hAnsi="Times New Roman" w:eastAsia="仿宋" w:cs="Times New Roman"/>
                <w:color w:val="000000"/>
                <w:sz w:val="21"/>
                <w:szCs w:val="21"/>
                <w:highlight w:val="none"/>
              </w:rPr>
              <w:t>向乙方支付本合同款项</w:t>
            </w:r>
            <w:r>
              <w:rPr>
                <w:rFonts w:hint="eastAsia" w:ascii="Times New Roman" w:hAnsi="Times New Roman" w:eastAsia="仿宋" w:cs="Times New Roman"/>
                <w:color w:val="000000"/>
                <w:sz w:val="21"/>
                <w:szCs w:val="21"/>
                <w:highlight w:val="none"/>
                <w:lang w:eastAsia="zh-CN"/>
              </w:rPr>
              <w:t>）</w:t>
            </w:r>
            <w:bookmarkEnd w:id="26"/>
            <w:r>
              <w:rPr>
                <w:rFonts w:hint="default" w:ascii="Times New Roman" w:hAnsi="Times New Roman" w:eastAsia="仿宋" w:cs="Times New Roman"/>
                <w:color w:val="000000"/>
                <w:sz w:val="21"/>
                <w:szCs w:val="21"/>
                <w:highlight w:val="none"/>
              </w:rPr>
              <w:t>。</w:t>
            </w:r>
          </w:p>
          <w:p w14:paraId="7A693D39">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方正仿宋_GBK" w:cs="Times New Roman"/>
                <w:color w:val="000000"/>
                <w:sz w:val="21"/>
                <w:szCs w:val="21"/>
                <w:highlight w:val="none"/>
                <w:lang w:val="en-US" w:eastAsia="zh-CN"/>
              </w:rPr>
            </w:pP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先一次性付款、后交付：</w:t>
            </w:r>
          </w:p>
          <w:p w14:paraId="192710A5">
            <w:pPr>
              <w:pStyle w:val="23"/>
              <w:keepNext w:val="0"/>
              <w:keepLines w:val="0"/>
              <w:pageBreakBefore w:val="0"/>
              <w:numPr>
                <w:ilvl w:val="0"/>
                <w:numId w:val="0"/>
              </w:numPr>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本合同签订后，乙方即开展本合同项下约定的服务内容并提交至甲方初步验收；甲方初步验收合格，</w:t>
            </w:r>
            <w:r>
              <w:rPr>
                <w:rFonts w:hint="default" w:ascii="Times New Roman" w:hAnsi="Times New Roman" w:eastAsia="仿宋" w:cs="Times New Roman"/>
                <w:color w:val="000000"/>
                <w:sz w:val="21"/>
                <w:szCs w:val="21"/>
                <w:highlight w:val="none"/>
                <w:lang w:val="en-US" w:eastAsia="zh-CN"/>
              </w:rPr>
              <w:t>乙方向甲方开具等额有效的增值税发票后，甲方原则上在收到发票后</w:t>
            </w:r>
            <w:r>
              <w:rPr>
                <w:rFonts w:hint="eastAsia" w:ascii="Times New Roman" w:hAnsi="Times New Roman" w:eastAsia="仿宋" w:cs="Times New Roman"/>
                <w:color w:val="000000"/>
                <w:sz w:val="21"/>
                <w:szCs w:val="21"/>
                <w:highlight w:val="none"/>
                <w:lang w:val="en-US" w:eastAsia="zh-CN"/>
              </w:rPr>
              <w:t>的</w:t>
            </w:r>
            <w:r>
              <w:rPr>
                <w:rFonts w:hint="default" w:ascii="Times New Roman" w:hAnsi="Times New Roman" w:eastAsia="仿宋" w:cs="Times New Roman"/>
                <w:color w:val="000000"/>
                <w:sz w:val="21"/>
                <w:szCs w:val="21"/>
                <w:highlight w:val="none"/>
                <w:lang w:val="en-US" w:eastAsia="zh-CN"/>
              </w:rPr>
              <w:t>5个工作日内按程序办理支付手续</w:t>
            </w:r>
            <w:r>
              <w:rPr>
                <w:rFonts w:hint="eastAsia" w:ascii="Times New Roman" w:hAnsi="Times New Roman" w:eastAsia="仿宋" w:cs="Times New Roman"/>
                <w:color w:val="000000"/>
                <w:sz w:val="21"/>
                <w:szCs w:val="21"/>
                <w:highlight w:val="none"/>
                <w:lang w:val="en-US" w:eastAsia="zh-CN"/>
              </w:rPr>
              <w:t>（</w:t>
            </w:r>
            <w:r>
              <w:rPr>
                <w:rFonts w:hint="default" w:ascii="Times New Roman" w:hAnsi="Times New Roman" w:eastAsia="仿宋" w:cs="Times New Roman"/>
                <w:color w:val="000000"/>
                <w:sz w:val="21"/>
                <w:szCs w:val="21"/>
                <w:highlight w:val="none"/>
                <w:lang w:val="en-US" w:eastAsia="zh-CN"/>
              </w:rPr>
              <w:t>以银行转账方式按本合同总价向乙方支付本合同款项</w:t>
            </w:r>
            <w:r>
              <w:rPr>
                <w:rFonts w:hint="eastAsia" w:ascii="Times New Roman" w:hAnsi="Times New Roman" w:eastAsia="仿宋" w:cs="Times New Roman"/>
                <w:color w:val="000000"/>
                <w:sz w:val="21"/>
                <w:szCs w:val="21"/>
                <w:highlight w:val="none"/>
                <w:lang w:val="en-US" w:eastAsia="zh-CN"/>
              </w:rPr>
              <w:t>）。</w:t>
            </w:r>
          </w:p>
          <w:bookmarkEnd w:id="27"/>
          <w:p w14:paraId="66721461">
            <w:pPr>
              <w:pStyle w:val="23"/>
              <w:keepNext w:val="0"/>
              <w:keepLines w:val="0"/>
              <w:pageBreakBefore w:val="0"/>
              <w:numPr>
                <w:ilvl w:val="0"/>
                <w:numId w:val="0"/>
              </w:numPr>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lang w:val="en-US" w:eastAsia="zh-CN"/>
              </w:rPr>
              <w:sym w:font="Wingdings 2" w:char="00A3"/>
            </w:r>
            <w:r>
              <w:rPr>
                <w:rFonts w:hint="eastAsia" w:ascii="Times New Roman" w:hAnsi="Times New Roman" w:eastAsia="仿宋" w:cs="Times New Roman"/>
                <w:color w:val="000000"/>
                <w:sz w:val="21"/>
                <w:szCs w:val="21"/>
                <w:highlight w:val="none"/>
                <w:lang w:val="en-US" w:eastAsia="zh-CN"/>
              </w:rPr>
              <w:t xml:space="preserve"> 分期付款：</w:t>
            </w:r>
          </w:p>
          <w:p w14:paraId="596AFF37">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000000"/>
                <w:sz w:val="21"/>
                <w:szCs w:val="21"/>
                <w:highlight w:val="none"/>
                <w:lang w:eastAsia="zh-CN"/>
              </w:rPr>
            </w:pPr>
            <w:r>
              <w:rPr>
                <w:rFonts w:hint="eastAsia" w:ascii="Times New Roman" w:hAnsi="Times New Roman" w:eastAsia="方正仿宋_GBK" w:cs="Times New Roman"/>
                <w:color w:val="000000"/>
                <w:sz w:val="21"/>
                <w:szCs w:val="21"/>
                <w:highlight w:val="none"/>
                <w:lang w:val="en-US" w:eastAsia="zh-CN"/>
              </w:rPr>
              <w:t>支付节点1：时间届满</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 xml:space="preserve"> /</w:t>
            </w:r>
            <w:r>
              <w:rPr>
                <w:rFonts w:hint="eastAsia" w:ascii="Times New Roman" w:hAnsi="Times New Roman" w:eastAsia="方正仿宋_GBK" w:cs="Times New Roman"/>
                <w:color w:val="000000"/>
                <w:sz w:val="21"/>
                <w:szCs w:val="21"/>
                <w:highlight w:val="none"/>
                <w:lang w:val="en-US" w:eastAsia="zh-CN"/>
              </w:rPr>
              <w:t>条件具备</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，乙方向甲方交付</w:t>
            </w:r>
            <w:r>
              <w:rPr>
                <w:rFonts w:hint="default" w:ascii="Times New Roman" w:hAnsi="Times New Roman" w:eastAsia="仿宋" w:cs="Times New Roman"/>
                <w:color w:val="000000"/>
                <w:sz w:val="21"/>
                <w:szCs w:val="21"/>
                <w:highlight w:val="none"/>
              </w:rPr>
              <w:t>服务并经甲方验收合格，乙方</w:t>
            </w:r>
            <w:r>
              <w:rPr>
                <w:rFonts w:hint="eastAsia" w:ascii="Times New Roman" w:hAnsi="Times New Roman" w:eastAsia="仿宋" w:cs="Times New Roman"/>
                <w:color w:val="000000"/>
                <w:sz w:val="21"/>
                <w:szCs w:val="21"/>
                <w:highlight w:val="none"/>
                <w:lang w:val="en-US" w:eastAsia="zh-CN"/>
              </w:rPr>
              <w:t>按</w:t>
            </w:r>
            <w:r>
              <w:rPr>
                <w:rFonts w:hint="eastAsia" w:ascii="Times New Roman" w:hAnsi="Times New Roman" w:eastAsia="仿宋" w:cs="Times New Roman"/>
                <w:color w:val="000000"/>
                <w:sz w:val="21"/>
                <w:szCs w:val="21"/>
                <w:highlight w:val="none"/>
                <w:u w:val="single"/>
                <w:lang w:val="en-US" w:eastAsia="zh-CN"/>
              </w:rPr>
              <w:t xml:space="preserve">     </w:t>
            </w:r>
            <w:r>
              <w:rPr>
                <w:rFonts w:hint="eastAsia" w:ascii="Times New Roman" w:hAnsi="Times New Roman" w:eastAsia="仿宋" w:cs="Times New Roman"/>
                <w:color w:val="000000"/>
                <w:sz w:val="21"/>
                <w:szCs w:val="21"/>
                <w:highlight w:val="none"/>
                <w:lang w:val="en-US" w:eastAsia="zh-CN"/>
              </w:rPr>
              <w:t>金额</w:t>
            </w:r>
            <w:r>
              <w:rPr>
                <w:rFonts w:hint="default" w:ascii="Times New Roman" w:hAnsi="Times New Roman" w:eastAsia="仿宋" w:cs="Times New Roman"/>
                <w:color w:val="000000"/>
                <w:sz w:val="21"/>
                <w:szCs w:val="21"/>
                <w:highlight w:val="none"/>
              </w:rPr>
              <w:t>向甲方开具等额有效的增值税发票后，</w:t>
            </w:r>
            <w:r>
              <w:rPr>
                <w:rFonts w:hint="default" w:ascii="Times New Roman" w:hAnsi="Times New Roman" w:eastAsia="仿宋" w:cs="Times New Roman"/>
                <w:color w:val="000000"/>
                <w:sz w:val="21"/>
                <w:szCs w:val="21"/>
                <w:highlight w:val="none"/>
                <w:u w:val="none"/>
              </w:rPr>
              <w:t>甲方原则上在收到发票后</w:t>
            </w:r>
            <w:r>
              <w:rPr>
                <w:rFonts w:hint="eastAsia" w:ascii="Times New Roman" w:hAnsi="Times New Roman" w:eastAsia="仿宋" w:cs="Times New Roman"/>
                <w:color w:val="000000"/>
                <w:sz w:val="21"/>
                <w:szCs w:val="21"/>
                <w:highlight w:val="none"/>
                <w:u w:val="none"/>
                <w:lang w:val="en-US" w:eastAsia="zh-CN"/>
              </w:rPr>
              <w:t>的</w:t>
            </w:r>
            <w:r>
              <w:rPr>
                <w:rFonts w:hint="default" w:ascii="Times New Roman" w:hAnsi="Times New Roman" w:eastAsia="仿宋" w:cs="Times New Roman"/>
                <w:color w:val="000000"/>
                <w:sz w:val="21"/>
                <w:szCs w:val="21"/>
                <w:highlight w:val="none"/>
                <w:u w:val="none"/>
              </w:rPr>
              <w:t>5个工作日内按程序办理支付手续</w:t>
            </w:r>
            <w:r>
              <w:rPr>
                <w:rFonts w:hint="eastAsia" w:ascii="Times New Roman" w:hAnsi="Times New Roman" w:eastAsia="仿宋" w:cs="Times New Roman"/>
                <w:color w:val="000000"/>
                <w:sz w:val="21"/>
                <w:szCs w:val="21"/>
                <w:highlight w:val="none"/>
                <w:u w:val="none"/>
                <w:lang w:eastAsia="zh-CN"/>
              </w:rPr>
              <w:t>（</w:t>
            </w:r>
            <w:r>
              <w:rPr>
                <w:rFonts w:hint="default" w:ascii="Times New Roman" w:hAnsi="Times New Roman" w:eastAsia="仿宋" w:cs="Times New Roman"/>
                <w:color w:val="000000"/>
                <w:sz w:val="21"/>
                <w:szCs w:val="21"/>
                <w:highlight w:val="none"/>
                <w:u w:val="none"/>
              </w:rPr>
              <w:t>以银行转账方式</w:t>
            </w:r>
            <w:r>
              <w:rPr>
                <w:rFonts w:hint="default" w:ascii="Times New Roman" w:hAnsi="Times New Roman" w:eastAsia="仿宋" w:cs="Times New Roman"/>
                <w:color w:val="000000"/>
                <w:sz w:val="21"/>
                <w:szCs w:val="21"/>
                <w:highlight w:val="none"/>
              </w:rPr>
              <w:t>向乙方支付</w:t>
            </w:r>
            <w:r>
              <w:rPr>
                <w:rFonts w:hint="eastAsia" w:ascii="Times New Roman" w:hAnsi="Times New Roman" w:eastAsia="仿宋" w:cs="Times New Roman"/>
                <w:color w:val="000000"/>
                <w:sz w:val="21"/>
                <w:szCs w:val="21"/>
                <w:highlight w:val="none"/>
                <w:lang w:val="en-US" w:eastAsia="zh-CN"/>
              </w:rPr>
              <w:t>相关</w:t>
            </w:r>
            <w:r>
              <w:rPr>
                <w:rFonts w:hint="default" w:ascii="Times New Roman" w:hAnsi="Times New Roman" w:eastAsia="仿宋" w:cs="Times New Roman"/>
                <w:color w:val="000000"/>
                <w:sz w:val="21"/>
                <w:szCs w:val="21"/>
                <w:highlight w:val="none"/>
              </w:rPr>
              <w:t>款项</w:t>
            </w:r>
            <w:r>
              <w:rPr>
                <w:rFonts w:hint="eastAsia" w:ascii="Times New Roman" w:hAnsi="Times New Roman" w:eastAsia="仿宋" w:cs="Times New Roman"/>
                <w:color w:val="000000"/>
                <w:sz w:val="21"/>
                <w:szCs w:val="21"/>
                <w:highlight w:val="none"/>
                <w:lang w:eastAsia="zh-CN"/>
              </w:rPr>
              <w:t>）；</w:t>
            </w:r>
          </w:p>
          <w:p w14:paraId="5F8ED246">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000000"/>
                <w:sz w:val="21"/>
                <w:szCs w:val="21"/>
                <w:highlight w:val="none"/>
                <w:lang w:eastAsia="zh-CN"/>
              </w:rPr>
            </w:pPr>
            <w:r>
              <w:rPr>
                <w:rFonts w:hint="eastAsia" w:ascii="Times New Roman" w:hAnsi="Times New Roman" w:eastAsia="方正仿宋_GBK" w:cs="Times New Roman"/>
                <w:color w:val="000000"/>
                <w:sz w:val="21"/>
                <w:szCs w:val="21"/>
                <w:highlight w:val="none"/>
                <w:lang w:val="en-US" w:eastAsia="zh-CN"/>
              </w:rPr>
              <w:t>支付节点2：时间届满</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 xml:space="preserve"> /</w:t>
            </w:r>
            <w:r>
              <w:rPr>
                <w:rFonts w:hint="eastAsia" w:ascii="Times New Roman" w:hAnsi="Times New Roman" w:eastAsia="方正仿宋_GBK" w:cs="Times New Roman"/>
                <w:color w:val="000000"/>
                <w:sz w:val="21"/>
                <w:szCs w:val="21"/>
                <w:highlight w:val="none"/>
                <w:lang w:val="en-US" w:eastAsia="zh-CN"/>
              </w:rPr>
              <w:t>条件具备</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，乙方向甲方交付</w:t>
            </w:r>
            <w:r>
              <w:rPr>
                <w:rFonts w:hint="default" w:ascii="Times New Roman" w:hAnsi="Times New Roman" w:eastAsia="仿宋" w:cs="Times New Roman"/>
                <w:color w:val="000000"/>
                <w:sz w:val="21"/>
                <w:szCs w:val="21"/>
                <w:highlight w:val="none"/>
              </w:rPr>
              <w:t>服务并经甲方验收合格，乙方</w:t>
            </w:r>
            <w:r>
              <w:rPr>
                <w:rFonts w:hint="eastAsia" w:ascii="Times New Roman" w:hAnsi="Times New Roman" w:eastAsia="仿宋" w:cs="Times New Roman"/>
                <w:color w:val="000000"/>
                <w:sz w:val="21"/>
                <w:szCs w:val="21"/>
                <w:highlight w:val="none"/>
                <w:lang w:val="en-US" w:eastAsia="zh-CN"/>
              </w:rPr>
              <w:t>按</w:t>
            </w:r>
            <w:r>
              <w:rPr>
                <w:rFonts w:hint="eastAsia" w:ascii="Times New Roman" w:hAnsi="Times New Roman" w:eastAsia="仿宋" w:cs="Times New Roman"/>
                <w:color w:val="000000"/>
                <w:sz w:val="21"/>
                <w:szCs w:val="21"/>
                <w:highlight w:val="none"/>
                <w:u w:val="single"/>
                <w:lang w:val="en-US" w:eastAsia="zh-CN"/>
              </w:rPr>
              <w:t xml:space="preserve">     </w:t>
            </w:r>
            <w:r>
              <w:rPr>
                <w:rFonts w:hint="eastAsia" w:ascii="Times New Roman" w:hAnsi="Times New Roman" w:eastAsia="仿宋" w:cs="Times New Roman"/>
                <w:color w:val="000000"/>
                <w:sz w:val="21"/>
                <w:szCs w:val="21"/>
                <w:highlight w:val="none"/>
                <w:lang w:val="en-US" w:eastAsia="zh-CN"/>
              </w:rPr>
              <w:t>金额</w:t>
            </w:r>
            <w:r>
              <w:rPr>
                <w:rFonts w:hint="default" w:ascii="Times New Roman" w:hAnsi="Times New Roman" w:eastAsia="仿宋" w:cs="Times New Roman"/>
                <w:color w:val="000000"/>
                <w:sz w:val="21"/>
                <w:szCs w:val="21"/>
                <w:highlight w:val="none"/>
              </w:rPr>
              <w:t>向甲方开具等额有效的增值税发票后，</w:t>
            </w:r>
            <w:r>
              <w:rPr>
                <w:rFonts w:hint="default" w:ascii="Times New Roman" w:hAnsi="Times New Roman" w:eastAsia="仿宋" w:cs="Times New Roman"/>
                <w:color w:val="000000"/>
                <w:sz w:val="21"/>
                <w:szCs w:val="21"/>
                <w:highlight w:val="none"/>
                <w:u w:val="none"/>
              </w:rPr>
              <w:t>甲方原则上在收到发票后</w:t>
            </w:r>
            <w:r>
              <w:rPr>
                <w:rFonts w:hint="eastAsia" w:ascii="Times New Roman" w:hAnsi="Times New Roman" w:eastAsia="仿宋" w:cs="Times New Roman"/>
                <w:color w:val="000000"/>
                <w:sz w:val="21"/>
                <w:szCs w:val="21"/>
                <w:highlight w:val="none"/>
                <w:u w:val="none"/>
                <w:lang w:val="en-US" w:eastAsia="zh-CN"/>
              </w:rPr>
              <w:t>的</w:t>
            </w:r>
            <w:r>
              <w:rPr>
                <w:rFonts w:hint="default" w:ascii="Times New Roman" w:hAnsi="Times New Roman" w:eastAsia="仿宋" w:cs="Times New Roman"/>
                <w:color w:val="000000"/>
                <w:sz w:val="21"/>
                <w:szCs w:val="21"/>
                <w:highlight w:val="none"/>
                <w:u w:val="none"/>
              </w:rPr>
              <w:t>5个工作日内按程序办理支付手续</w:t>
            </w:r>
            <w:r>
              <w:rPr>
                <w:rFonts w:hint="eastAsia" w:ascii="Times New Roman" w:hAnsi="Times New Roman" w:eastAsia="仿宋" w:cs="Times New Roman"/>
                <w:color w:val="000000"/>
                <w:sz w:val="21"/>
                <w:szCs w:val="21"/>
                <w:highlight w:val="none"/>
                <w:u w:val="none"/>
                <w:lang w:eastAsia="zh-CN"/>
              </w:rPr>
              <w:t>（</w:t>
            </w:r>
            <w:r>
              <w:rPr>
                <w:rFonts w:hint="default" w:ascii="Times New Roman" w:hAnsi="Times New Roman" w:eastAsia="仿宋" w:cs="Times New Roman"/>
                <w:color w:val="000000"/>
                <w:sz w:val="21"/>
                <w:szCs w:val="21"/>
                <w:highlight w:val="none"/>
                <w:u w:val="none"/>
              </w:rPr>
              <w:t>以银行转账方式</w:t>
            </w:r>
            <w:r>
              <w:rPr>
                <w:rFonts w:hint="default" w:ascii="Times New Roman" w:hAnsi="Times New Roman" w:eastAsia="仿宋" w:cs="Times New Roman"/>
                <w:color w:val="000000"/>
                <w:sz w:val="21"/>
                <w:szCs w:val="21"/>
                <w:highlight w:val="none"/>
              </w:rPr>
              <w:t>向乙方支付</w:t>
            </w:r>
            <w:r>
              <w:rPr>
                <w:rFonts w:hint="eastAsia" w:ascii="Times New Roman" w:hAnsi="Times New Roman" w:eastAsia="仿宋" w:cs="Times New Roman"/>
                <w:color w:val="000000"/>
                <w:sz w:val="21"/>
                <w:szCs w:val="21"/>
                <w:highlight w:val="none"/>
                <w:lang w:val="en-US" w:eastAsia="zh-CN"/>
              </w:rPr>
              <w:t>相关</w:t>
            </w:r>
            <w:r>
              <w:rPr>
                <w:rFonts w:hint="default" w:ascii="Times New Roman" w:hAnsi="Times New Roman" w:eastAsia="仿宋" w:cs="Times New Roman"/>
                <w:color w:val="000000"/>
                <w:sz w:val="21"/>
                <w:szCs w:val="21"/>
                <w:highlight w:val="none"/>
              </w:rPr>
              <w:t>款项</w:t>
            </w:r>
            <w:r>
              <w:rPr>
                <w:rFonts w:hint="eastAsia" w:ascii="Times New Roman" w:hAnsi="Times New Roman" w:eastAsia="仿宋" w:cs="Times New Roman"/>
                <w:color w:val="000000"/>
                <w:sz w:val="21"/>
                <w:szCs w:val="21"/>
                <w:highlight w:val="none"/>
                <w:lang w:eastAsia="zh-CN"/>
              </w:rPr>
              <w:t>）；</w:t>
            </w:r>
          </w:p>
          <w:p w14:paraId="7807ABC2">
            <w:pPr>
              <w:keepNext w:val="0"/>
              <w:keepLines w:val="0"/>
              <w:pageBreakBefore w:val="0"/>
              <w:kinsoku/>
              <w:wordWrap/>
              <w:overflowPunct/>
              <w:topLinePunct w:val="0"/>
              <w:bidi w:val="0"/>
              <w:snapToGrid/>
              <w:spacing w:line="300" w:lineRule="exact"/>
              <w:ind w:firstLine="420" w:firstLineChars="200"/>
              <w:textAlignment w:val="auto"/>
              <w:rPr>
                <w:rFonts w:hint="eastAsia"/>
                <w:color w:val="000000"/>
                <w:highlight w:val="none"/>
                <w:lang w:val="en-US" w:eastAsia="zh-CN"/>
              </w:rPr>
            </w:pPr>
            <w:r>
              <w:rPr>
                <w:rFonts w:hint="eastAsia" w:ascii="Times New Roman" w:hAnsi="Times New Roman" w:eastAsia="仿宋" w:cs="Times New Roman"/>
                <w:color w:val="000000"/>
                <w:sz w:val="21"/>
                <w:szCs w:val="21"/>
                <w:highlight w:val="none"/>
                <w:lang w:eastAsia="zh-CN"/>
              </w:rPr>
              <w:t>……</w:t>
            </w:r>
          </w:p>
          <w:p w14:paraId="1206AEE5">
            <w:pPr>
              <w:keepNext w:val="0"/>
              <w:keepLines w:val="0"/>
              <w:pageBreakBefore w:val="0"/>
              <w:kinsoku/>
              <w:wordWrap/>
              <w:overflowPunct/>
              <w:topLinePunct w:val="0"/>
              <w:bidi w:val="0"/>
              <w:snapToGrid/>
              <w:spacing w:line="300" w:lineRule="exact"/>
              <w:ind w:firstLine="420" w:firstLineChars="200"/>
              <w:textAlignment w:val="auto"/>
              <w:rPr>
                <w:rFonts w:hint="eastAsia"/>
                <w:color w:val="000000"/>
                <w:highlight w:val="none"/>
                <w:lang w:val="en-US" w:eastAsia="zh-CN"/>
              </w:rPr>
            </w:pPr>
            <w:r>
              <w:rPr>
                <w:rFonts w:hint="eastAsia" w:ascii="Times New Roman" w:hAnsi="Times New Roman" w:eastAsia="方正仿宋_GBK" w:cs="Times New Roman"/>
                <w:color w:val="000000"/>
                <w:sz w:val="21"/>
                <w:szCs w:val="21"/>
                <w:highlight w:val="none"/>
                <w:lang w:val="en-US" w:eastAsia="zh-CN"/>
              </w:rPr>
              <w:t>支付节点N：时间届满</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 xml:space="preserve"> /</w:t>
            </w:r>
            <w:r>
              <w:rPr>
                <w:rFonts w:hint="eastAsia" w:ascii="Times New Roman" w:hAnsi="Times New Roman" w:eastAsia="方正仿宋_GBK" w:cs="Times New Roman"/>
                <w:color w:val="000000"/>
                <w:sz w:val="21"/>
                <w:szCs w:val="21"/>
                <w:highlight w:val="none"/>
                <w:lang w:val="en-US" w:eastAsia="zh-CN"/>
              </w:rPr>
              <w:t>条件具备</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，乙方向甲方交付</w:t>
            </w:r>
            <w:r>
              <w:rPr>
                <w:rFonts w:hint="default" w:ascii="Times New Roman" w:hAnsi="Times New Roman" w:eastAsia="仿宋" w:cs="Times New Roman"/>
                <w:color w:val="000000"/>
                <w:sz w:val="21"/>
                <w:szCs w:val="21"/>
                <w:highlight w:val="none"/>
              </w:rPr>
              <w:t>服务并经甲方验收合格，乙方</w:t>
            </w:r>
            <w:r>
              <w:rPr>
                <w:rFonts w:hint="eastAsia" w:ascii="Times New Roman" w:hAnsi="Times New Roman" w:eastAsia="仿宋" w:cs="Times New Roman"/>
                <w:color w:val="000000"/>
                <w:sz w:val="21"/>
                <w:szCs w:val="21"/>
                <w:highlight w:val="none"/>
                <w:lang w:val="en-US" w:eastAsia="zh-CN"/>
              </w:rPr>
              <w:t>按</w:t>
            </w:r>
            <w:r>
              <w:rPr>
                <w:rFonts w:hint="eastAsia" w:ascii="Times New Roman" w:hAnsi="Times New Roman" w:eastAsia="仿宋" w:cs="Times New Roman"/>
                <w:color w:val="000000"/>
                <w:sz w:val="21"/>
                <w:szCs w:val="21"/>
                <w:highlight w:val="none"/>
                <w:u w:val="single"/>
                <w:lang w:val="en-US" w:eastAsia="zh-CN"/>
              </w:rPr>
              <w:t xml:space="preserve">     </w:t>
            </w:r>
            <w:r>
              <w:rPr>
                <w:rFonts w:hint="eastAsia" w:ascii="Times New Roman" w:hAnsi="Times New Roman" w:eastAsia="仿宋" w:cs="Times New Roman"/>
                <w:color w:val="000000"/>
                <w:sz w:val="21"/>
                <w:szCs w:val="21"/>
                <w:highlight w:val="none"/>
                <w:lang w:val="en-US" w:eastAsia="zh-CN"/>
              </w:rPr>
              <w:t>金额</w:t>
            </w:r>
            <w:r>
              <w:rPr>
                <w:rFonts w:hint="default" w:ascii="Times New Roman" w:hAnsi="Times New Roman" w:eastAsia="仿宋" w:cs="Times New Roman"/>
                <w:color w:val="000000"/>
                <w:sz w:val="21"/>
                <w:szCs w:val="21"/>
                <w:highlight w:val="none"/>
              </w:rPr>
              <w:t>向甲方开具等额有效的增值税发票后，</w:t>
            </w:r>
            <w:r>
              <w:rPr>
                <w:rFonts w:hint="default" w:ascii="Times New Roman" w:hAnsi="Times New Roman" w:eastAsia="仿宋" w:cs="Times New Roman"/>
                <w:color w:val="000000"/>
                <w:sz w:val="21"/>
                <w:szCs w:val="21"/>
                <w:highlight w:val="none"/>
                <w:u w:val="none"/>
              </w:rPr>
              <w:t>甲方原则上在收到发票后</w:t>
            </w:r>
            <w:r>
              <w:rPr>
                <w:rFonts w:hint="eastAsia" w:ascii="Times New Roman" w:hAnsi="Times New Roman" w:eastAsia="仿宋" w:cs="Times New Roman"/>
                <w:color w:val="000000"/>
                <w:sz w:val="21"/>
                <w:szCs w:val="21"/>
                <w:highlight w:val="none"/>
                <w:u w:val="none"/>
                <w:lang w:val="en-US" w:eastAsia="zh-CN"/>
              </w:rPr>
              <w:t>的</w:t>
            </w:r>
            <w:r>
              <w:rPr>
                <w:rFonts w:hint="default" w:ascii="Times New Roman" w:hAnsi="Times New Roman" w:eastAsia="仿宋" w:cs="Times New Roman"/>
                <w:color w:val="000000"/>
                <w:sz w:val="21"/>
                <w:szCs w:val="21"/>
                <w:highlight w:val="none"/>
                <w:u w:val="none"/>
              </w:rPr>
              <w:t>5个工作日内按程序办理支付手续</w:t>
            </w:r>
            <w:r>
              <w:rPr>
                <w:rFonts w:hint="eastAsia" w:ascii="Times New Roman" w:hAnsi="Times New Roman" w:eastAsia="仿宋" w:cs="Times New Roman"/>
                <w:color w:val="000000"/>
                <w:sz w:val="21"/>
                <w:szCs w:val="21"/>
                <w:highlight w:val="none"/>
                <w:u w:val="none"/>
                <w:lang w:eastAsia="zh-CN"/>
              </w:rPr>
              <w:t>（</w:t>
            </w:r>
            <w:r>
              <w:rPr>
                <w:rFonts w:hint="default" w:ascii="Times New Roman" w:hAnsi="Times New Roman" w:eastAsia="仿宋" w:cs="Times New Roman"/>
                <w:color w:val="000000"/>
                <w:sz w:val="21"/>
                <w:szCs w:val="21"/>
                <w:highlight w:val="none"/>
                <w:u w:val="none"/>
              </w:rPr>
              <w:t>以银行转账方式</w:t>
            </w:r>
            <w:r>
              <w:rPr>
                <w:rFonts w:hint="default" w:ascii="Times New Roman" w:hAnsi="Times New Roman" w:eastAsia="仿宋" w:cs="Times New Roman"/>
                <w:color w:val="000000"/>
                <w:sz w:val="21"/>
                <w:szCs w:val="21"/>
                <w:highlight w:val="none"/>
              </w:rPr>
              <w:t>向乙方支付</w:t>
            </w:r>
            <w:r>
              <w:rPr>
                <w:rFonts w:hint="eastAsia" w:ascii="Times New Roman" w:hAnsi="Times New Roman" w:eastAsia="仿宋" w:cs="Times New Roman"/>
                <w:color w:val="000000"/>
                <w:sz w:val="21"/>
                <w:szCs w:val="21"/>
                <w:highlight w:val="none"/>
                <w:lang w:val="en-US" w:eastAsia="zh-CN"/>
              </w:rPr>
              <w:t>相关</w:t>
            </w:r>
            <w:r>
              <w:rPr>
                <w:rFonts w:hint="default" w:ascii="Times New Roman" w:hAnsi="Times New Roman" w:eastAsia="仿宋" w:cs="Times New Roman"/>
                <w:color w:val="000000"/>
                <w:sz w:val="21"/>
                <w:szCs w:val="21"/>
                <w:highlight w:val="none"/>
              </w:rPr>
              <w:t>款项</w:t>
            </w:r>
            <w:r>
              <w:rPr>
                <w:rFonts w:hint="eastAsia" w:ascii="Times New Roman" w:hAnsi="Times New Roman" w:eastAsia="仿宋" w:cs="Times New Roman"/>
                <w:color w:val="000000"/>
                <w:sz w:val="21"/>
                <w:szCs w:val="21"/>
                <w:highlight w:val="none"/>
                <w:lang w:eastAsia="zh-CN"/>
              </w:rPr>
              <w:t>）。</w:t>
            </w:r>
          </w:p>
          <w:bookmarkEnd w:id="23"/>
          <w:p w14:paraId="1A2B1236">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乙方知晓并确认本合同尾部的银行账户为乙方收款的有效账户，若该账户信息变更的，应于甲方付款之日前</w:t>
            </w:r>
            <w:r>
              <w:rPr>
                <w:rFonts w:hint="default" w:ascii="Times New Roman" w:hAnsi="Times New Roman" w:eastAsia="仿宋" w:cs="Times New Roman"/>
                <w:color w:val="000000"/>
                <w:sz w:val="21"/>
                <w:szCs w:val="21"/>
                <w:highlight w:val="none"/>
                <w:u w:val="single"/>
              </w:rPr>
              <w:t>3</w:t>
            </w:r>
            <w:r>
              <w:rPr>
                <w:rFonts w:hint="default" w:ascii="Times New Roman" w:hAnsi="Times New Roman" w:eastAsia="仿宋" w:cs="Times New Roman"/>
                <w:color w:val="000000"/>
                <w:sz w:val="21"/>
                <w:szCs w:val="21"/>
                <w:highlight w:val="none"/>
              </w:rPr>
              <w:t>个工作日内书面通知甲方，否则甲方支付款项至上述账户后即视为甲方完成相应支付义务。</w:t>
            </w:r>
          </w:p>
          <w:p w14:paraId="39C720D8">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cs="Times New Roman"/>
                <w:color w:val="000000"/>
                <w:highlight w:val="none"/>
              </w:rPr>
            </w:pPr>
            <w:r>
              <w:rPr>
                <w:rFonts w:hint="default" w:ascii="Times New Roman" w:hAnsi="Times New Roman" w:eastAsia="仿宋" w:cs="Times New Roman"/>
                <w:color w:val="000000"/>
                <w:sz w:val="21"/>
                <w:szCs w:val="21"/>
                <w:highlight w:val="none"/>
              </w:rPr>
              <w:t>（四）履约保证金无息退还时间：</w:t>
            </w:r>
            <w:r>
              <w:rPr>
                <w:rFonts w:hint="eastAsia" w:eastAsia="仿宋" w:cs="Times New Roman"/>
                <w:color w:val="000000"/>
                <w:sz w:val="21"/>
                <w:szCs w:val="21"/>
                <w:highlight w:val="none"/>
                <w:lang w:val="en-US" w:eastAsia="zh-CN"/>
              </w:rPr>
              <w:t>履约验收合格</w:t>
            </w:r>
            <w:r>
              <w:rPr>
                <w:rFonts w:hint="default" w:ascii="Times New Roman" w:hAnsi="Times New Roman" w:eastAsia="仿宋" w:cs="Times New Roman"/>
                <w:color w:val="000000"/>
                <w:sz w:val="21"/>
                <w:szCs w:val="21"/>
                <w:highlight w:val="none"/>
              </w:rPr>
              <w:t>后，乙方提供的服务无质量问题且没有其他违约行为，经甲方用户单位同意，甲方向乙方无息退还该履约保证金</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甲方</w:t>
            </w:r>
            <w:r>
              <w:rPr>
                <w:rFonts w:hint="eastAsia" w:eastAsia="仿宋" w:cs="Times New Roman"/>
                <w:color w:val="000000"/>
                <w:sz w:val="21"/>
                <w:szCs w:val="21"/>
                <w:highlight w:val="none"/>
                <w:lang w:eastAsia="zh-CN"/>
              </w:rPr>
              <w:t>逾期退还的，乙方可要求甲方支付违约金</w:t>
            </w:r>
            <w:r>
              <w:rPr>
                <w:rFonts w:hint="default" w:ascii="Times New Roman" w:hAnsi="Times New Roman" w:eastAsia="仿宋" w:cs="Times New Roman"/>
                <w:color w:val="000000"/>
                <w:sz w:val="21"/>
                <w:szCs w:val="21"/>
                <w:highlight w:val="none"/>
              </w:rPr>
              <w:t>。注：本合同关于履约保证金的条款与《重庆市财政局关于开展整治损害政府采购营商环境专项检查工作的通知》（渝财采购〔2023〕9号）精神相抵触的，按甲方落实文件要求的具体安排执行。</w:t>
            </w:r>
          </w:p>
        </w:tc>
      </w:tr>
      <w:tr w14:paraId="68FD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28" w:type="dxa"/>
            <w:gridSpan w:val="7"/>
            <w:noWrap w:val="0"/>
            <w:vAlign w:val="top"/>
          </w:tcPr>
          <w:p w14:paraId="65C62426">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六、违约责任：</w:t>
            </w:r>
          </w:p>
          <w:p w14:paraId="3F1B1C76">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（一）乙方在投标时未明确提出异议，视为完全响应甲方在本合同内的各项要求。</w:t>
            </w:r>
          </w:p>
          <w:p w14:paraId="10BB89A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（二）乙方应按本合同第一条“服务要求和技术标准”提供服务。若乙方超过</w:t>
            </w:r>
            <w:r>
              <w:rPr>
                <w:rFonts w:hint="default" w:ascii="Times New Roman" w:hAnsi="Times New Roman" w:eastAsia="仿宋" w:cs="Times New Roman"/>
                <w:color w:val="000000"/>
                <w:sz w:val="21"/>
                <w:szCs w:val="21"/>
                <w:highlight w:val="none"/>
                <w:u w:val="single"/>
              </w:rPr>
              <w:t>7</w:t>
            </w:r>
            <w:r>
              <w:rPr>
                <w:rFonts w:hint="default" w:ascii="Times New Roman" w:hAnsi="Times New Roman" w:eastAsia="仿宋" w:cs="Times New Roman"/>
                <w:color w:val="000000"/>
                <w:sz w:val="21"/>
                <w:szCs w:val="21"/>
                <w:highlight w:val="none"/>
              </w:rPr>
              <w:t>个自然日未履行上述服务承诺的，或者在紧急情况下未在甲方指定时间内履行服务承诺的，甲方有权自行联系其他单位提供同等服务，涉及的费用从乙方缴纳的履约保证金内扣除。若履约保证金不足以抵扣该服务费用的，甲方有权向乙方主张进行补足</w:t>
            </w:r>
            <w:bookmarkStart w:id="28" w:name="OLE_LINK32"/>
            <w:r>
              <w:rPr>
                <w:rFonts w:hint="eastAsia" w:eastAsia="仿宋" w:cs="Times New Roman"/>
                <w:color w:val="000000"/>
                <w:sz w:val="21"/>
                <w:szCs w:val="21"/>
                <w:highlight w:val="none"/>
                <w:lang w:val="en-US" w:eastAsia="zh-CN"/>
              </w:rPr>
              <w:t>或追偿该费用</w:t>
            </w:r>
            <w:bookmarkEnd w:id="28"/>
            <w:r>
              <w:rPr>
                <w:rFonts w:hint="default" w:ascii="Times New Roman" w:hAnsi="Times New Roman" w:eastAsia="仿宋" w:cs="Times New Roman"/>
                <w:color w:val="000000"/>
                <w:sz w:val="21"/>
                <w:szCs w:val="21"/>
                <w:highlight w:val="none"/>
              </w:rPr>
              <w:t>。</w:t>
            </w:r>
          </w:p>
          <w:p w14:paraId="4CD42351">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乙方应当按第三条“交</w:t>
            </w:r>
            <w:r>
              <w:rPr>
                <w:rFonts w:hint="eastAsia" w:eastAsia="仿宋" w:cs="Times New Roman"/>
                <w:color w:val="000000"/>
                <w:sz w:val="21"/>
                <w:szCs w:val="21"/>
                <w:highlight w:val="none"/>
                <w:lang w:val="en-US" w:eastAsia="zh-CN"/>
              </w:rPr>
              <w:t>付</w:t>
            </w:r>
            <w:r>
              <w:rPr>
                <w:rFonts w:hint="default" w:ascii="Times New Roman" w:hAnsi="Times New Roman" w:eastAsia="仿宋" w:cs="Times New Roman"/>
                <w:color w:val="000000"/>
                <w:sz w:val="21"/>
                <w:szCs w:val="21"/>
                <w:highlight w:val="none"/>
              </w:rPr>
              <w:t>方式”按时交付合格服务。若乙方逾期，每延期</w:t>
            </w:r>
            <w:r>
              <w:rPr>
                <w:rFonts w:hint="default" w:ascii="Times New Roman" w:hAnsi="Times New Roman" w:eastAsia="仿宋" w:cs="Times New Roman"/>
                <w:color w:val="000000"/>
                <w:sz w:val="21"/>
                <w:szCs w:val="21"/>
                <w:highlight w:val="none"/>
                <w:u w:val="single"/>
              </w:rPr>
              <w:t>1</w:t>
            </w:r>
            <w:r>
              <w:rPr>
                <w:rFonts w:hint="default" w:ascii="Times New Roman" w:hAnsi="Times New Roman" w:eastAsia="仿宋" w:cs="Times New Roman"/>
                <w:color w:val="000000"/>
                <w:sz w:val="21"/>
                <w:szCs w:val="21"/>
                <w:highlight w:val="none"/>
              </w:rPr>
              <w:t>个自然日应当按合同总价的</w:t>
            </w:r>
            <w:r>
              <w:rPr>
                <w:rFonts w:hint="default" w:ascii="Times New Roman" w:hAnsi="Times New Roman" w:eastAsia="仿宋" w:cs="Times New Roman"/>
                <w:color w:val="000000"/>
                <w:sz w:val="21"/>
                <w:szCs w:val="21"/>
                <w:highlight w:val="none"/>
                <w:u w:val="single"/>
              </w:rPr>
              <w:t>1</w:t>
            </w:r>
            <w:r>
              <w:rPr>
                <w:rFonts w:hint="default" w:ascii="Times New Roman" w:hAnsi="Times New Roman" w:eastAsia="仿宋" w:cs="Times New Roman"/>
                <w:color w:val="000000"/>
                <w:sz w:val="21"/>
                <w:szCs w:val="21"/>
                <w:highlight w:val="none"/>
              </w:rPr>
              <w:t>‰向甲方支付违约金（最高不超过合同总价的</w:t>
            </w:r>
            <w:r>
              <w:rPr>
                <w:rFonts w:hint="default" w:ascii="Times New Roman" w:hAnsi="Times New Roman" w:eastAsia="仿宋" w:cs="Times New Roman"/>
                <w:color w:val="000000"/>
                <w:sz w:val="21"/>
                <w:szCs w:val="21"/>
                <w:highlight w:val="none"/>
                <w:u w:val="single"/>
              </w:rPr>
              <w:t>10</w:t>
            </w:r>
            <w:r>
              <w:rPr>
                <w:rFonts w:hint="default" w:ascii="Times New Roman" w:hAnsi="Times New Roman" w:eastAsia="仿宋" w:cs="Times New Roman"/>
                <w:color w:val="000000"/>
                <w:sz w:val="21"/>
                <w:szCs w:val="21"/>
                <w:highlight w:val="none"/>
              </w:rPr>
              <w:t>%），甲方可在乙方缴纳的履约保证金内扣除；若乙方逾期超过</w:t>
            </w:r>
            <w:r>
              <w:rPr>
                <w:rFonts w:hint="eastAsia" w:eastAsia="仿宋" w:cs="Times New Roman"/>
                <w:color w:val="FF0000"/>
                <w:sz w:val="21"/>
                <w:szCs w:val="21"/>
                <w:u w:val="single"/>
                <w:lang w:val="en-US" w:eastAsia="zh-CN"/>
              </w:rPr>
              <w:t xml:space="preserve">  </w:t>
            </w:r>
            <w:r>
              <w:rPr>
                <w:rFonts w:hint="default" w:ascii="Times New Roman" w:hAnsi="Times New Roman" w:eastAsia="仿宋" w:cs="Times New Roman"/>
                <w:color w:val="FF0000"/>
                <w:sz w:val="21"/>
                <w:szCs w:val="21"/>
              </w:rPr>
              <w:t>个</w:t>
            </w:r>
            <w:r>
              <w:rPr>
                <w:rFonts w:hint="default" w:ascii="Times New Roman" w:hAnsi="Times New Roman" w:eastAsia="仿宋" w:cs="Times New Roman"/>
                <w:color w:val="000000"/>
                <w:sz w:val="21"/>
                <w:szCs w:val="21"/>
                <w:highlight w:val="none"/>
              </w:rPr>
              <w:t>自然日的，甲方有权</w:t>
            </w:r>
            <w:r>
              <w:rPr>
                <w:rFonts w:hint="eastAsia" w:eastAsia="仿宋" w:cs="Times New Roman"/>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解除本合同，没收全部履约保证金，并要求乙方返还甲方已支付款项；乙方赔偿甲方全部损失。</w:t>
            </w:r>
          </w:p>
          <w:p w14:paraId="106D470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（三）乙方应当按照本合同列明的服务名称、规格、数量</w:t>
            </w:r>
            <w:bookmarkStart w:id="29" w:name="OLE_LINK25"/>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参数等</w:t>
            </w:r>
            <w:bookmarkEnd w:id="29"/>
            <w:r>
              <w:rPr>
                <w:rFonts w:hint="default" w:ascii="Times New Roman" w:hAnsi="Times New Roman" w:eastAsia="仿宋" w:cs="Times New Roman"/>
                <w:color w:val="000000"/>
                <w:sz w:val="21"/>
                <w:szCs w:val="21"/>
                <w:highlight w:val="none"/>
              </w:rPr>
              <w:t>全面履行义务。若乙方向甲方交付的服务与本合同不符，甲方有权拒绝接收并不延长交付时间，乙方应承担由此造成甲方的损失以及逾期交付的违约责任。若甲方同意让步接收的，除要求乙方赔偿损失外，甲方有权根据服务的疵劣和受损程度要求乙方降低服务价格并承担违约责任。</w:t>
            </w:r>
            <w:bookmarkStart w:id="30" w:name="OLE_LINK26"/>
            <w:r>
              <w:rPr>
                <w:rFonts w:hint="eastAsia" w:eastAsia="仿宋" w:cs="Times New Roman"/>
                <w:color w:val="000000"/>
                <w:sz w:val="21"/>
                <w:szCs w:val="21"/>
                <w:highlight w:val="none"/>
                <w:lang w:val="en-US" w:eastAsia="zh-CN"/>
              </w:rPr>
              <w:t>若</w:t>
            </w:r>
            <w:r>
              <w:rPr>
                <w:rFonts w:hint="default" w:ascii="Times New Roman" w:hAnsi="Times New Roman" w:eastAsia="仿宋" w:cs="Times New Roman"/>
                <w:color w:val="000000"/>
                <w:sz w:val="21"/>
                <w:szCs w:val="21"/>
                <w:highlight w:val="none"/>
              </w:rPr>
              <w:t>达不到</w:t>
            </w:r>
            <w:r>
              <w:rPr>
                <w:rFonts w:hint="eastAsia" w:ascii="Times New Roman" w:hAnsi="Times New Roman" w:eastAsia="仿宋" w:cs="Times New Roman"/>
                <w:color w:val="000000"/>
                <w:sz w:val="21"/>
                <w:szCs w:val="21"/>
                <w:highlight w:val="none"/>
                <w:lang w:val="en-US" w:eastAsia="zh-CN"/>
              </w:rPr>
              <w:t>本合同约定的</w:t>
            </w:r>
            <w:r>
              <w:rPr>
                <w:rFonts w:hint="default" w:ascii="Times New Roman" w:hAnsi="Times New Roman" w:eastAsia="仿宋" w:cs="Times New Roman"/>
                <w:color w:val="000000"/>
                <w:sz w:val="21"/>
                <w:szCs w:val="21"/>
                <w:highlight w:val="none"/>
              </w:rPr>
              <w:t>技术参数，甲方</w:t>
            </w:r>
            <w:r>
              <w:rPr>
                <w:rFonts w:hint="eastAsia" w:ascii="Times New Roman" w:hAnsi="Times New Roman" w:eastAsia="仿宋" w:cs="Times New Roman"/>
                <w:color w:val="000000"/>
                <w:sz w:val="21"/>
                <w:szCs w:val="21"/>
                <w:highlight w:val="none"/>
                <w:lang w:val="en-US" w:eastAsia="zh-CN"/>
              </w:rPr>
              <w:t>有权</w:t>
            </w:r>
            <w:r>
              <w:rPr>
                <w:rFonts w:hint="eastAsia" w:eastAsia="仿宋" w:cs="Times New Roman"/>
                <w:color w:val="000000"/>
                <w:sz w:val="21"/>
                <w:szCs w:val="21"/>
                <w:highlight w:val="none"/>
                <w:lang w:val="en-US" w:eastAsia="zh-CN"/>
              </w:rPr>
              <w:t>要求乙方承担相关违约责任</w:t>
            </w:r>
            <w:r>
              <w:rPr>
                <w:rFonts w:hint="default" w:ascii="Times New Roman" w:hAnsi="Times New Roman" w:eastAsia="仿宋" w:cs="Times New Roman"/>
                <w:color w:val="000000"/>
                <w:sz w:val="21"/>
                <w:szCs w:val="21"/>
                <w:highlight w:val="none"/>
              </w:rPr>
              <w:t>：</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更换</w:t>
            </w:r>
            <w:r>
              <w:rPr>
                <w:rFonts w:hint="eastAsia" w:ascii="Times New Roman" w:hAnsi="Times New Roman" w:eastAsia="仿宋" w:cs="Times New Roman"/>
                <w:color w:val="000000"/>
                <w:sz w:val="21"/>
                <w:szCs w:val="21"/>
                <w:highlight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修理</w:t>
            </w:r>
            <w:r>
              <w:rPr>
                <w:rFonts w:hint="eastAsia" w:eastAsia="仿宋" w:cs="Times New Roman"/>
                <w:color w:val="000000"/>
                <w:sz w:val="21"/>
                <w:szCs w:val="21"/>
                <w:highlight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重作</w:t>
            </w:r>
            <w:r>
              <w:rPr>
                <w:rFonts w:hint="eastAsia" w:eastAsia="仿宋" w:cs="Times New Roman"/>
                <w:color w:val="000000"/>
                <w:sz w:val="21"/>
                <w:szCs w:val="21"/>
                <w:highlight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退货</w:t>
            </w:r>
            <w:r>
              <w:rPr>
                <w:rFonts w:hint="eastAsia" w:ascii="Times New Roman" w:hAnsi="Times New Roman" w:eastAsia="仿宋" w:cs="Times New Roman"/>
                <w:color w:val="000000"/>
                <w:sz w:val="21"/>
                <w:szCs w:val="21"/>
                <w:highlight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eastAsia" w:eastAsia="仿宋" w:cs="Times New Roman"/>
                <w:color w:val="000000"/>
                <w:sz w:val="21"/>
                <w:szCs w:val="21"/>
                <w:highlight w:val="none"/>
                <w:lang w:eastAsia="zh-CN"/>
              </w:rPr>
              <w:t>减少价款或者报酬</w:t>
            </w:r>
            <w:r>
              <w:rPr>
                <w:rFonts w:hint="eastAsia" w:eastAsia="仿宋" w:cs="Times New Roman"/>
                <w:color w:val="000000"/>
                <w:sz w:val="21"/>
                <w:szCs w:val="21"/>
                <w:highlight w:val="none"/>
                <w:lang w:val="en-US" w:eastAsia="zh-CN"/>
              </w:rPr>
              <w:t xml:space="preserve">  </w:t>
            </w:r>
          </w:p>
          <w:bookmarkEnd w:id="30"/>
          <w:p w14:paraId="5C609FDF">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四）甲方、乙方中的任何一方违约，不履行合同义务或者履行合同义务不符合约定的，应当向守约方承担继续履行、采取补救措施、赔偿损失等违约责任。乙方因过错给甲方造成损失的，乙方或乙方工作人员越权代理（无论该代理系甲方委托或乙方职务行为）给甲方造成损失的，乙方承担赔偿损失的责任。双方都违反合同的，应当各自承担相应的责任。</w:t>
            </w:r>
          </w:p>
          <w:p w14:paraId="2E2A294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（五）履约保证金减少的，乙方未按照甲方要求补足履约保证金的，每逾期</w:t>
            </w:r>
            <w:r>
              <w:rPr>
                <w:rFonts w:hint="default" w:ascii="Times New Roman" w:hAnsi="Times New Roman" w:eastAsia="仿宋" w:cs="Times New Roman"/>
                <w:color w:val="000000"/>
                <w:sz w:val="21"/>
                <w:szCs w:val="21"/>
                <w:highlight w:val="none"/>
                <w:u w:val="single"/>
              </w:rPr>
              <w:t>1</w:t>
            </w:r>
            <w:r>
              <w:rPr>
                <w:rFonts w:hint="default" w:ascii="Times New Roman" w:hAnsi="Times New Roman" w:eastAsia="仿宋" w:cs="Times New Roman"/>
                <w:color w:val="000000"/>
                <w:sz w:val="21"/>
                <w:szCs w:val="21"/>
                <w:highlight w:val="none"/>
              </w:rPr>
              <w:t>个自然日，甲方有权要求乙方支付履约保证金总额</w:t>
            </w:r>
            <w:r>
              <w:rPr>
                <w:rFonts w:hint="default" w:ascii="Times New Roman" w:hAnsi="Times New Roman" w:eastAsia="仿宋" w:cs="Times New Roman"/>
                <w:color w:val="000000"/>
                <w:sz w:val="21"/>
                <w:szCs w:val="21"/>
                <w:highlight w:val="none"/>
                <w:u w:val="single"/>
              </w:rPr>
              <w:t>0.1</w:t>
            </w:r>
            <w:r>
              <w:rPr>
                <w:rFonts w:hint="default" w:ascii="Times New Roman" w:hAnsi="Times New Roman" w:eastAsia="仿宋" w:cs="Times New Roman"/>
                <w:color w:val="000000"/>
                <w:sz w:val="21"/>
                <w:szCs w:val="21"/>
                <w:highlight w:val="none"/>
              </w:rPr>
              <w:t>%的违约金；逾期超过</w:t>
            </w:r>
            <w:r>
              <w:rPr>
                <w:rFonts w:hint="default" w:ascii="Times New Roman" w:hAnsi="Times New Roman" w:eastAsia="仿宋" w:cs="Times New Roman"/>
                <w:color w:val="000000"/>
                <w:sz w:val="21"/>
                <w:szCs w:val="21"/>
                <w:highlight w:val="none"/>
                <w:u w:val="single"/>
              </w:rPr>
              <w:t>60</w:t>
            </w:r>
            <w:r>
              <w:rPr>
                <w:rFonts w:hint="default" w:ascii="Times New Roman" w:hAnsi="Times New Roman" w:eastAsia="仿宋" w:cs="Times New Roman"/>
                <w:color w:val="000000"/>
                <w:sz w:val="21"/>
                <w:szCs w:val="21"/>
                <w:highlight w:val="none"/>
              </w:rPr>
              <w:t>个自然日，甲方有权</w:t>
            </w:r>
            <w:r>
              <w:rPr>
                <w:rFonts w:hint="eastAsia" w:eastAsia="仿宋" w:cs="Times New Roman"/>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解除合同，要求乙方支付前述违约金并没收剩余的履约保证金。</w:t>
            </w:r>
          </w:p>
          <w:p w14:paraId="502E2DE3">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六）因台风、地震、水灾、政府政策变化、传染性疾病以及其它非一方责任造成的，不能预见、不能避免、并不能克服的客观情况为不可抗力。因不可抗力致使本合同不能履行或不能完全履行时，遭受不可抗力一方应在发生不可抗力之日起</w:t>
            </w:r>
            <w:r>
              <w:rPr>
                <w:rFonts w:hint="default" w:ascii="Times New Roman" w:hAnsi="Times New Roman" w:eastAsia="仿宋" w:cs="Times New Roman"/>
                <w:color w:val="000000"/>
                <w:sz w:val="21"/>
                <w:szCs w:val="21"/>
                <w:highlight w:val="none"/>
                <w:u w:val="single"/>
              </w:rPr>
              <w:t>3</w:t>
            </w:r>
            <w:r>
              <w:rPr>
                <w:rFonts w:hint="default" w:ascii="Times New Roman" w:hAnsi="Times New Roman" w:eastAsia="仿宋" w:cs="Times New Roman"/>
                <w:color w:val="000000"/>
                <w:sz w:val="21"/>
                <w:szCs w:val="21"/>
                <w:highlight w:val="none"/>
              </w:rPr>
              <w:t>个工作日内向对方通报相关情况并向对方提供相应证明，在双方共同商议（或有关主管机关裁决）后，可以根据决议延期履行、部分履行或不履行，并可根据情况部分或全部免于承担违约责任。</w:t>
            </w:r>
          </w:p>
          <w:p w14:paraId="528B7749">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（七）乙方承诺本合同履行期间持续具有履行本合同所需合法、有效资质，</w:t>
            </w:r>
            <w:bookmarkStart w:id="31" w:name="OLE_LINK33"/>
            <w:bookmarkStart w:id="32" w:name="OLE_LINK36"/>
            <w:r>
              <w:rPr>
                <w:rFonts w:hint="eastAsia" w:ascii="Times New Roman" w:hAnsi="Times New Roman" w:eastAsia="仿宋" w:cs="Times New Roman"/>
                <w:color w:val="000000"/>
                <w:sz w:val="21"/>
                <w:szCs w:val="21"/>
                <w:highlight w:val="none"/>
                <w:lang w:val="en-US" w:eastAsia="zh-CN"/>
              </w:rPr>
              <w:t>对本合同项下提供的服务的具</w:t>
            </w:r>
            <w:r>
              <w:rPr>
                <w:rFonts w:hint="eastAsia" w:eastAsia="仿宋" w:cs="Times New Roman"/>
                <w:color w:val="000000"/>
                <w:sz w:val="21"/>
                <w:szCs w:val="21"/>
                <w:highlight w:val="none"/>
                <w:lang w:val="en-US" w:eastAsia="zh-CN"/>
              </w:rPr>
              <w:t>有完整、合法的权利</w:t>
            </w:r>
            <w:bookmarkEnd w:id="31"/>
            <w:r>
              <w:rPr>
                <w:rFonts w:hint="eastAsia" w:eastAsia="仿宋" w:cs="Times New Roman"/>
                <w:color w:val="000000"/>
                <w:sz w:val="21"/>
                <w:szCs w:val="21"/>
                <w:highlight w:val="none"/>
                <w:lang w:val="en-US" w:eastAsia="zh-CN"/>
              </w:rPr>
              <w:t>（</w:t>
            </w:r>
            <w:bookmarkEnd w:id="32"/>
            <w:r>
              <w:rPr>
                <w:rFonts w:hint="eastAsia" w:eastAsia="仿宋" w:cs="Times New Roman"/>
                <w:color w:val="000000"/>
                <w:sz w:val="21"/>
                <w:szCs w:val="21"/>
                <w:highlight w:val="none"/>
                <w:lang w:val="en-US" w:eastAsia="zh-CN"/>
              </w:rPr>
              <w:t>不存在任何瑕疵，不构成任何侵权），</w:t>
            </w:r>
            <w:r>
              <w:rPr>
                <w:rFonts w:hint="default" w:ascii="Times New Roman" w:hAnsi="Times New Roman" w:eastAsia="仿宋" w:cs="Times New Roman"/>
                <w:color w:val="000000"/>
                <w:sz w:val="21"/>
                <w:szCs w:val="21"/>
                <w:highlight w:val="none"/>
              </w:rPr>
              <w:t>否则视为重大违约，甲方有权</w:t>
            </w:r>
            <w:r>
              <w:rPr>
                <w:rFonts w:hint="eastAsia" w:eastAsia="仿宋" w:cs="Times New Roman"/>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解除本合同，已交付的费用乙方须无条件全额退还，甲方没收全部履约保证金并追究乙方违约责任。</w:t>
            </w:r>
          </w:p>
          <w:p w14:paraId="60A13408">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（八）甲乙双方若不能按互谅互惠原则协商解决争议，甚至在</w:t>
            </w:r>
            <w:r>
              <w:rPr>
                <w:rFonts w:hint="default" w:ascii="Times New Roman" w:hAnsi="Times New Roman" w:eastAsia="仿宋" w:cs="Times New Roman"/>
                <w:color w:val="000000"/>
                <w:sz w:val="21"/>
                <w:szCs w:val="21"/>
                <w:highlight w:val="none"/>
                <w:u w:val="single"/>
              </w:rPr>
              <w:t>60</w:t>
            </w:r>
            <w:r>
              <w:rPr>
                <w:rFonts w:hint="default" w:ascii="Times New Roman" w:hAnsi="Times New Roman" w:eastAsia="仿宋" w:cs="Times New Roman"/>
                <w:color w:val="000000"/>
                <w:sz w:val="21"/>
                <w:szCs w:val="21"/>
                <w:highlight w:val="none"/>
              </w:rPr>
              <w:t>个自然日内当事人协商不能达成协议，任何一方均可向重庆仲裁委员会提请仲裁</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地址：重庆市渝北区星光大道96号土星B2栋</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w:t>
            </w:r>
          </w:p>
          <w:p w14:paraId="5A64E85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九）甲方或乙方一方违约时，守约方据此向违约方主张权利的，违约方应向守约方支付违约金及由此产生的一切损失（包括但不限于直接损失、间接损失、诉讼费、仲裁费、律师费、保全费、保全担保费、鉴定费、差旅费等）。</w:t>
            </w:r>
          </w:p>
          <w:p w14:paraId="7AFA46A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 xml:space="preserve">（十）本合同项下各违约责任相互独立，可同时、一并适用。 </w:t>
            </w:r>
          </w:p>
        </w:tc>
      </w:tr>
      <w:tr w14:paraId="51E5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28" w:type="dxa"/>
            <w:gridSpan w:val="7"/>
            <w:noWrap w:val="0"/>
            <w:vAlign w:val="top"/>
          </w:tcPr>
          <w:p w14:paraId="6C9D8FF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七、其他约定事项：</w:t>
            </w:r>
          </w:p>
          <w:p w14:paraId="3873A84A">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w:t>
            </w:r>
            <w:bookmarkStart w:id="33" w:name="OLE_LINK27"/>
            <w:r>
              <w:rPr>
                <w:rFonts w:hint="default" w:ascii="Times New Roman" w:hAnsi="Times New Roman" w:eastAsia="仿宋" w:cs="Times New Roman"/>
                <w:color w:val="000000"/>
                <w:sz w:val="21"/>
                <w:szCs w:val="21"/>
                <w:highlight w:val="none"/>
              </w:rPr>
              <w:t>甲方招标文件（或竞争性谈判文件、竞争性磋商文件、询价通知书、协商文件等）及其澄清文件（或补遗文件、更正文件等）、乙方响应文件（投标文件）和承诺与本合同不可分割，与本合同具有同等法律效力。若本合同存在歧义或不一致，则根据如下优先次序来判断：本合同签订后达成的有关会议纪要或变更</w:t>
            </w:r>
            <w:r>
              <w:rPr>
                <w:rFonts w:hint="eastAsia" w:eastAsia="仿宋" w:cs="Times New Roman"/>
                <w:color w:val="000000"/>
                <w:sz w:val="21"/>
                <w:szCs w:val="21"/>
                <w:highlight w:val="none"/>
                <w:lang w:val="en-US" w:eastAsia="zh-CN"/>
              </w:rPr>
              <w:t>合同</w:t>
            </w:r>
            <w:r>
              <w:rPr>
                <w:rFonts w:hint="default" w:ascii="Times New Roman" w:hAnsi="Times New Roman" w:eastAsia="仿宋" w:cs="Times New Roman"/>
                <w:color w:val="000000"/>
                <w:sz w:val="21"/>
                <w:szCs w:val="21"/>
                <w:highlight w:val="none"/>
              </w:rPr>
              <w:t>、补充协议</w:t>
            </w:r>
            <w:bookmarkStart w:id="34" w:name="OLE_LINK2"/>
            <w:bookmarkStart w:id="35" w:name="OLE_LINK1"/>
            <w:r>
              <w:rPr>
                <w:rFonts w:hint="eastAsia" w:eastAsia="仿宋" w:cs="Times New Roman"/>
                <w:color w:val="000000"/>
                <w:sz w:val="21"/>
                <w:szCs w:val="21"/>
                <w:highlight w:val="none"/>
                <w:lang w:eastAsia="zh-CN"/>
              </w:rPr>
              <w:t>，</w:t>
            </w:r>
            <w:bookmarkEnd w:id="34"/>
            <w:r>
              <w:rPr>
                <w:rFonts w:hint="default" w:ascii="Times New Roman" w:hAnsi="Times New Roman" w:eastAsia="仿宋" w:cs="Times New Roman"/>
                <w:color w:val="000000"/>
                <w:sz w:val="21"/>
                <w:szCs w:val="21"/>
                <w:highlight w:val="none"/>
              </w:rPr>
              <w:t>本</w:t>
            </w:r>
            <w:bookmarkEnd w:id="35"/>
            <w:r>
              <w:rPr>
                <w:rFonts w:hint="default" w:ascii="Times New Roman" w:hAnsi="Times New Roman" w:eastAsia="仿宋" w:cs="Times New Roman"/>
                <w:color w:val="000000"/>
                <w:sz w:val="21"/>
                <w:szCs w:val="21"/>
                <w:highlight w:val="none"/>
              </w:rPr>
              <w:t>合同</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中标通知书</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乙方</w:t>
            </w:r>
            <w:r>
              <w:rPr>
                <w:rFonts w:hint="default" w:ascii="Times New Roman" w:hAnsi="Times New Roman" w:eastAsia="仿宋" w:cs="Times New Roman"/>
                <w:color w:val="000000"/>
                <w:sz w:val="21"/>
                <w:szCs w:val="21"/>
                <w:highlight w:val="none"/>
              </w:rPr>
              <w:t>投标文件</w:t>
            </w:r>
            <w:r>
              <w:rPr>
                <w:rFonts w:hint="eastAsia" w:ascii="Times New Roman" w:hAnsi="Times New Roman" w:eastAsia="仿宋" w:cs="Times New Roman"/>
                <w:color w:val="000000"/>
                <w:sz w:val="21"/>
                <w:szCs w:val="21"/>
                <w:highlight w:val="none"/>
                <w:lang w:eastAsia="zh-CN"/>
              </w:rPr>
              <w:t>（</w:t>
            </w:r>
            <w:r>
              <w:rPr>
                <w:rFonts w:hint="eastAsia" w:ascii="Times New Roman" w:hAnsi="Times New Roman" w:eastAsia="仿宋" w:cs="Times New Roman"/>
                <w:color w:val="000000"/>
                <w:sz w:val="21"/>
                <w:szCs w:val="21"/>
                <w:highlight w:val="none"/>
                <w:lang w:val="en-US" w:eastAsia="zh-CN"/>
              </w:rPr>
              <w:t>响应文件</w:t>
            </w:r>
            <w:r>
              <w:rPr>
                <w:rFonts w:hint="eastAsia" w:ascii="Times New Roman" w:hAnsi="Times New Roman"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招标文件</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澄清文件</w:t>
            </w:r>
            <w:r>
              <w:rPr>
                <w:rFonts w:hint="eastAsia" w:eastAsia="仿宋" w:cs="Times New Roman"/>
                <w:color w:val="000000"/>
                <w:sz w:val="21"/>
                <w:szCs w:val="21"/>
                <w:highlight w:val="none"/>
                <w:lang w:eastAsia="zh-CN"/>
              </w:rPr>
              <w:t>），有关技术文件、图纸，国家法律、行政法规和</w:t>
            </w:r>
            <w:r>
              <w:rPr>
                <w:rFonts w:hint="eastAsia" w:eastAsia="仿宋" w:cs="Times New Roman"/>
                <w:color w:val="000000"/>
                <w:sz w:val="21"/>
                <w:szCs w:val="21"/>
                <w:highlight w:val="none"/>
                <w:lang w:val="en-US" w:eastAsia="zh-CN"/>
              </w:rPr>
              <w:t>强制性</w:t>
            </w:r>
            <w:r>
              <w:rPr>
                <w:rFonts w:hint="eastAsia" w:eastAsia="仿宋" w:cs="Times New Roman"/>
                <w:color w:val="000000"/>
                <w:sz w:val="21"/>
                <w:szCs w:val="21"/>
                <w:highlight w:val="none"/>
                <w:lang w:eastAsia="zh-CN"/>
              </w:rPr>
              <w:t>规定或</w:t>
            </w:r>
            <w:r>
              <w:rPr>
                <w:rFonts w:hint="eastAsia" w:eastAsia="仿宋" w:cs="Times New Roman"/>
                <w:color w:val="000000"/>
                <w:sz w:val="21"/>
                <w:szCs w:val="21"/>
                <w:highlight w:val="none"/>
                <w:lang w:val="en-US" w:eastAsia="zh-CN"/>
              </w:rPr>
              <w:t>本</w:t>
            </w:r>
            <w:r>
              <w:rPr>
                <w:rFonts w:hint="eastAsia" w:eastAsia="仿宋" w:cs="Times New Roman"/>
                <w:color w:val="000000"/>
                <w:sz w:val="21"/>
                <w:szCs w:val="21"/>
                <w:highlight w:val="none"/>
                <w:lang w:eastAsia="zh-CN"/>
              </w:rPr>
              <w:t>合同约定的作为合同组成部分的其</w:t>
            </w:r>
            <w:r>
              <w:rPr>
                <w:rFonts w:hint="eastAsia" w:eastAsia="仿宋" w:cs="Times New Roman"/>
                <w:color w:val="000000"/>
                <w:sz w:val="21"/>
                <w:szCs w:val="21"/>
                <w:highlight w:val="none"/>
                <w:lang w:val="en-US" w:eastAsia="zh-CN"/>
              </w:rPr>
              <w:t>它</w:t>
            </w:r>
            <w:r>
              <w:rPr>
                <w:rFonts w:hint="eastAsia" w:eastAsia="仿宋" w:cs="Times New Roman"/>
                <w:color w:val="000000"/>
                <w:sz w:val="21"/>
                <w:szCs w:val="21"/>
                <w:highlight w:val="none"/>
                <w:lang w:eastAsia="zh-CN"/>
              </w:rPr>
              <w:t>文件</w:t>
            </w:r>
            <w:r>
              <w:rPr>
                <w:rFonts w:hint="default" w:ascii="Times New Roman" w:hAnsi="Times New Roman" w:eastAsia="仿宋" w:cs="Times New Roman"/>
                <w:color w:val="000000"/>
                <w:sz w:val="21"/>
                <w:szCs w:val="21"/>
                <w:highlight w:val="none"/>
              </w:rPr>
              <w:t>。上述各项合同文件包括合同当事人就该项合同文件所作出的补充和修改；属于同一类内容的文件，应以最新签署的为准。未尽事宜，按照《中华人民共和国民法典》《中华人民共和国政府采购法》规定，由甲乙双方共商解决。</w:t>
            </w:r>
          </w:p>
          <w:bookmarkEnd w:id="33"/>
          <w:p w14:paraId="1F94447B">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（二）甲方在中华人民共和国境内使用乙方提供的合同货物及服务时免受第三方提出的侵犯其专利权或其它知识产权的起诉。如果第三方提出侵权指控，乙方应承担由此而引起的一切法律责任和费用，甲方有权</w:t>
            </w:r>
            <w:r>
              <w:rPr>
                <w:rFonts w:hint="eastAsia" w:eastAsia="仿宋" w:cs="Times New Roman"/>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解除本合同，要求乙方退还甲方已支付的费用，并没收全部履约保证金。</w:t>
            </w:r>
          </w:p>
          <w:p w14:paraId="5B5C3CB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注：若涉及软件开发等服务类项目知识产权的，知识产权归甲方所有。</w:t>
            </w:r>
          </w:p>
          <w:p w14:paraId="7A357A0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（三）乙方对其提供服务的使用和操作，应当向甲方履行培训、通知、协助、保密义务</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FF0000"/>
                <w:sz w:val="21"/>
                <w:szCs w:val="21"/>
                <w:highlight w:val="none"/>
              </w:rPr>
              <w:t>自行承担</w:t>
            </w:r>
            <w:r>
              <w:rPr>
                <w:rFonts w:hint="eastAsia" w:ascii="Times New Roman" w:hAnsi="Times New Roman" w:eastAsia="仿宋" w:cs="Times New Roman"/>
                <w:color w:val="FF0000"/>
                <w:sz w:val="21"/>
                <w:szCs w:val="21"/>
                <w:highlight w:val="none"/>
                <w:lang w:val="en-US" w:eastAsia="zh-CN"/>
              </w:rPr>
              <w:t>全部</w:t>
            </w:r>
            <w:r>
              <w:rPr>
                <w:rFonts w:hint="default" w:ascii="Times New Roman" w:hAnsi="Times New Roman" w:eastAsia="仿宋" w:cs="Times New Roman"/>
                <w:color w:val="FF0000"/>
                <w:sz w:val="21"/>
                <w:szCs w:val="21"/>
                <w:highlight w:val="none"/>
              </w:rPr>
              <w:t>安全责任。</w:t>
            </w:r>
            <w:r>
              <w:rPr>
                <w:rFonts w:hint="eastAsia" w:eastAsia="仿宋" w:cs="Times New Roman"/>
                <w:color w:val="000000"/>
                <w:sz w:val="21"/>
                <w:szCs w:val="21"/>
                <w:highlight w:val="none"/>
                <w:lang w:val="en-US" w:eastAsia="zh-CN"/>
              </w:rPr>
              <w:t>甲乙双方对履行本合同</w:t>
            </w:r>
            <w:r>
              <w:rPr>
                <w:rFonts w:hint="default" w:ascii="Times New Roman" w:hAnsi="Times New Roman" w:eastAsia="仿宋" w:cs="Times New Roman"/>
                <w:color w:val="000000"/>
                <w:sz w:val="21"/>
                <w:szCs w:val="21"/>
                <w:highlight w:val="none"/>
              </w:rPr>
              <w:t>所获悉的国家秘密、工作秘密、商业秘密或者其他应当保密的信息，均有保密义务且不受合同有效期所限，直至该信息成为公开信息。</w:t>
            </w:r>
          </w:p>
          <w:p w14:paraId="5C742ED2">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（四）乙方向甲方申请付款时，应当按甲方财务管理要求开具增值税发票。若乙方未提供有效增值税发票的，甲方有权拒绝支付合同价款且不承担任何迟延履行的责任，乙方不得以此为由终止或中止本合同。</w:t>
            </w:r>
          </w:p>
          <w:p w14:paraId="7A2047E2">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w:t>
            </w:r>
            <w:bookmarkStart w:id="36" w:name="OLE_LINK28"/>
            <w:r>
              <w:rPr>
                <w:rFonts w:hint="default" w:ascii="Times New Roman" w:hAnsi="Times New Roman" w:eastAsia="仿宋" w:cs="Times New Roman"/>
                <w:color w:val="000000"/>
                <w:sz w:val="21"/>
                <w:szCs w:val="21"/>
                <w:highlight w:val="none"/>
              </w:rPr>
              <w:t>本合同尾部载明的名称、住所、联系人、联系电话或电子邮箱为一方通知对方、以及涉及诉讼或者仲裁时接收法律文书的送达地址。任何一方当事人变更</w:t>
            </w:r>
            <w:r>
              <w:rPr>
                <w:rFonts w:hint="eastAsia" w:eastAsia="仿宋" w:cs="Times New Roman"/>
                <w:color w:val="000000"/>
                <w:sz w:val="21"/>
                <w:szCs w:val="21"/>
                <w:highlight w:val="none"/>
                <w:lang w:val="en-US" w:eastAsia="zh-CN"/>
              </w:rPr>
              <w:t>上述</w:t>
            </w:r>
            <w:r>
              <w:rPr>
                <w:rFonts w:hint="default" w:ascii="Times New Roman" w:hAnsi="Times New Roman" w:eastAsia="仿宋" w:cs="Times New Roman"/>
                <w:color w:val="000000"/>
                <w:sz w:val="21"/>
                <w:szCs w:val="21"/>
                <w:highlight w:val="none"/>
              </w:rPr>
              <w:t>信息的，应当在变更后</w:t>
            </w:r>
            <w:r>
              <w:rPr>
                <w:rFonts w:hint="eastAsia" w:eastAsia="仿宋" w:cs="Times New Roman"/>
                <w:color w:val="000000"/>
                <w:sz w:val="21"/>
                <w:szCs w:val="21"/>
                <w:highlight w:val="none"/>
                <w:lang w:val="en-US" w:eastAsia="zh-CN"/>
              </w:rPr>
              <w:t>的</w:t>
            </w:r>
            <w:r>
              <w:rPr>
                <w:rFonts w:hint="default" w:ascii="Times New Roman" w:hAnsi="Times New Roman" w:eastAsia="仿宋" w:cs="Times New Roman"/>
                <w:color w:val="000000"/>
                <w:sz w:val="21"/>
                <w:szCs w:val="21"/>
                <w:highlight w:val="none"/>
                <w:u w:val="single"/>
              </w:rPr>
              <w:t>3</w:t>
            </w:r>
            <w:r>
              <w:rPr>
                <w:rFonts w:hint="default" w:ascii="Times New Roman" w:hAnsi="Times New Roman" w:eastAsia="仿宋" w:cs="Times New Roman"/>
                <w:color w:val="000000"/>
                <w:sz w:val="21"/>
                <w:szCs w:val="21"/>
                <w:highlight w:val="none"/>
              </w:rPr>
              <w:t>日内及时书面通知对方，对方实际收到变更通知前的送达仍为有效送达</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因信息</w:t>
            </w:r>
            <w:r>
              <w:rPr>
                <w:rFonts w:hint="default" w:ascii="Times New Roman" w:hAnsi="Times New Roman" w:eastAsia="仿宋" w:cs="Times New Roman"/>
                <w:color w:val="000000"/>
                <w:sz w:val="21"/>
                <w:szCs w:val="21"/>
                <w:highlight w:val="none"/>
              </w:rPr>
              <w:t>有误、未及时书面通知对方</w:t>
            </w:r>
            <w:r>
              <w:rPr>
                <w:rFonts w:hint="eastAsia" w:eastAsia="仿宋" w:cs="Times New Roman"/>
                <w:color w:val="000000"/>
                <w:sz w:val="21"/>
                <w:szCs w:val="21"/>
                <w:highlight w:val="none"/>
                <w:lang w:val="en-US" w:eastAsia="zh-CN"/>
              </w:rPr>
              <w:t>信息变更</w:t>
            </w:r>
            <w:r>
              <w:rPr>
                <w:rFonts w:hint="default" w:ascii="Times New Roman" w:hAnsi="Times New Roman" w:eastAsia="仿宋" w:cs="Times New Roman"/>
                <w:color w:val="000000"/>
                <w:sz w:val="21"/>
                <w:szCs w:val="21"/>
                <w:highlight w:val="none"/>
              </w:rPr>
              <w:t>而导致法律文书送达不能的，应当自行承担后果。</w:t>
            </w:r>
          </w:p>
          <w:bookmarkEnd w:id="36"/>
          <w:p w14:paraId="4CF3EEA2">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（六）本合同的任何修订、变更或调整，须经甲方、乙方共同书面确认。补充协议与本合同具有同等法律效力，不一致之处，以补充协议为准。</w:t>
            </w:r>
          </w:p>
          <w:p w14:paraId="002F9B24">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（七）本合同壹式陆份，甲方执正本壹份、副本肆份，乙方执正本壹份，均具备同等法律效力。</w:t>
            </w:r>
          </w:p>
          <w:p w14:paraId="61DF454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w:t>
            </w:r>
            <w:r>
              <w:rPr>
                <w:rFonts w:hint="eastAsia" w:eastAsia="仿宋" w:cs="Times New Roman"/>
                <w:color w:val="000000"/>
                <w:sz w:val="21"/>
                <w:szCs w:val="21"/>
                <w:highlight w:val="none"/>
                <w:lang w:val="en-US" w:eastAsia="zh-CN"/>
              </w:rPr>
              <w:t>八</w:t>
            </w:r>
            <w:r>
              <w:rPr>
                <w:rFonts w:hint="default" w:ascii="Times New Roman" w:hAnsi="Times New Roman" w:eastAsia="仿宋" w:cs="Times New Roman"/>
                <w:color w:val="000000"/>
                <w:sz w:val="21"/>
                <w:szCs w:val="21"/>
                <w:highlight w:val="none"/>
              </w:rPr>
              <w:t>）本合同自双方当事人法定代表人或委托代理人签字并加盖双方合同专用章或公章后生效。</w:t>
            </w:r>
          </w:p>
          <w:p w14:paraId="3FCBD81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（以下无正文）</w:t>
            </w:r>
          </w:p>
        </w:tc>
      </w:tr>
      <w:tr w14:paraId="250E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jc w:val="center"/>
        </w:trPr>
        <w:tc>
          <w:tcPr>
            <w:tcW w:w="4772" w:type="dxa"/>
            <w:gridSpan w:val="4"/>
            <w:noWrap w:val="0"/>
            <w:vAlign w:val="top"/>
          </w:tcPr>
          <w:p w14:paraId="1ED20E08">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甲方（需方）：重庆医科大学</w:t>
            </w:r>
          </w:p>
          <w:p w14:paraId="07ECB636">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地址：重庆市渝中区医学院路1号</w:t>
            </w:r>
          </w:p>
          <w:p w14:paraId="51297A2A">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统一社会信用代码：12500000450401805G</w:t>
            </w:r>
          </w:p>
          <w:p w14:paraId="4975369B">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w w:val="90"/>
                <w:sz w:val="21"/>
                <w:szCs w:val="21"/>
                <w:highlight w:val="none"/>
              </w:rPr>
            </w:pPr>
            <w:r>
              <w:rPr>
                <w:rFonts w:hint="default" w:ascii="Times New Roman" w:hAnsi="Times New Roman" w:eastAsia="仿宋" w:cs="Times New Roman"/>
                <w:color w:val="000000"/>
                <w:w w:val="90"/>
                <w:sz w:val="21"/>
                <w:szCs w:val="21"/>
                <w:highlight w:val="none"/>
              </w:rPr>
              <w:t>开户行：中国建设银行股份有限公司重庆高新区分行</w:t>
            </w:r>
          </w:p>
          <w:p w14:paraId="1138FFB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账号：50001033600050008726</w:t>
            </w:r>
          </w:p>
          <w:p w14:paraId="5A36EA83">
            <w:pPr>
              <w:pStyle w:val="23"/>
              <w:keepNext w:val="0"/>
              <w:keepLines w:val="0"/>
              <w:pageBreakBefore w:val="0"/>
              <w:kinsoku/>
              <w:wordWrap/>
              <w:overflowPunct/>
              <w:topLinePunct w:val="0"/>
              <w:bidi w:val="0"/>
              <w:snapToGrid/>
              <w:spacing w:line="300" w:lineRule="exact"/>
              <w:textAlignment w:val="auto"/>
              <w:rPr>
                <w:rFonts w:hint="default"/>
                <w:color w:val="000000"/>
                <w:highlight w:val="none"/>
              </w:rPr>
            </w:pPr>
          </w:p>
          <w:p w14:paraId="5C169CC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法定代表人：（签章）</w:t>
            </w:r>
          </w:p>
          <w:p w14:paraId="1FCA0C64">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324B591F">
            <w:pPr>
              <w:pStyle w:val="23"/>
              <w:keepNext w:val="0"/>
              <w:keepLines w:val="0"/>
              <w:pageBreakBefore w:val="0"/>
              <w:kinsoku/>
              <w:wordWrap/>
              <w:overflowPunct/>
              <w:topLinePunct w:val="0"/>
              <w:bidi w:val="0"/>
              <w:snapToGrid/>
              <w:spacing w:line="300" w:lineRule="exact"/>
              <w:textAlignment w:val="auto"/>
              <w:rPr>
                <w:rFonts w:hint="default"/>
                <w:color w:val="000000"/>
                <w:highlight w:val="none"/>
              </w:rPr>
            </w:pPr>
          </w:p>
          <w:p w14:paraId="27F28AE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委托代理人：</w:t>
            </w:r>
          </w:p>
          <w:p w14:paraId="77991D3F">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592430A9">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承办部门：</w:t>
            </w:r>
          </w:p>
          <w:p w14:paraId="0CB87980">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45BBD4CE">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用户单位：</w:t>
            </w:r>
          </w:p>
          <w:p w14:paraId="3BE7B8AC">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26A532B2">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联系电话：（请备注用户单位联系人电话）</w:t>
            </w:r>
          </w:p>
        </w:tc>
        <w:tc>
          <w:tcPr>
            <w:tcW w:w="4856" w:type="dxa"/>
            <w:gridSpan w:val="3"/>
            <w:noWrap w:val="0"/>
            <w:vAlign w:val="top"/>
          </w:tcPr>
          <w:p w14:paraId="4B15E590">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乙方（供方）：</w:t>
            </w:r>
          </w:p>
          <w:p w14:paraId="7A8B91E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地址：</w:t>
            </w:r>
          </w:p>
          <w:p w14:paraId="1858856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统一社会信用代码：</w:t>
            </w:r>
          </w:p>
          <w:p w14:paraId="5E7939FD">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开户行：</w:t>
            </w:r>
          </w:p>
          <w:p w14:paraId="58DE5CBA">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账号：</w:t>
            </w:r>
          </w:p>
          <w:p w14:paraId="415672D4">
            <w:pPr>
              <w:pStyle w:val="23"/>
              <w:keepNext w:val="0"/>
              <w:keepLines w:val="0"/>
              <w:pageBreakBefore w:val="0"/>
              <w:kinsoku/>
              <w:wordWrap/>
              <w:overflowPunct/>
              <w:topLinePunct w:val="0"/>
              <w:bidi w:val="0"/>
              <w:snapToGrid/>
              <w:spacing w:line="300" w:lineRule="exact"/>
              <w:textAlignment w:val="auto"/>
              <w:rPr>
                <w:rFonts w:hint="default"/>
                <w:color w:val="000000"/>
                <w:highlight w:val="none"/>
              </w:rPr>
            </w:pPr>
          </w:p>
          <w:p w14:paraId="14707C7D">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法定代表人：   （签章）</w:t>
            </w:r>
          </w:p>
          <w:p w14:paraId="7932215A">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735F84B4">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68C7A518">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委托代理人：</w:t>
            </w:r>
          </w:p>
          <w:p w14:paraId="4FDF3460">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2772758A">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本</w:t>
            </w:r>
            <w:r>
              <w:rPr>
                <w:rFonts w:hint="default" w:ascii="Times New Roman" w:hAnsi="Times New Roman" w:eastAsia="仿宋" w:cs="Times New Roman"/>
                <w:color w:val="000000"/>
                <w:sz w:val="21"/>
                <w:szCs w:val="21"/>
                <w:highlight w:val="none"/>
              </w:rPr>
              <w:t>合同订立时</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乙方的</w:t>
            </w:r>
            <w:r>
              <w:rPr>
                <w:rFonts w:hint="default" w:ascii="Times New Roman" w:hAnsi="Times New Roman" w:eastAsia="仿宋" w:cs="Times New Roman"/>
                <w:color w:val="000000"/>
                <w:sz w:val="21"/>
                <w:szCs w:val="21"/>
                <w:highlight w:val="none"/>
              </w:rPr>
              <w:t>企业规模类型：</w:t>
            </w:r>
          </w:p>
          <w:p w14:paraId="3311EB0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bookmarkStart w:id="37" w:name="OLE_LINK30"/>
            <w:r>
              <w:rPr>
                <w:rFonts w:hint="default" w:ascii="Times New Roman" w:hAnsi="Times New Roman" w:eastAsia="仿宋" w:cs="Times New Roman"/>
                <w:color w:val="000000"/>
                <w:sz w:val="21"/>
                <w:szCs w:val="21"/>
                <w:highlight w:val="none"/>
              </w:rPr>
              <w:sym w:font="Wingdings 2" w:char="00A3"/>
            </w:r>
            <w:bookmarkEnd w:id="37"/>
            <w:r>
              <w:rPr>
                <w:rFonts w:hint="default" w:ascii="Times New Roman" w:hAnsi="Times New Roman" w:eastAsia="仿宋" w:cs="Times New Roman"/>
                <w:color w:val="000000"/>
                <w:sz w:val="21"/>
                <w:szCs w:val="21"/>
                <w:highlight w:val="none"/>
              </w:rPr>
              <w:t>大型企业</w:t>
            </w:r>
            <w:r>
              <w:rPr>
                <w:rFonts w:hint="eastAsia" w:ascii="Times New Roman" w:hAnsi="Times New Roman" w:eastAsia="仿宋" w:cs="Times New Roman"/>
                <w:color w:val="000000"/>
                <w:sz w:val="21"/>
                <w:szCs w:val="21"/>
                <w:highlight w:val="none"/>
                <w:lang w:val="en-US" w:eastAsia="zh-CN"/>
              </w:rPr>
              <w:t xml:space="preserve"> </w:t>
            </w:r>
            <w:r>
              <w:rPr>
                <w:rFonts w:hint="default" w:ascii="Times New Roman" w:hAnsi="Times New Roman" w:eastAsia="仿宋"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中型企业</w:t>
            </w:r>
            <w:r>
              <w:rPr>
                <w:rFonts w:hint="eastAsia" w:eastAsia="仿宋" w:cs="Times New Roman"/>
                <w:color w:val="000000"/>
                <w:sz w:val="21"/>
                <w:szCs w:val="21"/>
                <w:highlight w:val="none"/>
                <w:lang w:val="en-US" w:eastAsia="zh-CN"/>
              </w:rPr>
              <w:t xml:space="preserve"> </w:t>
            </w:r>
            <w:r>
              <w:rPr>
                <w:rFonts w:hint="default" w:ascii="Times New Roman" w:hAnsi="Times New Roman" w:eastAsia="仿宋"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小型企业</w:t>
            </w:r>
            <w:r>
              <w:rPr>
                <w:rFonts w:hint="eastAsia" w:eastAsia="仿宋" w:cs="Times New Roman"/>
                <w:color w:val="000000"/>
                <w:sz w:val="21"/>
                <w:szCs w:val="21"/>
                <w:highlight w:val="none"/>
                <w:lang w:val="en-US" w:eastAsia="zh-CN"/>
              </w:rPr>
              <w:t xml:space="preserve"> </w:t>
            </w:r>
            <w:r>
              <w:rPr>
                <w:rFonts w:hint="default" w:ascii="Times New Roman" w:hAnsi="Times New Roman" w:eastAsia="仿宋"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微型企业</w:t>
            </w:r>
          </w:p>
          <w:p w14:paraId="5D6104B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1C474628">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联系电话：</w:t>
            </w:r>
          </w:p>
          <w:p w14:paraId="0A3687D7">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联系邮箱：</w:t>
            </w:r>
          </w:p>
        </w:tc>
      </w:tr>
      <w:tr w14:paraId="66B8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628" w:type="dxa"/>
            <w:gridSpan w:val="7"/>
            <w:noWrap w:val="0"/>
            <w:vAlign w:val="top"/>
          </w:tcPr>
          <w:p w14:paraId="0FB8725B">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备注：本合同请用计算机双面打印，以便于双方准确履行合同义务。</w:t>
            </w:r>
          </w:p>
        </w:tc>
      </w:tr>
    </w:tbl>
    <w:p w14:paraId="6FD8ED59">
      <w:pPr>
        <w:spacing w:line="500" w:lineRule="exact"/>
        <w:ind w:firstLine="420" w:firstLineChars="200"/>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签约地点：重庆医科大学袁家岗校区</w:t>
      </w:r>
    </w:p>
    <w:p w14:paraId="485B1561">
      <w:pPr>
        <w:spacing w:line="560" w:lineRule="exact"/>
        <w:jc w:val="left"/>
        <w:rPr>
          <w:rFonts w:hint="default" w:ascii="Times New Roman" w:hAnsi="Times New Roman" w:eastAsia="方正黑体_GBK" w:cs="Times New Roman"/>
          <w:color w:val="000000"/>
          <w:sz w:val="32"/>
          <w:szCs w:val="32"/>
          <w:highlight w:val="none"/>
        </w:rPr>
      </w:pPr>
    </w:p>
    <w:p w14:paraId="5C2C84F2">
      <w:pPr>
        <w:spacing w:line="560" w:lineRule="exact"/>
        <w:jc w:val="left"/>
        <w:rPr>
          <w:rFonts w:hint="default" w:ascii="Times New Roman" w:hAnsi="Times New Roman" w:eastAsia="方正黑体_GBK" w:cs="Times New Roman"/>
          <w:color w:val="000000"/>
          <w:sz w:val="32"/>
          <w:szCs w:val="32"/>
          <w:highlight w:val="none"/>
        </w:rPr>
      </w:pPr>
    </w:p>
    <w:p w14:paraId="6F49256F">
      <w:pPr>
        <w:spacing w:line="560" w:lineRule="exact"/>
        <w:jc w:val="left"/>
        <w:rPr>
          <w:rFonts w:hint="default" w:ascii="Times New Roman" w:hAnsi="Times New Roman" w:eastAsia="方正黑体_GBK" w:cs="Times New Roman"/>
          <w:color w:val="000000"/>
          <w:sz w:val="32"/>
          <w:szCs w:val="32"/>
          <w:highlight w:val="none"/>
        </w:rPr>
      </w:pPr>
    </w:p>
    <w:p w14:paraId="5539C17A">
      <w:pPr>
        <w:spacing w:line="560" w:lineRule="exact"/>
        <w:jc w:val="left"/>
        <w:rPr>
          <w:rFonts w:hint="default" w:ascii="Times New Roman" w:hAnsi="Times New Roman" w:eastAsia="方正黑体_GBK" w:cs="Times New Roman"/>
          <w:color w:val="000000"/>
          <w:sz w:val="32"/>
          <w:szCs w:val="32"/>
          <w:highlight w:val="none"/>
        </w:rPr>
      </w:pPr>
    </w:p>
    <w:p w14:paraId="155E988D">
      <w:pPr>
        <w:spacing w:line="560" w:lineRule="exact"/>
        <w:jc w:val="left"/>
        <w:rPr>
          <w:rFonts w:hint="default" w:ascii="Times New Roman" w:hAnsi="Times New Roman" w:eastAsia="方正黑体_GBK" w:cs="Times New Roman"/>
          <w:color w:val="000000"/>
          <w:sz w:val="32"/>
          <w:szCs w:val="32"/>
          <w:highlight w:val="none"/>
        </w:rPr>
      </w:pPr>
    </w:p>
    <w:p w14:paraId="4FC08730">
      <w:pPr>
        <w:spacing w:line="560" w:lineRule="exact"/>
        <w:jc w:val="left"/>
        <w:rPr>
          <w:rFonts w:hint="default" w:ascii="Times New Roman" w:hAnsi="Times New Roman" w:eastAsia="方正黑体_GBK" w:cs="Times New Roman"/>
          <w:color w:val="000000"/>
          <w:sz w:val="32"/>
          <w:szCs w:val="32"/>
          <w:highlight w:val="none"/>
        </w:rPr>
      </w:pPr>
    </w:p>
    <w:p w14:paraId="5A2759AE">
      <w:pPr>
        <w:spacing w:line="560" w:lineRule="exact"/>
        <w:jc w:val="left"/>
        <w:rPr>
          <w:rFonts w:hint="default" w:ascii="Times New Roman" w:hAnsi="Times New Roman" w:eastAsia="方正黑体_GBK" w:cs="Times New Roman"/>
          <w:color w:val="000000"/>
          <w:sz w:val="32"/>
          <w:szCs w:val="32"/>
          <w:highlight w:val="none"/>
        </w:rPr>
      </w:pPr>
    </w:p>
    <w:p w14:paraId="121FBD9B">
      <w:pPr>
        <w:spacing w:line="560" w:lineRule="exact"/>
        <w:jc w:val="left"/>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附件1</w:t>
      </w:r>
    </w:p>
    <w:p w14:paraId="67F9F265">
      <w:pPr>
        <w:spacing w:line="560" w:lineRule="exact"/>
        <w:jc w:val="center"/>
        <w:rPr>
          <w:rFonts w:hint="default" w:ascii="Times New Roman" w:hAnsi="Times New Roman" w:eastAsia="方正小标宋_GBK" w:cs="Times New Roman"/>
          <w:color w:val="000000"/>
          <w:sz w:val="44"/>
          <w:szCs w:val="44"/>
          <w:highlight w:val="none"/>
        </w:rPr>
      </w:pPr>
    </w:p>
    <w:p w14:paraId="20828F39">
      <w:pPr>
        <w:spacing w:line="560" w:lineRule="exact"/>
        <w:jc w:val="center"/>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商务参数明细</w:t>
      </w:r>
    </w:p>
    <w:p w14:paraId="230D233C">
      <w:pPr>
        <w:spacing w:line="560" w:lineRule="exact"/>
        <w:rPr>
          <w:rFonts w:hint="default" w:ascii="Times New Roman" w:hAnsi="Times New Roman" w:eastAsia="方正小标宋_GBK" w:cs="Times New Roman"/>
          <w:color w:val="000000"/>
          <w:sz w:val="44"/>
          <w:szCs w:val="44"/>
          <w:highlight w:val="none"/>
        </w:rPr>
      </w:pP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584"/>
        <w:gridCol w:w="1460"/>
        <w:gridCol w:w="2014"/>
        <w:gridCol w:w="1596"/>
      </w:tblGrid>
      <w:tr w14:paraId="52F3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74" w:type="dxa"/>
            <w:noWrap w:val="0"/>
            <w:vAlign w:val="center"/>
          </w:tcPr>
          <w:p w14:paraId="5EA629FD">
            <w:pPr>
              <w:spacing w:line="240" w:lineRule="atLeast"/>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服务名称</w:t>
            </w:r>
          </w:p>
        </w:tc>
        <w:tc>
          <w:tcPr>
            <w:tcW w:w="2584" w:type="dxa"/>
            <w:noWrap w:val="0"/>
            <w:vAlign w:val="center"/>
          </w:tcPr>
          <w:p w14:paraId="53306377">
            <w:pPr>
              <w:spacing w:line="240" w:lineRule="atLeast"/>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品牌规格型号</w:t>
            </w:r>
          </w:p>
        </w:tc>
        <w:tc>
          <w:tcPr>
            <w:tcW w:w="1460" w:type="dxa"/>
            <w:noWrap w:val="0"/>
            <w:vAlign w:val="center"/>
          </w:tcPr>
          <w:p w14:paraId="251A48FE">
            <w:pPr>
              <w:spacing w:line="240" w:lineRule="atLeast"/>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数量/单位</w:t>
            </w:r>
          </w:p>
        </w:tc>
        <w:tc>
          <w:tcPr>
            <w:tcW w:w="2014" w:type="dxa"/>
            <w:noWrap w:val="0"/>
            <w:vAlign w:val="center"/>
          </w:tcPr>
          <w:p w14:paraId="3981F5A1">
            <w:pPr>
              <w:spacing w:line="240" w:lineRule="atLeast"/>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单价（元）</w:t>
            </w:r>
          </w:p>
        </w:tc>
        <w:tc>
          <w:tcPr>
            <w:tcW w:w="1596" w:type="dxa"/>
            <w:noWrap w:val="0"/>
            <w:vAlign w:val="center"/>
          </w:tcPr>
          <w:p w14:paraId="413ACFCB">
            <w:pPr>
              <w:spacing w:line="240" w:lineRule="atLeast"/>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总价（元）</w:t>
            </w:r>
          </w:p>
        </w:tc>
      </w:tr>
      <w:tr w14:paraId="595C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noWrap w:val="0"/>
            <w:vAlign w:val="center"/>
          </w:tcPr>
          <w:p w14:paraId="3376BF46">
            <w:pPr>
              <w:spacing w:line="240" w:lineRule="atLeast"/>
              <w:jc w:val="center"/>
              <w:rPr>
                <w:rFonts w:hint="default" w:ascii="Times New Roman" w:hAnsi="Times New Roman" w:eastAsia="仿宋" w:cs="Times New Roman"/>
                <w:color w:val="000000"/>
                <w:sz w:val="21"/>
                <w:szCs w:val="21"/>
                <w:highlight w:val="none"/>
              </w:rPr>
            </w:pPr>
          </w:p>
        </w:tc>
        <w:tc>
          <w:tcPr>
            <w:tcW w:w="2584" w:type="dxa"/>
            <w:noWrap w:val="0"/>
            <w:vAlign w:val="center"/>
          </w:tcPr>
          <w:p w14:paraId="5DF41A94">
            <w:pPr>
              <w:spacing w:line="240" w:lineRule="atLeast"/>
              <w:jc w:val="center"/>
              <w:rPr>
                <w:rFonts w:hint="default" w:ascii="Times New Roman" w:hAnsi="Times New Roman" w:eastAsia="仿宋" w:cs="Times New Roman"/>
                <w:color w:val="000000"/>
                <w:sz w:val="21"/>
                <w:szCs w:val="21"/>
                <w:highlight w:val="none"/>
              </w:rPr>
            </w:pPr>
          </w:p>
        </w:tc>
        <w:tc>
          <w:tcPr>
            <w:tcW w:w="1460" w:type="dxa"/>
            <w:noWrap w:val="0"/>
            <w:vAlign w:val="center"/>
          </w:tcPr>
          <w:p w14:paraId="6BEEC7D8">
            <w:pPr>
              <w:spacing w:line="240" w:lineRule="atLeast"/>
              <w:jc w:val="center"/>
              <w:rPr>
                <w:rFonts w:hint="default" w:ascii="Times New Roman" w:hAnsi="Times New Roman" w:eastAsia="仿宋" w:cs="Times New Roman"/>
                <w:color w:val="000000"/>
                <w:sz w:val="21"/>
                <w:szCs w:val="21"/>
                <w:highlight w:val="none"/>
              </w:rPr>
            </w:pPr>
          </w:p>
        </w:tc>
        <w:tc>
          <w:tcPr>
            <w:tcW w:w="2014" w:type="dxa"/>
            <w:noWrap w:val="0"/>
            <w:vAlign w:val="center"/>
          </w:tcPr>
          <w:p w14:paraId="73F3E9D9">
            <w:pPr>
              <w:spacing w:line="240" w:lineRule="atLeast"/>
              <w:jc w:val="center"/>
              <w:rPr>
                <w:rFonts w:hint="default" w:ascii="Times New Roman" w:hAnsi="Times New Roman" w:eastAsia="仿宋" w:cs="Times New Roman"/>
                <w:color w:val="000000"/>
                <w:sz w:val="21"/>
                <w:szCs w:val="21"/>
                <w:highlight w:val="none"/>
              </w:rPr>
            </w:pPr>
          </w:p>
        </w:tc>
        <w:tc>
          <w:tcPr>
            <w:tcW w:w="1596" w:type="dxa"/>
            <w:noWrap w:val="0"/>
            <w:vAlign w:val="center"/>
          </w:tcPr>
          <w:p w14:paraId="16893248">
            <w:pPr>
              <w:spacing w:line="240" w:lineRule="atLeast"/>
              <w:jc w:val="center"/>
              <w:rPr>
                <w:rFonts w:hint="default" w:ascii="Times New Roman" w:hAnsi="Times New Roman" w:eastAsia="仿宋" w:cs="Times New Roman"/>
                <w:color w:val="000000"/>
                <w:sz w:val="21"/>
                <w:szCs w:val="21"/>
                <w:highlight w:val="none"/>
              </w:rPr>
            </w:pPr>
          </w:p>
        </w:tc>
      </w:tr>
      <w:tr w14:paraId="4C23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noWrap w:val="0"/>
            <w:vAlign w:val="center"/>
          </w:tcPr>
          <w:p w14:paraId="216BF436">
            <w:pPr>
              <w:spacing w:line="240" w:lineRule="atLeast"/>
              <w:jc w:val="center"/>
              <w:rPr>
                <w:rFonts w:hint="default" w:ascii="Times New Roman" w:hAnsi="Times New Roman" w:eastAsia="仿宋" w:cs="Times New Roman"/>
                <w:color w:val="000000"/>
                <w:sz w:val="21"/>
                <w:szCs w:val="21"/>
                <w:highlight w:val="none"/>
              </w:rPr>
            </w:pPr>
          </w:p>
        </w:tc>
        <w:tc>
          <w:tcPr>
            <w:tcW w:w="2584" w:type="dxa"/>
            <w:noWrap w:val="0"/>
            <w:vAlign w:val="center"/>
          </w:tcPr>
          <w:p w14:paraId="2DE85259">
            <w:pPr>
              <w:spacing w:line="240" w:lineRule="atLeast"/>
              <w:jc w:val="center"/>
              <w:rPr>
                <w:rFonts w:hint="default" w:ascii="Times New Roman" w:hAnsi="Times New Roman" w:eastAsia="仿宋" w:cs="Times New Roman"/>
                <w:color w:val="000000"/>
                <w:sz w:val="21"/>
                <w:szCs w:val="21"/>
                <w:highlight w:val="none"/>
              </w:rPr>
            </w:pPr>
          </w:p>
        </w:tc>
        <w:tc>
          <w:tcPr>
            <w:tcW w:w="1460" w:type="dxa"/>
            <w:noWrap w:val="0"/>
            <w:vAlign w:val="center"/>
          </w:tcPr>
          <w:p w14:paraId="0BF4E59B">
            <w:pPr>
              <w:spacing w:line="240" w:lineRule="atLeast"/>
              <w:jc w:val="center"/>
              <w:rPr>
                <w:rFonts w:hint="default" w:ascii="Times New Roman" w:hAnsi="Times New Roman" w:eastAsia="仿宋" w:cs="Times New Roman"/>
                <w:color w:val="000000"/>
                <w:sz w:val="21"/>
                <w:szCs w:val="21"/>
                <w:highlight w:val="none"/>
              </w:rPr>
            </w:pPr>
          </w:p>
        </w:tc>
        <w:tc>
          <w:tcPr>
            <w:tcW w:w="2014" w:type="dxa"/>
            <w:noWrap w:val="0"/>
            <w:vAlign w:val="center"/>
          </w:tcPr>
          <w:p w14:paraId="31126620">
            <w:pPr>
              <w:spacing w:line="240" w:lineRule="atLeast"/>
              <w:jc w:val="center"/>
              <w:rPr>
                <w:rFonts w:hint="default" w:ascii="Times New Roman" w:hAnsi="Times New Roman" w:eastAsia="仿宋" w:cs="Times New Roman"/>
                <w:color w:val="000000"/>
                <w:sz w:val="21"/>
                <w:szCs w:val="21"/>
                <w:highlight w:val="none"/>
              </w:rPr>
            </w:pPr>
          </w:p>
        </w:tc>
        <w:tc>
          <w:tcPr>
            <w:tcW w:w="1596" w:type="dxa"/>
            <w:noWrap w:val="0"/>
            <w:vAlign w:val="center"/>
          </w:tcPr>
          <w:p w14:paraId="69EA388D">
            <w:pPr>
              <w:spacing w:line="240" w:lineRule="atLeast"/>
              <w:jc w:val="center"/>
              <w:rPr>
                <w:rFonts w:hint="default" w:ascii="Times New Roman" w:hAnsi="Times New Roman" w:eastAsia="仿宋" w:cs="Times New Roman"/>
                <w:color w:val="000000"/>
                <w:sz w:val="21"/>
                <w:szCs w:val="21"/>
                <w:highlight w:val="none"/>
              </w:rPr>
            </w:pPr>
          </w:p>
        </w:tc>
      </w:tr>
      <w:tr w14:paraId="100D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noWrap w:val="0"/>
            <w:vAlign w:val="center"/>
          </w:tcPr>
          <w:p w14:paraId="6FFC3149">
            <w:pPr>
              <w:spacing w:line="240" w:lineRule="atLeast"/>
              <w:jc w:val="center"/>
              <w:rPr>
                <w:rFonts w:hint="default" w:ascii="Times New Roman" w:hAnsi="Times New Roman" w:eastAsia="仿宋" w:cs="Times New Roman"/>
                <w:color w:val="000000"/>
                <w:sz w:val="21"/>
                <w:szCs w:val="21"/>
                <w:highlight w:val="none"/>
              </w:rPr>
            </w:pPr>
          </w:p>
        </w:tc>
        <w:tc>
          <w:tcPr>
            <w:tcW w:w="2584" w:type="dxa"/>
            <w:noWrap w:val="0"/>
            <w:vAlign w:val="center"/>
          </w:tcPr>
          <w:p w14:paraId="24B43460">
            <w:pPr>
              <w:spacing w:line="240" w:lineRule="atLeast"/>
              <w:jc w:val="center"/>
              <w:rPr>
                <w:rFonts w:hint="default" w:ascii="Times New Roman" w:hAnsi="Times New Roman" w:eastAsia="仿宋" w:cs="Times New Roman"/>
                <w:color w:val="000000"/>
                <w:sz w:val="21"/>
                <w:szCs w:val="21"/>
                <w:highlight w:val="none"/>
              </w:rPr>
            </w:pPr>
          </w:p>
        </w:tc>
        <w:tc>
          <w:tcPr>
            <w:tcW w:w="1460" w:type="dxa"/>
            <w:noWrap w:val="0"/>
            <w:vAlign w:val="center"/>
          </w:tcPr>
          <w:p w14:paraId="3192FB7A">
            <w:pPr>
              <w:spacing w:line="240" w:lineRule="atLeast"/>
              <w:jc w:val="center"/>
              <w:rPr>
                <w:rFonts w:hint="default" w:ascii="Times New Roman" w:hAnsi="Times New Roman" w:eastAsia="仿宋" w:cs="Times New Roman"/>
                <w:color w:val="000000"/>
                <w:sz w:val="21"/>
                <w:szCs w:val="21"/>
                <w:highlight w:val="none"/>
              </w:rPr>
            </w:pPr>
          </w:p>
        </w:tc>
        <w:tc>
          <w:tcPr>
            <w:tcW w:w="2014" w:type="dxa"/>
            <w:noWrap w:val="0"/>
            <w:vAlign w:val="center"/>
          </w:tcPr>
          <w:p w14:paraId="695907D9">
            <w:pPr>
              <w:spacing w:line="240" w:lineRule="atLeast"/>
              <w:jc w:val="center"/>
              <w:rPr>
                <w:rFonts w:hint="default" w:ascii="Times New Roman" w:hAnsi="Times New Roman" w:eastAsia="仿宋" w:cs="Times New Roman"/>
                <w:color w:val="000000"/>
                <w:sz w:val="21"/>
                <w:szCs w:val="21"/>
                <w:highlight w:val="none"/>
              </w:rPr>
            </w:pPr>
          </w:p>
        </w:tc>
        <w:tc>
          <w:tcPr>
            <w:tcW w:w="1596" w:type="dxa"/>
            <w:noWrap w:val="0"/>
            <w:vAlign w:val="center"/>
          </w:tcPr>
          <w:p w14:paraId="1C8D7287">
            <w:pPr>
              <w:spacing w:line="240" w:lineRule="atLeast"/>
              <w:jc w:val="center"/>
              <w:rPr>
                <w:rFonts w:hint="default" w:ascii="Times New Roman" w:hAnsi="Times New Roman" w:eastAsia="仿宋" w:cs="Times New Roman"/>
                <w:color w:val="000000"/>
                <w:sz w:val="21"/>
                <w:szCs w:val="21"/>
                <w:highlight w:val="none"/>
              </w:rPr>
            </w:pPr>
          </w:p>
        </w:tc>
      </w:tr>
      <w:tr w14:paraId="1373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noWrap w:val="0"/>
            <w:vAlign w:val="center"/>
          </w:tcPr>
          <w:p w14:paraId="7FFA27DC">
            <w:pPr>
              <w:spacing w:line="240" w:lineRule="atLeast"/>
              <w:jc w:val="center"/>
              <w:rPr>
                <w:rFonts w:hint="default" w:ascii="Times New Roman" w:hAnsi="Times New Roman" w:eastAsia="仿宋" w:cs="Times New Roman"/>
                <w:color w:val="000000"/>
                <w:sz w:val="21"/>
                <w:szCs w:val="21"/>
                <w:highlight w:val="none"/>
              </w:rPr>
            </w:pPr>
          </w:p>
        </w:tc>
        <w:tc>
          <w:tcPr>
            <w:tcW w:w="2584" w:type="dxa"/>
            <w:noWrap w:val="0"/>
            <w:vAlign w:val="center"/>
          </w:tcPr>
          <w:p w14:paraId="693C14FA">
            <w:pPr>
              <w:spacing w:line="240" w:lineRule="atLeast"/>
              <w:jc w:val="center"/>
              <w:rPr>
                <w:rFonts w:hint="default" w:ascii="Times New Roman" w:hAnsi="Times New Roman" w:eastAsia="仿宋" w:cs="Times New Roman"/>
                <w:color w:val="000000"/>
                <w:sz w:val="21"/>
                <w:szCs w:val="21"/>
                <w:highlight w:val="none"/>
              </w:rPr>
            </w:pPr>
          </w:p>
        </w:tc>
        <w:tc>
          <w:tcPr>
            <w:tcW w:w="1460" w:type="dxa"/>
            <w:noWrap w:val="0"/>
            <w:vAlign w:val="center"/>
          </w:tcPr>
          <w:p w14:paraId="5FE7F886">
            <w:pPr>
              <w:spacing w:line="240" w:lineRule="atLeast"/>
              <w:jc w:val="center"/>
              <w:rPr>
                <w:rFonts w:hint="default" w:ascii="Times New Roman" w:hAnsi="Times New Roman" w:eastAsia="仿宋" w:cs="Times New Roman"/>
                <w:color w:val="000000"/>
                <w:sz w:val="21"/>
                <w:szCs w:val="21"/>
                <w:highlight w:val="none"/>
              </w:rPr>
            </w:pPr>
          </w:p>
        </w:tc>
        <w:tc>
          <w:tcPr>
            <w:tcW w:w="2014" w:type="dxa"/>
            <w:noWrap w:val="0"/>
            <w:vAlign w:val="center"/>
          </w:tcPr>
          <w:p w14:paraId="56FD0915">
            <w:pPr>
              <w:spacing w:line="240" w:lineRule="atLeast"/>
              <w:jc w:val="center"/>
              <w:rPr>
                <w:rFonts w:hint="default" w:ascii="Times New Roman" w:hAnsi="Times New Roman" w:eastAsia="仿宋" w:cs="Times New Roman"/>
                <w:color w:val="000000"/>
                <w:sz w:val="21"/>
                <w:szCs w:val="21"/>
                <w:highlight w:val="none"/>
              </w:rPr>
            </w:pPr>
          </w:p>
        </w:tc>
        <w:tc>
          <w:tcPr>
            <w:tcW w:w="1596" w:type="dxa"/>
            <w:noWrap w:val="0"/>
            <w:vAlign w:val="center"/>
          </w:tcPr>
          <w:p w14:paraId="520B58E8">
            <w:pPr>
              <w:spacing w:line="240" w:lineRule="atLeast"/>
              <w:jc w:val="center"/>
              <w:rPr>
                <w:rFonts w:hint="default" w:ascii="Times New Roman" w:hAnsi="Times New Roman" w:eastAsia="仿宋" w:cs="Times New Roman"/>
                <w:color w:val="000000"/>
                <w:sz w:val="21"/>
                <w:szCs w:val="21"/>
                <w:highlight w:val="none"/>
              </w:rPr>
            </w:pPr>
          </w:p>
        </w:tc>
      </w:tr>
      <w:tr w14:paraId="1FA0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noWrap w:val="0"/>
            <w:vAlign w:val="center"/>
          </w:tcPr>
          <w:p w14:paraId="09623CF7">
            <w:pPr>
              <w:spacing w:line="240" w:lineRule="atLeast"/>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合计</w:t>
            </w:r>
          </w:p>
        </w:tc>
        <w:tc>
          <w:tcPr>
            <w:tcW w:w="2584" w:type="dxa"/>
            <w:noWrap w:val="0"/>
            <w:vAlign w:val="center"/>
          </w:tcPr>
          <w:p w14:paraId="25BD1152">
            <w:pPr>
              <w:spacing w:line="240" w:lineRule="atLeast"/>
              <w:jc w:val="center"/>
              <w:rPr>
                <w:rFonts w:hint="default" w:ascii="Times New Roman" w:hAnsi="Times New Roman" w:eastAsia="仿宋" w:cs="Times New Roman"/>
                <w:color w:val="000000"/>
                <w:sz w:val="21"/>
                <w:szCs w:val="21"/>
                <w:highlight w:val="none"/>
              </w:rPr>
            </w:pPr>
          </w:p>
        </w:tc>
        <w:tc>
          <w:tcPr>
            <w:tcW w:w="1460" w:type="dxa"/>
            <w:noWrap w:val="0"/>
            <w:vAlign w:val="center"/>
          </w:tcPr>
          <w:p w14:paraId="7CC0418C">
            <w:pPr>
              <w:spacing w:line="240" w:lineRule="atLeast"/>
              <w:jc w:val="center"/>
              <w:rPr>
                <w:rFonts w:hint="default" w:ascii="Times New Roman" w:hAnsi="Times New Roman" w:eastAsia="仿宋" w:cs="Times New Roman"/>
                <w:color w:val="000000"/>
                <w:sz w:val="21"/>
                <w:szCs w:val="21"/>
                <w:highlight w:val="none"/>
              </w:rPr>
            </w:pPr>
          </w:p>
        </w:tc>
        <w:tc>
          <w:tcPr>
            <w:tcW w:w="2014" w:type="dxa"/>
            <w:noWrap w:val="0"/>
            <w:vAlign w:val="center"/>
          </w:tcPr>
          <w:p w14:paraId="00C5DB9B">
            <w:pPr>
              <w:spacing w:line="240" w:lineRule="atLeast"/>
              <w:jc w:val="center"/>
              <w:rPr>
                <w:rFonts w:hint="default" w:ascii="Times New Roman" w:hAnsi="Times New Roman" w:eastAsia="仿宋" w:cs="Times New Roman"/>
                <w:color w:val="000000"/>
                <w:sz w:val="21"/>
                <w:szCs w:val="21"/>
                <w:highlight w:val="none"/>
              </w:rPr>
            </w:pPr>
          </w:p>
        </w:tc>
        <w:tc>
          <w:tcPr>
            <w:tcW w:w="1596" w:type="dxa"/>
            <w:noWrap w:val="0"/>
            <w:vAlign w:val="center"/>
          </w:tcPr>
          <w:p w14:paraId="12F2784D">
            <w:pPr>
              <w:spacing w:line="240" w:lineRule="atLeast"/>
              <w:jc w:val="center"/>
              <w:rPr>
                <w:rFonts w:hint="default" w:ascii="Times New Roman" w:hAnsi="Times New Roman" w:eastAsia="仿宋" w:cs="Times New Roman"/>
                <w:color w:val="000000"/>
                <w:sz w:val="21"/>
                <w:szCs w:val="21"/>
                <w:highlight w:val="none"/>
              </w:rPr>
            </w:pPr>
          </w:p>
        </w:tc>
      </w:tr>
    </w:tbl>
    <w:p w14:paraId="7599D0C4">
      <w:pPr>
        <w:spacing w:line="560" w:lineRule="exact"/>
        <w:rPr>
          <w:rFonts w:hint="default" w:ascii="Times New Roman" w:hAnsi="Times New Roman" w:eastAsia="方正小标宋_GBK" w:cs="Times New Roman"/>
          <w:color w:val="000000"/>
          <w:sz w:val="44"/>
          <w:szCs w:val="44"/>
          <w:highlight w:val="none"/>
        </w:rPr>
      </w:pPr>
    </w:p>
    <w:p w14:paraId="1AF23224">
      <w:pPr>
        <w:spacing w:line="560" w:lineRule="exact"/>
        <w:jc w:val="center"/>
        <w:rPr>
          <w:rFonts w:hint="default" w:ascii="Times New Roman" w:hAnsi="Times New Roman" w:eastAsia="方正小标宋_GBK" w:cs="Times New Roman"/>
          <w:color w:val="000000"/>
          <w:sz w:val="44"/>
          <w:szCs w:val="44"/>
          <w:highlight w:val="none"/>
        </w:rPr>
      </w:pPr>
    </w:p>
    <w:p w14:paraId="50B37CB0">
      <w:pPr>
        <w:spacing w:line="560" w:lineRule="exact"/>
        <w:jc w:val="center"/>
        <w:rPr>
          <w:rFonts w:hint="default" w:ascii="Times New Roman" w:hAnsi="Times New Roman" w:eastAsia="方正小标宋_GBK" w:cs="Times New Roman"/>
          <w:color w:val="000000"/>
          <w:sz w:val="44"/>
          <w:szCs w:val="44"/>
          <w:highlight w:val="none"/>
        </w:rPr>
      </w:pPr>
    </w:p>
    <w:p w14:paraId="04DB5301">
      <w:pPr>
        <w:spacing w:line="560" w:lineRule="exact"/>
        <w:jc w:val="center"/>
        <w:rPr>
          <w:rFonts w:hint="default" w:ascii="Times New Roman" w:hAnsi="Times New Roman" w:eastAsia="方正小标宋_GBK" w:cs="Times New Roman"/>
          <w:color w:val="000000"/>
          <w:sz w:val="44"/>
          <w:szCs w:val="44"/>
          <w:highlight w:val="none"/>
        </w:rPr>
      </w:pPr>
    </w:p>
    <w:p w14:paraId="497B318D">
      <w:pPr>
        <w:spacing w:line="560" w:lineRule="exact"/>
        <w:jc w:val="center"/>
        <w:rPr>
          <w:rFonts w:hint="default" w:ascii="Times New Roman" w:hAnsi="Times New Roman" w:eastAsia="方正小标宋_GBK" w:cs="Times New Roman"/>
          <w:color w:val="000000"/>
          <w:sz w:val="44"/>
          <w:szCs w:val="44"/>
          <w:highlight w:val="none"/>
        </w:rPr>
      </w:pPr>
    </w:p>
    <w:p w14:paraId="44323281">
      <w:pPr>
        <w:spacing w:line="560" w:lineRule="exact"/>
        <w:jc w:val="center"/>
        <w:rPr>
          <w:rFonts w:hint="default" w:ascii="Times New Roman" w:hAnsi="Times New Roman" w:eastAsia="方正小标宋_GBK" w:cs="Times New Roman"/>
          <w:color w:val="000000"/>
          <w:sz w:val="44"/>
          <w:szCs w:val="44"/>
          <w:highlight w:val="none"/>
        </w:rPr>
      </w:pPr>
    </w:p>
    <w:p w14:paraId="1C7A45A3">
      <w:pPr>
        <w:spacing w:line="560" w:lineRule="exact"/>
        <w:jc w:val="center"/>
        <w:rPr>
          <w:rFonts w:hint="default" w:ascii="Times New Roman" w:hAnsi="Times New Roman" w:eastAsia="方正小标宋_GBK" w:cs="Times New Roman"/>
          <w:color w:val="000000"/>
          <w:sz w:val="44"/>
          <w:szCs w:val="44"/>
          <w:highlight w:val="none"/>
        </w:rPr>
      </w:pPr>
    </w:p>
    <w:p w14:paraId="04BD35CD">
      <w:pPr>
        <w:spacing w:line="560" w:lineRule="exact"/>
        <w:jc w:val="center"/>
        <w:rPr>
          <w:rFonts w:hint="default" w:ascii="Times New Roman" w:hAnsi="Times New Roman" w:eastAsia="方正小标宋_GBK" w:cs="Times New Roman"/>
          <w:color w:val="000000"/>
          <w:sz w:val="44"/>
          <w:szCs w:val="44"/>
          <w:highlight w:val="none"/>
        </w:rPr>
      </w:pPr>
    </w:p>
    <w:p w14:paraId="726D6B78">
      <w:pPr>
        <w:spacing w:line="560" w:lineRule="exact"/>
        <w:jc w:val="center"/>
        <w:rPr>
          <w:rFonts w:hint="default" w:ascii="Times New Roman" w:hAnsi="Times New Roman" w:eastAsia="方正小标宋_GBK" w:cs="Times New Roman"/>
          <w:color w:val="000000"/>
          <w:sz w:val="44"/>
          <w:szCs w:val="44"/>
          <w:highlight w:val="none"/>
        </w:rPr>
      </w:pPr>
    </w:p>
    <w:p w14:paraId="06B8D442">
      <w:pPr>
        <w:spacing w:line="560" w:lineRule="exact"/>
        <w:jc w:val="center"/>
        <w:rPr>
          <w:rFonts w:hint="default" w:ascii="Times New Roman" w:hAnsi="Times New Roman" w:eastAsia="方正小标宋_GBK" w:cs="Times New Roman"/>
          <w:color w:val="000000"/>
          <w:sz w:val="44"/>
          <w:szCs w:val="44"/>
          <w:highlight w:val="none"/>
        </w:rPr>
      </w:pPr>
    </w:p>
    <w:p w14:paraId="231CA221">
      <w:pPr>
        <w:spacing w:line="560" w:lineRule="exact"/>
        <w:jc w:val="center"/>
        <w:rPr>
          <w:rFonts w:hint="default" w:ascii="Times New Roman" w:hAnsi="Times New Roman" w:eastAsia="方正小标宋_GBK" w:cs="Times New Roman"/>
          <w:color w:val="000000"/>
          <w:sz w:val="44"/>
          <w:szCs w:val="44"/>
          <w:highlight w:val="none"/>
        </w:rPr>
      </w:pPr>
    </w:p>
    <w:p w14:paraId="0F1A343A">
      <w:pPr>
        <w:spacing w:line="560" w:lineRule="exact"/>
        <w:jc w:val="center"/>
        <w:rPr>
          <w:rFonts w:hint="default" w:ascii="Times New Roman" w:hAnsi="Times New Roman" w:eastAsia="方正小标宋_GBK" w:cs="Times New Roman"/>
          <w:color w:val="000000"/>
          <w:sz w:val="44"/>
          <w:szCs w:val="44"/>
          <w:highlight w:val="none"/>
        </w:rPr>
      </w:pPr>
    </w:p>
    <w:p w14:paraId="7EC3AB0B">
      <w:pPr>
        <w:spacing w:line="560" w:lineRule="exact"/>
        <w:jc w:val="center"/>
        <w:rPr>
          <w:rFonts w:hint="default" w:ascii="Times New Roman" w:hAnsi="Times New Roman" w:eastAsia="方正小标宋_GBK" w:cs="Times New Roman"/>
          <w:color w:val="000000"/>
          <w:sz w:val="44"/>
          <w:szCs w:val="44"/>
          <w:highlight w:val="none"/>
        </w:rPr>
      </w:pPr>
    </w:p>
    <w:p w14:paraId="07A4D816">
      <w:pPr>
        <w:spacing w:line="560" w:lineRule="exact"/>
        <w:rPr>
          <w:rFonts w:hint="default" w:ascii="Times New Roman" w:hAnsi="Times New Roman" w:eastAsia="方正小标宋_GBK" w:cs="Times New Roman"/>
          <w:color w:val="000000"/>
          <w:sz w:val="44"/>
          <w:szCs w:val="44"/>
          <w:highlight w:val="none"/>
        </w:rPr>
      </w:pPr>
    </w:p>
    <w:p w14:paraId="2D5B6427">
      <w:pPr>
        <w:spacing w:line="560" w:lineRule="exact"/>
        <w:rPr>
          <w:rFonts w:hint="default" w:ascii="Times New Roman" w:hAnsi="Times New Roman" w:eastAsia="方正小标宋_GBK" w:cs="Times New Roman"/>
          <w:color w:val="000000"/>
          <w:sz w:val="44"/>
          <w:szCs w:val="44"/>
          <w:highlight w:val="none"/>
        </w:rPr>
      </w:pPr>
    </w:p>
    <w:p w14:paraId="48C5E1FA">
      <w:pPr>
        <w:spacing w:line="560" w:lineRule="exact"/>
        <w:rPr>
          <w:rFonts w:hint="default" w:ascii="Times New Roman" w:hAnsi="Times New Roman" w:eastAsia="方正小标宋_GBK" w:cs="Times New Roman"/>
          <w:color w:val="000000"/>
          <w:sz w:val="44"/>
          <w:szCs w:val="44"/>
          <w:highlight w:val="none"/>
        </w:rPr>
      </w:pPr>
    </w:p>
    <w:p w14:paraId="19D4B761">
      <w:pPr>
        <w:spacing w:line="560" w:lineRule="exact"/>
        <w:rPr>
          <w:rFonts w:hint="default" w:ascii="Times New Roman" w:hAnsi="Times New Roman" w:eastAsia="方正小标宋_GBK" w:cs="Times New Roman"/>
          <w:color w:val="000000"/>
          <w:sz w:val="44"/>
          <w:szCs w:val="44"/>
          <w:highlight w:val="none"/>
        </w:rPr>
      </w:pPr>
    </w:p>
    <w:p w14:paraId="20AC6B56">
      <w:pPr>
        <w:spacing w:line="560" w:lineRule="exact"/>
        <w:jc w:val="left"/>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附件2</w:t>
      </w:r>
    </w:p>
    <w:p w14:paraId="32971C77">
      <w:pPr>
        <w:spacing w:line="560" w:lineRule="exact"/>
        <w:rPr>
          <w:rFonts w:hint="default" w:ascii="Times New Roman" w:hAnsi="Times New Roman" w:eastAsia="方正小标宋_GBK" w:cs="Times New Roman"/>
          <w:color w:val="000000"/>
          <w:sz w:val="44"/>
          <w:szCs w:val="44"/>
          <w:highlight w:val="none"/>
        </w:rPr>
      </w:pPr>
    </w:p>
    <w:p w14:paraId="53242060">
      <w:pPr>
        <w:spacing w:line="560" w:lineRule="exact"/>
        <w:jc w:val="center"/>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技术参数明细</w:t>
      </w:r>
    </w:p>
    <w:p w14:paraId="4DA4B667">
      <w:pPr>
        <w:spacing w:line="560" w:lineRule="exact"/>
        <w:rPr>
          <w:rFonts w:hint="default" w:ascii="Times New Roman" w:hAnsi="Times New Roman" w:eastAsia="方正仿宋_GBK" w:cs="Times New Roman"/>
          <w:color w:val="000000"/>
          <w:sz w:val="44"/>
          <w:szCs w:val="44"/>
          <w:highlight w:val="none"/>
        </w:rPr>
      </w:pPr>
    </w:p>
    <w:tbl>
      <w:tblPr>
        <w:tblStyle w:val="19"/>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7"/>
        <w:gridCol w:w="7514"/>
      </w:tblGrid>
      <w:tr w14:paraId="12D6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noWrap w:val="0"/>
            <w:vAlign w:val="top"/>
          </w:tcPr>
          <w:p w14:paraId="1D1B4976">
            <w:pPr>
              <w:adjustRightInd w:val="0"/>
              <w:snapToGrid w:val="0"/>
              <w:jc w:val="center"/>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序号</w:t>
            </w:r>
          </w:p>
        </w:tc>
        <w:tc>
          <w:tcPr>
            <w:tcW w:w="1297" w:type="dxa"/>
            <w:noWrap w:val="0"/>
            <w:vAlign w:val="top"/>
          </w:tcPr>
          <w:p w14:paraId="543F02F3">
            <w:pPr>
              <w:adjustRightInd w:val="0"/>
              <w:snapToGrid w:val="0"/>
              <w:jc w:val="center"/>
              <w:rPr>
                <w:rFonts w:hint="default" w:ascii="Times New Roman" w:hAnsi="Times New Roman" w:eastAsia="仿宋" w:cs="Times New Roman"/>
                <w:color w:val="000000"/>
                <w:sz w:val="24"/>
                <w:szCs w:val="28"/>
                <w:highlight w:val="none"/>
              </w:rPr>
            </w:pPr>
            <w:r>
              <w:rPr>
                <w:rFonts w:hint="eastAsia" w:eastAsia="仿宋" w:cs="Times New Roman"/>
                <w:color w:val="000000"/>
                <w:sz w:val="24"/>
                <w:szCs w:val="28"/>
                <w:highlight w:val="none"/>
                <w:lang w:val="en-US" w:eastAsia="zh-CN"/>
              </w:rPr>
              <w:t>服务</w:t>
            </w:r>
            <w:r>
              <w:rPr>
                <w:rFonts w:hint="default" w:ascii="Times New Roman" w:hAnsi="Times New Roman" w:eastAsia="仿宋" w:cs="Times New Roman"/>
                <w:color w:val="000000"/>
                <w:sz w:val="24"/>
                <w:szCs w:val="28"/>
                <w:highlight w:val="none"/>
              </w:rPr>
              <w:t>名称</w:t>
            </w:r>
          </w:p>
        </w:tc>
        <w:tc>
          <w:tcPr>
            <w:tcW w:w="7514" w:type="dxa"/>
            <w:noWrap/>
            <w:vAlign w:val="top"/>
          </w:tcPr>
          <w:p w14:paraId="6E8BC7F0">
            <w:pPr>
              <w:adjustRightInd w:val="0"/>
              <w:snapToGrid w:val="0"/>
              <w:jc w:val="center"/>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投标应答</w:t>
            </w:r>
          </w:p>
        </w:tc>
      </w:tr>
      <w:tr w14:paraId="479A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restart"/>
            <w:noWrap w:val="0"/>
            <w:vAlign w:val="top"/>
          </w:tcPr>
          <w:p w14:paraId="22044A25">
            <w:pPr>
              <w:adjustRightInd w:val="0"/>
              <w:snapToGrid w:val="0"/>
              <w:jc w:val="center"/>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1</w:t>
            </w:r>
          </w:p>
        </w:tc>
        <w:tc>
          <w:tcPr>
            <w:tcW w:w="1297" w:type="dxa"/>
            <w:vMerge w:val="restart"/>
            <w:noWrap w:val="0"/>
            <w:vAlign w:val="top"/>
          </w:tcPr>
          <w:p w14:paraId="0CBE8FF5">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6459E1B2">
            <w:pPr>
              <w:adjustRightInd w:val="0"/>
              <w:snapToGrid w:val="0"/>
              <w:jc w:val="center"/>
              <w:rPr>
                <w:rFonts w:hint="default" w:ascii="Times New Roman" w:hAnsi="Times New Roman" w:eastAsia="仿宋" w:cs="Times New Roman"/>
                <w:color w:val="000000"/>
                <w:sz w:val="24"/>
                <w:szCs w:val="28"/>
                <w:highlight w:val="none"/>
              </w:rPr>
            </w:pPr>
          </w:p>
        </w:tc>
      </w:tr>
      <w:tr w14:paraId="0550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noWrap w:val="0"/>
            <w:vAlign w:val="top"/>
          </w:tcPr>
          <w:p w14:paraId="372CAABC">
            <w:pPr>
              <w:adjustRightInd w:val="0"/>
              <w:snapToGrid w:val="0"/>
              <w:jc w:val="center"/>
              <w:rPr>
                <w:rFonts w:hint="default" w:ascii="Times New Roman" w:hAnsi="Times New Roman" w:eastAsia="仿宋" w:cs="Times New Roman"/>
                <w:color w:val="000000"/>
                <w:sz w:val="24"/>
                <w:szCs w:val="28"/>
                <w:highlight w:val="none"/>
              </w:rPr>
            </w:pPr>
          </w:p>
        </w:tc>
        <w:tc>
          <w:tcPr>
            <w:tcW w:w="1297" w:type="dxa"/>
            <w:vMerge w:val="continue"/>
            <w:noWrap w:val="0"/>
            <w:vAlign w:val="top"/>
          </w:tcPr>
          <w:p w14:paraId="0F85BFD7">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3C3557D7">
            <w:pPr>
              <w:adjustRightInd w:val="0"/>
              <w:snapToGrid w:val="0"/>
              <w:jc w:val="center"/>
              <w:rPr>
                <w:rFonts w:hint="default" w:ascii="Times New Roman" w:hAnsi="Times New Roman" w:eastAsia="仿宋" w:cs="Times New Roman"/>
                <w:color w:val="000000"/>
                <w:sz w:val="24"/>
                <w:szCs w:val="28"/>
                <w:highlight w:val="none"/>
              </w:rPr>
            </w:pPr>
          </w:p>
        </w:tc>
      </w:tr>
      <w:tr w14:paraId="2F6A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noWrap w:val="0"/>
            <w:vAlign w:val="top"/>
          </w:tcPr>
          <w:p w14:paraId="6C9C2E76">
            <w:pPr>
              <w:adjustRightInd w:val="0"/>
              <w:snapToGrid w:val="0"/>
              <w:jc w:val="center"/>
              <w:rPr>
                <w:rFonts w:hint="default" w:ascii="Times New Roman" w:hAnsi="Times New Roman" w:eastAsia="仿宋" w:cs="Times New Roman"/>
                <w:color w:val="000000"/>
                <w:sz w:val="24"/>
                <w:szCs w:val="28"/>
                <w:highlight w:val="none"/>
              </w:rPr>
            </w:pPr>
          </w:p>
        </w:tc>
        <w:tc>
          <w:tcPr>
            <w:tcW w:w="1297" w:type="dxa"/>
            <w:vMerge w:val="continue"/>
            <w:noWrap w:val="0"/>
            <w:vAlign w:val="top"/>
          </w:tcPr>
          <w:p w14:paraId="38C647E9">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0832D85D">
            <w:pPr>
              <w:adjustRightInd w:val="0"/>
              <w:snapToGrid w:val="0"/>
              <w:jc w:val="center"/>
              <w:rPr>
                <w:rFonts w:hint="default" w:ascii="Times New Roman" w:hAnsi="Times New Roman" w:eastAsia="仿宋" w:cs="Times New Roman"/>
                <w:color w:val="000000"/>
                <w:sz w:val="24"/>
                <w:szCs w:val="28"/>
                <w:highlight w:val="none"/>
              </w:rPr>
            </w:pPr>
          </w:p>
        </w:tc>
      </w:tr>
      <w:tr w14:paraId="6F9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restart"/>
            <w:noWrap w:val="0"/>
            <w:vAlign w:val="top"/>
          </w:tcPr>
          <w:p w14:paraId="0D9908AE">
            <w:pPr>
              <w:adjustRightInd w:val="0"/>
              <w:snapToGrid w:val="0"/>
              <w:jc w:val="center"/>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2</w:t>
            </w:r>
          </w:p>
        </w:tc>
        <w:tc>
          <w:tcPr>
            <w:tcW w:w="1297" w:type="dxa"/>
            <w:vMerge w:val="restart"/>
            <w:noWrap w:val="0"/>
            <w:vAlign w:val="top"/>
          </w:tcPr>
          <w:p w14:paraId="20177E84">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33EC3D58">
            <w:pPr>
              <w:adjustRightInd w:val="0"/>
              <w:snapToGrid w:val="0"/>
              <w:jc w:val="center"/>
              <w:rPr>
                <w:rFonts w:hint="default" w:ascii="Times New Roman" w:hAnsi="Times New Roman" w:eastAsia="仿宋" w:cs="Times New Roman"/>
                <w:color w:val="000000"/>
                <w:sz w:val="24"/>
                <w:szCs w:val="28"/>
                <w:highlight w:val="none"/>
              </w:rPr>
            </w:pPr>
          </w:p>
        </w:tc>
      </w:tr>
      <w:tr w14:paraId="2A64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noWrap w:val="0"/>
            <w:vAlign w:val="top"/>
          </w:tcPr>
          <w:p w14:paraId="40D1BD94">
            <w:pPr>
              <w:adjustRightInd w:val="0"/>
              <w:snapToGrid w:val="0"/>
              <w:jc w:val="center"/>
              <w:rPr>
                <w:rFonts w:hint="default" w:ascii="Times New Roman" w:hAnsi="Times New Roman" w:eastAsia="仿宋" w:cs="Times New Roman"/>
                <w:color w:val="000000"/>
                <w:sz w:val="24"/>
                <w:szCs w:val="28"/>
                <w:highlight w:val="none"/>
              </w:rPr>
            </w:pPr>
          </w:p>
        </w:tc>
        <w:tc>
          <w:tcPr>
            <w:tcW w:w="1297" w:type="dxa"/>
            <w:vMerge w:val="continue"/>
            <w:noWrap w:val="0"/>
            <w:vAlign w:val="top"/>
          </w:tcPr>
          <w:p w14:paraId="18858739">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644F3F30">
            <w:pPr>
              <w:adjustRightInd w:val="0"/>
              <w:snapToGrid w:val="0"/>
              <w:jc w:val="center"/>
              <w:rPr>
                <w:rFonts w:hint="default" w:ascii="Times New Roman" w:hAnsi="Times New Roman" w:eastAsia="仿宋" w:cs="Times New Roman"/>
                <w:color w:val="000000"/>
                <w:sz w:val="24"/>
                <w:szCs w:val="28"/>
                <w:highlight w:val="none"/>
              </w:rPr>
            </w:pPr>
          </w:p>
        </w:tc>
      </w:tr>
      <w:tr w14:paraId="6EF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noWrap w:val="0"/>
            <w:vAlign w:val="top"/>
          </w:tcPr>
          <w:p w14:paraId="5E44AC63">
            <w:pPr>
              <w:adjustRightInd w:val="0"/>
              <w:snapToGrid w:val="0"/>
              <w:jc w:val="center"/>
              <w:rPr>
                <w:rFonts w:hint="default" w:ascii="Times New Roman" w:hAnsi="Times New Roman" w:eastAsia="仿宋" w:cs="Times New Roman"/>
                <w:color w:val="000000"/>
                <w:sz w:val="24"/>
                <w:szCs w:val="28"/>
                <w:highlight w:val="none"/>
              </w:rPr>
            </w:pPr>
          </w:p>
        </w:tc>
        <w:tc>
          <w:tcPr>
            <w:tcW w:w="1297" w:type="dxa"/>
            <w:vMerge w:val="continue"/>
            <w:noWrap w:val="0"/>
            <w:vAlign w:val="top"/>
          </w:tcPr>
          <w:p w14:paraId="4D890CC7">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1E9CDA31">
            <w:pPr>
              <w:adjustRightInd w:val="0"/>
              <w:snapToGrid w:val="0"/>
              <w:jc w:val="center"/>
              <w:rPr>
                <w:rFonts w:hint="default" w:ascii="Times New Roman" w:hAnsi="Times New Roman" w:eastAsia="仿宋" w:cs="Times New Roman"/>
                <w:color w:val="000000"/>
                <w:sz w:val="24"/>
                <w:szCs w:val="28"/>
                <w:highlight w:val="none"/>
              </w:rPr>
            </w:pPr>
          </w:p>
        </w:tc>
      </w:tr>
      <w:tr w14:paraId="3901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restart"/>
            <w:noWrap w:val="0"/>
            <w:vAlign w:val="top"/>
          </w:tcPr>
          <w:p w14:paraId="7B82DE98">
            <w:pPr>
              <w:adjustRightInd w:val="0"/>
              <w:snapToGrid w:val="0"/>
              <w:jc w:val="center"/>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3</w:t>
            </w:r>
          </w:p>
        </w:tc>
        <w:tc>
          <w:tcPr>
            <w:tcW w:w="1297" w:type="dxa"/>
            <w:vMerge w:val="restart"/>
            <w:noWrap w:val="0"/>
            <w:vAlign w:val="top"/>
          </w:tcPr>
          <w:p w14:paraId="7BDF2BC5">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0F7D91E1">
            <w:pPr>
              <w:adjustRightInd w:val="0"/>
              <w:snapToGrid w:val="0"/>
              <w:jc w:val="center"/>
              <w:rPr>
                <w:rFonts w:hint="default" w:ascii="Times New Roman" w:hAnsi="Times New Roman" w:eastAsia="仿宋" w:cs="Times New Roman"/>
                <w:color w:val="000000"/>
                <w:sz w:val="24"/>
                <w:szCs w:val="28"/>
                <w:highlight w:val="none"/>
              </w:rPr>
            </w:pPr>
          </w:p>
        </w:tc>
      </w:tr>
      <w:tr w14:paraId="5241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noWrap w:val="0"/>
            <w:vAlign w:val="top"/>
          </w:tcPr>
          <w:p w14:paraId="032DBFBB">
            <w:pPr>
              <w:adjustRightInd w:val="0"/>
              <w:snapToGrid w:val="0"/>
              <w:jc w:val="center"/>
              <w:rPr>
                <w:rFonts w:hint="default" w:ascii="Times New Roman" w:hAnsi="Times New Roman" w:eastAsia="仿宋" w:cs="Times New Roman"/>
                <w:color w:val="000000"/>
                <w:sz w:val="24"/>
                <w:szCs w:val="28"/>
                <w:highlight w:val="none"/>
              </w:rPr>
            </w:pPr>
          </w:p>
        </w:tc>
        <w:tc>
          <w:tcPr>
            <w:tcW w:w="1297" w:type="dxa"/>
            <w:vMerge w:val="continue"/>
            <w:noWrap w:val="0"/>
            <w:vAlign w:val="top"/>
          </w:tcPr>
          <w:p w14:paraId="3A6DDD79">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575DEDA7">
            <w:pPr>
              <w:adjustRightInd w:val="0"/>
              <w:snapToGrid w:val="0"/>
              <w:jc w:val="center"/>
              <w:rPr>
                <w:rFonts w:hint="default" w:ascii="Times New Roman" w:hAnsi="Times New Roman" w:eastAsia="仿宋" w:cs="Times New Roman"/>
                <w:color w:val="000000"/>
                <w:sz w:val="24"/>
                <w:szCs w:val="28"/>
                <w:highlight w:val="none"/>
              </w:rPr>
            </w:pPr>
          </w:p>
        </w:tc>
      </w:tr>
      <w:tr w14:paraId="136A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noWrap w:val="0"/>
            <w:vAlign w:val="top"/>
          </w:tcPr>
          <w:p w14:paraId="4C2425F9">
            <w:pPr>
              <w:adjustRightInd w:val="0"/>
              <w:snapToGrid w:val="0"/>
              <w:jc w:val="center"/>
              <w:rPr>
                <w:rFonts w:hint="default" w:ascii="Times New Roman" w:hAnsi="Times New Roman" w:eastAsia="仿宋" w:cs="Times New Roman"/>
                <w:color w:val="000000"/>
                <w:sz w:val="24"/>
                <w:szCs w:val="28"/>
                <w:highlight w:val="none"/>
              </w:rPr>
            </w:pPr>
          </w:p>
        </w:tc>
        <w:tc>
          <w:tcPr>
            <w:tcW w:w="1297" w:type="dxa"/>
            <w:vMerge w:val="continue"/>
            <w:noWrap w:val="0"/>
            <w:vAlign w:val="top"/>
          </w:tcPr>
          <w:p w14:paraId="33A6BE65">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2409BAA2">
            <w:pPr>
              <w:adjustRightInd w:val="0"/>
              <w:snapToGrid w:val="0"/>
              <w:jc w:val="center"/>
              <w:rPr>
                <w:rFonts w:hint="default" w:ascii="Times New Roman" w:hAnsi="Times New Roman" w:eastAsia="仿宋" w:cs="Times New Roman"/>
                <w:color w:val="000000"/>
                <w:sz w:val="24"/>
                <w:szCs w:val="28"/>
                <w:highlight w:val="none"/>
              </w:rPr>
            </w:pPr>
          </w:p>
        </w:tc>
      </w:tr>
      <w:tr w14:paraId="290D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noWrap w:val="0"/>
            <w:vAlign w:val="top"/>
          </w:tcPr>
          <w:p w14:paraId="362567C1">
            <w:pPr>
              <w:adjustRightInd w:val="0"/>
              <w:snapToGrid w:val="0"/>
              <w:jc w:val="center"/>
              <w:rPr>
                <w:rFonts w:hint="default" w:ascii="Times New Roman" w:hAnsi="Times New Roman" w:eastAsia="仿宋" w:cs="Times New Roman"/>
                <w:color w:val="000000"/>
                <w:sz w:val="24"/>
                <w:szCs w:val="28"/>
                <w:highlight w:val="none"/>
              </w:rPr>
            </w:pPr>
          </w:p>
          <w:p w14:paraId="65920660">
            <w:pPr>
              <w:adjustRightInd w:val="0"/>
              <w:snapToGrid w:val="0"/>
              <w:jc w:val="center"/>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w:t>
            </w:r>
          </w:p>
          <w:p w14:paraId="39D106FB">
            <w:pPr>
              <w:adjustRightInd w:val="0"/>
              <w:snapToGrid w:val="0"/>
              <w:jc w:val="center"/>
              <w:rPr>
                <w:rFonts w:hint="default" w:ascii="Times New Roman" w:hAnsi="Times New Roman" w:eastAsia="仿宋" w:cs="Times New Roman"/>
                <w:color w:val="000000"/>
                <w:sz w:val="24"/>
                <w:szCs w:val="28"/>
                <w:highlight w:val="none"/>
              </w:rPr>
            </w:pPr>
          </w:p>
        </w:tc>
        <w:tc>
          <w:tcPr>
            <w:tcW w:w="1297" w:type="dxa"/>
            <w:noWrap w:val="0"/>
            <w:vAlign w:val="top"/>
          </w:tcPr>
          <w:p w14:paraId="4C92BBC3">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5123A84D">
            <w:pPr>
              <w:adjustRightInd w:val="0"/>
              <w:snapToGrid w:val="0"/>
              <w:jc w:val="center"/>
              <w:rPr>
                <w:rFonts w:hint="default" w:ascii="Times New Roman" w:hAnsi="Times New Roman" w:eastAsia="仿宋" w:cs="Times New Roman"/>
                <w:color w:val="000000"/>
                <w:sz w:val="24"/>
                <w:szCs w:val="28"/>
                <w:highlight w:val="none"/>
              </w:rPr>
            </w:pPr>
          </w:p>
        </w:tc>
      </w:tr>
    </w:tbl>
    <w:p w14:paraId="31808D10">
      <w:pPr>
        <w:rPr>
          <w:rFonts w:hint="default" w:ascii="Times New Roman" w:hAnsi="Times New Roman" w:cs="Times New Roman"/>
          <w:color w:val="000000"/>
          <w:highlight w:val="none"/>
        </w:rPr>
      </w:pPr>
    </w:p>
    <w:p w14:paraId="71E6C3E1">
      <w:pPr>
        <w:rPr>
          <w:rFonts w:hint="default" w:ascii="Times New Roman" w:hAnsi="Times New Roman" w:cs="Times New Roman"/>
          <w:color w:val="000000"/>
          <w:highlight w:val="none"/>
        </w:rPr>
      </w:pPr>
    </w:p>
    <w:p w14:paraId="623CD956">
      <w:pPr>
        <w:keepNext w:val="0"/>
        <w:keepLines w:val="0"/>
        <w:pageBreakBefore w:val="0"/>
        <w:kinsoku/>
        <w:wordWrap/>
        <w:overflowPunct/>
        <w:topLinePunct w:val="0"/>
        <w:bidi w:val="0"/>
        <w:spacing w:line="440" w:lineRule="exact"/>
        <w:textAlignment w:val="auto"/>
        <w:rPr>
          <w:rFonts w:hint="default" w:ascii="Times New Roman" w:hAnsi="Times New Roman" w:cs="Times New Roman"/>
          <w:color w:val="000000"/>
          <w:highlight w:val="none"/>
        </w:rPr>
      </w:pPr>
      <w:r>
        <w:rPr>
          <w:rFonts w:hint="default" w:ascii="Times New Roman" w:hAnsi="Times New Roman" w:cs="Times New Roman"/>
          <w:color w:val="000000"/>
          <w:highlight w:val="none"/>
        </w:rPr>
        <w:br w:type="page"/>
      </w:r>
    </w:p>
    <w:p w14:paraId="4FA6B969">
      <w:pPr>
        <w:pStyle w:val="10"/>
        <w:keepNext w:val="0"/>
        <w:keepLines w:val="0"/>
        <w:pageBreakBefore w:val="0"/>
        <w:kinsoku/>
        <w:wordWrap/>
        <w:overflowPunct/>
        <w:topLinePunct w:val="0"/>
        <w:bidi w:val="0"/>
        <w:spacing w:line="440" w:lineRule="exact"/>
        <w:textAlignment w:val="auto"/>
        <w:outlineLvl w:val="1"/>
        <w:rPr>
          <w:rFonts w:hAnsi="宋体"/>
          <w:bCs/>
          <w:color w:val="000000"/>
          <w:sz w:val="24"/>
          <w:szCs w:val="24"/>
        </w:rPr>
      </w:pPr>
      <w:r>
        <w:rPr>
          <w:rFonts w:hint="eastAsia" w:hAnsi="宋体" w:eastAsia="宋体" w:cs="宋体"/>
          <w:b/>
          <w:snapToGrid w:val="0"/>
          <w:kern w:val="0"/>
          <w:sz w:val="28"/>
          <w:szCs w:val="28"/>
        </w:rPr>
        <w:t>十</w:t>
      </w:r>
      <w:r>
        <w:rPr>
          <w:rFonts w:hint="eastAsia" w:hAnsi="宋体" w:eastAsia="宋体" w:cs="宋体"/>
          <w:b/>
          <w:snapToGrid w:val="0"/>
          <w:kern w:val="0"/>
          <w:sz w:val="28"/>
          <w:szCs w:val="28"/>
          <w:lang w:eastAsia="zh-CN"/>
        </w:rPr>
        <w:t>四</w:t>
      </w:r>
      <w:r>
        <w:rPr>
          <w:rFonts w:hint="eastAsia" w:hAnsi="宋体" w:eastAsia="宋体" w:cs="宋体"/>
          <w:b/>
          <w:snapToGrid w:val="0"/>
          <w:kern w:val="0"/>
          <w:sz w:val="28"/>
          <w:szCs w:val="28"/>
        </w:rPr>
        <w:t>、响应</w:t>
      </w:r>
      <w:r>
        <w:rPr>
          <w:rFonts w:hint="eastAsia" w:hAnsi="宋体" w:eastAsia="宋体" w:cs="宋体"/>
          <w:b/>
          <w:snapToGrid w:val="0"/>
          <w:kern w:val="0"/>
          <w:sz w:val="28"/>
          <w:szCs w:val="28"/>
          <w:lang w:eastAsia="zh-CN"/>
        </w:rPr>
        <w:t>要求</w:t>
      </w:r>
      <w:bookmarkStart w:id="38" w:name="_Toc313008356"/>
      <w:bookmarkStart w:id="39" w:name="_Toc313888360"/>
      <w:bookmarkStart w:id="40" w:name="_Toc135039066"/>
      <w:bookmarkStart w:id="41" w:name="_Toc283382454"/>
      <w:bookmarkStart w:id="42" w:name="_Toc342913419"/>
      <w:bookmarkStart w:id="43" w:name="_Toc76462350"/>
      <w:bookmarkStart w:id="44" w:name="_Toc12789073"/>
      <w:r>
        <w:rPr>
          <w:rFonts w:hint="eastAsia" w:hAnsi="宋体" w:eastAsia="宋体" w:cs="宋体"/>
          <w:b/>
          <w:snapToGrid w:val="0"/>
          <w:kern w:val="0"/>
          <w:sz w:val="28"/>
          <w:szCs w:val="28"/>
          <w:lang w:eastAsia="zh-CN"/>
        </w:rPr>
        <w:t>提交要求</w:t>
      </w:r>
    </w:p>
    <w:bookmarkEnd w:id="38"/>
    <w:bookmarkEnd w:id="39"/>
    <w:bookmarkEnd w:id="40"/>
    <w:bookmarkEnd w:id="41"/>
    <w:bookmarkEnd w:id="42"/>
    <w:bookmarkEnd w:id="43"/>
    <w:bookmarkEnd w:id="44"/>
    <w:p w14:paraId="3E5D007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hAnsi="宋体"/>
          <w:b/>
          <w:bCs w:val="0"/>
          <w:color w:val="auto"/>
          <w:sz w:val="24"/>
          <w:szCs w:val="24"/>
          <w:lang w:val="en-US" w:eastAsia="zh-CN"/>
        </w:rPr>
      </w:pPr>
      <w:bookmarkStart w:id="45" w:name="_Toc76462353"/>
      <w:bookmarkStart w:id="46" w:name="_Toc313888363"/>
      <w:bookmarkStart w:id="47" w:name="_Toc342913422"/>
      <w:bookmarkStart w:id="48" w:name="_Toc313008359"/>
      <w:bookmarkStart w:id="49" w:name="_Toc135039069"/>
      <w:r>
        <w:rPr>
          <w:rFonts w:hint="eastAsia" w:hAnsi="宋体"/>
          <w:b/>
          <w:bCs w:val="0"/>
          <w:color w:val="auto"/>
          <w:sz w:val="24"/>
          <w:szCs w:val="24"/>
          <w:lang w:val="en-US" w:eastAsia="zh-CN"/>
        </w:rPr>
        <w:t>本项目不评审，报价时无需提交响应文件。</w:t>
      </w:r>
    </w:p>
    <w:p w14:paraId="7E73BE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55760A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4D8E85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0BB392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1A3D32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7558CD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211C1E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51B7C1D0">
      <w:pPr>
        <w:keepNext w:val="0"/>
        <w:keepLines w:val="0"/>
        <w:pageBreakBefore w:val="0"/>
        <w:kinsoku/>
        <w:wordWrap/>
        <w:overflowPunct/>
        <w:topLinePunct w:val="0"/>
        <w:bidi w:val="0"/>
        <w:spacing w:line="440" w:lineRule="exact"/>
        <w:jc w:val="left"/>
        <w:textAlignment w:val="auto"/>
        <w:rPr>
          <w:rFonts w:hint="eastAsia" w:hAnsi="宋体"/>
          <w:b w:val="0"/>
          <w:bCs/>
          <w:color w:val="000000"/>
          <w:sz w:val="28"/>
          <w:szCs w:val="28"/>
          <w:lang w:val="en-US" w:eastAsia="zh-CN"/>
        </w:rPr>
      </w:pPr>
      <w:r>
        <w:rPr>
          <w:rFonts w:hint="eastAsia" w:hAnsi="宋体"/>
          <w:b w:val="0"/>
          <w:bCs/>
          <w:color w:val="000000"/>
          <w:sz w:val="28"/>
          <w:szCs w:val="28"/>
          <w:lang w:val="en-US" w:eastAsia="zh-CN"/>
        </w:rPr>
        <w:t>注：中标结果公示后采购人有权对中标人的资质要求和需求、服务响应情况进行核查。中标结果公示结束后3个工作日内，若</w:t>
      </w:r>
      <w:r>
        <w:rPr>
          <w:rFonts w:hint="eastAsia" w:hAnsi="宋体"/>
          <w:b w:val="0"/>
          <w:bCs/>
          <w:color w:val="auto"/>
          <w:sz w:val="28"/>
          <w:szCs w:val="28"/>
          <w:lang w:val="en-US" w:eastAsia="zh-CN"/>
        </w:rPr>
        <w:t>询价文件有要求，中</w:t>
      </w:r>
      <w:r>
        <w:rPr>
          <w:rFonts w:hint="eastAsia" w:hAnsi="宋体"/>
          <w:b w:val="0"/>
          <w:bCs/>
          <w:color w:val="000000"/>
          <w:sz w:val="28"/>
          <w:szCs w:val="28"/>
          <w:lang w:val="en-US" w:eastAsia="zh-CN"/>
        </w:rPr>
        <w:t>标供应商须向采购人需求部门提交相关检测报告、产品参数证明文件及报价明细表，若提交的证明材料和报价明细表无法满足询价文件参数需求，则视为虚假响应，若未在规定时间内提供符合要求的资料，视为自动放弃中标资格，采购人将取消中标供应商资格，将其列入重庆医科大学失信惩戒对象名单，视其行为性质和情节轻重给予处理。</w:t>
      </w:r>
    </w:p>
    <w:p w14:paraId="11F55E44">
      <w:pPr>
        <w:keepNext w:val="0"/>
        <w:keepLines w:val="0"/>
        <w:pageBreakBefore w:val="0"/>
        <w:kinsoku/>
        <w:wordWrap/>
        <w:overflowPunct/>
        <w:topLinePunct w:val="0"/>
        <w:bidi w:val="0"/>
        <w:spacing w:line="440" w:lineRule="exact"/>
        <w:jc w:val="left"/>
        <w:textAlignment w:val="auto"/>
        <w:rPr>
          <w:rFonts w:hint="eastAsia" w:hAnsi="宋体"/>
          <w:b w:val="0"/>
          <w:bCs/>
          <w:color w:val="000000"/>
          <w:sz w:val="28"/>
          <w:szCs w:val="28"/>
          <w:lang w:val="en-US" w:eastAsia="zh-CN"/>
        </w:rPr>
      </w:pPr>
    </w:p>
    <w:bookmarkEnd w:id="45"/>
    <w:bookmarkEnd w:id="46"/>
    <w:bookmarkEnd w:id="47"/>
    <w:bookmarkEnd w:id="48"/>
    <w:bookmarkEnd w:id="49"/>
    <w:p w14:paraId="29171190">
      <w:pPr>
        <w:keepNext w:val="0"/>
        <w:keepLines w:val="0"/>
        <w:pageBreakBefore w:val="0"/>
        <w:kinsoku/>
        <w:wordWrap/>
        <w:overflowPunct/>
        <w:topLinePunct w:val="0"/>
        <w:bidi w:val="0"/>
        <w:spacing w:line="440" w:lineRule="exact"/>
        <w:textAlignment w:val="auto"/>
        <w:rPr>
          <w:rFonts w:ascii="方正仿宋_GBK" w:hAnsi="宋体" w:eastAsia="方正仿宋_GBK"/>
          <w:sz w:val="24"/>
          <w:szCs w:val="24"/>
        </w:rPr>
      </w:pPr>
    </w:p>
    <w:p w14:paraId="5C13BB6D">
      <w:pPr>
        <w:keepNext w:val="0"/>
        <w:keepLines w:val="0"/>
        <w:pageBreakBefore w:val="0"/>
        <w:kinsoku/>
        <w:wordWrap/>
        <w:overflowPunct/>
        <w:topLinePunct w:val="0"/>
        <w:bidi w:val="0"/>
        <w:spacing w:line="440" w:lineRule="exact"/>
        <w:jc w:val="center"/>
        <w:textAlignment w:val="auto"/>
        <w:rPr>
          <w:rFonts w:ascii="方正仿宋_GBK" w:hAnsi="宋体" w:eastAsia="方正仿宋_GBK"/>
          <w:sz w:val="24"/>
          <w:szCs w:val="24"/>
        </w:rPr>
      </w:pPr>
    </w:p>
    <w:p w14:paraId="187A370C">
      <w:pPr>
        <w:keepNext w:val="0"/>
        <w:keepLines w:val="0"/>
        <w:pageBreakBefore w:val="0"/>
        <w:kinsoku/>
        <w:wordWrap/>
        <w:overflowPunct/>
        <w:topLinePunct w:val="0"/>
        <w:bidi w:val="0"/>
        <w:spacing w:line="440" w:lineRule="exact"/>
        <w:jc w:val="center"/>
        <w:textAlignment w:val="auto"/>
        <w:rPr>
          <w:rFonts w:ascii="方正仿宋_GBK" w:hAnsi="宋体" w:eastAsia="方正仿宋_GBK"/>
          <w:sz w:val="24"/>
          <w:szCs w:val="24"/>
        </w:rPr>
      </w:pPr>
    </w:p>
    <w:p w14:paraId="6779B5B2">
      <w:pPr>
        <w:keepNext w:val="0"/>
        <w:keepLines w:val="0"/>
        <w:pageBreakBefore w:val="0"/>
        <w:kinsoku/>
        <w:wordWrap/>
        <w:overflowPunct/>
        <w:topLinePunct w:val="0"/>
        <w:bidi w:val="0"/>
        <w:spacing w:line="440" w:lineRule="exact"/>
        <w:jc w:val="center"/>
        <w:textAlignment w:val="auto"/>
        <w:rPr>
          <w:rFonts w:ascii="方正仿宋_GBK" w:hAnsi="宋体" w:eastAsia="方正仿宋_GBK"/>
          <w:sz w:val="24"/>
          <w:szCs w:val="24"/>
        </w:rPr>
      </w:pPr>
    </w:p>
    <w:p w14:paraId="2B323B58">
      <w:pPr>
        <w:keepNext w:val="0"/>
        <w:keepLines w:val="0"/>
        <w:pageBreakBefore w:val="0"/>
        <w:kinsoku/>
        <w:wordWrap/>
        <w:overflowPunct/>
        <w:topLinePunct w:val="0"/>
        <w:bidi w:val="0"/>
        <w:spacing w:line="440" w:lineRule="exact"/>
        <w:jc w:val="center"/>
        <w:textAlignment w:val="auto"/>
        <w:rPr>
          <w:rFonts w:ascii="方正仿宋_GBK" w:hAnsi="宋体" w:eastAsia="方正仿宋_GBK"/>
          <w:sz w:val="24"/>
          <w:szCs w:val="24"/>
        </w:rPr>
      </w:pPr>
    </w:p>
    <w:p w14:paraId="00FD42CB">
      <w:pPr>
        <w:keepNext w:val="0"/>
        <w:keepLines w:val="0"/>
        <w:pageBreakBefore w:val="0"/>
        <w:kinsoku/>
        <w:wordWrap/>
        <w:overflowPunct/>
        <w:topLinePunct w:val="0"/>
        <w:bidi w:val="0"/>
        <w:spacing w:line="440" w:lineRule="exact"/>
        <w:jc w:val="center"/>
        <w:textAlignment w:val="auto"/>
        <w:rPr>
          <w:rFonts w:ascii="方正仿宋_GBK" w:hAnsi="宋体" w:eastAsia="方正仿宋_GBK"/>
          <w:sz w:val="24"/>
          <w:szCs w:val="24"/>
        </w:rPr>
      </w:pPr>
    </w:p>
    <w:p w14:paraId="14C6B55F">
      <w:pPr>
        <w:keepNext w:val="0"/>
        <w:keepLines w:val="0"/>
        <w:pageBreakBefore w:val="0"/>
        <w:kinsoku/>
        <w:wordWrap/>
        <w:overflowPunct/>
        <w:topLinePunct w:val="0"/>
        <w:bidi w:val="0"/>
        <w:spacing w:line="440" w:lineRule="exact"/>
        <w:jc w:val="center"/>
        <w:textAlignment w:val="auto"/>
        <w:rPr>
          <w:rFonts w:ascii="方正仿宋_GBK" w:hAnsi="宋体" w:eastAsia="方正仿宋_GBK"/>
          <w:sz w:val="24"/>
          <w:szCs w:val="24"/>
        </w:rPr>
      </w:pPr>
    </w:p>
    <w:p w14:paraId="3B5CEE2E">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yellow"/>
        </w:rPr>
      </w:pPr>
    </w:p>
    <w:p w14:paraId="615BF501">
      <w:pPr>
        <w:keepNext w:val="0"/>
        <w:keepLines w:val="0"/>
        <w:pageBreakBefore w:val="0"/>
        <w:kinsoku/>
        <w:wordWrap/>
        <w:overflowPunct/>
        <w:topLinePunct w:val="0"/>
        <w:bidi w:val="0"/>
        <w:spacing w:line="440" w:lineRule="exact"/>
        <w:jc w:val="center"/>
        <w:textAlignment w:val="auto"/>
      </w:pPr>
      <w:r>
        <w:rPr>
          <w:rFonts w:hint="eastAsia" w:ascii="方正仿宋_GBK" w:hAnsi="宋体" w:eastAsia="方正仿宋_GBK"/>
          <w:sz w:val="24"/>
          <w:szCs w:val="24"/>
        </w:rPr>
        <w:t>（结束）</w:t>
      </w:r>
    </w:p>
    <w:p w14:paraId="2029F36E">
      <w:pPr>
        <w:pStyle w:val="14"/>
        <w:keepNext w:val="0"/>
        <w:keepLines w:val="0"/>
        <w:pageBreakBefore w:val="0"/>
        <w:kinsoku/>
        <w:wordWrap/>
        <w:overflowPunct/>
        <w:topLinePunct w:val="0"/>
        <w:bidi w:val="0"/>
        <w:spacing w:line="440" w:lineRule="exact"/>
        <w:textAlignment w:val="auto"/>
        <w:rPr>
          <w:rFonts w:ascii="宋体" w:hAnsi="宋体" w:eastAsia="宋体" w:cs="宋体"/>
          <w:sz w:val="24"/>
          <w:szCs w:val="24"/>
          <w:highlight w:val="yellow"/>
        </w:rPr>
      </w:pPr>
    </w:p>
    <w:sectPr>
      <w:headerReference r:id="rId5" w:type="default"/>
      <w:footerReference r:id="rId6" w:type="default"/>
      <w:pgSz w:w="11905" w:h="16838"/>
      <w:pgMar w:top="1247" w:right="1474" w:bottom="1247" w:left="1474"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309251-B29C-4BAE-A1C3-1C6B7879CB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DCAFB5-9905-4EAB-B490-7B4D4F8F5905}"/>
  </w:font>
  <w:font w:name="方正仿宋_GBK">
    <w:panose1 w:val="02000000000000000000"/>
    <w:charset w:val="86"/>
    <w:family w:val="script"/>
    <w:pitch w:val="default"/>
    <w:sig w:usb0="A00002BF" w:usb1="38CF7CFA" w:usb2="00082016" w:usb3="00000000" w:csb0="00040001" w:csb1="00000000"/>
    <w:embedRegular r:id="rId3" w:fontKey="{E8FB412A-B715-4390-93B3-17BC8AC700FB}"/>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8DE370DD-262D-472F-9120-A98EC47D0F50}"/>
  </w:font>
  <w:font w:name="方正黑体_GBK">
    <w:panose1 w:val="02010600010101010101"/>
    <w:charset w:val="86"/>
    <w:family w:val="script"/>
    <w:pitch w:val="default"/>
    <w:sig w:usb0="00000001" w:usb1="080E0000" w:usb2="00000000" w:usb3="00000000" w:csb0="00040000" w:csb1="00000000"/>
    <w:embedRegular r:id="rId5" w:fontKey="{A88534FA-2117-4D99-B1AF-A4D49BFD60B1}"/>
  </w:font>
  <w:font w:name="Wingdings 2">
    <w:panose1 w:val="05020102010507070707"/>
    <w:charset w:val="02"/>
    <w:family w:val="roman"/>
    <w:pitch w:val="default"/>
    <w:sig w:usb0="00000000" w:usb1="00000000" w:usb2="00000000" w:usb3="00000000" w:csb0="80000000" w:csb1="00000000"/>
    <w:embedRegular r:id="rId6" w:fontKey="{99895068-C10C-45A4-AE28-1E913E79571B}"/>
  </w:font>
  <w:font w:name="方正小标宋简体">
    <w:panose1 w:val="02000000000000000000"/>
    <w:charset w:val="86"/>
    <w:family w:val="auto"/>
    <w:pitch w:val="default"/>
    <w:sig w:usb0="00000001" w:usb1="08000000" w:usb2="00000000" w:usb3="00000000" w:csb0="00040000" w:csb1="00000000"/>
    <w:embedRegular r:id="rId7" w:fontKey="{C9A846E0-EEFC-4869-AB03-ED729414066D}"/>
  </w:font>
  <w:font w:name="楷体">
    <w:panose1 w:val="02010609060101010101"/>
    <w:charset w:val="86"/>
    <w:family w:val="modern"/>
    <w:pitch w:val="default"/>
    <w:sig w:usb0="800002BF" w:usb1="38CF7CFA" w:usb2="00000016" w:usb3="00000000" w:csb0="00040001" w:csb1="00000000"/>
    <w:embedRegular r:id="rId8" w:fontKey="{10A77561-8255-4906-B8FF-7A42570887E1}"/>
  </w:font>
  <w:font w:name="方正小标宋_GBK">
    <w:panose1 w:val="02000000000000000000"/>
    <w:charset w:val="86"/>
    <w:family w:val="script"/>
    <w:pitch w:val="default"/>
    <w:sig w:usb0="A00002BF" w:usb1="38CF7CFA" w:usb2="00082016" w:usb3="00000000" w:csb0="00040001" w:csb1="00000000"/>
    <w:embedRegular r:id="rId9" w:fontKey="{95C2B59F-49F3-4CAD-B901-2F83C000B3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6E1A">
    <w:pPr>
      <w:pStyle w:val="14"/>
      <w:jc w:val="center"/>
      <w:rPr>
        <w:rFonts w:hint="eastAsia"/>
        <w:lang w:eastAsia="zh-CN"/>
      </w:rPr>
    </w:pPr>
    <w:r>
      <w:fldChar w:fldCharType="begin"/>
    </w:r>
    <w:r>
      <w:instrText xml:space="preserve"> PAGE   \* MERGEFORMAT </w:instrText>
    </w:r>
    <w:r>
      <w:fldChar w:fldCharType="separate"/>
    </w:r>
    <w:r>
      <w:rPr>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FFC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D30CD">
                          <w:pPr>
                            <w:pStyle w:val="14"/>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327D30CD">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BA40">
    <w:pPr>
      <w:pStyle w:val="15"/>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CAC27">
    <w:pPr>
      <w:pStyle w:val="15"/>
      <w:jc w:val="both"/>
      <w:rPr>
        <w:rFonts w:ascii="方正仿宋_GBK" w:eastAsia="方正仿宋_GBK"/>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27EFB6">
                          <w:pPr>
                            <w:pStyle w:val="15"/>
                          </w:pP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14:paraId="7627EFB6">
                    <w:pPr>
                      <w:pStyle w:val="15"/>
                    </w:pPr>
                  </w:p>
                </w:txbxContent>
              </v:textbox>
            </v:shape>
          </w:pict>
        </mc:Fallback>
      </mc:AlternateConten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C7922"/>
    <w:multiLevelType w:val="singleLevel"/>
    <w:tmpl w:val="848C7922"/>
    <w:lvl w:ilvl="0" w:tentative="0">
      <w:start w:val="2"/>
      <w:numFmt w:val="decimal"/>
      <w:suff w:val="space"/>
      <w:lvlText w:val="%1."/>
      <w:lvlJc w:val="left"/>
    </w:lvl>
  </w:abstractNum>
  <w:abstractNum w:abstractNumId="1">
    <w:nsid w:val="C312A911"/>
    <w:multiLevelType w:val="singleLevel"/>
    <w:tmpl w:val="C312A91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2M0MjQ1NzkyZDQ0N2ZhZjBiMmMxMGE3M2RhYWIifQ=="/>
  </w:docVars>
  <w:rsids>
    <w:rsidRoot w:val="0026077D"/>
    <w:rsid w:val="00002457"/>
    <w:rsid w:val="00006352"/>
    <w:rsid w:val="000464DD"/>
    <w:rsid w:val="00050987"/>
    <w:rsid w:val="00057BDC"/>
    <w:rsid w:val="000C5799"/>
    <w:rsid w:val="000D5C53"/>
    <w:rsid w:val="000F6CAD"/>
    <w:rsid w:val="001149BC"/>
    <w:rsid w:val="001330CC"/>
    <w:rsid w:val="00142AA5"/>
    <w:rsid w:val="00147207"/>
    <w:rsid w:val="0015011D"/>
    <w:rsid w:val="00180FAD"/>
    <w:rsid w:val="001D73F9"/>
    <w:rsid w:val="002169D5"/>
    <w:rsid w:val="0025166F"/>
    <w:rsid w:val="0026077D"/>
    <w:rsid w:val="00287859"/>
    <w:rsid w:val="002A6C2F"/>
    <w:rsid w:val="002B7527"/>
    <w:rsid w:val="002F1642"/>
    <w:rsid w:val="0030431A"/>
    <w:rsid w:val="003061A4"/>
    <w:rsid w:val="0032735C"/>
    <w:rsid w:val="00333324"/>
    <w:rsid w:val="00337C8F"/>
    <w:rsid w:val="00344E3C"/>
    <w:rsid w:val="0035377A"/>
    <w:rsid w:val="00354946"/>
    <w:rsid w:val="0038218E"/>
    <w:rsid w:val="0038716B"/>
    <w:rsid w:val="003A770F"/>
    <w:rsid w:val="003B2EDB"/>
    <w:rsid w:val="003D18B5"/>
    <w:rsid w:val="00443BFA"/>
    <w:rsid w:val="00461320"/>
    <w:rsid w:val="00463B7A"/>
    <w:rsid w:val="00483694"/>
    <w:rsid w:val="004A3BA8"/>
    <w:rsid w:val="004A5E4F"/>
    <w:rsid w:val="004B460E"/>
    <w:rsid w:val="004B781D"/>
    <w:rsid w:val="004C70F0"/>
    <w:rsid w:val="004E7F1B"/>
    <w:rsid w:val="005425BF"/>
    <w:rsid w:val="005467C1"/>
    <w:rsid w:val="00552325"/>
    <w:rsid w:val="00570D6E"/>
    <w:rsid w:val="00571672"/>
    <w:rsid w:val="005A468F"/>
    <w:rsid w:val="005C3EFE"/>
    <w:rsid w:val="005E23B4"/>
    <w:rsid w:val="005F031D"/>
    <w:rsid w:val="005F0D3C"/>
    <w:rsid w:val="005F454B"/>
    <w:rsid w:val="00601BD0"/>
    <w:rsid w:val="006428A7"/>
    <w:rsid w:val="00646D9C"/>
    <w:rsid w:val="00660917"/>
    <w:rsid w:val="00681006"/>
    <w:rsid w:val="00691F3D"/>
    <w:rsid w:val="0069316C"/>
    <w:rsid w:val="00695063"/>
    <w:rsid w:val="006A57E0"/>
    <w:rsid w:val="006A6EF7"/>
    <w:rsid w:val="006D1E75"/>
    <w:rsid w:val="006E247E"/>
    <w:rsid w:val="00702336"/>
    <w:rsid w:val="0070695F"/>
    <w:rsid w:val="00740F8E"/>
    <w:rsid w:val="00763F02"/>
    <w:rsid w:val="00784C5C"/>
    <w:rsid w:val="0079755C"/>
    <w:rsid w:val="007A2785"/>
    <w:rsid w:val="007B06AB"/>
    <w:rsid w:val="007D57E1"/>
    <w:rsid w:val="007E40D1"/>
    <w:rsid w:val="0081159D"/>
    <w:rsid w:val="00814CC8"/>
    <w:rsid w:val="008156B6"/>
    <w:rsid w:val="00817E19"/>
    <w:rsid w:val="00820862"/>
    <w:rsid w:val="00836FBE"/>
    <w:rsid w:val="008B1872"/>
    <w:rsid w:val="008B5854"/>
    <w:rsid w:val="008B69FA"/>
    <w:rsid w:val="00910AA9"/>
    <w:rsid w:val="00930047"/>
    <w:rsid w:val="00944056"/>
    <w:rsid w:val="00953975"/>
    <w:rsid w:val="0098016C"/>
    <w:rsid w:val="00990D9F"/>
    <w:rsid w:val="009B1495"/>
    <w:rsid w:val="009D39CA"/>
    <w:rsid w:val="009D6032"/>
    <w:rsid w:val="009F4E82"/>
    <w:rsid w:val="00A05382"/>
    <w:rsid w:val="00A12B7A"/>
    <w:rsid w:val="00A30001"/>
    <w:rsid w:val="00A34A55"/>
    <w:rsid w:val="00A40D20"/>
    <w:rsid w:val="00A72177"/>
    <w:rsid w:val="00A92DCF"/>
    <w:rsid w:val="00A946D9"/>
    <w:rsid w:val="00AD5FF8"/>
    <w:rsid w:val="00AD7323"/>
    <w:rsid w:val="00AF20F1"/>
    <w:rsid w:val="00B01C1B"/>
    <w:rsid w:val="00B1217D"/>
    <w:rsid w:val="00B130DA"/>
    <w:rsid w:val="00B134D1"/>
    <w:rsid w:val="00B6020A"/>
    <w:rsid w:val="00B84F5E"/>
    <w:rsid w:val="00BC4115"/>
    <w:rsid w:val="00C06FDA"/>
    <w:rsid w:val="00C10096"/>
    <w:rsid w:val="00C2665A"/>
    <w:rsid w:val="00C371E3"/>
    <w:rsid w:val="00C66F23"/>
    <w:rsid w:val="00C67820"/>
    <w:rsid w:val="00C809CF"/>
    <w:rsid w:val="00CB6BEA"/>
    <w:rsid w:val="00CD696D"/>
    <w:rsid w:val="00CF46E2"/>
    <w:rsid w:val="00CF6554"/>
    <w:rsid w:val="00D314D2"/>
    <w:rsid w:val="00D37AD5"/>
    <w:rsid w:val="00D42C61"/>
    <w:rsid w:val="00D6151A"/>
    <w:rsid w:val="00D7788F"/>
    <w:rsid w:val="00DD08A7"/>
    <w:rsid w:val="00DF3CFA"/>
    <w:rsid w:val="00E0238C"/>
    <w:rsid w:val="00E02F0C"/>
    <w:rsid w:val="00E06B16"/>
    <w:rsid w:val="00E17F22"/>
    <w:rsid w:val="00E52DDF"/>
    <w:rsid w:val="00E565CC"/>
    <w:rsid w:val="00E736EE"/>
    <w:rsid w:val="00E80A01"/>
    <w:rsid w:val="00E94BB5"/>
    <w:rsid w:val="00EB1A3D"/>
    <w:rsid w:val="00F12710"/>
    <w:rsid w:val="00F16017"/>
    <w:rsid w:val="00F24217"/>
    <w:rsid w:val="00F404A5"/>
    <w:rsid w:val="00F42F8A"/>
    <w:rsid w:val="00F44641"/>
    <w:rsid w:val="00F46AA4"/>
    <w:rsid w:val="00F5043A"/>
    <w:rsid w:val="00F56F72"/>
    <w:rsid w:val="00F616AA"/>
    <w:rsid w:val="00F74847"/>
    <w:rsid w:val="00F750CF"/>
    <w:rsid w:val="00F76218"/>
    <w:rsid w:val="00FC206D"/>
    <w:rsid w:val="00FD44D5"/>
    <w:rsid w:val="013E61E2"/>
    <w:rsid w:val="014A1357"/>
    <w:rsid w:val="016D0801"/>
    <w:rsid w:val="0189664D"/>
    <w:rsid w:val="01EE5E5A"/>
    <w:rsid w:val="021401B9"/>
    <w:rsid w:val="029D33DC"/>
    <w:rsid w:val="02A93B2F"/>
    <w:rsid w:val="02AD361F"/>
    <w:rsid w:val="02DA4885"/>
    <w:rsid w:val="035F2367"/>
    <w:rsid w:val="037E320E"/>
    <w:rsid w:val="03B15391"/>
    <w:rsid w:val="03BD6757"/>
    <w:rsid w:val="04426D8D"/>
    <w:rsid w:val="04463D2B"/>
    <w:rsid w:val="048A5B41"/>
    <w:rsid w:val="04A62A1C"/>
    <w:rsid w:val="04BD7164"/>
    <w:rsid w:val="04C1634E"/>
    <w:rsid w:val="04C902E7"/>
    <w:rsid w:val="04E1510C"/>
    <w:rsid w:val="04F80D9E"/>
    <w:rsid w:val="05056A91"/>
    <w:rsid w:val="051C181F"/>
    <w:rsid w:val="05237065"/>
    <w:rsid w:val="05483AD3"/>
    <w:rsid w:val="05626D26"/>
    <w:rsid w:val="056A0389"/>
    <w:rsid w:val="05BA12E3"/>
    <w:rsid w:val="060E0879"/>
    <w:rsid w:val="061D3868"/>
    <w:rsid w:val="065D35AE"/>
    <w:rsid w:val="067578E9"/>
    <w:rsid w:val="0687062B"/>
    <w:rsid w:val="06870E54"/>
    <w:rsid w:val="068C534B"/>
    <w:rsid w:val="06A8211E"/>
    <w:rsid w:val="06B70F10"/>
    <w:rsid w:val="06EB4447"/>
    <w:rsid w:val="06EE4206"/>
    <w:rsid w:val="06FA2BAB"/>
    <w:rsid w:val="0749768F"/>
    <w:rsid w:val="07554952"/>
    <w:rsid w:val="076A5F83"/>
    <w:rsid w:val="076B5857"/>
    <w:rsid w:val="085207C5"/>
    <w:rsid w:val="08ED3316"/>
    <w:rsid w:val="090B72F2"/>
    <w:rsid w:val="091A022E"/>
    <w:rsid w:val="09A6701A"/>
    <w:rsid w:val="09C474A0"/>
    <w:rsid w:val="09D9119E"/>
    <w:rsid w:val="0A026946"/>
    <w:rsid w:val="0A040ADC"/>
    <w:rsid w:val="0A0C42B6"/>
    <w:rsid w:val="0A445307"/>
    <w:rsid w:val="0A59408D"/>
    <w:rsid w:val="0ABA45BB"/>
    <w:rsid w:val="0AD12C53"/>
    <w:rsid w:val="0ADD012D"/>
    <w:rsid w:val="0B052C79"/>
    <w:rsid w:val="0B1701D0"/>
    <w:rsid w:val="0B2F68B0"/>
    <w:rsid w:val="0B526B01"/>
    <w:rsid w:val="0B907F82"/>
    <w:rsid w:val="0BE81B6C"/>
    <w:rsid w:val="0BEB51B8"/>
    <w:rsid w:val="0BF24799"/>
    <w:rsid w:val="0BFE6C9A"/>
    <w:rsid w:val="0C3E353A"/>
    <w:rsid w:val="0C404D4B"/>
    <w:rsid w:val="0C602B1E"/>
    <w:rsid w:val="0C6A7422"/>
    <w:rsid w:val="0C9C64B3"/>
    <w:rsid w:val="0CB0187F"/>
    <w:rsid w:val="0D116EA1"/>
    <w:rsid w:val="0D8F0AE7"/>
    <w:rsid w:val="0DB8731C"/>
    <w:rsid w:val="0DC72E3E"/>
    <w:rsid w:val="0DC77056"/>
    <w:rsid w:val="0DDC74AE"/>
    <w:rsid w:val="0EC456AB"/>
    <w:rsid w:val="0EDC29CD"/>
    <w:rsid w:val="0F1775AC"/>
    <w:rsid w:val="0FB3423F"/>
    <w:rsid w:val="0FCB77DB"/>
    <w:rsid w:val="10A87FA5"/>
    <w:rsid w:val="10B60A0F"/>
    <w:rsid w:val="10B93F43"/>
    <w:rsid w:val="10CF32FA"/>
    <w:rsid w:val="10F92232"/>
    <w:rsid w:val="1139171B"/>
    <w:rsid w:val="115C5375"/>
    <w:rsid w:val="11E27CAC"/>
    <w:rsid w:val="11FC1ECD"/>
    <w:rsid w:val="122A1972"/>
    <w:rsid w:val="122D1939"/>
    <w:rsid w:val="123903D4"/>
    <w:rsid w:val="12392171"/>
    <w:rsid w:val="123E7F36"/>
    <w:rsid w:val="124C2BBB"/>
    <w:rsid w:val="126C57AE"/>
    <w:rsid w:val="12AD766B"/>
    <w:rsid w:val="12E41073"/>
    <w:rsid w:val="13207027"/>
    <w:rsid w:val="13207E3D"/>
    <w:rsid w:val="1372740F"/>
    <w:rsid w:val="13A062E5"/>
    <w:rsid w:val="13F217DA"/>
    <w:rsid w:val="13F310AE"/>
    <w:rsid w:val="14ED01F3"/>
    <w:rsid w:val="15202EF4"/>
    <w:rsid w:val="15227E9D"/>
    <w:rsid w:val="1525798D"/>
    <w:rsid w:val="154C2E8A"/>
    <w:rsid w:val="1552488C"/>
    <w:rsid w:val="158A3C94"/>
    <w:rsid w:val="159863B1"/>
    <w:rsid w:val="15A765F4"/>
    <w:rsid w:val="15AA25F7"/>
    <w:rsid w:val="16013EE6"/>
    <w:rsid w:val="16747D3A"/>
    <w:rsid w:val="1677406C"/>
    <w:rsid w:val="16A37AD5"/>
    <w:rsid w:val="17063ECA"/>
    <w:rsid w:val="172B7CA6"/>
    <w:rsid w:val="172D0D7B"/>
    <w:rsid w:val="17463C62"/>
    <w:rsid w:val="175C56A1"/>
    <w:rsid w:val="17F51E32"/>
    <w:rsid w:val="18043AAD"/>
    <w:rsid w:val="18093FB6"/>
    <w:rsid w:val="18563EC4"/>
    <w:rsid w:val="185D11EC"/>
    <w:rsid w:val="18733BAD"/>
    <w:rsid w:val="1876405C"/>
    <w:rsid w:val="18BD0524"/>
    <w:rsid w:val="18DF42F7"/>
    <w:rsid w:val="18F2402A"/>
    <w:rsid w:val="18F54C3F"/>
    <w:rsid w:val="19066D08"/>
    <w:rsid w:val="199944A6"/>
    <w:rsid w:val="19D63A4C"/>
    <w:rsid w:val="1A3B37AF"/>
    <w:rsid w:val="1A4621B2"/>
    <w:rsid w:val="1A6B2488"/>
    <w:rsid w:val="1A760443"/>
    <w:rsid w:val="1AA50C28"/>
    <w:rsid w:val="1ADF05DE"/>
    <w:rsid w:val="1B3A3A66"/>
    <w:rsid w:val="1B3D41E0"/>
    <w:rsid w:val="1B3F107D"/>
    <w:rsid w:val="1BAB04C0"/>
    <w:rsid w:val="1BC958FA"/>
    <w:rsid w:val="1C3253C3"/>
    <w:rsid w:val="1C4526C3"/>
    <w:rsid w:val="1C6E5776"/>
    <w:rsid w:val="1C7D3C0B"/>
    <w:rsid w:val="1CF26612"/>
    <w:rsid w:val="1D0B56BA"/>
    <w:rsid w:val="1D3249F5"/>
    <w:rsid w:val="1D507DD5"/>
    <w:rsid w:val="1D6F1CB2"/>
    <w:rsid w:val="1DC92DDB"/>
    <w:rsid w:val="1DCB6BF8"/>
    <w:rsid w:val="1DCE3054"/>
    <w:rsid w:val="1E26624F"/>
    <w:rsid w:val="1E4B0DCA"/>
    <w:rsid w:val="1E617054"/>
    <w:rsid w:val="1E7F009A"/>
    <w:rsid w:val="1EAE0073"/>
    <w:rsid w:val="1ED61CF8"/>
    <w:rsid w:val="1F4E5E4E"/>
    <w:rsid w:val="1F525966"/>
    <w:rsid w:val="1F6D2139"/>
    <w:rsid w:val="1F6F5F92"/>
    <w:rsid w:val="1F8C04D8"/>
    <w:rsid w:val="1FAD2A59"/>
    <w:rsid w:val="1FD75D28"/>
    <w:rsid w:val="200B5CB8"/>
    <w:rsid w:val="205630F0"/>
    <w:rsid w:val="20586E69"/>
    <w:rsid w:val="2091237A"/>
    <w:rsid w:val="20DE6C42"/>
    <w:rsid w:val="2130749E"/>
    <w:rsid w:val="21710889"/>
    <w:rsid w:val="219E128B"/>
    <w:rsid w:val="219F4E8B"/>
    <w:rsid w:val="21C67E02"/>
    <w:rsid w:val="221943D6"/>
    <w:rsid w:val="23580F2E"/>
    <w:rsid w:val="239A0867"/>
    <w:rsid w:val="23CD5928"/>
    <w:rsid w:val="23D45DC0"/>
    <w:rsid w:val="241A270A"/>
    <w:rsid w:val="24547947"/>
    <w:rsid w:val="245C7F70"/>
    <w:rsid w:val="24A75516"/>
    <w:rsid w:val="251D6E96"/>
    <w:rsid w:val="251E5B96"/>
    <w:rsid w:val="256C18F4"/>
    <w:rsid w:val="258E6E89"/>
    <w:rsid w:val="25D80104"/>
    <w:rsid w:val="26076E80"/>
    <w:rsid w:val="26170C2C"/>
    <w:rsid w:val="264A4474"/>
    <w:rsid w:val="26586904"/>
    <w:rsid w:val="267A740D"/>
    <w:rsid w:val="272A0E33"/>
    <w:rsid w:val="277327DA"/>
    <w:rsid w:val="27912C60"/>
    <w:rsid w:val="27D56FF1"/>
    <w:rsid w:val="28AE3C8C"/>
    <w:rsid w:val="28F25F48"/>
    <w:rsid w:val="292E4F05"/>
    <w:rsid w:val="29451F54"/>
    <w:rsid w:val="296074BF"/>
    <w:rsid w:val="2A5D7A96"/>
    <w:rsid w:val="2A6E7289"/>
    <w:rsid w:val="2AB761FA"/>
    <w:rsid w:val="2AF75C96"/>
    <w:rsid w:val="2B022031"/>
    <w:rsid w:val="2B0674C1"/>
    <w:rsid w:val="2B762B5B"/>
    <w:rsid w:val="2B793AD0"/>
    <w:rsid w:val="2BCC070B"/>
    <w:rsid w:val="2BDB3AD7"/>
    <w:rsid w:val="2C072235"/>
    <w:rsid w:val="2C327BCB"/>
    <w:rsid w:val="2C5524AE"/>
    <w:rsid w:val="2CCD397D"/>
    <w:rsid w:val="2CD71ADE"/>
    <w:rsid w:val="2CE7730B"/>
    <w:rsid w:val="2CF87F64"/>
    <w:rsid w:val="2D4D2A86"/>
    <w:rsid w:val="2D5B590B"/>
    <w:rsid w:val="2DE735DA"/>
    <w:rsid w:val="2DFA2359"/>
    <w:rsid w:val="2E405189"/>
    <w:rsid w:val="2E452E34"/>
    <w:rsid w:val="2E526506"/>
    <w:rsid w:val="2F1856C3"/>
    <w:rsid w:val="2F591BB5"/>
    <w:rsid w:val="2F666780"/>
    <w:rsid w:val="2FA93899"/>
    <w:rsid w:val="2FCD4A51"/>
    <w:rsid w:val="2FCF07C9"/>
    <w:rsid w:val="300246FB"/>
    <w:rsid w:val="30077F63"/>
    <w:rsid w:val="30212D2A"/>
    <w:rsid w:val="3055190E"/>
    <w:rsid w:val="30B26121"/>
    <w:rsid w:val="30F578C7"/>
    <w:rsid w:val="30FD765B"/>
    <w:rsid w:val="3107557B"/>
    <w:rsid w:val="311F1372"/>
    <w:rsid w:val="313B30A4"/>
    <w:rsid w:val="313F45C2"/>
    <w:rsid w:val="31667FB0"/>
    <w:rsid w:val="31A57A34"/>
    <w:rsid w:val="31E24414"/>
    <w:rsid w:val="32017127"/>
    <w:rsid w:val="321A4503"/>
    <w:rsid w:val="32454D73"/>
    <w:rsid w:val="32EB591A"/>
    <w:rsid w:val="332D0DA5"/>
    <w:rsid w:val="334212AF"/>
    <w:rsid w:val="33784CD4"/>
    <w:rsid w:val="33B87FFA"/>
    <w:rsid w:val="33BC6189"/>
    <w:rsid w:val="34006150"/>
    <w:rsid w:val="340124BE"/>
    <w:rsid w:val="344219DC"/>
    <w:rsid w:val="344352E2"/>
    <w:rsid w:val="344C7360"/>
    <w:rsid w:val="346666B5"/>
    <w:rsid w:val="34851DAB"/>
    <w:rsid w:val="34A90A3D"/>
    <w:rsid w:val="34D16D92"/>
    <w:rsid w:val="35004F81"/>
    <w:rsid w:val="351530B1"/>
    <w:rsid w:val="351A6043"/>
    <w:rsid w:val="3522139B"/>
    <w:rsid w:val="35571C14"/>
    <w:rsid w:val="355D301E"/>
    <w:rsid w:val="355F3E26"/>
    <w:rsid w:val="357B68FB"/>
    <w:rsid w:val="35CF1523"/>
    <w:rsid w:val="36435A6D"/>
    <w:rsid w:val="36BD1388"/>
    <w:rsid w:val="36DF0F2D"/>
    <w:rsid w:val="37083764"/>
    <w:rsid w:val="37904CE2"/>
    <w:rsid w:val="379245B6"/>
    <w:rsid w:val="37F23808"/>
    <w:rsid w:val="386A108C"/>
    <w:rsid w:val="3882287D"/>
    <w:rsid w:val="38BB6C6D"/>
    <w:rsid w:val="38D96215"/>
    <w:rsid w:val="392207EA"/>
    <w:rsid w:val="398C439E"/>
    <w:rsid w:val="39F80C3C"/>
    <w:rsid w:val="3A212C7F"/>
    <w:rsid w:val="3A3000B7"/>
    <w:rsid w:val="3A48422D"/>
    <w:rsid w:val="3A5A0B7E"/>
    <w:rsid w:val="3A9F13BC"/>
    <w:rsid w:val="3AD83CCE"/>
    <w:rsid w:val="3B215BC2"/>
    <w:rsid w:val="3B392F9B"/>
    <w:rsid w:val="3B5A4E6D"/>
    <w:rsid w:val="3C306331"/>
    <w:rsid w:val="3C3C7866"/>
    <w:rsid w:val="3CAF5C0A"/>
    <w:rsid w:val="3CEA53F6"/>
    <w:rsid w:val="3DB214CE"/>
    <w:rsid w:val="3DB92552"/>
    <w:rsid w:val="3DDC47DD"/>
    <w:rsid w:val="3DE051EE"/>
    <w:rsid w:val="3DEC4BEA"/>
    <w:rsid w:val="3DF20955"/>
    <w:rsid w:val="3DFD6502"/>
    <w:rsid w:val="3E1425A5"/>
    <w:rsid w:val="3EB05C6A"/>
    <w:rsid w:val="3F56236D"/>
    <w:rsid w:val="3F6251B6"/>
    <w:rsid w:val="3FE47979"/>
    <w:rsid w:val="406F4DA3"/>
    <w:rsid w:val="409A274A"/>
    <w:rsid w:val="40B25CC9"/>
    <w:rsid w:val="40DE6ABE"/>
    <w:rsid w:val="410D73A4"/>
    <w:rsid w:val="41151DB4"/>
    <w:rsid w:val="4124336F"/>
    <w:rsid w:val="41630D72"/>
    <w:rsid w:val="41792343"/>
    <w:rsid w:val="41847666"/>
    <w:rsid w:val="4189078D"/>
    <w:rsid w:val="41915593"/>
    <w:rsid w:val="429A6A15"/>
    <w:rsid w:val="42AA1F42"/>
    <w:rsid w:val="42BD15EC"/>
    <w:rsid w:val="43087A30"/>
    <w:rsid w:val="430D5439"/>
    <w:rsid w:val="431747A5"/>
    <w:rsid w:val="43250658"/>
    <w:rsid w:val="43505326"/>
    <w:rsid w:val="43574906"/>
    <w:rsid w:val="43615785"/>
    <w:rsid w:val="438D689B"/>
    <w:rsid w:val="43987851"/>
    <w:rsid w:val="43AE02ED"/>
    <w:rsid w:val="43C822D4"/>
    <w:rsid w:val="43DA2B56"/>
    <w:rsid w:val="43ED1C79"/>
    <w:rsid w:val="443D6F42"/>
    <w:rsid w:val="44496945"/>
    <w:rsid w:val="44AA58B3"/>
    <w:rsid w:val="44AB1874"/>
    <w:rsid w:val="44C24001"/>
    <w:rsid w:val="45506045"/>
    <w:rsid w:val="45604523"/>
    <w:rsid w:val="45A831F7"/>
    <w:rsid w:val="45C8407F"/>
    <w:rsid w:val="45F57422"/>
    <w:rsid w:val="45F823D0"/>
    <w:rsid w:val="46001C7B"/>
    <w:rsid w:val="4604222D"/>
    <w:rsid w:val="46050649"/>
    <w:rsid w:val="460C314A"/>
    <w:rsid w:val="461E795D"/>
    <w:rsid w:val="4631143E"/>
    <w:rsid w:val="46362F69"/>
    <w:rsid w:val="46386C71"/>
    <w:rsid w:val="46487760"/>
    <w:rsid w:val="46575145"/>
    <w:rsid w:val="46C57F11"/>
    <w:rsid w:val="46F30DEA"/>
    <w:rsid w:val="47040901"/>
    <w:rsid w:val="474931B2"/>
    <w:rsid w:val="47C22C96"/>
    <w:rsid w:val="47FF064F"/>
    <w:rsid w:val="480B1540"/>
    <w:rsid w:val="485E533F"/>
    <w:rsid w:val="488241D3"/>
    <w:rsid w:val="491258DC"/>
    <w:rsid w:val="493A4AAE"/>
    <w:rsid w:val="49446C09"/>
    <w:rsid w:val="49610644"/>
    <w:rsid w:val="49693B09"/>
    <w:rsid w:val="49851C32"/>
    <w:rsid w:val="498A77E3"/>
    <w:rsid w:val="49A56EE3"/>
    <w:rsid w:val="49CF7754"/>
    <w:rsid w:val="49E36EF3"/>
    <w:rsid w:val="49EF4246"/>
    <w:rsid w:val="4A0654DC"/>
    <w:rsid w:val="4A12749E"/>
    <w:rsid w:val="4A143551"/>
    <w:rsid w:val="4A610DF6"/>
    <w:rsid w:val="4A7140CA"/>
    <w:rsid w:val="4A9326C8"/>
    <w:rsid w:val="4AA11B0B"/>
    <w:rsid w:val="4ABC5DD2"/>
    <w:rsid w:val="4ABE02E5"/>
    <w:rsid w:val="4B621471"/>
    <w:rsid w:val="4B657F50"/>
    <w:rsid w:val="4B9E11B1"/>
    <w:rsid w:val="4BA907E3"/>
    <w:rsid w:val="4BBE51C0"/>
    <w:rsid w:val="4BCE3AD9"/>
    <w:rsid w:val="4BD9235C"/>
    <w:rsid w:val="4C1753ED"/>
    <w:rsid w:val="4C667003"/>
    <w:rsid w:val="4C74746E"/>
    <w:rsid w:val="4CE54D31"/>
    <w:rsid w:val="4D2163D0"/>
    <w:rsid w:val="4D4B18E5"/>
    <w:rsid w:val="4D607209"/>
    <w:rsid w:val="4D6A7284"/>
    <w:rsid w:val="4D72067C"/>
    <w:rsid w:val="4D781691"/>
    <w:rsid w:val="4D9218E1"/>
    <w:rsid w:val="4DA55576"/>
    <w:rsid w:val="4DD059E1"/>
    <w:rsid w:val="4E197388"/>
    <w:rsid w:val="4E516B22"/>
    <w:rsid w:val="4EAC1CF1"/>
    <w:rsid w:val="4ED51CD9"/>
    <w:rsid w:val="4EDE3549"/>
    <w:rsid w:val="4EE02CDE"/>
    <w:rsid w:val="4EE03A01"/>
    <w:rsid w:val="4F794D58"/>
    <w:rsid w:val="4F8448F2"/>
    <w:rsid w:val="4F8B7E11"/>
    <w:rsid w:val="4F8D6891"/>
    <w:rsid w:val="4F9C1947"/>
    <w:rsid w:val="4FA5436C"/>
    <w:rsid w:val="4FA85FEA"/>
    <w:rsid w:val="4FE033EC"/>
    <w:rsid w:val="4FF1337F"/>
    <w:rsid w:val="5019366F"/>
    <w:rsid w:val="502C5C58"/>
    <w:rsid w:val="502E50F4"/>
    <w:rsid w:val="50384256"/>
    <w:rsid w:val="505E5526"/>
    <w:rsid w:val="5098103F"/>
    <w:rsid w:val="50A3118B"/>
    <w:rsid w:val="50AE307B"/>
    <w:rsid w:val="50C7131D"/>
    <w:rsid w:val="50CC248F"/>
    <w:rsid w:val="50EF2622"/>
    <w:rsid w:val="511A3CE9"/>
    <w:rsid w:val="511B722F"/>
    <w:rsid w:val="513149E8"/>
    <w:rsid w:val="51677FFE"/>
    <w:rsid w:val="519304C7"/>
    <w:rsid w:val="51A2178B"/>
    <w:rsid w:val="51AA471F"/>
    <w:rsid w:val="520B5A03"/>
    <w:rsid w:val="52614E59"/>
    <w:rsid w:val="52976ACD"/>
    <w:rsid w:val="53204D14"/>
    <w:rsid w:val="533B7DA0"/>
    <w:rsid w:val="53622239"/>
    <w:rsid w:val="537B1F4B"/>
    <w:rsid w:val="53BF62DB"/>
    <w:rsid w:val="54317321"/>
    <w:rsid w:val="544417A6"/>
    <w:rsid w:val="544D4EA0"/>
    <w:rsid w:val="547370C6"/>
    <w:rsid w:val="54817A35"/>
    <w:rsid w:val="54AA5234"/>
    <w:rsid w:val="54B75204"/>
    <w:rsid w:val="54DD45D9"/>
    <w:rsid w:val="54E176E4"/>
    <w:rsid w:val="54E546AC"/>
    <w:rsid w:val="553834E7"/>
    <w:rsid w:val="559066BB"/>
    <w:rsid w:val="55AD5535"/>
    <w:rsid w:val="55BF269E"/>
    <w:rsid w:val="55DD5CB4"/>
    <w:rsid w:val="55DD66F5"/>
    <w:rsid w:val="55E464CD"/>
    <w:rsid w:val="560F04C9"/>
    <w:rsid w:val="564156CE"/>
    <w:rsid w:val="566273F2"/>
    <w:rsid w:val="56682C5A"/>
    <w:rsid w:val="56756BA4"/>
    <w:rsid w:val="56E2173C"/>
    <w:rsid w:val="56EA1292"/>
    <w:rsid w:val="574D0C27"/>
    <w:rsid w:val="578651E7"/>
    <w:rsid w:val="57A9433B"/>
    <w:rsid w:val="57CC7219"/>
    <w:rsid w:val="57F8000E"/>
    <w:rsid w:val="58294241"/>
    <w:rsid w:val="584414A5"/>
    <w:rsid w:val="584C43A0"/>
    <w:rsid w:val="5887183A"/>
    <w:rsid w:val="589139C3"/>
    <w:rsid w:val="58BA1767"/>
    <w:rsid w:val="58BF2716"/>
    <w:rsid w:val="58E31EC0"/>
    <w:rsid w:val="591064E5"/>
    <w:rsid w:val="5913438D"/>
    <w:rsid w:val="59253609"/>
    <w:rsid w:val="5952374E"/>
    <w:rsid w:val="59883613"/>
    <w:rsid w:val="59C939C3"/>
    <w:rsid w:val="59D423B5"/>
    <w:rsid w:val="59D57819"/>
    <w:rsid w:val="5A6C145A"/>
    <w:rsid w:val="5A98470F"/>
    <w:rsid w:val="5AB87F28"/>
    <w:rsid w:val="5ABE7B70"/>
    <w:rsid w:val="5AC4067B"/>
    <w:rsid w:val="5AEE74A6"/>
    <w:rsid w:val="5B063975"/>
    <w:rsid w:val="5B4D0671"/>
    <w:rsid w:val="5B647BFC"/>
    <w:rsid w:val="5B6D486F"/>
    <w:rsid w:val="5BAD55B3"/>
    <w:rsid w:val="5C226A4D"/>
    <w:rsid w:val="5CD41A33"/>
    <w:rsid w:val="5CD84015"/>
    <w:rsid w:val="5CFC10D2"/>
    <w:rsid w:val="5D225ADD"/>
    <w:rsid w:val="5D6469BA"/>
    <w:rsid w:val="5D83037A"/>
    <w:rsid w:val="5D9355C8"/>
    <w:rsid w:val="5DA36C6E"/>
    <w:rsid w:val="5E2A4C99"/>
    <w:rsid w:val="5E563EAE"/>
    <w:rsid w:val="5E745F14"/>
    <w:rsid w:val="5E895E64"/>
    <w:rsid w:val="5E9266DB"/>
    <w:rsid w:val="5E9E7C02"/>
    <w:rsid w:val="5EC80949"/>
    <w:rsid w:val="5EEC7108"/>
    <w:rsid w:val="5F35637B"/>
    <w:rsid w:val="5F5D4BFA"/>
    <w:rsid w:val="5F7F3432"/>
    <w:rsid w:val="5F7F587A"/>
    <w:rsid w:val="5FD70E51"/>
    <w:rsid w:val="5FDF13DA"/>
    <w:rsid w:val="5FFA4A2E"/>
    <w:rsid w:val="60123C37"/>
    <w:rsid w:val="608E4844"/>
    <w:rsid w:val="60DE25A3"/>
    <w:rsid w:val="60EA78AC"/>
    <w:rsid w:val="614B7400"/>
    <w:rsid w:val="615A3AE7"/>
    <w:rsid w:val="61692624"/>
    <w:rsid w:val="617221C8"/>
    <w:rsid w:val="617C1CB0"/>
    <w:rsid w:val="61922EB0"/>
    <w:rsid w:val="61C80A51"/>
    <w:rsid w:val="61DE0849"/>
    <w:rsid w:val="61FF370F"/>
    <w:rsid w:val="620A772B"/>
    <w:rsid w:val="62373E29"/>
    <w:rsid w:val="62631329"/>
    <w:rsid w:val="62836D04"/>
    <w:rsid w:val="62E23D94"/>
    <w:rsid w:val="63053DF1"/>
    <w:rsid w:val="63307788"/>
    <w:rsid w:val="63512CC8"/>
    <w:rsid w:val="63A70B3A"/>
    <w:rsid w:val="63D16FDA"/>
    <w:rsid w:val="645138AB"/>
    <w:rsid w:val="6468651B"/>
    <w:rsid w:val="64F20CD0"/>
    <w:rsid w:val="65113A94"/>
    <w:rsid w:val="652353D0"/>
    <w:rsid w:val="654F73EE"/>
    <w:rsid w:val="65B51117"/>
    <w:rsid w:val="65E75180"/>
    <w:rsid w:val="6608112B"/>
    <w:rsid w:val="66251924"/>
    <w:rsid w:val="66385495"/>
    <w:rsid w:val="664E2AA4"/>
    <w:rsid w:val="668C4743"/>
    <w:rsid w:val="67DF08A2"/>
    <w:rsid w:val="680D363F"/>
    <w:rsid w:val="68435CC2"/>
    <w:rsid w:val="68F44821"/>
    <w:rsid w:val="68F47416"/>
    <w:rsid w:val="68F62348"/>
    <w:rsid w:val="690D761B"/>
    <w:rsid w:val="6973347C"/>
    <w:rsid w:val="698C2CAC"/>
    <w:rsid w:val="69E53027"/>
    <w:rsid w:val="69F34AD9"/>
    <w:rsid w:val="69F8644D"/>
    <w:rsid w:val="6A4432DE"/>
    <w:rsid w:val="6A470981"/>
    <w:rsid w:val="6A503532"/>
    <w:rsid w:val="6A5C17EC"/>
    <w:rsid w:val="6AAB0F10"/>
    <w:rsid w:val="6ADB77DB"/>
    <w:rsid w:val="6ADF5F6D"/>
    <w:rsid w:val="6AE659A3"/>
    <w:rsid w:val="6AED76D6"/>
    <w:rsid w:val="6B1208F5"/>
    <w:rsid w:val="6B120F8F"/>
    <w:rsid w:val="6B9D4323"/>
    <w:rsid w:val="6BCD2135"/>
    <w:rsid w:val="6BD36970"/>
    <w:rsid w:val="6BE566A3"/>
    <w:rsid w:val="6C0C59DE"/>
    <w:rsid w:val="6C3118E9"/>
    <w:rsid w:val="6C425BE9"/>
    <w:rsid w:val="6C5633E1"/>
    <w:rsid w:val="6C792204"/>
    <w:rsid w:val="6CF105C9"/>
    <w:rsid w:val="6CFF3BD0"/>
    <w:rsid w:val="6D0F46A4"/>
    <w:rsid w:val="6D175990"/>
    <w:rsid w:val="6D241A52"/>
    <w:rsid w:val="6D360E1C"/>
    <w:rsid w:val="6D3E7675"/>
    <w:rsid w:val="6D631F76"/>
    <w:rsid w:val="6D6D06FE"/>
    <w:rsid w:val="6D6D5576"/>
    <w:rsid w:val="6D6F4477"/>
    <w:rsid w:val="6D961554"/>
    <w:rsid w:val="6D997745"/>
    <w:rsid w:val="6E001573"/>
    <w:rsid w:val="6E4D21A9"/>
    <w:rsid w:val="6E7D0E15"/>
    <w:rsid w:val="6E87347F"/>
    <w:rsid w:val="6EDF387E"/>
    <w:rsid w:val="6F021716"/>
    <w:rsid w:val="6F3E67F6"/>
    <w:rsid w:val="6F480413"/>
    <w:rsid w:val="6F7C731F"/>
    <w:rsid w:val="6FA6277F"/>
    <w:rsid w:val="6FC224C5"/>
    <w:rsid w:val="6FC30AAA"/>
    <w:rsid w:val="6FF033C7"/>
    <w:rsid w:val="70A90D18"/>
    <w:rsid w:val="70CE5958"/>
    <w:rsid w:val="711B55DD"/>
    <w:rsid w:val="718D1A5C"/>
    <w:rsid w:val="718F4A08"/>
    <w:rsid w:val="71D71EB9"/>
    <w:rsid w:val="721B6AFC"/>
    <w:rsid w:val="722C7F80"/>
    <w:rsid w:val="723849E3"/>
    <w:rsid w:val="723A7E2D"/>
    <w:rsid w:val="723F6B0D"/>
    <w:rsid w:val="7254624C"/>
    <w:rsid w:val="72594A12"/>
    <w:rsid w:val="72673FF0"/>
    <w:rsid w:val="727A5D97"/>
    <w:rsid w:val="729D4377"/>
    <w:rsid w:val="72A17993"/>
    <w:rsid w:val="72D60AF4"/>
    <w:rsid w:val="72DF5BFA"/>
    <w:rsid w:val="72FB055A"/>
    <w:rsid w:val="7371012D"/>
    <w:rsid w:val="737F2F3A"/>
    <w:rsid w:val="73AF1A71"/>
    <w:rsid w:val="742C22DD"/>
    <w:rsid w:val="74763CC5"/>
    <w:rsid w:val="74911176"/>
    <w:rsid w:val="74A715D2"/>
    <w:rsid w:val="74AF48D2"/>
    <w:rsid w:val="74BF6BC1"/>
    <w:rsid w:val="74C2141F"/>
    <w:rsid w:val="74C67E78"/>
    <w:rsid w:val="74FD06B6"/>
    <w:rsid w:val="75353E32"/>
    <w:rsid w:val="75442478"/>
    <w:rsid w:val="758111EB"/>
    <w:rsid w:val="75926681"/>
    <w:rsid w:val="759B1E94"/>
    <w:rsid w:val="75A924F0"/>
    <w:rsid w:val="76114C42"/>
    <w:rsid w:val="76164029"/>
    <w:rsid w:val="76564426"/>
    <w:rsid w:val="7691545E"/>
    <w:rsid w:val="76B012F4"/>
    <w:rsid w:val="76C3082D"/>
    <w:rsid w:val="7726489B"/>
    <w:rsid w:val="775E5C88"/>
    <w:rsid w:val="77674410"/>
    <w:rsid w:val="77704737"/>
    <w:rsid w:val="77822FF8"/>
    <w:rsid w:val="781A5C19"/>
    <w:rsid w:val="783E33C3"/>
    <w:rsid w:val="785901FD"/>
    <w:rsid w:val="785B52D1"/>
    <w:rsid w:val="78986F77"/>
    <w:rsid w:val="78A3591C"/>
    <w:rsid w:val="78D87374"/>
    <w:rsid w:val="78F95E57"/>
    <w:rsid w:val="790E2D96"/>
    <w:rsid w:val="797846B3"/>
    <w:rsid w:val="79B57CE2"/>
    <w:rsid w:val="79BD2A0E"/>
    <w:rsid w:val="79E461EC"/>
    <w:rsid w:val="7A0A0114"/>
    <w:rsid w:val="7A772BBC"/>
    <w:rsid w:val="7AF9268C"/>
    <w:rsid w:val="7BC03EBF"/>
    <w:rsid w:val="7BE201B9"/>
    <w:rsid w:val="7C2E78D5"/>
    <w:rsid w:val="7CA879B6"/>
    <w:rsid w:val="7CD073F4"/>
    <w:rsid w:val="7CEA1D6C"/>
    <w:rsid w:val="7D2012E9"/>
    <w:rsid w:val="7D8555F0"/>
    <w:rsid w:val="7D9D293A"/>
    <w:rsid w:val="7E380DE2"/>
    <w:rsid w:val="7E4D4360"/>
    <w:rsid w:val="7E5576B9"/>
    <w:rsid w:val="7E5D031B"/>
    <w:rsid w:val="7E834226"/>
    <w:rsid w:val="7E9B4891"/>
    <w:rsid w:val="7E9F0934"/>
    <w:rsid w:val="7F7C78BF"/>
    <w:rsid w:val="7F9D30C5"/>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3">
    <w:name w:val="heading 3"/>
    <w:basedOn w:val="1"/>
    <w:next w:val="1"/>
    <w:link w:val="28"/>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4">
    <w:name w:val="heading 4"/>
    <w:basedOn w:val="2"/>
    <w:next w:val="1"/>
    <w:qFormat/>
    <w:uiPriority w:val="0"/>
    <w:pPr>
      <w:widowControl/>
      <w:spacing w:before="280" w:after="290" w:line="376" w:lineRule="auto"/>
      <w:jc w:val="center"/>
      <w:outlineLvl w:val="3"/>
    </w:pPr>
    <w:rPr>
      <w:rFonts w:ascii="Cambria" w:hAnsi="Cambria"/>
      <w:bCs w:val="0"/>
      <w:kern w:val="0"/>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annotation text"/>
    <w:basedOn w:val="1"/>
    <w:link w:val="35"/>
    <w:semiHidden/>
    <w:unhideWhenUsed/>
    <w:qFormat/>
    <w:uiPriority w:val="99"/>
    <w:pPr>
      <w:jc w:val="left"/>
    </w:pPr>
  </w:style>
  <w:style w:type="paragraph" w:styleId="7">
    <w:name w:val="Body Text"/>
    <w:basedOn w:val="1"/>
    <w:next w:val="1"/>
    <w:qFormat/>
    <w:uiPriority w:val="0"/>
    <w:rPr>
      <w:rFonts w:ascii="方正仿宋_GB2312" w:eastAsia="方正仿宋_GB2312"/>
      <w:sz w:val="32"/>
    </w:rPr>
  </w:style>
  <w:style w:type="paragraph" w:styleId="8">
    <w:name w:val="Body Text Indent"/>
    <w:basedOn w:val="1"/>
    <w:next w:val="9"/>
    <w:qFormat/>
    <w:uiPriority w:val="99"/>
    <w:pPr>
      <w:spacing w:line="360" w:lineRule="auto"/>
      <w:ind w:firstLine="570"/>
    </w:pPr>
    <w:rPr>
      <w:sz w:val="24"/>
    </w:rPr>
  </w:style>
  <w:style w:type="paragraph" w:styleId="9">
    <w:name w:val="envelope return"/>
    <w:basedOn w:val="1"/>
    <w:qFormat/>
    <w:uiPriority w:val="0"/>
    <w:rPr>
      <w:rFonts w:ascii="Arial" w:hAnsi="Arial" w:eastAsia="Arial"/>
      <w:spacing w:val="-10"/>
      <w:szCs w:val="21"/>
    </w:rPr>
  </w:style>
  <w:style w:type="paragraph" w:styleId="10">
    <w:name w:val="Plain Text"/>
    <w:basedOn w:val="1"/>
    <w:link w:val="24"/>
    <w:qFormat/>
    <w:uiPriority w:val="0"/>
    <w:rPr>
      <w:rFonts w:ascii="宋体" w:hAnsi="Courier New"/>
    </w:rPr>
  </w:style>
  <w:style w:type="paragraph" w:styleId="11">
    <w:name w:val="Date"/>
    <w:basedOn w:val="1"/>
    <w:next w:val="1"/>
    <w:qFormat/>
    <w:uiPriority w:val="0"/>
  </w:style>
  <w:style w:type="paragraph" w:styleId="12">
    <w:name w:val="Body Text Indent 2"/>
    <w:basedOn w:val="1"/>
    <w:link w:val="29"/>
    <w:qFormat/>
    <w:uiPriority w:val="0"/>
    <w:pPr>
      <w:snapToGrid w:val="0"/>
      <w:spacing w:line="560" w:lineRule="atLeast"/>
      <w:ind w:firstLine="540"/>
    </w:pPr>
    <w:rPr>
      <w:sz w:val="28"/>
    </w:rPr>
  </w:style>
  <w:style w:type="paragraph" w:styleId="13">
    <w:name w:val="Balloon Text"/>
    <w:basedOn w:val="1"/>
    <w:link w:val="37"/>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line="180" w:lineRule="auto"/>
      <w:jc w:val="center"/>
    </w:pPr>
    <w:rPr>
      <w:sz w:val="30"/>
    </w:rPr>
  </w:style>
  <w:style w:type="paragraph" w:styleId="17">
    <w:name w:val="Subtitle"/>
    <w:basedOn w:val="1"/>
    <w:next w:val="1"/>
    <w:qFormat/>
    <w:uiPriority w:val="11"/>
    <w:pPr>
      <w:spacing w:before="240" w:after="60" w:line="312" w:lineRule="auto"/>
      <w:jc w:val="center"/>
      <w:outlineLvl w:val="1"/>
    </w:pPr>
    <w:rPr>
      <w:b/>
      <w:bCs/>
      <w:kern w:val="28"/>
      <w:sz w:val="32"/>
      <w:szCs w:val="32"/>
    </w:rPr>
  </w:style>
  <w:style w:type="paragraph" w:styleId="18">
    <w:name w:val="annotation subject"/>
    <w:basedOn w:val="6"/>
    <w:next w:val="6"/>
    <w:link w:val="36"/>
    <w:semiHidden/>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semiHidden/>
    <w:unhideWhenUsed/>
    <w:qFormat/>
    <w:uiPriority w:val="99"/>
    <w:rPr>
      <w:sz w:val="21"/>
      <w:szCs w:val="21"/>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4">
    <w:name w:val="纯文本 Char1"/>
    <w:link w:val="10"/>
    <w:qFormat/>
    <w:locked/>
    <w:uiPriority w:val="0"/>
    <w:rPr>
      <w:rFonts w:ascii="宋体" w:hAnsi="Courier New"/>
    </w:rPr>
  </w:style>
  <w:style w:type="character" w:customStyle="1" w:styleId="25">
    <w:name w:val="纯文本 Char"/>
    <w:basedOn w:val="21"/>
    <w:semiHidden/>
    <w:qFormat/>
    <w:uiPriority w:val="99"/>
    <w:rPr>
      <w:rFonts w:ascii="宋体" w:hAnsi="Courier New" w:eastAsia="宋体" w:cs="Courier New"/>
      <w:szCs w:val="21"/>
    </w:rPr>
  </w:style>
  <w:style w:type="character" w:customStyle="1" w:styleId="26">
    <w:name w:val="bluetitle1"/>
    <w:qFormat/>
    <w:uiPriority w:val="0"/>
    <w:rPr>
      <w:b/>
      <w:bCs/>
      <w:color w:val="081B39"/>
      <w:sz w:val="21"/>
      <w:szCs w:val="21"/>
    </w:rPr>
  </w:style>
  <w:style w:type="character" w:customStyle="1" w:styleId="27">
    <w:name w:val="标题 3 Char"/>
    <w:basedOn w:val="21"/>
    <w:semiHidden/>
    <w:qFormat/>
    <w:uiPriority w:val="9"/>
    <w:rPr>
      <w:b/>
      <w:bCs/>
      <w:sz w:val="32"/>
      <w:szCs w:val="32"/>
    </w:rPr>
  </w:style>
  <w:style w:type="character" w:customStyle="1" w:styleId="28">
    <w:name w:val="标题 3 Char1"/>
    <w:link w:val="3"/>
    <w:qFormat/>
    <w:uiPriority w:val="0"/>
    <w:rPr>
      <w:rFonts w:ascii="Times New Roman" w:hAnsi="Times New Roman" w:eastAsia="宋体" w:cs="Times New Roman"/>
      <w:b/>
      <w:sz w:val="32"/>
      <w:szCs w:val="20"/>
    </w:rPr>
  </w:style>
  <w:style w:type="character" w:customStyle="1" w:styleId="29">
    <w:name w:val="正文文本缩进 2 Char1"/>
    <w:link w:val="12"/>
    <w:qFormat/>
    <w:uiPriority w:val="0"/>
    <w:rPr>
      <w:sz w:val="28"/>
    </w:rPr>
  </w:style>
  <w:style w:type="character" w:customStyle="1" w:styleId="30">
    <w:name w:val="正文文本缩进 2 Char"/>
    <w:basedOn w:val="21"/>
    <w:semiHidden/>
    <w:qFormat/>
    <w:uiPriority w:val="99"/>
  </w:style>
  <w:style w:type="character" w:customStyle="1" w:styleId="31">
    <w:name w:val="页眉 Char"/>
    <w:basedOn w:val="21"/>
    <w:link w:val="15"/>
    <w:qFormat/>
    <w:uiPriority w:val="99"/>
    <w:rPr>
      <w:sz w:val="18"/>
      <w:szCs w:val="18"/>
    </w:rPr>
  </w:style>
  <w:style w:type="character" w:customStyle="1" w:styleId="32">
    <w:name w:val="页脚 Char"/>
    <w:basedOn w:val="21"/>
    <w:link w:val="14"/>
    <w:qFormat/>
    <w:uiPriority w:val="99"/>
    <w:rPr>
      <w:sz w:val="18"/>
      <w:szCs w:val="18"/>
    </w:rPr>
  </w:style>
  <w:style w:type="character" w:customStyle="1" w:styleId="33">
    <w:name w:val="纯文本 字符"/>
    <w:qFormat/>
    <w:locked/>
    <w:uiPriority w:val="0"/>
    <w:rPr>
      <w:rFonts w:ascii="宋体" w:hAnsi="Courier New"/>
      <w:kern w:val="2"/>
      <w:sz w:val="21"/>
    </w:rPr>
  </w:style>
  <w:style w:type="character" w:customStyle="1" w:styleId="34">
    <w:name w:val="标题 3 字符"/>
    <w:qFormat/>
    <w:uiPriority w:val="0"/>
    <w:rPr>
      <w:rFonts w:eastAsia="宋体"/>
      <w:b/>
      <w:kern w:val="2"/>
      <w:sz w:val="32"/>
      <w:lang w:val="en-US" w:eastAsia="zh-CN"/>
    </w:rPr>
  </w:style>
  <w:style w:type="character" w:customStyle="1" w:styleId="35">
    <w:name w:val="批注文字 Char"/>
    <w:basedOn w:val="21"/>
    <w:link w:val="6"/>
    <w:semiHidden/>
    <w:qFormat/>
    <w:uiPriority w:val="99"/>
  </w:style>
  <w:style w:type="character" w:customStyle="1" w:styleId="36">
    <w:name w:val="批注主题 Char"/>
    <w:basedOn w:val="35"/>
    <w:link w:val="18"/>
    <w:semiHidden/>
    <w:qFormat/>
    <w:uiPriority w:val="99"/>
    <w:rPr>
      <w:b/>
      <w:bCs/>
    </w:rPr>
  </w:style>
  <w:style w:type="character" w:customStyle="1" w:styleId="37">
    <w:name w:val="批注框文本 Char"/>
    <w:basedOn w:val="21"/>
    <w:link w:val="13"/>
    <w:semiHidden/>
    <w:qFormat/>
    <w:uiPriority w:val="99"/>
    <w:rPr>
      <w:sz w:val="18"/>
      <w:szCs w:val="18"/>
    </w:rPr>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9">
    <w:name w:val="font21"/>
    <w:basedOn w:val="21"/>
    <w:qFormat/>
    <w:uiPriority w:val="0"/>
    <w:rPr>
      <w:rFonts w:hint="eastAsia" w:ascii="宋体" w:hAnsi="宋体" w:eastAsia="宋体" w:cs="宋体"/>
      <w:color w:val="000000"/>
      <w:sz w:val="24"/>
      <w:szCs w:val="24"/>
      <w:u w:val="none"/>
    </w:rPr>
  </w:style>
  <w:style w:type="character" w:customStyle="1" w:styleId="40">
    <w:name w:val="font11"/>
    <w:basedOn w:val="21"/>
    <w:qFormat/>
    <w:uiPriority w:val="0"/>
    <w:rPr>
      <w:rFonts w:hint="eastAsia" w:ascii="宋体" w:hAnsi="宋体" w:eastAsia="宋体" w:cs="宋体"/>
      <w:color w:val="000000"/>
      <w:sz w:val="28"/>
      <w:szCs w:val="28"/>
      <w:u w:val="none"/>
    </w:rPr>
  </w:style>
  <w:style w:type="character" w:customStyle="1" w:styleId="41">
    <w:name w:val="font61"/>
    <w:basedOn w:val="21"/>
    <w:qFormat/>
    <w:uiPriority w:val="0"/>
    <w:rPr>
      <w:rFonts w:hint="eastAsia" w:ascii="宋体" w:hAnsi="宋体" w:eastAsia="宋体" w:cs="宋体"/>
      <w:color w:val="000000"/>
      <w:sz w:val="20"/>
      <w:szCs w:val="20"/>
      <w:u w:val="none"/>
    </w:rPr>
  </w:style>
  <w:style w:type="character" w:customStyle="1" w:styleId="42">
    <w:name w:val="font121"/>
    <w:basedOn w:val="21"/>
    <w:qFormat/>
    <w:uiPriority w:val="0"/>
    <w:rPr>
      <w:rFonts w:hint="eastAsia" w:ascii="宋体" w:hAnsi="宋体" w:eastAsia="宋体" w:cs="宋体"/>
      <w:color w:val="FF0000"/>
      <w:sz w:val="20"/>
      <w:szCs w:val="20"/>
      <w:u w:val="none"/>
    </w:rPr>
  </w:style>
  <w:style w:type="character" w:customStyle="1" w:styleId="43">
    <w:name w:val="font101"/>
    <w:basedOn w:val="21"/>
    <w:qFormat/>
    <w:uiPriority w:val="0"/>
    <w:rPr>
      <w:rFonts w:hint="eastAsia" w:ascii="宋体" w:hAnsi="宋体" w:eastAsia="宋体" w:cs="宋体"/>
      <w:color w:val="FF0000"/>
      <w:sz w:val="22"/>
      <w:szCs w:val="22"/>
      <w:u w:val="none"/>
    </w:rPr>
  </w:style>
  <w:style w:type="character" w:customStyle="1" w:styleId="44">
    <w:name w:val="font31"/>
    <w:basedOn w:val="21"/>
    <w:qFormat/>
    <w:uiPriority w:val="0"/>
    <w:rPr>
      <w:rFonts w:hint="eastAsia" w:ascii="宋体" w:hAnsi="宋体" w:eastAsia="宋体" w:cs="宋体"/>
      <w:color w:val="000000"/>
      <w:sz w:val="22"/>
      <w:szCs w:val="22"/>
      <w:u w:val="none"/>
    </w:rPr>
  </w:style>
  <w:style w:type="character" w:customStyle="1" w:styleId="4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58D7D8-2A98-4DA1-9BEE-FFE33F950C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13941</Words>
  <Characters>14270</Characters>
  <Lines>104</Lines>
  <Paragraphs>29</Paragraphs>
  <TotalTime>4</TotalTime>
  <ScaleCrop>false</ScaleCrop>
  <LinksUpToDate>false</LinksUpToDate>
  <CharactersWithSpaces>14733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2022-09-06T06:37:00Z</dcterms:created>
  <dc:creator>PC</dc:creator>
  <cp:lastModifiedBy>鲁小嘉</cp:lastModifiedBy>
  <cp:lastPrinted>2025-02-26T01:27:00Z</cp:lastPrinted>
  <dcterms:modified xsi:type="dcterms:W3CDTF">2026-06-08T06:59:07Z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C490BD3F9DCC412AA815CA21BE7137C9_13</vt:lpwstr>
  </property>
  <property fmtid="{D5CDD505-2E9C-101B-9397-08002B2CF9AE}" pid="4" name="KSOTemplateDocerSaveRecord">
    <vt:lpwstr>eyJoZGlkIjoiZmU0M2EwOTE5OTQxZjQzZGE0OWYwMDEzN2Y4NTM5MzYiLCJ1c2VySWQiOiIyNDY0NDkwNDQifQ==</vt:lpwstr>
  </property>
</Properties>
</file>