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099EE">
      <w:pPr>
        <w:pageBreakBefore w:val="0"/>
        <w:kinsoku/>
        <w:overflowPunct/>
        <w:topLinePunct w:val="0"/>
        <w:autoSpaceDE/>
        <w:autoSpaceDN/>
        <w:bidi w:val="0"/>
        <w:adjustRightInd/>
        <w:snapToGrid w:val="0"/>
        <w:spacing w:line="312" w:lineRule="auto"/>
        <w:jc w:val="center"/>
        <w:rPr>
          <w:rFonts w:hint="eastAsia" w:ascii="黑体" w:hAnsi="黑体" w:eastAsia="黑体" w:cs="黑体"/>
          <w:b/>
          <w:color w:val="auto"/>
          <w:sz w:val="32"/>
          <w:szCs w:val="32"/>
          <w:highlight w:val="none"/>
        </w:rPr>
      </w:pPr>
    </w:p>
    <w:p w14:paraId="5750D350">
      <w:pPr>
        <w:pageBreakBefore w:val="0"/>
        <w:kinsoku/>
        <w:overflowPunct/>
        <w:topLinePunct w:val="0"/>
        <w:autoSpaceDE/>
        <w:autoSpaceDN/>
        <w:bidi w:val="0"/>
        <w:adjustRightInd/>
        <w:snapToGrid w:val="0"/>
        <w:spacing w:line="312" w:lineRule="auto"/>
        <w:jc w:val="center"/>
        <w:rPr>
          <w:rFonts w:hint="eastAsia" w:ascii="黑体" w:hAnsi="黑体" w:eastAsia="黑体" w:cs="黑体"/>
          <w:b/>
          <w:color w:val="auto"/>
          <w:sz w:val="32"/>
          <w:szCs w:val="32"/>
          <w:highlight w:val="none"/>
        </w:rPr>
      </w:pPr>
    </w:p>
    <w:p w14:paraId="569CE604">
      <w:pPr>
        <w:pageBreakBefore w:val="0"/>
        <w:kinsoku/>
        <w:overflowPunct/>
        <w:topLinePunct w:val="0"/>
        <w:autoSpaceDE/>
        <w:autoSpaceDN/>
        <w:bidi w:val="0"/>
        <w:adjustRightInd/>
        <w:snapToGrid w:val="0"/>
        <w:spacing w:line="312" w:lineRule="auto"/>
        <w:jc w:val="center"/>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项目名称：</w:t>
      </w:r>
      <w:r>
        <w:rPr>
          <w:rFonts w:hint="eastAsia" w:ascii="黑体" w:hAnsi="黑体" w:eastAsia="黑体" w:cs="黑体"/>
          <w:b/>
          <w:color w:val="auto"/>
          <w:sz w:val="32"/>
          <w:szCs w:val="32"/>
          <w:highlight w:val="none"/>
          <w:lang w:eastAsia="zh-CN"/>
        </w:rPr>
        <w:t>重庆市南岸区新城长生幼儿园顶楼装饰墙及室内墙面破损维修项目</w:t>
      </w:r>
    </w:p>
    <w:p w14:paraId="50428ED3">
      <w:pPr>
        <w:pageBreakBefore w:val="0"/>
        <w:kinsoku/>
        <w:overflowPunct/>
        <w:topLinePunct w:val="0"/>
        <w:autoSpaceDE/>
        <w:autoSpaceDN/>
        <w:bidi w:val="0"/>
        <w:adjustRightInd/>
        <w:snapToGrid w:val="0"/>
        <w:spacing w:line="312" w:lineRule="auto"/>
        <w:rPr>
          <w:rFonts w:hint="eastAsia" w:ascii="黑体" w:hAnsi="黑体" w:eastAsia="黑体" w:cs="黑体"/>
          <w:b/>
          <w:color w:val="auto"/>
          <w:sz w:val="36"/>
          <w:szCs w:val="36"/>
          <w:highlight w:val="none"/>
        </w:rPr>
      </w:pPr>
    </w:p>
    <w:p w14:paraId="483A5F6E">
      <w:pPr>
        <w:pageBreakBefore w:val="0"/>
        <w:kinsoku/>
        <w:overflowPunct/>
        <w:topLinePunct w:val="0"/>
        <w:autoSpaceDE/>
        <w:autoSpaceDN/>
        <w:bidi w:val="0"/>
        <w:adjustRightInd/>
        <w:snapToGrid w:val="0"/>
        <w:spacing w:line="312" w:lineRule="auto"/>
        <w:rPr>
          <w:rFonts w:hint="eastAsia" w:ascii="黑体" w:hAnsi="黑体" w:eastAsia="黑体" w:cs="黑体"/>
          <w:b/>
          <w:bCs/>
          <w:color w:val="auto"/>
          <w:sz w:val="72"/>
          <w:szCs w:val="72"/>
          <w:highlight w:val="none"/>
        </w:rPr>
      </w:pPr>
    </w:p>
    <w:p w14:paraId="7C70280F">
      <w:pPr>
        <w:pStyle w:val="7"/>
        <w:pageBreakBefore w:val="0"/>
        <w:kinsoku/>
        <w:overflowPunct/>
        <w:topLinePunct w:val="0"/>
        <w:autoSpaceDE/>
        <w:autoSpaceDN/>
        <w:bidi w:val="0"/>
        <w:adjustRightInd/>
        <w:snapToGrid w:val="0"/>
        <w:spacing w:line="312" w:lineRule="auto"/>
        <w:jc w:val="center"/>
        <w:rPr>
          <w:rFonts w:hint="eastAsia" w:ascii="黑体" w:hAnsi="黑体" w:eastAsia="黑体" w:cs="黑体"/>
          <w:b/>
          <w:color w:val="auto"/>
          <w:sz w:val="64"/>
          <w:szCs w:val="64"/>
          <w:highlight w:val="none"/>
        </w:rPr>
      </w:pPr>
    </w:p>
    <w:p w14:paraId="7EF86D93">
      <w:pPr>
        <w:rPr>
          <w:rFonts w:hint="eastAsia"/>
        </w:rPr>
      </w:pPr>
    </w:p>
    <w:p w14:paraId="28117D95">
      <w:pPr>
        <w:pStyle w:val="7"/>
        <w:pageBreakBefore w:val="0"/>
        <w:kinsoku/>
        <w:overflowPunct/>
        <w:topLinePunct w:val="0"/>
        <w:autoSpaceDE/>
        <w:autoSpaceDN/>
        <w:bidi w:val="0"/>
        <w:adjustRightInd/>
        <w:snapToGrid w:val="0"/>
        <w:spacing w:line="312" w:lineRule="auto"/>
        <w:jc w:val="center"/>
        <w:rPr>
          <w:rFonts w:hint="eastAsia" w:ascii="黑体" w:hAnsi="黑体" w:eastAsia="黑体" w:cs="黑体"/>
          <w:b/>
          <w:color w:val="auto"/>
          <w:sz w:val="72"/>
          <w:szCs w:val="72"/>
          <w:highlight w:val="none"/>
        </w:rPr>
      </w:pPr>
      <w:r>
        <w:rPr>
          <w:rFonts w:hint="eastAsia" w:ascii="黑体" w:hAnsi="黑体" w:eastAsia="黑体" w:cs="黑体"/>
          <w:b/>
          <w:color w:val="auto"/>
          <w:sz w:val="72"/>
          <w:szCs w:val="72"/>
          <w:highlight w:val="none"/>
        </w:rPr>
        <w:t>采购文件</w:t>
      </w:r>
    </w:p>
    <w:p w14:paraId="3E315D2B">
      <w:pPr>
        <w:pStyle w:val="7"/>
        <w:pageBreakBefore w:val="0"/>
        <w:kinsoku/>
        <w:overflowPunct/>
        <w:topLinePunct w:val="0"/>
        <w:autoSpaceDE/>
        <w:autoSpaceDN/>
        <w:bidi w:val="0"/>
        <w:adjustRightInd/>
        <w:snapToGrid w:val="0"/>
        <w:spacing w:line="312" w:lineRule="auto"/>
        <w:jc w:val="center"/>
        <w:rPr>
          <w:rFonts w:hint="eastAsia" w:ascii="黑体" w:hAnsi="黑体" w:eastAsia="黑体" w:cs="黑体"/>
          <w:b/>
          <w:color w:val="auto"/>
          <w:sz w:val="40"/>
          <w:szCs w:val="40"/>
          <w:highlight w:val="none"/>
        </w:rPr>
      </w:pPr>
      <w:r>
        <w:rPr>
          <w:rFonts w:hint="eastAsia" w:ascii="黑体" w:hAnsi="黑体" w:eastAsia="黑体" w:cs="黑体"/>
          <w:b/>
          <w:color w:val="auto"/>
          <w:sz w:val="40"/>
          <w:szCs w:val="40"/>
          <w:highlight w:val="none"/>
        </w:rPr>
        <w:t>（综 合 评 分 法）</w:t>
      </w:r>
    </w:p>
    <w:p w14:paraId="1F7E9157">
      <w:pPr>
        <w:pageBreakBefore w:val="0"/>
        <w:kinsoku/>
        <w:overflowPunct/>
        <w:topLinePunct w:val="0"/>
        <w:autoSpaceDE/>
        <w:autoSpaceDN/>
        <w:bidi w:val="0"/>
        <w:adjustRightInd/>
        <w:snapToGrid w:val="0"/>
        <w:spacing w:line="312" w:lineRule="auto"/>
        <w:jc w:val="center"/>
        <w:rPr>
          <w:rFonts w:hint="eastAsia" w:ascii="黑体" w:hAnsi="黑体" w:eastAsia="黑体" w:cs="黑体"/>
          <w:b/>
          <w:color w:val="auto"/>
          <w:sz w:val="32"/>
          <w:szCs w:val="32"/>
          <w:highlight w:val="none"/>
          <w:lang w:eastAsia="zh-CN"/>
        </w:rPr>
      </w:pPr>
      <w:r>
        <w:rPr>
          <w:rFonts w:hint="eastAsia" w:ascii="黑体" w:hAnsi="黑体" w:eastAsia="黑体" w:cs="黑体"/>
          <w:b/>
          <w:color w:val="auto"/>
          <w:sz w:val="32"/>
          <w:szCs w:val="32"/>
          <w:highlight w:val="none"/>
          <w:lang w:eastAsia="zh-CN"/>
        </w:rPr>
        <w:t xml:space="preserve"> </w:t>
      </w:r>
    </w:p>
    <w:p w14:paraId="3A13F396">
      <w:pPr>
        <w:pageBreakBefore w:val="0"/>
        <w:kinsoku/>
        <w:overflowPunct/>
        <w:topLinePunct w:val="0"/>
        <w:autoSpaceDE/>
        <w:autoSpaceDN/>
        <w:bidi w:val="0"/>
        <w:adjustRightInd/>
        <w:snapToGrid w:val="0"/>
        <w:spacing w:line="312" w:lineRule="auto"/>
        <w:rPr>
          <w:rFonts w:hint="eastAsia" w:ascii="黑体" w:hAnsi="黑体" w:eastAsia="黑体" w:cs="黑体"/>
          <w:b/>
          <w:color w:val="auto"/>
          <w:sz w:val="36"/>
          <w:szCs w:val="36"/>
          <w:highlight w:val="none"/>
        </w:rPr>
      </w:pPr>
    </w:p>
    <w:p w14:paraId="64FCAFE1">
      <w:pPr>
        <w:pStyle w:val="7"/>
        <w:pageBreakBefore w:val="0"/>
        <w:kinsoku/>
        <w:overflowPunct/>
        <w:topLinePunct w:val="0"/>
        <w:autoSpaceDE/>
        <w:autoSpaceDN/>
        <w:bidi w:val="0"/>
        <w:adjustRightInd/>
        <w:snapToGrid w:val="0"/>
        <w:spacing w:line="312" w:lineRule="auto"/>
        <w:rPr>
          <w:rFonts w:hint="eastAsia" w:ascii="黑体" w:hAnsi="黑体" w:eastAsia="黑体" w:cs="黑体"/>
          <w:b/>
          <w:color w:val="auto"/>
          <w:sz w:val="36"/>
          <w:szCs w:val="36"/>
          <w:highlight w:val="none"/>
        </w:rPr>
      </w:pPr>
    </w:p>
    <w:p w14:paraId="2F55CFD6">
      <w:pPr>
        <w:pageBreakBefore w:val="0"/>
        <w:kinsoku/>
        <w:overflowPunct/>
        <w:topLinePunct w:val="0"/>
        <w:autoSpaceDE/>
        <w:autoSpaceDN/>
        <w:bidi w:val="0"/>
        <w:adjustRightInd/>
        <w:snapToGrid w:val="0"/>
        <w:spacing w:line="312" w:lineRule="auto"/>
        <w:rPr>
          <w:rFonts w:hint="eastAsia" w:ascii="黑体" w:hAnsi="黑体" w:eastAsia="黑体" w:cs="黑体"/>
          <w:b/>
          <w:color w:val="auto"/>
          <w:sz w:val="36"/>
          <w:szCs w:val="36"/>
          <w:highlight w:val="none"/>
        </w:rPr>
      </w:pPr>
    </w:p>
    <w:p w14:paraId="1A990B21">
      <w:pPr>
        <w:pStyle w:val="7"/>
        <w:pageBreakBefore w:val="0"/>
        <w:kinsoku/>
        <w:overflowPunct/>
        <w:topLinePunct w:val="0"/>
        <w:autoSpaceDE/>
        <w:autoSpaceDN/>
        <w:bidi w:val="0"/>
        <w:adjustRightInd/>
        <w:snapToGrid w:val="0"/>
        <w:spacing w:line="312" w:lineRule="auto"/>
        <w:rPr>
          <w:rFonts w:hint="eastAsia" w:ascii="黑体" w:hAnsi="黑体" w:eastAsia="黑体" w:cs="黑体"/>
          <w:b/>
          <w:color w:val="auto"/>
          <w:sz w:val="36"/>
          <w:szCs w:val="36"/>
          <w:highlight w:val="none"/>
        </w:rPr>
      </w:pPr>
    </w:p>
    <w:p w14:paraId="17A89C1B">
      <w:pPr>
        <w:pageBreakBefore w:val="0"/>
        <w:kinsoku/>
        <w:overflowPunct/>
        <w:topLinePunct w:val="0"/>
        <w:autoSpaceDE/>
        <w:autoSpaceDN/>
        <w:bidi w:val="0"/>
        <w:adjustRightInd/>
        <w:snapToGrid w:val="0"/>
        <w:spacing w:line="312" w:lineRule="auto"/>
        <w:ind w:firstLine="964" w:firstLineChars="300"/>
        <w:jc w:val="center"/>
        <w:rPr>
          <w:rFonts w:hint="eastAsia" w:ascii="黑体" w:hAnsi="黑体" w:eastAsia="黑体" w:cs="黑体"/>
          <w:b/>
          <w:color w:val="auto"/>
          <w:sz w:val="32"/>
          <w:szCs w:val="32"/>
          <w:highlight w:val="none"/>
        </w:rPr>
      </w:pPr>
    </w:p>
    <w:p w14:paraId="6DB1518F">
      <w:pPr>
        <w:keepNext w:val="0"/>
        <w:keepLines w:val="0"/>
        <w:pageBreakBefore w:val="0"/>
        <w:widowControl w:val="0"/>
        <w:kinsoku/>
        <w:wordWrap/>
        <w:overflowPunct/>
        <w:topLinePunct w:val="0"/>
        <w:autoSpaceDE/>
        <w:autoSpaceDN/>
        <w:bidi w:val="0"/>
        <w:adjustRightInd/>
        <w:snapToGrid w:val="0"/>
        <w:spacing w:line="480" w:lineRule="auto"/>
        <w:ind w:left="0" w:leftChars="0" w:firstLine="0" w:firstLineChars="0"/>
        <w:jc w:val="center"/>
        <w:textAlignment w:val="auto"/>
        <w:rPr>
          <w:rFonts w:hint="eastAsia" w:ascii="黑体" w:hAnsi="黑体" w:eastAsia="黑体" w:cs="黑体"/>
          <w:b/>
          <w:color w:val="auto"/>
          <w:sz w:val="32"/>
          <w:szCs w:val="32"/>
          <w:highlight w:val="none"/>
          <w:lang w:eastAsia="zh-CN"/>
        </w:rPr>
      </w:pPr>
      <w:r>
        <w:rPr>
          <w:rFonts w:hint="eastAsia" w:ascii="黑体" w:hAnsi="黑体" w:eastAsia="黑体" w:cs="黑体"/>
          <w:b/>
          <w:color w:val="auto"/>
          <w:sz w:val="32"/>
          <w:szCs w:val="32"/>
          <w:highlight w:val="none"/>
        </w:rPr>
        <w:t>采 购人：</w:t>
      </w:r>
      <w:r>
        <w:rPr>
          <w:rFonts w:hint="eastAsia" w:ascii="黑体" w:hAnsi="黑体" w:eastAsia="黑体" w:cs="黑体"/>
          <w:b/>
          <w:color w:val="auto"/>
          <w:sz w:val="32"/>
          <w:szCs w:val="32"/>
          <w:highlight w:val="none"/>
          <w:lang w:eastAsia="zh-CN"/>
        </w:rPr>
        <w:t>重庆市南岸区新城长生幼儿园</w:t>
      </w:r>
    </w:p>
    <w:p w14:paraId="2F257FD0">
      <w:pPr>
        <w:keepNext w:val="0"/>
        <w:keepLines w:val="0"/>
        <w:pageBreakBefore w:val="0"/>
        <w:widowControl w:val="0"/>
        <w:kinsoku/>
        <w:wordWrap/>
        <w:overflowPunct/>
        <w:topLinePunct w:val="0"/>
        <w:autoSpaceDE/>
        <w:autoSpaceDN/>
        <w:bidi w:val="0"/>
        <w:adjustRightInd/>
        <w:snapToGrid w:val="0"/>
        <w:spacing w:line="480" w:lineRule="auto"/>
        <w:ind w:left="0" w:leftChars="0" w:firstLine="0" w:firstLineChars="0"/>
        <w:jc w:val="center"/>
        <w:textAlignment w:val="auto"/>
        <w:rPr>
          <w:rFonts w:hint="eastAsia" w:ascii="黑体" w:hAnsi="黑体" w:eastAsia="黑体" w:cs="黑体"/>
          <w:b/>
          <w:color w:val="auto"/>
          <w:sz w:val="32"/>
          <w:szCs w:val="32"/>
          <w:highlight w:val="none"/>
          <w:lang w:eastAsia="zh-CN"/>
        </w:rPr>
      </w:pPr>
      <w:r>
        <w:rPr>
          <w:rFonts w:hint="eastAsia" w:ascii="黑体" w:hAnsi="黑体" w:eastAsia="黑体" w:cs="黑体"/>
          <w:b/>
          <w:color w:val="auto"/>
          <w:sz w:val="32"/>
          <w:szCs w:val="32"/>
          <w:highlight w:val="none"/>
        </w:rPr>
        <w:t>采购代理机构：</w:t>
      </w:r>
      <w:r>
        <w:rPr>
          <w:rFonts w:hint="eastAsia" w:ascii="黑体" w:hAnsi="黑体" w:eastAsia="黑体" w:cs="黑体"/>
          <w:b/>
          <w:color w:val="auto"/>
          <w:sz w:val="32"/>
          <w:szCs w:val="32"/>
          <w:highlight w:val="none"/>
          <w:lang w:eastAsia="zh-CN"/>
        </w:rPr>
        <w:t>重庆腾锐阳工程项目管理有限公司</w:t>
      </w:r>
    </w:p>
    <w:p w14:paraId="12E2B6B3">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default" w:ascii="黑体" w:hAnsi="黑体" w:eastAsia="黑体" w:cs="黑体"/>
          <w:color w:val="auto"/>
          <w:highlight w:val="none"/>
          <w:lang w:val="en-US" w:eastAsia="zh-CN"/>
        </w:rPr>
        <w:sectPr>
          <w:headerReference r:id="rId3" w:type="default"/>
          <w:pgSz w:w="11907" w:h="16840"/>
          <w:pgMar w:top="1134" w:right="1247" w:bottom="1134" w:left="1247" w:header="851" w:footer="992" w:gutter="0"/>
          <w:pgNumType w:start="1"/>
          <w:cols w:space="720" w:num="1"/>
          <w:docGrid w:linePitch="381" w:charSpace="-5735"/>
        </w:sectPr>
      </w:pPr>
      <w:r>
        <w:rPr>
          <w:rFonts w:hint="eastAsia" w:ascii="黑体" w:hAnsi="黑体" w:eastAsia="黑体" w:cs="黑体"/>
          <w:b/>
          <w:color w:val="auto"/>
          <w:sz w:val="36"/>
          <w:szCs w:val="36"/>
          <w:highlight w:val="none"/>
          <w:lang w:val="en-US" w:eastAsia="zh-CN"/>
        </w:rPr>
        <w:t>2025年8月</w:t>
      </w:r>
    </w:p>
    <w:p w14:paraId="40337CA0">
      <w:pPr>
        <w:pageBreakBefore w:val="0"/>
        <w:kinsoku/>
        <w:overflowPunct/>
        <w:topLinePunct w:val="0"/>
        <w:autoSpaceDE/>
        <w:autoSpaceDN/>
        <w:bidi w:val="0"/>
        <w:adjustRightInd/>
        <w:snapToGrid w:val="0"/>
        <w:spacing w:line="312" w:lineRule="auto"/>
        <w:jc w:val="center"/>
        <w:rPr>
          <w:rFonts w:hint="eastAsia" w:ascii="黑体" w:hAnsi="黑体" w:eastAsia="黑体" w:cs="黑体"/>
          <w:b/>
          <w:bCs/>
          <w:color w:val="auto"/>
          <w:sz w:val="40"/>
          <w:szCs w:val="40"/>
          <w:highlight w:val="none"/>
        </w:rPr>
      </w:pPr>
      <w:r>
        <w:rPr>
          <w:rFonts w:hint="eastAsia" w:ascii="黑体" w:hAnsi="黑体" w:eastAsia="黑体" w:cs="黑体"/>
          <w:b/>
          <w:bCs/>
          <w:color w:val="auto"/>
          <w:sz w:val="40"/>
          <w:szCs w:val="40"/>
          <w:highlight w:val="none"/>
        </w:rPr>
        <w:t>目  录</w:t>
      </w:r>
    </w:p>
    <w:p w14:paraId="7FF67725">
      <w:pPr>
        <w:pStyle w:val="20"/>
        <w:pageBreakBefore w:val="0"/>
        <w:tabs>
          <w:tab w:val="right" w:leader="dot" w:pos="8313"/>
          <w:tab w:val="clear" w:pos="8300"/>
        </w:tabs>
        <w:kinsoku/>
        <w:overflowPunct/>
        <w:topLinePunct w:val="0"/>
        <w:autoSpaceDE/>
        <w:autoSpaceDN/>
        <w:bidi w:val="0"/>
        <w:adjustRightInd/>
        <w:snapToGrid w:val="0"/>
        <w:spacing w:line="312" w:lineRule="auto"/>
        <w:rPr>
          <w:rFonts w:hint="eastAsia" w:ascii="黑体" w:hAnsi="黑体" w:eastAsia="黑体" w:cs="黑体"/>
          <w:color w:val="auto"/>
          <w:highlight w:val="none"/>
        </w:rPr>
      </w:pPr>
      <w:r>
        <w:rPr>
          <w:rFonts w:hint="eastAsia" w:ascii="黑体" w:hAnsi="黑体" w:eastAsia="黑体" w:cs="黑体"/>
          <w:color w:val="auto"/>
          <w:sz w:val="24"/>
          <w:szCs w:val="24"/>
          <w:highlight w:val="none"/>
        </w:rPr>
        <w:fldChar w:fldCharType="begin"/>
      </w:r>
      <w:r>
        <w:rPr>
          <w:rFonts w:hint="eastAsia" w:ascii="黑体" w:hAnsi="黑体" w:eastAsia="黑体" w:cs="黑体"/>
          <w:color w:val="auto"/>
          <w:sz w:val="24"/>
          <w:szCs w:val="24"/>
          <w:highlight w:val="none"/>
        </w:rPr>
        <w:instrText xml:space="preserve"> TOC \o "1-3" \h \z \u </w:instrText>
      </w:r>
      <w:r>
        <w:rPr>
          <w:rFonts w:hint="eastAsia" w:ascii="黑体" w:hAnsi="黑体" w:eastAsia="黑体" w:cs="黑体"/>
          <w:color w:val="auto"/>
          <w:sz w:val="24"/>
          <w:szCs w:val="24"/>
          <w:highlight w:val="none"/>
        </w:rPr>
        <w:fldChar w:fldCharType="separate"/>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"_Toc11097" </w:instrText>
      </w:r>
      <w:r>
        <w:rPr>
          <w:rFonts w:hint="eastAsia" w:ascii="黑体" w:hAnsi="黑体" w:eastAsia="黑体" w:cs="黑体"/>
          <w:color w:val="auto"/>
          <w:highlight w:val="none"/>
        </w:rPr>
        <w:fldChar w:fldCharType="separate"/>
      </w:r>
      <w:r>
        <w:rPr>
          <w:rFonts w:hint="eastAsia" w:ascii="黑体" w:hAnsi="黑体" w:eastAsia="黑体" w:cs="黑体"/>
          <w:bCs/>
          <w:color w:val="auto"/>
          <w:szCs w:val="32"/>
          <w:highlight w:val="none"/>
        </w:rPr>
        <w:t>第一篇  采购公告</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_Toc11097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1</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14:paraId="45A27F7D">
      <w:pPr>
        <w:pStyle w:val="20"/>
        <w:pageBreakBefore w:val="0"/>
        <w:tabs>
          <w:tab w:val="right" w:leader="dot" w:pos="8313"/>
          <w:tab w:val="clear" w:pos="8300"/>
        </w:tabs>
        <w:kinsoku/>
        <w:overflowPunct/>
        <w:topLinePunct w:val="0"/>
        <w:autoSpaceDE/>
        <w:autoSpaceDN/>
        <w:bidi w:val="0"/>
        <w:adjustRightInd/>
        <w:snapToGrid w:val="0"/>
        <w:spacing w:line="312" w:lineRule="auto"/>
        <w:rPr>
          <w:rFonts w:hint="eastAsia" w:ascii="黑体" w:hAnsi="黑体" w:eastAsia="黑体" w:cs="黑体"/>
          <w:color w:val="auto"/>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"_Toc25630" </w:instrText>
      </w:r>
      <w:r>
        <w:rPr>
          <w:rFonts w:hint="eastAsia" w:ascii="黑体" w:hAnsi="黑体" w:eastAsia="黑体" w:cs="黑体"/>
          <w:color w:val="auto"/>
          <w:highlight w:val="none"/>
        </w:rPr>
        <w:fldChar w:fldCharType="separate"/>
      </w:r>
      <w:r>
        <w:rPr>
          <w:rFonts w:hint="eastAsia" w:ascii="黑体" w:hAnsi="黑体" w:eastAsia="黑体" w:cs="黑体"/>
          <w:bCs/>
          <w:color w:val="auto"/>
          <w:szCs w:val="32"/>
          <w:highlight w:val="none"/>
        </w:rPr>
        <w:t>第二篇  项目服务需求</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_Toc25630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4</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14:paraId="3632B94E">
      <w:pPr>
        <w:pStyle w:val="20"/>
        <w:pageBreakBefore w:val="0"/>
        <w:tabs>
          <w:tab w:val="right" w:leader="dot" w:pos="8313"/>
          <w:tab w:val="clear" w:pos="8300"/>
        </w:tabs>
        <w:kinsoku/>
        <w:overflowPunct/>
        <w:topLinePunct w:val="0"/>
        <w:autoSpaceDE/>
        <w:autoSpaceDN/>
        <w:bidi w:val="0"/>
        <w:adjustRightInd/>
        <w:snapToGrid w:val="0"/>
        <w:spacing w:line="312" w:lineRule="auto"/>
        <w:rPr>
          <w:rFonts w:hint="eastAsia" w:ascii="黑体" w:hAnsi="黑体" w:eastAsia="黑体" w:cs="黑体"/>
          <w:color w:val="auto"/>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"_Toc412" </w:instrText>
      </w:r>
      <w:r>
        <w:rPr>
          <w:rFonts w:hint="eastAsia" w:ascii="黑体" w:hAnsi="黑体" w:eastAsia="黑体" w:cs="黑体"/>
          <w:color w:val="auto"/>
          <w:highlight w:val="none"/>
        </w:rPr>
        <w:fldChar w:fldCharType="separate"/>
      </w:r>
      <w:r>
        <w:rPr>
          <w:rFonts w:hint="eastAsia" w:ascii="黑体" w:hAnsi="黑体" w:eastAsia="黑体" w:cs="黑体"/>
          <w:bCs/>
          <w:color w:val="auto"/>
          <w:szCs w:val="32"/>
          <w:highlight w:val="none"/>
        </w:rPr>
        <w:t>第三篇  项目商务要求</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_Toc412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4</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14:paraId="1A8020A8">
      <w:pPr>
        <w:pStyle w:val="20"/>
        <w:pageBreakBefore w:val="0"/>
        <w:tabs>
          <w:tab w:val="right" w:leader="dot" w:pos="8313"/>
          <w:tab w:val="clear" w:pos="8300"/>
        </w:tabs>
        <w:kinsoku/>
        <w:overflowPunct/>
        <w:topLinePunct w:val="0"/>
        <w:autoSpaceDE/>
        <w:autoSpaceDN/>
        <w:bidi w:val="0"/>
        <w:adjustRightInd/>
        <w:snapToGrid w:val="0"/>
        <w:spacing w:line="312" w:lineRule="auto"/>
        <w:rPr>
          <w:rFonts w:hint="eastAsia" w:ascii="黑体" w:hAnsi="黑体" w:eastAsia="黑体" w:cs="黑体"/>
          <w:color w:val="auto"/>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"_Toc27973" </w:instrText>
      </w:r>
      <w:r>
        <w:rPr>
          <w:rFonts w:hint="eastAsia" w:ascii="黑体" w:hAnsi="黑体" w:eastAsia="黑体" w:cs="黑体"/>
          <w:color w:val="auto"/>
          <w:highlight w:val="none"/>
        </w:rPr>
        <w:fldChar w:fldCharType="separate"/>
      </w:r>
      <w:r>
        <w:rPr>
          <w:rFonts w:hint="eastAsia" w:ascii="黑体" w:hAnsi="黑体" w:eastAsia="黑体" w:cs="黑体"/>
          <w:bCs/>
          <w:color w:val="auto"/>
          <w:szCs w:val="32"/>
          <w:highlight w:val="none"/>
        </w:rPr>
        <w:t>第四篇  资格审查及评标办法</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_Toc27973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8</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14:paraId="7AEB0DD1">
      <w:pPr>
        <w:pStyle w:val="20"/>
        <w:pageBreakBefore w:val="0"/>
        <w:tabs>
          <w:tab w:val="right" w:leader="dot" w:pos="8313"/>
          <w:tab w:val="clear" w:pos="8300"/>
        </w:tabs>
        <w:kinsoku/>
        <w:overflowPunct/>
        <w:topLinePunct w:val="0"/>
        <w:autoSpaceDE/>
        <w:autoSpaceDN/>
        <w:bidi w:val="0"/>
        <w:adjustRightInd/>
        <w:snapToGrid w:val="0"/>
        <w:spacing w:line="312" w:lineRule="auto"/>
        <w:rPr>
          <w:rFonts w:hint="eastAsia" w:ascii="黑体" w:hAnsi="黑体" w:eastAsia="黑体" w:cs="黑体"/>
          <w:color w:val="auto"/>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"_Toc27619" </w:instrText>
      </w:r>
      <w:r>
        <w:rPr>
          <w:rFonts w:hint="eastAsia" w:ascii="黑体" w:hAnsi="黑体" w:eastAsia="黑体" w:cs="黑体"/>
          <w:color w:val="auto"/>
          <w:highlight w:val="none"/>
        </w:rPr>
        <w:fldChar w:fldCharType="separate"/>
      </w:r>
      <w:r>
        <w:rPr>
          <w:rFonts w:hint="eastAsia" w:ascii="黑体" w:hAnsi="黑体" w:eastAsia="黑体" w:cs="黑体"/>
          <w:bCs/>
          <w:color w:val="auto"/>
          <w:szCs w:val="32"/>
          <w:highlight w:val="none"/>
        </w:rPr>
        <w:t>第五篇  供应商须知</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_Toc27619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14</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14:paraId="30C13B34">
      <w:pPr>
        <w:pStyle w:val="20"/>
        <w:pageBreakBefore w:val="0"/>
        <w:tabs>
          <w:tab w:val="right" w:leader="dot" w:pos="8313"/>
          <w:tab w:val="clear" w:pos="8300"/>
        </w:tabs>
        <w:kinsoku/>
        <w:overflowPunct/>
        <w:topLinePunct w:val="0"/>
        <w:autoSpaceDE/>
        <w:autoSpaceDN/>
        <w:bidi w:val="0"/>
        <w:adjustRightInd/>
        <w:snapToGrid w:val="0"/>
        <w:spacing w:line="312" w:lineRule="auto"/>
        <w:rPr>
          <w:rFonts w:hint="eastAsia" w:ascii="黑体" w:hAnsi="黑体" w:eastAsia="黑体" w:cs="黑体"/>
          <w:color w:val="auto"/>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"_Toc26968" </w:instrText>
      </w:r>
      <w:r>
        <w:rPr>
          <w:rFonts w:hint="eastAsia" w:ascii="黑体" w:hAnsi="黑体" w:eastAsia="黑体" w:cs="黑体"/>
          <w:color w:val="auto"/>
          <w:highlight w:val="none"/>
        </w:rPr>
        <w:fldChar w:fldCharType="separate"/>
      </w:r>
      <w:r>
        <w:rPr>
          <w:rFonts w:hint="eastAsia" w:ascii="黑体" w:hAnsi="黑体" w:eastAsia="黑体" w:cs="黑体"/>
          <w:bCs/>
          <w:color w:val="auto"/>
          <w:szCs w:val="32"/>
          <w:highlight w:val="none"/>
        </w:rPr>
        <w:t>第六篇  合同主要条款和格式合同（样本）</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_Toc26968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17</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14:paraId="3C126A6C">
      <w:pPr>
        <w:pStyle w:val="20"/>
        <w:pageBreakBefore w:val="0"/>
        <w:tabs>
          <w:tab w:val="right" w:leader="dot" w:pos="8313"/>
          <w:tab w:val="clear" w:pos="8300"/>
        </w:tabs>
        <w:kinsoku/>
        <w:overflowPunct/>
        <w:topLinePunct w:val="0"/>
        <w:autoSpaceDE/>
        <w:autoSpaceDN/>
        <w:bidi w:val="0"/>
        <w:adjustRightInd/>
        <w:snapToGrid w:val="0"/>
        <w:spacing w:line="312" w:lineRule="auto"/>
        <w:rPr>
          <w:rFonts w:hint="eastAsia" w:ascii="黑体" w:hAnsi="黑体" w:eastAsia="黑体" w:cs="黑体"/>
          <w:color w:val="auto"/>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"_Toc11628" </w:instrText>
      </w:r>
      <w:r>
        <w:rPr>
          <w:rFonts w:hint="eastAsia" w:ascii="黑体" w:hAnsi="黑体" w:eastAsia="黑体" w:cs="黑体"/>
          <w:color w:val="auto"/>
          <w:highlight w:val="none"/>
        </w:rPr>
        <w:fldChar w:fldCharType="separate"/>
      </w:r>
      <w:r>
        <w:rPr>
          <w:rFonts w:hint="eastAsia" w:ascii="黑体" w:hAnsi="黑体" w:eastAsia="黑体" w:cs="黑体"/>
          <w:bCs/>
          <w:color w:val="auto"/>
          <w:szCs w:val="32"/>
          <w:highlight w:val="none"/>
        </w:rPr>
        <w:t>第七篇  响应文件格式要求</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_Toc11628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20</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14:paraId="45C0FC97">
      <w:pPr>
        <w:pStyle w:val="11"/>
        <w:pageBreakBefore w:val="0"/>
        <w:tabs>
          <w:tab w:val="right" w:leader="dot" w:pos="8313"/>
          <w:tab w:val="clear" w:pos="8300"/>
        </w:tabs>
        <w:kinsoku/>
        <w:overflowPunct/>
        <w:topLinePunct w:val="0"/>
        <w:autoSpaceDE/>
        <w:autoSpaceDN/>
        <w:bidi w:val="0"/>
        <w:adjustRightInd/>
        <w:snapToGrid w:val="0"/>
        <w:spacing w:line="312" w:lineRule="auto"/>
        <w:rPr>
          <w:rFonts w:hint="eastAsia" w:ascii="黑体" w:hAnsi="黑体" w:eastAsia="黑体" w:cs="黑体"/>
          <w:color w:val="auto"/>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"_Toc9358"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一、经济部分</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_Toc9358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21</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14:paraId="095680E3">
      <w:pPr>
        <w:pStyle w:val="11"/>
        <w:pageBreakBefore w:val="0"/>
        <w:tabs>
          <w:tab w:val="right" w:leader="dot" w:pos="8313"/>
          <w:tab w:val="clear" w:pos="8300"/>
        </w:tabs>
        <w:kinsoku/>
        <w:overflowPunct/>
        <w:topLinePunct w:val="0"/>
        <w:autoSpaceDE/>
        <w:autoSpaceDN/>
        <w:bidi w:val="0"/>
        <w:adjustRightInd/>
        <w:snapToGrid w:val="0"/>
        <w:spacing w:line="312" w:lineRule="auto"/>
        <w:rPr>
          <w:rFonts w:hint="eastAsia" w:ascii="黑体" w:hAnsi="黑体" w:eastAsia="黑体" w:cs="黑体"/>
          <w:color w:val="auto"/>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"_Toc24658"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二、技术部分</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_Toc24658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21</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14:paraId="007E2B87">
      <w:pPr>
        <w:pStyle w:val="11"/>
        <w:pageBreakBefore w:val="0"/>
        <w:tabs>
          <w:tab w:val="right" w:leader="dot" w:pos="8313"/>
          <w:tab w:val="clear" w:pos="8300"/>
        </w:tabs>
        <w:kinsoku/>
        <w:overflowPunct/>
        <w:topLinePunct w:val="0"/>
        <w:autoSpaceDE/>
        <w:autoSpaceDN/>
        <w:bidi w:val="0"/>
        <w:adjustRightInd/>
        <w:snapToGrid w:val="0"/>
        <w:spacing w:line="312" w:lineRule="auto"/>
        <w:rPr>
          <w:rFonts w:hint="eastAsia" w:ascii="黑体" w:hAnsi="黑体" w:eastAsia="黑体" w:cs="黑体"/>
          <w:color w:val="auto"/>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"_Toc7672"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三、商务部分</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_Toc7672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24</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14:paraId="38FE08EB">
      <w:pPr>
        <w:pStyle w:val="11"/>
        <w:pageBreakBefore w:val="0"/>
        <w:tabs>
          <w:tab w:val="right" w:leader="dot" w:pos="8313"/>
          <w:tab w:val="clear" w:pos="8300"/>
        </w:tabs>
        <w:kinsoku/>
        <w:overflowPunct/>
        <w:topLinePunct w:val="0"/>
        <w:autoSpaceDE/>
        <w:autoSpaceDN/>
        <w:bidi w:val="0"/>
        <w:adjustRightInd/>
        <w:snapToGrid w:val="0"/>
        <w:spacing w:line="312" w:lineRule="auto"/>
        <w:rPr>
          <w:rFonts w:hint="eastAsia" w:ascii="黑体" w:hAnsi="黑体" w:eastAsia="黑体" w:cs="黑体"/>
          <w:color w:val="auto"/>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"_Toc21733"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四、资格条件及其他</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_Toc21733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26</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14:paraId="6F57D4BD">
      <w:pPr>
        <w:pStyle w:val="11"/>
        <w:pageBreakBefore w:val="0"/>
        <w:tabs>
          <w:tab w:val="right" w:leader="dot" w:pos="8313"/>
          <w:tab w:val="clear" w:pos="8300"/>
        </w:tabs>
        <w:kinsoku/>
        <w:overflowPunct/>
        <w:topLinePunct w:val="0"/>
        <w:autoSpaceDE/>
        <w:autoSpaceDN/>
        <w:bidi w:val="0"/>
        <w:adjustRightInd/>
        <w:snapToGrid w:val="0"/>
        <w:spacing w:line="312" w:lineRule="auto"/>
        <w:rPr>
          <w:rFonts w:hint="eastAsia" w:ascii="黑体" w:hAnsi="黑体" w:eastAsia="黑体" w:cs="黑体"/>
          <w:color w:val="auto"/>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"_Toc22647"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五、其他应提供的资料</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_Toc22647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31</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14:paraId="48549B0F">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sectPr>
          <w:headerReference r:id="rId5" w:type="first"/>
          <w:footerReference r:id="rId7" w:type="first"/>
          <w:headerReference r:id="rId4" w:type="default"/>
          <w:footerReference r:id="rId6" w:type="default"/>
          <w:pgSz w:w="11907" w:h="16840"/>
          <w:pgMar w:top="1440" w:right="1797" w:bottom="1440" w:left="1797" w:header="851" w:footer="992" w:gutter="0"/>
          <w:pgNumType w:fmt="numberInDash" w:start="1"/>
          <w:cols w:space="720" w:num="1"/>
          <w:titlePg/>
          <w:docGrid w:type="lines" w:linePitch="380" w:charSpace="-5735"/>
        </w:sectPr>
      </w:pPr>
      <w:r>
        <w:rPr>
          <w:rFonts w:hint="eastAsia" w:ascii="黑体" w:hAnsi="黑体" w:eastAsia="黑体" w:cs="黑体"/>
          <w:bCs/>
          <w:color w:val="auto"/>
          <w:szCs w:val="24"/>
          <w:highlight w:val="none"/>
        </w:rPr>
        <w:fldChar w:fldCharType="end"/>
      </w:r>
    </w:p>
    <w:p w14:paraId="6137C3BA">
      <w:pPr>
        <w:pStyle w:val="3"/>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bookmarkStart w:id="0" w:name="_Toc152480139"/>
      <w:bookmarkStart w:id="1" w:name="_Toc11097"/>
      <w:bookmarkStart w:id="2" w:name="_Toc128744981"/>
      <w:bookmarkStart w:id="3" w:name="_Toc11641050"/>
      <w:bookmarkStart w:id="4" w:name="_Toc12789052"/>
      <w:r>
        <w:rPr>
          <w:rStyle w:val="38"/>
          <w:rFonts w:hint="eastAsia" w:ascii="黑体" w:hAnsi="黑体" w:eastAsia="黑体" w:cs="黑体"/>
          <w:b/>
          <w:bCs/>
          <w:color w:val="auto"/>
          <w:highlight w:val="none"/>
        </w:rPr>
        <w:t xml:space="preserve">第一篇  </w:t>
      </w:r>
      <w:bookmarkEnd w:id="0"/>
      <w:r>
        <w:rPr>
          <w:rStyle w:val="38"/>
          <w:rFonts w:hint="eastAsia" w:ascii="黑体" w:hAnsi="黑体" w:eastAsia="黑体" w:cs="黑体"/>
          <w:b/>
          <w:bCs/>
          <w:color w:val="auto"/>
          <w:highlight w:val="none"/>
        </w:rPr>
        <w:t>采购公告</w:t>
      </w:r>
      <w:bookmarkEnd w:id="1"/>
    </w:p>
    <w:p w14:paraId="228B6F1B">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bookmarkStart w:id="5" w:name="_Toc379619850"/>
      <w:r>
        <w:rPr>
          <w:rFonts w:hint="eastAsia" w:ascii="黑体" w:hAnsi="黑体" w:eastAsia="黑体" w:cs="黑体"/>
          <w:color w:val="auto"/>
          <w:sz w:val="24"/>
          <w:szCs w:val="24"/>
          <w:highlight w:val="none"/>
          <w:u w:val="single"/>
          <w:lang w:eastAsia="zh-CN"/>
        </w:rPr>
        <w:t>重庆腾锐阳工程项目管理有限公司</w:t>
      </w:r>
      <w:r>
        <w:rPr>
          <w:rFonts w:hint="eastAsia" w:ascii="黑体" w:hAnsi="黑体" w:eastAsia="黑体" w:cs="黑体"/>
          <w:color w:val="auto"/>
          <w:sz w:val="24"/>
          <w:szCs w:val="24"/>
          <w:highlight w:val="none"/>
        </w:rPr>
        <w:t>受</w:t>
      </w:r>
      <w:r>
        <w:rPr>
          <w:rFonts w:hint="eastAsia" w:ascii="黑体" w:hAnsi="黑体" w:eastAsia="黑体" w:cs="黑体"/>
          <w:color w:val="auto"/>
          <w:sz w:val="24"/>
          <w:szCs w:val="24"/>
          <w:highlight w:val="none"/>
          <w:u w:val="single"/>
          <w:lang w:eastAsia="zh-CN"/>
        </w:rPr>
        <w:t>重庆市南岸区新城长生幼儿园</w:t>
      </w:r>
      <w:r>
        <w:rPr>
          <w:rFonts w:hint="eastAsia" w:ascii="黑体" w:hAnsi="黑体" w:eastAsia="黑体" w:cs="黑体"/>
          <w:color w:val="auto"/>
          <w:sz w:val="24"/>
          <w:szCs w:val="24"/>
          <w:highlight w:val="none"/>
        </w:rPr>
        <w:t>的委托，对</w:t>
      </w:r>
      <w:r>
        <w:rPr>
          <w:rFonts w:hint="eastAsia" w:ascii="黑体" w:hAnsi="黑体" w:eastAsia="黑体" w:cs="黑体"/>
          <w:color w:val="auto"/>
          <w:sz w:val="24"/>
          <w:szCs w:val="24"/>
          <w:highlight w:val="none"/>
          <w:u w:val="single"/>
          <w:lang w:eastAsia="zh-CN"/>
        </w:rPr>
        <w:t xml:space="preserve">重庆市南岸区新城长生幼儿园顶楼装饰墙及室内墙面破损维修项目 </w:t>
      </w:r>
      <w:r>
        <w:rPr>
          <w:rFonts w:hint="eastAsia" w:ascii="黑体" w:hAnsi="黑体" w:eastAsia="黑体" w:cs="黑体"/>
          <w:color w:val="auto"/>
          <w:sz w:val="24"/>
          <w:szCs w:val="24"/>
          <w:highlight w:val="none"/>
        </w:rPr>
        <w:t>项目进行采购。欢迎具备相关资质的供应商参加采购。</w:t>
      </w:r>
    </w:p>
    <w:p w14:paraId="1A96D4E2">
      <w:pPr>
        <w:pStyle w:val="4"/>
        <w:pageBreakBefore w:val="0"/>
        <w:numPr>
          <w:ilvl w:val="0"/>
          <w:numId w:val="2"/>
        </w:numPr>
        <w:kinsoku/>
        <w:overflowPunct/>
        <w:topLinePunct w:val="0"/>
        <w:autoSpaceDE/>
        <w:autoSpaceDN/>
        <w:bidi w:val="0"/>
        <w:adjustRightInd/>
        <w:snapToGrid w:val="0"/>
        <w:spacing w:before="0" w:after="0" w:line="312" w:lineRule="auto"/>
        <w:jc w:val="left"/>
        <w:rPr>
          <w:rFonts w:hint="eastAsia" w:ascii="黑体" w:hAnsi="黑体" w:eastAsia="黑体" w:cs="黑体"/>
          <w:color w:val="auto"/>
          <w:sz w:val="24"/>
          <w:szCs w:val="24"/>
          <w:highlight w:val="none"/>
        </w:rPr>
      </w:pPr>
      <w:bookmarkStart w:id="6" w:name="_Toc24133"/>
      <w:r>
        <w:rPr>
          <w:rFonts w:hint="eastAsia" w:ascii="黑体" w:hAnsi="黑体" w:eastAsia="黑体" w:cs="黑体"/>
          <w:color w:val="auto"/>
          <w:sz w:val="24"/>
          <w:szCs w:val="24"/>
          <w:highlight w:val="none"/>
        </w:rPr>
        <w:t>采购项目内容</w:t>
      </w:r>
      <w:bookmarkEnd w:id="5"/>
      <w:bookmarkEnd w:id="6"/>
    </w:p>
    <w:tbl>
      <w:tblPr>
        <w:tblStyle w:val="24"/>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2"/>
        <w:gridCol w:w="1453"/>
        <w:gridCol w:w="2452"/>
      </w:tblGrid>
      <w:tr w14:paraId="4799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772" w:type="dxa"/>
            <w:tcBorders>
              <w:top w:val="single" w:color="auto" w:sz="4" w:space="0"/>
              <w:left w:val="single" w:color="auto" w:sz="4" w:space="0"/>
              <w:right w:val="single" w:color="auto" w:sz="4" w:space="0"/>
            </w:tcBorders>
            <w:noWrap w:val="0"/>
            <w:vAlign w:val="center"/>
          </w:tcPr>
          <w:p w14:paraId="5F33632D">
            <w:pPr>
              <w:pageBreakBefore w:val="0"/>
              <w:widowControl/>
              <w:kinsoku/>
              <w:overflowPunct/>
              <w:topLinePunct w:val="0"/>
              <w:autoSpaceDE/>
              <w:autoSpaceDN/>
              <w:bidi w:val="0"/>
              <w:adjustRightInd/>
              <w:spacing w:line="240" w:lineRule="auto"/>
              <w:jc w:val="center"/>
              <w:rPr>
                <w:rFonts w:hint="eastAsia" w:ascii="黑体" w:hAnsi="黑体" w:eastAsia="黑体" w:cs="黑体"/>
                <w:b/>
                <w:bCs/>
                <w:color w:val="auto"/>
                <w:kern w:val="0"/>
                <w:sz w:val="22"/>
                <w:szCs w:val="28"/>
                <w:highlight w:val="none"/>
              </w:rPr>
            </w:pPr>
            <w:r>
              <w:rPr>
                <w:rFonts w:hint="eastAsia" w:ascii="黑体" w:hAnsi="黑体" w:eastAsia="黑体" w:cs="黑体"/>
                <w:b/>
                <w:bCs/>
                <w:color w:val="auto"/>
                <w:kern w:val="0"/>
                <w:sz w:val="22"/>
                <w:szCs w:val="28"/>
                <w:highlight w:val="none"/>
              </w:rPr>
              <w:t>项目名称</w:t>
            </w:r>
          </w:p>
        </w:tc>
        <w:tc>
          <w:tcPr>
            <w:tcW w:w="1453" w:type="dxa"/>
            <w:tcBorders>
              <w:top w:val="single" w:color="auto" w:sz="4" w:space="0"/>
              <w:left w:val="single" w:color="auto" w:sz="4" w:space="0"/>
              <w:right w:val="single" w:color="auto" w:sz="4" w:space="0"/>
            </w:tcBorders>
            <w:noWrap w:val="0"/>
            <w:vAlign w:val="center"/>
          </w:tcPr>
          <w:p w14:paraId="1BE86549">
            <w:pPr>
              <w:pageBreakBefore w:val="0"/>
              <w:widowControl/>
              <w:kinsoku/>
              <w:overflowPunct/>
              <w:topLinePunct w:val="0"/>
              <w:autoSpaceDE/>
              <w:autoSpaceDN/>
              <w:bidi w:val="0"/>
              <w:adjustRightInd/>
              <w:spacing w:line="240" w:lineRule="auto"/>
              <w:jc w:val="center"/>
              <w:rPr>
                <w:rFonts w:hint="eastAsia" w:ascii="黑体" w:hAnsi="黑体" w:eastAsia="黑体" w:cs="黑体"/>
                <w:b/>
                <w:bCs/>
                <w:color w:val="auto"/>
                <w:kern w:val="0"/>
                <w:sz w:val="22"/>
                <w:szCs w:val="28"/>
                <w:highlight w:val="none"/>
              </w:rPr>
            </w:pPr>
            <w:r>
              <w:rPr>
                <w:rFonts w:hint="eastAsia" w:ascii="黑体" w:hAnsi="黑体" w:eastAsia="黑体" w:cs="黑体"/>
                <w:b/>
                <w:bCs/>
                <w:color w:val="auto"/>
                <w:kern w:val="0"/>
                <w:sz w:val="22"/>
                <w:szCs w:val="28"/>
                <w:highlight w:val="none"/>
              </w:rPr>
              <w:t>采购预算</w:t>
            </w:r>
          </w:p>
          <w:p w14:paraId="06A23D8F">
            <w:pPr>
              <w:pageBreakBefore w:val="0"/>
              <w:widowControl/>
              <w:kinsoku/>
              <w:overflowPunct/>
              <w:topLinePunct w:val="0"/>
              <w:autoSpaceDE/>
              <w:autoSpaceDN/>
              <w:bidi w:val="0"/>
              <w:adjustRightInd/>
              <w:spacing w:line="240" w:lineRule="auto"/>
              <w:jc w:val="center"/>
              <w:rPr>
                <w:rFonts w:hint="eastAsia" w:ascii="黑体" w:hAnsi="黑体" w:eastAsia="黑体" w:cs="黑体"/>
                <w:b/>
                <w:bCs/>
                <w:color w:val="auto"/>
                <w:kern w:val="0"/>
                <w:sz w:val="22"/>
                <w:szCs w:val="28"/>
                <w:highlight w:val="none"/>
              </w:rPr>
            </w:pPr>
            <w:r>
              <w:rPr>
                <w:rFonts w:hint="eastAsia" w:ascii="黑体" w:hAnsi="黑体" w:eastAsia="黑体" w:cs="黑体"/>
                <w:b/>
                <w:bCs/>
                <w:color w:val="auto"/>
                <w:kern w:val="0"/>
                <w:sz w:val="22"/>
                <w:szCs w:val="28"/>
                <w:highlight w:val="none"/>
              </w:rPr>
              <w:t>（</w:t>
            </w:r>
            <w:r>
              <w:rPr>
                <w:rFonts w:hint="eastAsia" w:ascii="黑体" w:hAnsi="黑体" w:eastAsia="黑体" w:cs="黑体"/>
                <w:b/>
                <w:bCs/>
                <w:color w:val="auto"/>
                <w:kern w:val="0"/>
                <w:sz w:val="22"/>
                <w:szCs w:val="28"/>
                <w:highlight w:val="none"/>
                <w:lang w:val="en-US" w:eastAsia="zh-CN"/>
              </w:rPr>
              <w:t>元</w:t>
            </w:r>
            <w:r>
              <w:rPr>
                <w:rFonts w:hint="eastAsia" w:ascii="黑体" w:hAnsi="黑体" w:eastAsia="黑体" w:cs="黑体"/>
                <w:b/>
                <w:bCs/>
                <w:color w:val="auto"/>
                <w:kern w:val="0"/>
                <w:sz w:val="22"/>
                <w:szCs w:val="28"/>
                <w:highlight w:val="none"/>
              </w:rPr>
              <w:t>）</w:t>
            </w:r>
          </w:p>
        </w:tc>
        <w:tc>
          <w:tcPr>
            <w:tcW w:w="2452" w:type="dxa"/>
            <w:tcBorders>
              <w:top w:val="single" w:color="auto" w:sz="4" w:space="0"/>
              <w:left w:val="single" w:color="auto" w:sz="4" w:space="0"/>
              <w:right w:val="single" w:color="auto" w:sz="4" w:space="0"/>
            </w:tcBorders>
            <w:noWrap w:val="0"/>
            <w:vAlign w:val="center"/>
          </w:tcPr>
          <w:p w14:paraId="791A8A5F">
            <w:pPr>
              <w:pageBreakBefore w:val="0"/>
              <w:widowControl/>
              <w:kinsoku/>
              <w:overflowPunct/>
              <w:topLinePunct w:val="0"/>
              <w:autoSpaceDE/>
              <w:autoSpaceDN/>
              <w:bidi w:val="0"/>
              <w:adjustRightInd/>
              <w:spacing w:line="240" w:lineRule="auto"/>
              <w:jc w:val="center"/>
              <w:rPr>
                <w:rFonts w:hint="eastAsia" w:ascii="黑体" w:hAnsi="黑体" w:eastAsia="黑体" w:cs="黑体"/>
                <w:b/>
                <w:bCs/>
                <w:color w:val="auto"/>
                <w:kern w:val="0"/>
                <w:sz w:val="22"/>
                <w:szCs w:val="28"/>
                <w:highlight w:val="none"/>
              </w:rPr>
            </w:pPr>
            <w:r>
              <w:rPr>
                <w:rFonts w:hint="eastAsia" w:ascii="黑体" w:hAnsi="黑体" w:eastAsia="黑体" w:cs="黑体"/>
                <w:b/>
                <w:bCs/>
                <w:color w:val="auto"/>
                <w:kern w:val="0"/>
                <w:sz w:val="22"/>
                <w:szCs w:val="28"/>
                <w:highlight w:val="none"/>
              </w:rPr>
              <w:t>成交供应商数量（名）</w:t>
            </w:r>
          </w:p>
        </w:tc>
      </w:tr>
      <w:tr w14:paraId="1F63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772" w:type="dxa"/>
            <w:tcBorders>
              <w:top w:val="single" w:color="auto" w:sz="4" w:space="0"/>
              <w:left w:val="single" w:color="auto" w:sz="4" w:space="0"/>
              <w:bottom w:val="single" w:color="auto" w:sz="4" w:space="0"/>
              <w:right w:val="single" w:color="auto" w:sz="4" w:space="0"/>
            </w:tcBorders>
            <w:noWrap w:val="0"/>
            <w:vAlign w:val="center"/>
          </w:tcPr>
          <w:p w14:paraId="5F7A8F8E">
            <w:pPr>
              <w:pageBreakBefore w:val="0"/>
              <w:widowControl/>
              <w:numPr>
                <w:ilvl w:val="0"/>
                <w:numId w:val="0"/>
              </w:numPr>
              <w:kinsoku/>
              <w:overflowPunct/>
              <w:topLinePunct w:val="0"/>
              <w:autoSpaceDE/>
              <w:autoSpaceDN/>
              <w:bidi w:val="0"/>
              <w:adjustRightInd/>
              <w:spacing w:line="240" w:lineRule="auto"/>
              <w:jc w:val="center"/>
              <w:rPr>
                <w:rFonts w:hint="eastAsia" w:ascii="黑体" w:hAnsi="黑体" w:eastAsia="黑体" w:cs="黑体"/>
                <w:b w:val="0"/>
                <w:bCs w:val="0"/>
                <w:color w:val="auto"/>
                <w:kern w:val="0"/>
                <w:sz w:val="22"/>
                <w:szCs w:val="28"/>
                <w:highlight w:val="none"/>
              </w:rPr>
            </w:pPr>
            <w:bookmarkStart w:id="7" w:name="_Hlk344477914"/>
            <w:r>
              <w:rPr>
                <w:rFonts w:hint="eastAsia" w:ascii="黑体" w:hAnsi="黑体" w:eastAsia="黑体" w:cs="黑体"/>
                <w:b w:val="0"/>
                <w:bCs w:val="0"/>
                <w:color w:val="auto"/>
                <w:kern w:val="0"/>
                <w:sz w:val="22"/>
                <w:szCs w:val="28"/>
                <w:highlight w:val="none"/>
                <w:lang w:eastAsia="zh-CN"/>
              </w:rPr>
              <w:t xml:space="preserve">重庆市南岸区新城长生幼儿园顶楼装饰墙及室内墙面破损维修项目 </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640B102C">
            <w:pPr>
              <w:pageBreakBefore w:val="0"/>
              <w:widowControl/>
              <w:kinsoku/>
              <w:overflowPunct/>
              <w:topLinePunct w:val="0"/>
              <w:autoSpaceDE/>
              <w:autoSpaceDN/>
              <w:bidi w:val="0"/>
              <w:adjustRightInd/>
              <w:spacing w:line="240" w:lineRule="auto"/>
              <w:jc w:val="center"/>
              <w:rPr>
                <w:rFonts w:hint="eastAsia" w:ascii="黑体" w:hAnsi="黑体" w:eastAsia="黑体" w:cs="黑体"/>
                <w:b w:val="0"/>
                <w:bCs w:val="0"/>
                <w:color w:val="auto"/>
                <w:kern w:val="0"/>
                <w:sz w:val="22"/>
                <w:szCs w:val="28"/>
                <w:highlight w:val="none"/>
                <w:lang w:val="en-US" w:eastAsia="zh-CN"/>
              </w:rPr>
            </w:pPr>
            <w:r>
              <w:rPr>
                <w:rFonts w:hint="eastAsia" w:ascii="黑体" w:hAnsi="黑体" w:eastAsia="黑体" w:cs="黑体"/>
                <w:b w:val="0"/>
                <w:bCs w:val="0"/>
                <w:color w:val="auto"/>
                <w:kern w:val="0"/>
                <w:sz w:val="22"/>
                <w:szCs w:val="28"/>
                <w:highlight w:val="none"/>
                <w:lang w:val="en-US" w:eastAsia="zh-CN"/>
              </w:rPr>
              <w:t>76877.49</w:t>
            </w:r>
          </w:p>
        </w:tc>
        <w:tc>
          <w:tcPr>
            <w:tcW w:w="2452" w:type="dxa"/>
            <w:tcBorders>
              <w:top w:val="single" w:color="auto" w:sz="4" w:space="0"/>
              <w:left w:val="single" w:color="auto" w:sz="4" w:space="0"/>
              <w:bottom w:val="single" w:color="auto" w:sz="4" w:space="0"/>
              <w:right w:val="single" w:color="auto" w:sz="4" w:space="0"/>
            </w:tcBorders>
            <w:noWrap w:val="0"/>
            <w:vAlign w:val="center"/>
          </w:tcPr>
          <w:p w14:paraId="5BB4A1C1">
            <w:pPr>
              <w:pageBreakBefore w:val="0"/>
              <w:widowControl/>
              <w:kinsoku/>
              <w:overflowPunct/>
              <w:topLinePunct w:val="0"/>
              <w:autoSpaceDE/>
              <w:autoSpaceDN/>
              <w:bidi w:val="0"/>
              <w:adjustRightInd/>
              <w:spacing w:line="240" w:lineRule="auto"/>
              <w:jc w:val="center"/>
              <w:rPr>
                <w:rFonts w:hint="eastAsia" w:ascii="黑体" w:hAnsi="黑体" w:eastAsia="黑体" w:cs="黑体"/>
                <w:b w:val="0"/>
                <w:bCs w:val="0"/>
                <w:color w:val="auto"/>
                <w:kern w:val="0"/>
                <w:sz w:val="22"/>
                <w:szCs w:val="28"/>
                <w:highlight w:val="none"/>
              </w:rPr>
            </w:pPr>
            <w:r>
              <w:rPr>
                <w:rFonts w:hint="eastAsia" w:ascii="黑体" w:hAnsi="黑体" w:eastAsia="黑体" w:cs="黑体"/>
                <w:b w:val="0"/>
                <w:bCs w:val="0"/>
                <w:color w:val="auto"/>
                <w:kern w:val="0"/>
                <w:sz w:val="22"/>
                <w:szCs w:val="28"/>
                <w:highlight w:val="none"/>
              </w:rPr>
              <w:t>1</w:t>
            </w:r>
          </w:p>
        </w:tc>
      </w:tr>
      <w:bookmarkEnd w:id="7"/>
    </w:tbl>
    <w:p w14:paraId="6DCCC534">
      <w:pPr>
        <w:pStyle w:val="4"/>
        <w:pageBreakBefore w:val="0"/>
        <w:numPr>
          <w:ilvl w:val="0"/>
          <w:numId w:val="3"/>
        </w:numPr>
        <w:kinsoku/>
        <w:overflowPunct/>
        <w:topLinePunct w:val="0"/>
        <w:autoSpaceDE/>
        <w:autoSpaceDN/>
        <w:bidi w:val="0"/>
        <w:adjustRightInd/>
        <w:snapToGrid w:val="0"/>
        <w:spacing w:before="0" w:after="0" w:line="312" w:lineRule="auto"/>
        <w:rPr>
          <w:rFonts w:hint="eastAsia" w:ascii="黑体" w:hAnsi="黑体" w:eastAsia="黑体" w:cs="黑体"/>
          <w:color w:val="auto"/>
          <w:sz w:val="24"/>
          <w:szCs w:val="24"/>
          <w:highlight w:val="none"/>
        </w:rPr>
      </w:pPr>
      <w:bookmarkStart w:id="8" w:name="_Toc27485"/>
      <w:bookmarkStart w:id="9" w:name="_Toc152480140"/>
      <w:r>
        <w:rPr>
          <w:rFonts w:hint="eastAsia" w:ascii="黑体" w:hAnsi="黑体" w:eastAsia="黑体" w:cs="黑体"/>
          <w:color w:val="auto"/>
          <w:sz w:val="24"/>
          <w:szCs w:val="24"/>
          <w:highlight w:val="none"/>
        </w:rPr>
        <w:t>采购预算金额</w:t>
      </w:r>
    </w:p>
    <w:p w14:paraId="657F7AA3">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扩大普惠性学前教育资源奖补，</w:t>
      </w:r>
      <w:r>
        <w:rPr>
          <w:rFonts w:hint="eastAsia" w:ascii="黑体" w:hAnsi="黑体" w:eastAsia="黑体" w:cs="黑体"/>
          <w:color w:val="auto"/>
          <w:sz w:val="24"/>
          <w:szCs w:val="24"/>
          <w:highlight w:val="none"/>
        </w:rPr>
        <w:t>预算金额为人民币</w:t>
      </w:r>
      <w:r>
        <w:rPr>
          <w:rFonts w:hint="eastAsia" w:ascii="黑体" w:hAnsi="黑体" w:eastAsia="黑体" w:cs="黑体"/>
          <w:color w:val="auto"/>
          <w:sz w:val="24"/>
          <w:szCs w:val="24"/>
          <w:highlight w:val="none"/>
          <w:lang w:val="en-US" w:eastAsia="zh-CN"/>
        </w:rPr>
        <w:t>76877.49</w:t>
      </w:r>
      <w:r>
        <w:rPr>
          <w:rFonts w:hint="eastAsia" w:ascii="黑体" w:hAnsi="黑体" w:eastAsia="黑体" w:cs="黑体"/>
          <w:color w:val="auto"/>
          <w:sz w:val="24"/>
          <w:szCs w:val="24"/>
          <w:highlight w:val="none"/>
        </w:rPr>
        <w:t>元。</w:t>
      </w:r>
    </w:p>
    <w:p w14:paraId="4E349392">
      <w:pPr>
        <w:pStyle w:val="4"/>
        <w:pageBreakBefore w:val="0"/>
        <w:kinsoku/>
        <w:overflowPunct/>
        <w:topLinePunct w:val="0"/>
        <w:autoSpaceDE/>
        <w:autoSpaceDN/>
        <w:bidi w:val="0"/>
        <w:adjustRightInd/>
        <w:snapToGrid w:val="0"/>
        <w:spacing w:before="0" w:after="0" w:line="312"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三、资格要求</w:t>
      </w:r>
      <w:bookmarkEnd w:id="8"/>
    </w:p>
    <w:p w14:paraId="43CE67F2">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供应商是指向采购人提供服务或者货物的法人、其他组织或者自然人。合格的供应商应符合政府采购法第二十二条规定的基本资格条件和采购方设置的特定资格条件。</w:t>
      </w:r>
    </w:p>
    <w:p w14:paraId="0E24BCAC">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bookmarkStart w:id="10" w:name="_Toc1359"/>
      <w:bookmarkStart w:id="11" w:name="_Toc487204774"/>
      <w:r>
        <w:rPr>
          <w:rFonts w:hint="eastAsia" w:ascii="黑体" w:hAnsi="黑体" w:eastAsia="黑体" w:cs="黑体"/>
          <w:color w:val="auto"/>
          <w:sz w:val="24"/>
          <w:szCs w:val="24"/>
          <w:highlight w:val="none"/>
        </w:rPr>
        <w:t>（一）基本资格条件</w:t>
      </w:r>
    </w:p>
    <w:p w14:paraId="3D580CD1">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1、具有独立承担民事责任的能力；</w:t>
      </w:r>
    </w:p>
    <w:p w14:paraId="69A45BE8">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2、具有良好的商业信誉和健全的财务会计制度；</w:t>
      </w:r>
    </w:p>
    <w:p w14:paraId="0031796A">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3、具有履行合同所必需的设备和专业技术能力；</w:t>
      </w:r>
    </w:p>
    <w:p w14:paraId="05710C88">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4、有依法缴纳税收和社会保障资金的良好记录；</w:t>
      </w:r>
    </w:p>
    <w:p w14:paraId="367CF4E9">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5、参加政府采购活动前三年内，在经营活动中没有重大违法记录。</w:t>
      </w:r>
    </w:p>
    <w:p w14:paraId="4B2271E8">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6、法律、行政法规规定的其他条件。</w:t>
      </w:r>
    </w:p>
    <w:p w14:paraId="50D12209">
      <w:pPr>
        <w:wordWrap w:val="0"/>
        <w:spacing w:line="360" w:lineRule="auto"/>
        <w:ind w:firstLine="650" w:firstLineChars="271"/>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（二）特定资格条件</w:t>
      </w:r>
      <w:r>
        <w:rPr>
          <w:rFonts w:hint="eastAsia" w:ascii="黑体" w:hAnsi="黑体" w:eastAsia="黑体" w:cs="黑体"/>
          <w:color w:val="auto"/>
          <w:sz w:val="24"/>
          <w:szCs w:val="24"/>
          <w:highlight w:val="none"/>
          <w:lang w:eastAsia="zh-CN"/>
        </w:rPr>
        <w:t>：</w:t>
      </w:r>
    </w:p>
    <w:p w14:paraId="76B6119A">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1.供应商应具备建设行政主管部门颁发的：建筑工程施工总承包叁级及以上资质。（提供相关的证书复印件并加盖供应商公章）</w:t>
      </w:r>
    </w:p>
    <w:p w14:paraId="4B2C7DF3">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2.具备建设行政主管部门颁发的有效的安全生产许可证。（提供相关的证书复印件并加盖供应商公章）</w:t>
      </w:r>
      <w:r>
        <w:rPr>
          <w:rFonts w:hint="eastAsia" w:ascii="黑体" w:hAnsi="黑体" w:eastAsia="黑体" w:cs="黑体"/>
          <w:color w:val="auto"/>
          <w:sz w:val="24"/>
          <w:szCs w:val="24"/>
          <w:highlight w:val="none"/>
          <w:lang w:val="en-US" w:eastAsia="zh-CN"/>
        </w:rPr>
        <w:t>。</w:t>
      </w:r>
    </w:p>
    <w:p w14:paraId="464CBEC4">
      <w:pPr>
        <w:pStyle w:val="4"/>
        <w:pageBreakBefore w:val="0"/>
        <w:kinsoku/>
        <w:overflowPunct/>
        <w:topLinePunct w:val="0"/>
        <w:autoSpaceDE/>
        <w:autoSpaceDN/>
        <w:bidi w:val="0"/>
        <w:adjustRightInd/>
        <w:snapToGrid w:val="0"/>
        <w:spacing w:before="0" w:after="0" w:line="312" w:lineRule="auto"/>
        <w:rPr>
          <w:rFonts w:hint="eastAsia" w:ascii="黑体" w:hAnsi="黑体" w:eastAsia="黑体" w:cs="黑体"/>
          <w:color w:val="auto"/>
          <w:sz w:val="24"/>
          <w:szCs w:val="24"/>
          <w:highlight w:val="none"/>
        </w:rPr>
      </w:pPr>
      <w:bookmarkStart w:id="12" w:name="_Toc7308"/>
      <w:r>
        <w:rPr>
          <w:rFonts w:hint="eastAsia" w:ascii="黑体" w:hAnsi="黑体" w:eastAsia="黑体" w:cs="黑体"/>
          <w:color w:val="auto"/>
          <w:sz w:val="24"/>
          <w:szCs w:val="24"/>
          <w:highlight w:val="none"/>
        </w:rPr>
        <w:t>四、采购有关说明</w:t>
      </w:r>
      <w:bookmarkEnd w:id="10"/>
      <w:bookmarkEnd w:id="11"/>
      <w:bookmarkEnd w:id="12"/>
    </w:p>
    <w:p w14:paraId="655E900B">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（一）供应商应通过</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行采家”（https://www.gec123.com）登记加入供应商库。</w:t>
      </w:r>
    </w:p>
    <w:p w14:paraId="1B6E03B5">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（二）凡有意参加采购的供应商，请于公告发布之日起至提交首次响应文件截止时间之前，在</w:t>
      </w:r>
      <w:r>
        <w:rPr>
          <w:rFonts w:hint="eastAsia" w:ascii="黑体" w:hAnsi="黑体" w:eastAsia="黑体" w:cs="黑体"/>
          <w:color w:val="auto"/>
          <w:sz w:val="24"/>
          <w:szCs w:val="24"/>
          <w:highlight w:val="none"/>
          <w:lang w:eastAsia="zh-CN"/>
        </w:rPr>
        <w:t>“行采家”（https://www.gec123.com）</w:t>
      </w:r>
      <w:r>
        <w:rPr>
          <w:rFonts w:hint="eastAsia" w:ascii="黑体" w:hAnsi="黑体" w:eastAsia="黑体" w:cs="黑体"/>
          <w:color w:val="auto"/>
          <w:sz w:val="24"/>
          <w:szCs w:val="24"/>
          <w:highlight w:val="none"/>
        </w:rPr>
        <w:t>”下载本项目采购文件以及补遗等采购前公布的所有项目资料，无论供应商下载与否，均视为已知晓所有采购实质性要求内容。</w:t>
      </w:r>
    </w:p>
    <w:p w14:paraId="4312D933">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（三）网上竞采报名</w:t>
      </w:r>
    </w:p>
    <w:p w14:paraId="6F296EAE">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lang w:val="en-US" w:eastAsia="zh-CN"/>
        </w:rPr>
      </w:pPr>
      <w:bookmarkStart w:id="13" w:name="_Toc487204776"/>
      <w:bookmarkStart w:id="14" w:name="_Toc24666"/>
      <w:bookmarkStart w:id="15" w:name="_Toc8911"/>
      <w:r>
        <w:rPr>
          <w:rFonts w:hint="eastAsia" w:ascii="黑体" w:hAnsi="黑体" w:eastAsia="黑体" w:cs="黑体"/>
          <w:color w:val="auto"/>
          <w:sz w:val="24"/>
          <w:szCs w:val="24"/>
          <w:highlight w:val="none"/>
          <w:lang w:val="en-US" w:eastAsia="zh-CN"/>
        </w:rPr>
        <w:t>1、供应商在2025年8月13日17：00前将《项目报名登记表》（加盖供应商公章）扫描后发送至指定邮箱：1341535808@qq.com，其报名才被接收。</w:t>
      </w:r>
    </w:p>
    <w:p w14:paraId="2915FAAA">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2、工本费：人民币500元/份（售后不退），由供应商在现场投标时将纸质响应文件和工本费一并递交。</w:t>
      </w:r>
    </w:p>
    <w:p w14:paraId="1DB2AC26">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（四）线上报价</w:t>
      </w:r>
    </w:p>
    <w:p w14:paraId="29277647">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1.线上报价时间：按本项目网上公告规定的报价截止时间为准。</w:t>
      </w:r>
    </w:p>
    <w:p w14:paraId="14D2E277">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线上报价要求：供应商请自行下载采购文件并编制响应文件，在采购公告规定的报价截止时间前，并将签字盖章完毕的响应文件电子档（整理为一个PDF文件）上传至行采家（https://www.gec123.com）完成线上报价。未在规定时间内报价和上传响应文件电子文档的供应商不具备竞标资格。</w:t>
      </w:r>
    </w:p>
    <w:p w14:paraId="28D7C491">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3.供应商制作的响应文件电子文档，须按照要求制作，规定签字、盖章的地方必须按其规定签字、盖章，未按要求制作响应文件的按无效投标处理。</w:t>
      </w:r>
    </w:p>
    <w:p w14:paraId="26C571B1">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（五）本项目采取线上线下相结合的方式进行投标报价，供应商须在规定时间内完成平台电子响应文件及现场纸质响应文件的提交。</w:t>
      </w:r>
    </w:p>
    <w:p w14:paraId="6D75273F">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1.响应文件现场递交时间：</w:t>
      </w:r>
      <w:r>
        <w:rPr>
          <w:rFonts w:hint="eastAsia" w:ascii="黑体" w:hAnsi="黑体" w:eastAsia="黑体" w:cs="黑体"/>
          <w:b/>
          <w:bCs/>
          <w:color w:val="auto"/>
          <w:sz w:val="24"/>
          <w:szCs w:val="24"/>
          <w:highlight w:val="none"/>
          <w:lang w:val="en-US" w:eastAsia="zh-CN"/>
        </w:rPr>
        <w:t>2025年8月14日北京时间14：30--15:00。</w:t>
      </w:r>
    </w:p>
    <w:p w14:paraId="049E4142">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2.响应文件现场递交地点：</w:t>
      </w:r>
      <w:r>
        <w:rPr>
          <w:rFonts w:hint="eastAsia" w:ascii="黑体" w:hAnsi="黑体" w:eastAsia="黑体" w:cs="黑体"/>
          <w:color w:val="auto"/>
          <w:sz w:val="24"/>
          <w:szCs w:val="24"/>
          <w:highlight w:val="none"/>
          <w:lang w:eastAsia="zh-CN"/>
        </w:rPr>
        <w:t>重庆市南岸区新城长生幼儿园</w:t>
      </w:r>
      <w:r>
        <w:rPr>
          <w:rFonts w:hint="eastAsia" w:ascii="黑体" w:hAnsi="黑体" w:eastAsia="黑体" w:cs="黑体"/>
          <w:color w:val="auto"/>
          <w:sz w:val="24"/>
          <w:szCs w:val="24"/>
          <w:highlight w:val="none"/>
          <w:lang w:val="en-US" w:eastAsia="zh-CN"/>
        </w:rPr>
        <w:t>会议室。</w:t>
      </w:r>
    </w:p>
    <w:p w14:paraId="205786A6">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3.现场递交纸质响应文件一式三份，其中正本一份，副本两份，副本可为正本的复印件。供应商的线上报价与纸质响应文件报价函中的报价一致，上传的响应文件电子文档内容应与纸质文件正本、副本一致。</w:t>
      </w:r>
    </w:p>
    <w:p w14:paraId="21539616">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sz w:val="24"/>
          <w:szCs w:val="24"/>
          <w:highlight w:val="none"/>
        </w:rPr>
      </w:pPr>
      <w:r>
        <w:rPr>
          <w:rFonts w:hint="eastAsia" w:ascii="黑体" w:hAnsi="黑体" w:eastAsia="黑体" w:cs="黑体"/>
          <w:color w:val="auto"/>
          <w:sz w:val="24"/>
          <w:szCs w:val="24"/>
          <w:highlight w:val="none"/>
          <w:lang w:val="en-US" w:eastAsia="zh-CN"/>
        </w:rPr>
        <w:t>（六）已参与线上报价的供应商应在规定的时间内现场递交纸质响应文件，否则按无效投标处理。</w:t>
      </w:r>
    </w:p>
    <w:p w14:paraId="5C22060E">
      <w:pPr>
        <w:pStyle w:val="4"/>
        <w:pageBreakBefore w:val="0"/>
        <w:kinsoku/>
        <w:overflowPunct/>
        <w:topLinePunct w:val="0"/>
        <w:autoSpaceDE/>
        <w:autoSpaceDN/>
        <w:bidi w:val="0"/>
        <w:adjustRightInd/>
        <w:snapToGrid w:val="0"/>
        <w:spacing w:before="0" w:after="0" w:line="312"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五、采购有关规定</w:t>
      </w:r>
      <w:bookmarkEnd w:id="13"/>
      <w:bookmarkEnd w:id="14"/>
      <w:bookmarkEnd w:id="15"/>
    </w:p>
    <w:p w14:paraId="35C087A4">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（一）单位负责人为同一人或者存在直接控股、管理关系的不同供应商，不得参加同一合同项下的政府采购活动，否则均为无效响应。</w:t>
      </w:r>
    </w:p>
    <w:p w14:paraId="3CF0636E">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（二）为采购项目提供整体设计、规范编制或者项目管理、监理、检测等服务的供应商，不得再参加该采购项目的其他采购活动，否则均为无效响应。</w:t>
      </w:r>
    </w:p>
    <w:p w14:paraId="36EEA8EA">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（三）本项目的补遗文件（如果有）一律在</w:t>
      </w:r>
      <w:r>
        <w:rPr>
          <w:rFonts w:hint="eastAsia" w:ascii="黑体" w:hAnsi="黑体" w:eastAsia="黑体" w:cs="黑体"/>
          <w:color w:val="auto"/>
          <w:sz w:val="24"/>
          <w:szCs w:val="24"/>
          <w:highlight w:val="none"/>
          <w:lang w:eastAsia="zh-CN"/>
        </w:rPr>
        <w:t>“行采家”（https://www.gec123.com）</w:t>
      </w:r>
      <w:r>
        <w:rPr>
          <w:rFonts w:hint="eastAsia" w:ascii="黑体" w:hAnsi="黑体" w:eastAsia="黑体" w:cs="黑体"/>
          <w:color w:val="auto"/>
          <w:sz w:val="24"/>
          <w:szCs w:val="24"/>
          <w:highlight w:val="none"/>
        </w:rPr>
        <w:t>上发布，请各供应商注意下载；无论供应商下载与否，均视同供应商已知晓本项目补遗文件（如果有）的内容。</w:t>
      </w:r>
    </w:p>
    <w:p w14:paraId="3A36C1A0">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（四）供应商未在规定的时间上传响应文件电子文档，视为弃权。</w:t>
      </w:r>
    </w:p>
    <w:p w14:paraId="25987CDE">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（五）投标费用：无论采购结果如何，供应商参与本项目投标的所有费用均应由供应商自行承担。</w:t>
      </w:r>
    </w:p>
    <w:p w14:paraId="12B01B13">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六）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64C18B72">
      <w:pPr>
        <w:pStyle w:val="4"/>
        <w:pageBreakBefore w:val="0"/>
        <w:kinsoku/>
        <w:overflowPunct/>
        <w:topLinePunct w:val="0"/>
        <w:autoSpaceDE/>
        <w:autoSpaceDN/>
        <w:bidi w:val="0"/>
        <w:adjustRightInd/>
        <w:snapToGrid w:val="0"/>
        <w:spacing w:before="0" w:after="0" w:line="312" w:lineRule="auto"/>
        <w:rPr>
          <w:rFonts w:hint="eastAsia" w:ascii="黑体" w:hAnsi="黑体" w:eastAsia="黑体" w:cs="黑体"/>
          <w:color w:val="auto"/>
          <w:sz w:val="24"/>
          <w:szCs w:val="24"/>
          <w:highlight w:val="none"/>
        </w:rPr>
      </w:pPr>
      <w:bookmarkStart w:id="16" w:name="_Toc6018"/>
      <w:r>
        <w:rPr>
          <w:rFonts w:hint="eastAsia" w:ascii="黑体" w:hAnsi="黑体" w:eastAsia="黑体" w:cs="黑体"/>
          <w:color w:val="auto"/>
          <w:sz w:val="24"/>
          <w:szCs w:val="24"/>
          <w:highlight w:val="none"/>
          <w:lang w:val="en-US" w:eastAsia="zh-CN"/>
        </w:rPr>
        <w:t>八</w:t>
      </w:r>
      <w:r>
        <w:rPr>
          <w:rFonts w:hint="eastAsia" w:ascii="黑体" w:hAnsi="黑体" w:eastAsia="黑体" w:cs="黑体"/>
          <w:color w:val="auto"/>
          <w:sz w:val="24"/>
          <w:szCs w:val="24"/>
          <w:highlight w:val="none"/>
        </w:rPr>
        <w:t>、联系方式</w:t>
      </w:r>
      <w:bookmarkEnd w:id="16"/>
    </w:p>
    <w:p w14:paraId="1472C0F9">
      <w:pPr>
        <w:keepNext w:val="0"/>
        <w:keepLines w:val="0"/>
        <w:pageBreakBefore w:val="0"/>
        <w:widowControl w:val="0"/>
        <w:kinsoku/>
        <w:wordWrap/>
        <w:overflowPunct/>
        <w:topLinePunct w:val="0"/>
        <w:autoSpaceDE/>
        <w:autoSpaceDN/>
        <w:bidi w:val="0"/>
        <w:adjustRightInd/>
        <w:snapToGrid w:val="0"/>
        <w:spacing w:line="312" w:lineRule="auto"/>
        <w:ind w:firstLine="240" w:firstLineChars="10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（一）采购人：重庆市南岸区新城长生幼儿园</w:t>
      </w:r>
    </w:p>
    <w:p w14:paraId="31E4C4A4">
      <w:pPr>
        <w:keepNext w:val="0"/>
        <w:keepLines w:val="0"/>
        <w:pageBreakBefore w:val="0"/>
        <w:widowControl w:val="0"/>
        <w:kinsoku/>
        <w:wordWrap/>
        <w:overflowPunct/>
        <w:topLinePunct w:val="0"/>
        <w:autoSpaceDE/>
        <w:autoSpaceDN/>
        <w:bidi w:val="0"/>
        <w:adjustRightInd/>
        <w:snapToGrid w:val="0"/>
        <w:spacing w:line="312" w:lineRule="auto"/>
        <w:ind w:firstLine="1200" w:firstLineChars="50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联系人：刘老师</w:t>
      </w:r>
    </w:p>
    <w:p w14:paraId="2D9A13B3">
      <w:pPr>
        <w:keepNext w:val="0"/>
        <w:keepLines w:val="0"/>
        <w:pageBreakBefore w:val="0"/>
        <w:widowControl w:val="0"/>
        <w:kinsoku/>
        <w:wordWrap/>
        <w:overflowPunct/>
        <w:topLinePunct w:val="0"/>
        <w:autoSpaceDE/>
        <w:autoSpaceDN/>
        <w:bidi w:val="0"/>
        <w:adjustRightInd/>
        <w:snapToGrid w:val="0"/>
        <w:spacing w:line="312" w:lineRule="auto"/>
        <w:ind w:firstLine="1200" w:firstLineChars="500"/>
        <w:textAlignment w:val="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电  话：023-62395613</w:t>
      </w:r>
    </w:p>
    <w:p w14:paraId="6841CD53">
      <w:pPr>
        <w:keepNext w:val="0"/>
        <w:keepLines w:val="0"/>
        <w:pageBreakBefore w:val="0"/>
        <w:widowControl w:val="0"/>
        <w:kinsoku/>
        <w:wordWrap/>
        <w:overflowPunct/>
        <w:topLinePunct w:val="0"/>
        <w:autoSpaceDE/>
        <w:autoSpaceDN/>
        <w:bidi w:val="0"/>
        <w:adjustRightInd/>
        <w:snapToGrid w:val="0"/>
        <w:spacing w:line="312" w:lineRule="auto"/>
        <w:ind w:firstLine="1200" w:firstLineChars="500"/>
        <w:textAlignment w:val="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地  址：重庆市南岸区通汇路8号4幢</w:t>
      </w:r>
    </w:p>
    <w:p w14:paraId="5B3CC732">
      <w:pPr>
        <w:pageBreakBefore w:val="0"/>
        <w:kinsoku/>
        <w:overflowPunct/>
        <w:topLinePunct w:val="0"/>
        <w:autoSpaceDE/>
        <w:autoSpaceDN/>
        <w:bidi w:val="0"/>
        <w:adjustRightInd/>
        <w:snapToGrid w:val="0"/>
        <w:spacing w:line="312" w:lineRule="auto"/>
        <w:ind w:firstLine="1200" w:firstLineChars="5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 xml:space="preserve"> </w:t>
      </w:r>
    </w:p>
    <w:p w14:paraId="6796D051">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（二）</w:t>
      </w:r>
      <w:bookmarkEnd w:id="9"/>
      <w:bookmarkStart w:id="17" w:name="_Toc102227313"/>
      <w:bookmarkStart w:id="18" w:name="_Toc152480141"/>
      <w:bookmarkStart w:id="19" w:name="_Toc376349875"/>
      <w:r>
        <w:rPr>
          <w:rFonts w:hint="eastAsia" w:ascii="黑体" w:hAnsi="黑体" w:eastAsia="黑体" w:cs="黑体"/>
          <w:color w:val="auto"/>
          <w:sz w:val="24"/>
          <w:szCs w:val="24"/>
          <w:highlight w:val="none"/>
          <w:lang w:eastAsia="zh-CN"/>
        </w:rPr>
        <w:t>采购代理机构：重庆腾锐阳工程项目管理有限公司</w:t>
      </w:r>
    </w:p>
    <w:p w14:paraId="5AD1EF8C">
      <w:pPr>
        <w:keepNext w:val="0"/>
        <w:keepLines w:val="0"/>
        <w:pageBreakBefore w:val="0"/>
        <w:widowControl w:val="0"/>
        <w:kinsoku/>
        <w:wordWrap/>
        <w:overflowPunct/>
        <w:topLinePunct w:val="0"/>
        <w:autoSpaceDE/>
        <w:autoSpaceDN/>
        <w:bidi w:val="0"/>
        <w:adjustRightInd/>
        <w:snapToGrid w:val="0"/>
        <w:spacing w:line="312" w:lineRule="auto"/>
        <w:ind w:firstLine="1200" w:firstLineChars="50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联系</w:t>
      </w:r>
      <w:r>
        <w:rPr>
          <w:rFonts w:hint="eastAsia" w:ascii="黑体" w:hAnsi="黑体" w:eastAsia="黑体" w:cs="黑体"/>
          <w:color w:val="auto"/>
          <w:sz w:val="24"/>
          <w:szCs w:val="24"/>
          <w:highlight w:val="none"/>
          <w:lang w:val="en-US" w:eastAsia="zh-CN"/>
        </w:rPr>
        <w:t>人：刘老师</w:t>
      </w:r>
    </w:p>
    <w:p w14:paraId="09083AE0">
      <w:pPr>
        <w:keepNext w:val="0"/>
        <w:keepLines w:val="0"/>
        <w:pageBreakBefore w:val="0"/>
        <w:widowControl w:val="0"/>
        <w:kinsoku/>
        <w:wordWrap/>
        <w:overflowPunct/>
        <w:topLinePunct w:val="0"/>
        <w:autoSpaceDE/>
        <w:autoSpaceDN/>
        <w:bidi w:val="0"/>
        <w:adjustRightInd/>
        <w:snapToGrid w:val="0"/>
        <w:spacing w:line="312" w:lineRule="auto"/>
        <w:ind w:firstLine="1200" w:firstLineChars="500"/>
        <w:textAlignment w:val="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电  话：023-62876939</w:t>
      </w:r>
    </w:p>
    <w:p w14:paraId="6803A719">
      <w:pPr>
        <w:keepNext w:val="0"/>
        <w:keepLines w:val="0"/>
        <w:pageBreakBefore w:val="0"/>
        <w:widowControl w:val="0"/>
        <w:kinsoku/>
        <w:wordWrap/>
        <w:overflowPunct/>
        <w:topLinePunct w:val="0"/>
        <w:autoSpaceDE/>
        <w:autoSpaceDN/>
        <w:bidi w:val="0"/>
        <w:adjustRightInd/>
        <w:snapToGrid w:val="0"/>
        <w:spacing w:line="312" w:lineRule="auto"/>
        <w:ind w:firstLine="1200" w:firstLineChars="500"/>
        <w:textAlignment w:val="auto"/>
        <w:rPr>
          <w:rFonts w:hint="eastAsia" w:ascii="黑体" w:hAnsi="黑体" w:eastAsia="黑体" w:cs="黑体"/>
          <w:color w:val="auto"/>
          <w:sz w:val="24"/>
          <w:szCs w:val="24"/>
          <w:highlight w:val="none"/>
          <w:lang w:val="en-US" w:eastAsia="zh-CN"/>
        </w:rPr>
        <w:sectPr>
          <w:footerReference r:id="rId8" w:type="default"/>
          <w:pgSz w:w="11907" w:h="16840"/>
          <w:pgMar w:top="1440" w:right="1423" w:bottom="1440" w:left="1423" w:header="964" w:footer="992" w:gutter="0"/>
          <w:pgNumType w:fmt="decimal" w:start="1"/>
          <w:cols w:space="720" w:num="1"/>
          <w:docGrid w:type="linesAndChars" w:linePitch="312" w:charSpace="0"/>
        </w:sectPr>
      </w:pPr>
      <w:r>
        <w:rPr>
          <w:rFonts w:hint="eastAsia" w:ascii="黑体" w:hAnsi="黑体" w:eastAsia="黑体" w:cs="黑体"/>
          <w:color w:val="auto"/>
          <w:sz w:val="24"/>
          <w:szCs w:val="24"/>
          <w:highlight w:val="none"/>
          <w:lang w:val="en-US" w:eastAsia="zh-CN"/>
        </w:rPr>
        <w:t>地  址：重庆经济技术开发区长生桥镇美林路27号</w:t>
      </w:r>
    </w:p>
    <w:bookmarkEnd w:id="2"/>
    <w:bookmarkEnd w:id="3"/>
    <w:bookmarkEnd w:id="4"/>
    <w:bookmarkEnd w:id="17"/>
    <w:bookmarkEnd w:id="18"/>
    <w:bookmarkEnd w:id="19"/>
    <w:p w14:paraId="233385A2">
      <w:pPr>
        <w:pStyle w:val="3"/>
        <w:pageBreakBefore w:val="0"/>
        <w:kinsoku/>
        <w:overflowPunct/>
        <w:topLinePunct w:val="0"/>
        <w:autoSpaceDE/>
        <w:autoSpaceDN/>
        <w:bidi w:val="0"/>
        <w:adjustRightInd/>
        <w:snapToGrid w:val="0"/>
        <w:spacing w:before="0" w:after="0" w:line="312" w:lineRule="auto"/>
        <w:jc w:val="center"/>
        <w:rPr>
          <w:rStyle w:val="38"/>
          <w:rFonts w:hint="eastAsia" w:ascii="黑体" w:hAnsi="黑体" w:eastAsia="黑体" w:cs="黑体"/>
          <w:b/>
          <w:bCs/>
          <w:color w:val="auto"/>
          <w:highlight w:val="none"/>
        </w:rPr>
      </w:pPr>
      <w:bookmarkStart w:id="20" w:name="_Toc25630"/>
      <w:bookmarkStart w:id="21" w:name="_Toc6453"/>
      <w:bookmarkStart w:id="22" w:name="_Toc487204778"/>
      <w:bookmarkStart w:id="23" w:name="_Toc128744991"/>
      <w:r>
        <w:rPr>
          <w:rStyle w:val="38"/>
          <w:rFonts w:hint="eastAsia" w:ascii="黑体" w:hAnsi="黑体" w:eastAsia="黑体" w:cs="黑体"/>
          <w:b/>
          <w:bCs/>
          <w:color w:val="auto"/>
          <w:highlight w:val="none"/>
        </w:rPr>
        <w:t>第二篇  项目服务需求</w:t>
      </w:r>
      <w:bookmarkEnd w:id="20"/>
    </w:p>
    <w:p w14:paraId="2AAEF93A">
      <w:pPr>
        <w:pStyle w:val="4"/>
        <w:pageBreakBefore w:val="0"/>
        <w:kinsoku/>
        <w:overflowPunct/>
        <w:topLinePunct w:val="0"/>
        <w:autoSpaceDE/>
        <w:autoSpaceDN/>
        <w:bidi w:val="0"/>
        <w:adjustRightInd/>
        <w:snapToGrid w:val="0"/>
        <w:spacing w:before="0" w:after="0" w:line="312" w:lineRule="auto"/>
        <w:rPr>
          <w:rFonts w:hint="eastAsia" w:ascii="黑体" w:hAnsi="黑体" w:eastAsia="黑体" w:cs="黑体"/>
          <w:color w:val="auto"/>
          <w:sz w:val="24"/>
          <w:szCs w:val="24"/>
          <w:highlight w:val="none"/>
        </w:rPr>
      </w:pPr>
      <w:bookmarkStart w:id="24" w:name="_Toc31391"/>
      <w:bookmarkStart w:id="25" w:name="_Toc472518517"/>
      <w:bookmarkStart w:id="26" w:name="_Toc513627035"/>
      <w:r>
        <w:rPr>
          <w:rFonts w:hint="eastAsia" w:ascii="黑体" w:hAnsi="黑体" w:eastAsia="黑体" w:cs="黑体"/>
          <w:color w:val="auto"/>
          <w:sz w:val="24"/>
          <w:szCs w:val="24"/>
          <w:highlight w:val="none"/>
        </w:rPr>
        <w:t>一、采购项目一览表</w:t>
      </w:r>
      <w:bookmarkEnd w:id="24"/>
      <w:bookmarkEnd w:id="25"/>
      <w:bookmarkEnd w:id="26"/>
      <w:bookmarkStart w:id="27" w:name="_Toc313536013"/>
      <w:bookmarkStart w:id="28" w:name="_Toc513627036"/>
      <w:bookmarkStart w:id="29" w:name="_Toc344475116"/>
    </w:p>
    <w:tbl>
      <w:tblPr>
        <w:tblStyle w:val="24"/>
        <w:tblW w:w="53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2"/>
        <w:gridCol w:w="2728"/>
        <w:gridCol w:w="1758"/>
      </w:tblGrid>
      <w:tr w14:paraId="72D6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29" w:type="pct"/>
            <w:noWrap/>
            <w:vAlign w:val="center"/>
          </w:tcPr>
          <w:p w14:paraId="6279FF0B">
            <w:pPr>
              <w:pageBreakBefore w:val="0"/>
              <w:kinsoku/>
              <w:overflowPunct/>
              <w:topLinePunct w:val="0"/>
              <w:autoSpaceDE/>
              <w:autoSpaceDN/>
              <w:bidi w:val="0"/>
              <w:adjustRightInd/>
              <w:snapToGrid w:val="0"/>
              <w:spacing w:line="312" w:lineRule="auto"/>
              <w:jc w:val="center"/>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项目名称</w:t>
            </w:r>
          </w:p>
        </w:tc>
        <w:tc>
          <w:tcPr>
            <w:tcW w:w="1380" w:type="pct"/>
            <w:noWrap/>
            <w:vAlign w:val="center"/>
          </w:tcPr>
          <w:p w14:paraId="549B8F7C">
            <w:pPr>
              <w:pageBreakBefore w:val="0"/>
              <w:widowControl/>
              <w:kinsoku/>
              <w:overflowPunct/>
              <w:topLinePunct w:val="0"/>
              <w:autoSpaceDE/>
              <w:autoSpaceDN/>
              <w:bidi w:val="0"/>
              <w:adjustRightInd/>
              <w:snapToGrid w:val="0"/>
              <w:spacing w:line="312" w:lineRule="auto"/>
              <w:jc w:val="center"/>
              <w:rPr>
                <w:rFonts w:hint="eastAsia" w:ascii="黑体" w:hAnsi="黑体" w:eastAsia="黑体" w:cs="黑体"/>
                <w:b/>
                <w:bCs/>
                <w:color w:val="auto"/>
                <w:sz w:val="24"/>
                <w:szCs w:val="24"/>
                <w:highlight w:val="none"/>
              </w:rPr>
            </w:pPr>
            <w:r>
              <w:rPr>
                <w:rFonts w:hint="eastAsia" w:ascii="黑体" w:hAnsi="黑体" w:eastAsia="黑体" w:cs="黑体"/>
                <w:b/>
                <w:color w:val="auto"/>
                <w:kern w:val="0"/>
                <w:sz w:val="24"/>
                <w:szCs w:val="24"/>
                <w:highlight w:val="none"/>
                <w:lang w:val="en-US" w:eastAsia="zh-CN"/>
              </w:rPr>
              <w:t>最高限价（元）</w:t>
            </w:r>
          </w:p>
        </w:tc>
        <w:tc>
          <w:tcPr>
            <w:tcW w:w="889" w:type="pct"/>
            <w:noWrap/>
            <w:vAlign w:val="center"/>
          </w:tcPr>
          <w:p w14:paraId="47BDD23E">
            <w:pPr>
              <w:pageBreakBefore w:val="0"/>
              <w:kinsoku/>
              <w:overflowPunct/>
              <w:topLinePunct w:val="0"/>
              <w:autoSpaceDE/>
              <w:autoSpaceDN/>
              <w:bidi w:val="0"/>
              <w:adjustRightInd/>
              <w:snapToGrid w:val="0"/>
              <w:spacing w:line="312" w:lineRule="auto"/>
              <w:jc w:val="center"/>
              <w:rPr>
                <w:rFonts w:hint="eastAsia" w:ascii="黑体" w:hAnsi="黑体" w:eastAsia="黑体" w:cs="黑体"/>
                <w:b/>
                <w:bCs/>
                <w:color w:val="auto"/>
                <w:sz w:val="24"/>
                <w:szCs w:val="24"/>
                <w:highlight w:val="none"/>
                <w:lang w:val="en-US" w:eastAsia="zh-CN"/>
              </w:rPr>
            </w:pPr>
            <w:r>
              <w:rPr>
                <w:rFonts w:hint="eastAsia" w:ascii="黑体" w:hAnsi="黑体" w:eastAsia="黑体" w:cs="黑体"/>
                <w:b/>
                <w:color w:val="auto"/>
                <w:kern w:val="0"/>
                <w:sz w:val="24"/>
                <w:szCs w:val="24"/>
                <w:highlight w:val="none"/>
                <w:lang w:val="en-US" w:eastAsia="zh-CN"/>
              </w:rPr>
              <w:t>备注</w:t>
            </w:r>
          </w:p>
        </w:tc>
      </w:tr>
      <w:tr w14:paraId="11C1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729" w:type="pct"/>
            <w:noWrap/>
            <w:vAlign w:val="center"/>
          </w:tcPr>
          <w:p w14:paraId="67FB3228">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2"/>
                <w:szCs w:val="22"/>
                <w:highlight w:val="none"/>
                <w:lang w:eastAsia="zh-CN"/>
              </w:rPr>
              <w:t xml:space="preserve">重庆市南岸区新城长生幼儿园顶楼装饰墙及室内墙面破损维修项目 </w:t>
            </w:r>
          </w:p>
        </w:tc>
        <w:tc>
          <w:tcPr>
            <w:tcW w:w="1380" w:type="pct"/>
            <w:noWrap/>
            <w:vAlign w:val="center"/>
          </w:tcPr>
          <w:p w14:paraId="40B724E2">
            <w:pPr>
              <w:pageBreakBefore w:val="0"/>
              <w:widowControl/>
              <w:kinsoku/>
              <w:overflowPunct/>
              <w:topLinePunct w:val="0"/>
              <w:autoSpaceDE/>
              <w:autoSpaceDN/>
              <w:bidi w:val="0"/>
              <w:adjustRightInd/>
              <w:snapToGrid w:val="0"/>
              <w:spacing w:line="312" w:lineRule="auto"/>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76877.49</w:t>
            </w:r>
          </w:p>
        </w:tc>
        <w:tc>
          <w:tcPr>
            <w:tcW w:w="889" w:type="pct"/>
            <w:noWrap/>
            <w:vAlign w:val="center"/>
          </w:tcPr>
          <w:p w14:paraId="11AA0E7A">
            <w:pPr>
              <w:pageBreakBefore w:val="0"/>
              <w:widowControl/>
              <w:kinsoku/>
              <w:overflowPunct/>
              <w:topLinePunct w:val="0"/>
              <w:autoSpaceDE/>
              <w:autoSpaceDN/>
              <w:bidi w:val="0"/>
              <w:adjustRightInd/>
              <w:snapToGrid w:val="0"/>
              <w:spacing w:line="312" w:lineRule="auto"/>
              <w:jc w:val="center"/>
              <w:rPr>
                <w:rFonts w:hint="eastAsia" w:ascii="黑体" w:hAnsi="黑体" w:eastAsia="黑体" w:cs="黑体"/>
                <w:color w:val="auto"/>
                <w:sz w:val="24"/>
                <w:szCs w:val="24"/>
                <w:highlight w:val="none"/>
                <w:lang w:val="en-US" w:eastAsia="zh-CN"/>
              </w:rPr>
            </w:pPr>
          </w:p>
        </w:tc>
      </w:tr>
      <w:bookmarkEnd w:id="27"/>
      <w:bookmarkEnd w:id="28"/>
      <w:bookmarkEnd w:id="29"/>
    </w:tbl>
    <w:p w14:paraId="096C34BD">
      <w:pPr>
        <w:pStyle w:val="4"/>
        <w:pageBreakBefore w:val="0"/>
        <w:widowControl w:val="0"/>
        <w:kinsoku/>
        <w:wordWrap/>
        <w:overflowPunct/>
        <w:topLinePunct w:val="0"/>
        <w:autoSpaceDE/>
        <w:autoSpaceDN/>
        <w:bidi w:val="0"/>
        <w:adjustRightInd/>
        <w:snapToGrid w:val="0"/>
        <w:spacing w:before="0" w:after="0" w:line="360" w:lineRule="auto"/>
        <w:textAlignment w:val="auto"/>
        <w:rPr>
          <w:rFonts w:hint="eastAsia" w:ascii="黑体" w:hAnsi="黑体" w:eastAsia="黑体" w:cs="黑体"/>
          <w:color w:val="auto"/>
          <w:sz w:val="24"/>
          <w:szCs w:val="24"/>
          <w:highlight w:val="none"/>
        </w:rPr>
      </w:pPr>
      <w:bookmarkStart w:id="30" w:name="_Toc16893"/>
      <w:bookmarkStart w:id="31" w:name="_Toc13570"/>
      <w:r>
        <w:rPr>
          <w:rFonts w:hint="eastAsia" w:ascii="黑体" w:hAnsi="黑体" w:eastAsia="黑体" w:cs="黑体"/>
          <w:color w:val="auto"/>
          <w:sz w:val="24"/>
          <w:szCs w:val="24"/>
          <w:highlight w:val="none"/>
          <w:lang w:val="en-US" w:eastAsia="zh-CN"/>
        </w:rPr>
        <w:t>二、</w:t>
      </w:r>
      <w:bookmarkEnd w:id="30"/>
      <w:bookmarkEnd w:id="31"/>
      <w:bookmarkStart w:id="32" w:name="_Toc412"/>
      <w:r>
        <w:rPr>
          <w:rFonts w:hint="eastAsia" w:ascii="黑体" w:hAnsi="黑体" w:eastAsia="黑体" w:cs="黑体"/>
          <w:color w:val="auto"/>
          <w:sz w:val="24"/>
          <w:szCs w:val="24"/>
          <w:highlight w:val="none"/>
        </w:rPr>
        <w:t>项目基本概况介绍</w:t>
      </w:r>
    </w:p>
    <w:p w14:paraId="4F4BD6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黑体" w:hAnsi="黑体" w:eastAsia="黑体" w:cs="黑体"/>
          <w:color w:val="auto"/>
          <w:sz w:val="24"/>
          <w:szCs w:val="24"/>
          <w:highlight w:val="none"/>
          <w:lang w:eastAsia="zh-CN"/>
        </w:rPr>
      </w:pPr>
      <w:bookmarkStart w:id="33" w:name="_Hlk101689526"/>
      <w:r>
        <w:rPr>
          <w:rFonts w:hint="eastAsia" w:ascii="黑体" w:hAnsi="黑体" w:eastAsia="黑体" w:cs="黑体"/>
          <w:color w:val="auto"/>
          <w:sz w:val="24"/>
          <w:szCs w:val="24"/>
          <w:highlight w:val="none"/>
          <w:lang w:eastAsia="zh-CN"/>
        </w:rPr>
        <w:t>该</w:t>
      </w:r>
      <w:r>
        <w:rPr>
          <w:rFonts w:hint="eastAsia" w:ascii="黑体" w:hAnsi="黑体" w:eastAsia="黑体" w:cs="黑体"/>
          <w:color w:val="auto"/>
          <w:sz w:val="24"/>
          <w:szCs w:val="24"/>
          <w:highlight w:val="none"/>
          <w:lang w:val="en-US" w:eastAsia="zh-CN"/>
        </w:rPr>
        <w:t>项目</w:t>
      </w:r>
      <w:r>
        <w:rPr>
          <w:rFonts w:hint="eastAsia" w:ascii="黑体" w:hAnsi="黑体" w:eastAsia="黑体" w:cs="黑体"/>
          <w:color w:val="auto"/>
          <w:sz w:val="24"/>
          <w:szCs w:val="24"/>
          <w:highlight w:val="none"/>
          <w:lang w:eastAsia="zh-CN"/>
        </w:rPr>
        <w:t>主要对重庆市南岸区新城长生幼儿园顶楼装饰墙及室内墙面破损</w:t>
      </w:r>
      <w:r>
        <w:rPr>
          <w:rFonts w:hint="eastAsia" w:ascii="黑体" w:hAnsi="黑体" w:eastAsia="黑体" w:cs="黑体"/>
          <w:color w:val="auto"/>
          <w:sz w:val="24"/>
          <w:szCs w:val="24"/>
          <w:highlight w:val="none"/>
          <w:lang w:val="en-US" w:eastAsia="zh-CN"/>
        </w:rPr>
        <w:t>进行维修</w:t>
      </w:r>
      <w:r>
        <w:rPr>
          <w:rFonts w:hint="eastAsia" w:ascii="黑体" w:hAnsi="黑体" w:eastAsia="黑体" w:cs="黑体"/>
          <w:color w:val="auto"/>
          <w:sz w:val="24"/>
          <w:szCs w:val="24"/>
          <w:highlight w:val="none"/>
          <w:lang w:eastAsia="zh-CN"/>
        </w:rPr>
        <w:t>等</w:t>
      </w:r>
      <w:r>
        <w:rPr>
          <w:rFonts w:hint="eastAsia" w:ascii="黑体" w:hAnsi="黑体" w:eastAsia="黑体" w:cs="黑体"/>
          <w:color w:val="auto"/>
          <w:sz w:val="24"/>
          <w:szCs w:val="24"/>
          <w:highlight w:val="none"/>
          <w:lang w:val="en-US" w:eastAsia="zh-CN"/>
        </w:rPr>
        <w:t>工作</w:t>
      </w:r>
      <w:r>
        <w:rPr>
          <w:rFonts w:hint="eastAsia" w:ascii="黑体" w:hAnsi="黑体" w:eastAsia="黑体" w:cs="黑体"/>
          <w:color w:val="auto"/>
          <w:sz w:val="24"/>
          <w:szCs w:val="24"/>
          <w:highlight w:val="none"/>
          <w:lang w:eastAsia="zh-CN"/>
        </w:rPr>
        <w:t>内容，具体详见</w:t>
      </w:r>
      <w:r>
        <w:rPr>
          <w:rFonts w:hint="eastAsia" w:ascii="黑体" w:hAnsi="黑体" w:eastAsia="黑体" w:cs="黑体"/>
          <w:color w:val="auto"/>
          <w:sz w:val="24"/>
          <w:szCs w:val="24"/>
          <w:highlight w:val="none"/>
          <w:lang w:val="en-US" w:eastAsia="zh-CN"/>
        </w:rPr>
        <w:t>服务需求</w:t>
      </w:r>
      <w:r>
        <w:rPr>
          <w:rFonts w:hint="eastAsia" w:ascii="黑体" w:hAnsi="黑体" w:eastAsia="黑体" w:cs="黑体"/>
          <w:color w:val="auto"/>
          <w:sz w:val="24"/>
          <w:szCs w:val="24"/>
          <w:highlight w:val="none"/>
          <w:lang w:eastAsia="zh-CN"/>
        </w:rPr>
        <w:t>所包含的</w:t>
      </w:r>
      <w:r>
        <w:rPr>
          <w:rFonts w:hint="eastAsia" w:ascii="黑体" w:hAnsi="黑体" w:eastAsia="黑体" w:cs="黑体"/>
          <w:color w:val="auto"/>
          <w:sz w:val="24"/>
          <w:szCs w:val="24"/>
          <w:highlight w:val="none"/>
          <w:lang w:val="en-US" w:eastAsia="zh-CN"/>
        </w:rPr>
        <w:t>工作</w:t>
      </w:r>
      <w:r>
        <w:rPr>
          <w:rFonts w:hint="eastAsia" w:ascii="黑体" w:hAnsi="黑体" w:eastAsia="黑体" w:cs="黑体"/>
          <w:color w:val="auto"/>
          <w:sz w:val="24"/>
          <w:szCs w:val="24"/>
          <w:highlight w:val="none"/>
          <w:lang w:eastAsia="zh-CN"/>
        </w:rPr>
        <w:t>内容。</w:t>
      </w:r>
    </w:p>
    <w:bookmarkEnd w:id="33"/>
    <w:p w14:paraId="33218593">
      <w:pPr>
        <w:pStyle w:val="4"/>
        <w:pageBreakBefore w:val="0"/>
        <w:widowControl w:val="0"/>
        <w:kinsoku/>
        <w:wordWrap/>
        <w:overflowPunct/>
        <w:topLinePunct w:val="0"/>
        <w:autoSpaceDE/>
        <w:autoSpaceDN/>
        <w:bidi w:val="0"/>
        <w:adjustRightInd/>
        <w:snapToGrid w:val="0"/>
        <w:spacing w:before="0" w:after="0" w:line="360" w:lineRule="auto"/>
        <w:textAlignment w:val="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三、服务需求</w:t>
      </w:r>
    </w:p>
    <w:tbl>
      <w:tblPr>
        <w:tblStyle w:val="25"/>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072"/>
        <w:gridCol w:w="723"/>
        <w:gridCol w:w="859"/>
        <w:gridCol w:w="1118"/>
        <w:gridCol w:w="1500"/>
        <w:gridCol w:w="2905"/>
      </w:tblGrid>
      <w:tr w14:paraId="10EE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02" w:type="dxa"/>
            <w:vAlign w:val="center"/>
          </w:tcPr>
          <w:p w14:paraId="4E62674A">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序号</w:t>
            </w:r>
          </w:p>
        </w:tc>
        <w:tc>
          <w:tcPr>
            <w:tcW w:w="2072" w:type="dxa"/>
            <w:vAlign w:val="center"/>
          </w:tcPr>
          <w:p w14:paraId="4411813A">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名目</w:t>
            </w:r>
          </w:p>
        </w:tc>
        <w:tc>
          <w:tcPr>
            <w:tcW w:w="723" w:type="dxa"/>
            <w:vAlign w:val="center"/>
          </w:tcPr>
          <w:p w14:paraId="674BABA3">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量</w:t>
            </w:r>
          </w:p>
        </w:tc>
        <w:tc>
          <w:tcPr>
            <w:tcW w:w="859" w:type="dxa"/>
            <w:vAlign w:val="center"/>
          </w:tcPr>
          <w:p w14:paraId="08ACF502">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单位</w:t>
            </w:r>
          </w:p>
        </w:tc>
        <w:tc>
          <w:tcPr>
            <w:tcW w:w="1118" w:type="dxa"/>
            <w:vAlign w:val="center"/>
          </w:tcPr>
          <w:p w14:paraId="41F57EF4">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单价（元）</w:t>
            </w:r>
          </w:p>
        </w:tc>
        <w:tc>
          <w:tcPr>
            <w:tcW w:w="1500" w:type="dxa"/>
            <w:vAlign w:val="center"/>
          </w:tcPr>
          <w:p w14:paraId="38290356">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合价（元）</w:t>
            </w:r>
          </w:p>
        </w:tc>
        <w:tc>
          <w:tcPr>
            <w:tcW w:w="2905" w:type="dxa"/>
            <w:vAlign w:val="center"/>
          </w:tcPr>
          <w:p w14:paraId="5E21C3C5">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备注</w:t>
            </w:r>
          </w:p>
        </w:tc>
      </w:tr>
      <w:tr w14:paraId="2EA2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2" w:type="dxa"/>
            <w:vAlign w:val="center"/>
          </w:tcPr>
          <w:p w14:paraId="1C67454B">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1</w:t>
            </w:r>
          </w:p>
        </w:tc>
        <w:tc>
          <w:tcPr>
            <w:tcW w:w="2072" w:type="dxa"/>
            <w:vAlign w:val="center"/>
          </w:tcPr>
          <w:p w14:paraId="40A8A07D">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内墙面修复</w:t>
            </w:r>
          </w:p>
        </w:tc>
        <w:tc>
          <w:tcPr>
            <w:tcW w:w="723" w:type="dxa"/>
            <w:vAlign w:val="center"/>
          </w:tcPr>
          <w:p w14:paraId="428C4D64">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298</w:t>
            </w:r>
          </w:p>
        </w:tc>
        <w:tc>
          <w:tcPr>
            <w:tcW w:w="859" w:type="dxa"/>
            <w:vAlign w:val="center"/>
          </w:tcPr>
          <w:p w14:paraId="5E132887">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m2</w:t>
            </w:r>
          </w:p>
        </w:tc>
        <w:tc>
          <w:tcPr>
            <w:tcW w:w="1118" w:type="dxa"/>
            <w:vAlign w:val="center"/>
          </w:tcPr>
          <w:p w14:paraId="5C8A5698">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44.16</w:t>
            </w:r>
          </w:p>
        </w:tc>
        <w:tc>
          <w:tcPr>
            <w:tcW w:w="1500" w:type="dxa"/>
            <w:vAlign w:val="center"/>
          </w:tcPr>
          <w:p w14:paraId="1A2B60CE">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13159.68</w:t>
            </w:r>
          </w:p>
        </w:tc>
        <w:tc>
          <w:tcPr>
            <w:tcW w:w="2905" w:type="dxa"/>
            <w:vAlign w:val="center"/>
          </w:tcPr>
          <w:p w14:paraId="2C76A004">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1.服务类型:墙面修复</w:t>
            </w:r>
          </w:p>
          <w:p w14:paraId="333A9B7B">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2.部位:内墙</w:t>
            </w:r>
          </w:p>
        </w:tc>
      </w:tr>
      <w:tr w14:paraId="60DB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2" w:type="dxa"/>
            <w:vAlign w:val="center"/>
          </w:tcPr>
          <w:p w14:paraId="076026B1">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2</w:t>
            </w:r>
          </w:p>
        </w:tc>
        <w:tc>
          <w:tcPr>
            <w:tcW w:w="2072" w:type="dxa"/>
            <w:vAlign w:val="center"/>
          </w:tcPr>
          <w:p w14:paraId="3808853A">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外墙真石漆修补</w:t>
            </w:r>
          </w:p>
        </w:tc>
        <w:tc>
          <w:tcPr>
            <w:tcW w:w="723" w:type="dxa"/>
            <w:vAlign w:val="center"/>
          </w:tcPr>
          <w:p w14:paraId="3B8623C7">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16</w:t>
            </w:r>
          </w:p>
        </w:tc>
        <w:tc>
          <w:tcPr>
            <w:tcW w:w="859" w:type="dxa"/>
            <w:vAlign w:val="center"/>
          </w:tcPr>
          <w:p w14:paraId="095D6026">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m2</w:t>
            </w:r>
          </w:p>
        </w:tc>
        <w:tc>
          <w:tcPr>
            <w:tcW w:w="1118" w:type="dxa"/>
            <w:vAlign w:val="center"/>
          </w:tcPr>
          <w:p w14:paraId="5734E87E">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113.51</w:t>
            </w:r>
          </w:p>
        </w:tc>
        <w:tc>
          <w:tcPr>
            <w:tcW w:w="1500" w:type="dxa"/>
            <w:vAlign w:val="center"/>
          </w:tcPr>
          <w:p w14:paraId="0C2849D0">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1816.16</w:t>
            </w:r>
          </w:p>
        </w:tc>
        <w:tc>
          <w:tcPr>
            <w:tcW w:w="2905" w:type="dxa"/>
            <w:vAlign w:val="center"/>
          </w:tcPr>
          <w:p w14:paraId="6EB2466E">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1.服务类型:外墙真石漆修补</w:t>
            </w:r>
          </w:p>
          <w:p w14:paraId="13DDCE1E">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2.部位:外墙</w:t>
            </w:r>
          </w:p>
        </w:tc>
      </w:tr>
      <w:tr w14:paraId="5D50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02" w:type="dxa"/>
            <w:vAlign w:val="center"/>
          </w:tcPr>
          <w:p w14:paraId="148D0985">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3</w:t>
            </w:r>
          </w:p>
        </w:tc>
        <w:tc>
          <w:tcPr>
            <w:tcW w:w="2072" w:type="dxa"/>
            <w:vAlign w:val="center"/>
          </w:tcPr>
          <w:p w14:paraId="63059E67">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外墙铝塑板采购及安装</w:t>
            </w:r>
          </w:p>
        </w:tc>
        <w:tc>
          <w:tcPr>
            <w:tcW w:w="723" w:type="dxa"/>
            <w:vAlign w:val="center"/>
          </w:tcPr>
          <w:p w14:paraId="73B33646">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185</w:t>
            </w:r>
          </w:p>
        </w:tc>
        <w:tc>
          <w:tcPr>
            <w:tcW w:w="859" w:type="dxa"/>
            <w:vAlign w:val="center"/>
          </w:tcPr>
          <w:p w14:paraId="7AC73958">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m2</w:t>
            </w:r>
          </w:p>
        </w:tc>
        <w:tc>
          <w:tcPr>
            <w:tcW w:w="1118" w:type="dxa"/>
            <w:vAlign w:val="center"/>
          </w:tcPr>
          <w:p w14:paraId="6D0D0847">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323.27</w:t>
            </w:r>
          </w:p>
        </w:tc>
        <w:tc>
          <w:tcPr>
            <w:tcW w:w="1500" w:type="dxa"/>
            <w:vAlign w:val="center"/>
          </w:tcPr>
          <w:p w14:paraId="61B747B0">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59804.95</w:t>
            </w:r>
          </w:p>
        </w:tc>
        <w:tc>
          <w:tcPr>
            <w:tcW w:w="2905" w:type="dxa"/>
            <w:vAlign w:val="center"/>
          </w:tcPr>
          <w:p w14:paraId="5C0FAF0C">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黑体" w:hAnsi="黑体" w:eastAsia="黑体" w:cs="黑体"/>
                <w:color w:val="auto"/>
                <w:sz w:val="22"/>
                <w:szCs w:val="22"/>
                <w:highlight w:val="none"/>
                <w:vertAlign w:val="baseline"/>
                <w:lang w:val="en-US" w:eastAsia="zh-CN"/>
              </w:rPr>
            </w:pPr>
          </w:p>
        </w:tc>
      </w:tr>
      <w:tr w14:paraId="3054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630645C6">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4</w:t>
            </w:r>
          </w:p>
        </w:tc>
        <w:tc>
          <w:tcPr>
            <w:tcW w:w="2072" w:type="dxa"/>
            <w:vAlign w:val="center"/>
          </w:tcPr>
          <w:p w14:paraId="27FDD433">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天然大理石艺术洗手池采购及安装</w:t>
            </w:r>
          </w:p>
        </w:tc>
        <w:tc>
          <w:tcPr>
            <w:tcW w:w="723" w:type="dxa"/>
            <w:vAlign w:val="center"/>
          </w:tcPr>
          <w:p w14:paraId="00C89F37">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1</w:t>
            </w:r>
          </w:p>
        </w:tc>
        <w:tc>
          <w:tcPr>
            <w:tcW w:w="859" w:type="dxa"/>
            <w:shd w:val="clear" w:color="FFFFFF" w:fill="FFFFFF"/>
            <w:vAlign w:val="center"/>
          </w:tcPr>
          <w:p w14:paraId="139588B4">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组</w:t>
            </w:r>
          </w:p>
        </w:tc>
        <w:tc>
          <w:tcPr>
            <w:tcW w:w="1118" w:type="dxa"/>
            <w:shd w:val="clear" w:color="FFFFFF" w:fill="FFFFFF"/>
            <w:vAlign w:val="center"/>
          </w:tcPr>
          <w:p w14:paraId="3E1A8200">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2096.7</w:t>
            </w:r>
          </w:p>
        </w:tc>
        <w:tc>
          <w:tcPr>
            <w:tcW w:w="1500" w:type="dxa"/>
            <w:shd w:val="clear" w:color="FFFFFF" w:fill="FFFFFF"/>
            <w:vAlign w:val="center"/>
          </w:tcPr>
          <w:p w14:paraId="5EDCA79A">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2096.7</w:t>
            </w:r>
          </w:p>
        </w:tc>
        <w:tc>
          <w:tcPr>
            <w:tcW w:w="2905" w:type="dxa"/>
            <w:vAlign w:val="center"/>
          </w:tcPr>
          <w:p w14:paraId="6B016F21">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黑体" w:hAnsi="黑体" w:eastAsia="黑体" w:cs="黑体"/>
                <w:color w:val="auto"/>
                <w:sz w:val="22"/>
                <w:szCs w:val="22"/>
                <w:highlight w:val="none"/>
                <w:vertAlign w:val="baseline"/>
                <w:lang w:val="en-US" w:eastAsia="zh-CN"/>
              </w:rPr>
            </w:pPr>
          </w:p>
        </w:tc>
      </w:tr>
      <w:tr w14:paraId="7BC4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974" w:type="dxa"/>
            <w:gridSpan w:val="6"/>
            <w:vAlign w:val="center"/>
          </w:tcPr>
          <w:p w14:paraId="0D036870">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合计（元）</w:t>
            </w:r>
          </w:p>
        </w:tc>
        <w:tc>
          <w:tcPr>
            <w:tcW w:w="2905" w:type="dxa"/>
            <w:vAlign w:val="center"/>
          </w:tcPr>
          <w:p w14:paraId="485E592B">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76877.49</w:t>
            </w:r>
          </w:p>
        </w:tc>
      </w:tr>
      <w:tr w14:paraId="121E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879" w:type="dxa"/>
            <w:gridSpan w:val="7"/>
            <w:vAlign w:val="center"/>
          </w:tcPr>
          <w:p w14:paraId="7FC22051">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以上报价包含材料采购、运输、安装、人工、材料、二次转运、机械、管理费、利润、税金、税金等费用</w:t>
            </w:r>
          </w:p>
        </w:tc>
      </w:tr>
    </w:tbl>
    <w:p w14:paraId="121F5C3D">
      <w:pPr>
        <w:pStyle w:val="4"/>
        <w:pageBreakBefore w:val="0"/>
        <w:widowControl w:val="0"/>
        <w:kinsoku/>
        <w:wordWrap/>
        <w:overflowPunct/>
        <w:topLinePunct w:val="0"/>
        <w:autoSpaceDE/>
        <w:autoSpaceDN/>
        <w:bidi w:val="0"/>
        <w:adjustRightInd/>
        <w:snapToGrid w:val="0"/>
        <w:spacing w:before="0" w:after="0" w:line="360" w:lineRule="auto"/>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四、服务基本要求</w:t>
      </w:r>
    </w:p>
    <w:p w14:paraId="64333EA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黑体" w:hAnsi="黑体" w:eastAsia="黑体" w:cs="黑体"/>
          <w:color w:val="auto"/>
          <w:sz w:val="24"/>
          <w:szCs w:val="24"/>
          <w:highlight w:val="none"/>
          <w:lang w:val="en-US" w:eastAsia="zh-CN"/>
        </w:rPr>
      </w:pPr>
      <w:bookmarkStart w:id="34" w:name="_Toc55403968"/>
      <w:bookmarkStart w:id="35" w:name="_Toc49960014"/>
      <w:bookmarkStart w:id="36" w:name="_Toc54879127"/>
      <w:r>
        <w:rPr>
          <w:rFonts w:hint="eastAsia" w:ascii="黑体" w:hAnsi="黑体" w:eastAsia="黑体" w:cs="黑体"/>
          <w:color w:val="auto"/>
          <w:sz w:val="24"/>
          <w:szCs w:val="24"/>
          <w:highlight w:val="none"/>
          <w:lang w:val="en-US" w:eastAsia="zh-CN"/>
        </w:rPr>
        <w:t>1、拟派项目经理：供应商拟派的项目经理必须已在供应商本单位注册并应具有建筑工程类专业贰级及以上注册建造师执业资格。须在响应文件中提供有效的拟派项目经理建造师注册证、身份证、拟派项目经理无在建和未被禁止参与投标的承诺（承诺格式自拟）。</w:t>
      </w:r>
    </w:p>
    <w:p w14:paraId="025909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主要管理人员：供应商自行承诺成交后在签订合同之前，须按照建设行政主管部门的要求组建施工项目部，配置项目管理班子，出具任命文件。任命文件应当明确施工项目部的职责、岗位设置、人员配备，相关岗位管理人员应持有建设行政主管部门要求的岗位证书，并书面递交采购人。成交后不能满足该要求的，采购人可取消其成交资格，给采购人造成损失的，供应商依法承担违约赔偿责任。</w:t>
      </w:r>
    </w:p>
    <w:p w14:paraId="53415AD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注：（1）提供拟派的项目经理为一级建造师或重庆市二级建造师注册人员的，必须提供建造师电子注册证书，并按《重庆市住房和城乡建设委员会转发住房城乡建设部办公厅关于在部分地区启用一级建造师电子注册证书的通知》（建办市[2021]25号）的相关要求执行。</w:t>
      </w:r>
    </w:p>
    <w:p w14:paraId="33E501C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（2）重庆市以外的省级住房城乡建设主管部门对二级建造师电子注册证书使用有明确规定的，从其规定。未规定使用电子注册证书的，可提供纸质证书扫描件。</w:t>
      </w:r>
    </w:p>
    <w:p w14:paraId="3C5C8977">
      <w:pPr>
        <w:pStyle w:val="4"/>
        <w:pageBreakBefore w:val="0"/>
        <w:widowControl w:val="0"/>
        <w:kinsoku/>
        <w:wordWrap/>
        <w:overflowPunct/>
        <w:topLinePunct w:val="0"/>
        <w:autoSpaceDE/>
        <w:autoSpaceDN/>
        <w:bidi w:val="0"/>
        <w:adjustRightInd/>
        <w:snapToGrid w:val="0"/>
        <w:spacing w:before="0" w:after="0" w:line="360" w:lineRule="auto"/>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五、其他要求</w:t>
      </w:r>
      <w:bookmarkEnd w:id="34"/>
      <w:bookmarkEnd w:id="35"/>
      <w:bookmarkEnd w:id="36"/>
    </w:p>
    <w:p w14:paraId="571E200F">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黑体" w:hAnsi="黑体" w:eastAsia="黑体" w:cs="黑体"/>
          <w:snapToGrid w:val="0"/>
          <w:sz w:val="24"/>
          <w:szCs w:val="24"/>
        </w:rPr>
      </w:pPr>
      <w:r>
        <w:rPr>
          <w:rFonts w:hint="eastAsia" w:ascii="黑体" w:hAnsi="黑体" w:eastAsia="黑体" w:cs="黑体"/>
          <w:snapToGrid w:val="0"/>
          <w:sz w:val="24"/>
          <w:szCs w:val="24"/>
        </w:rPr>
        <w:t>1、进行</w:t>
      </w:r>
      <w:r>
        <w:rPr>
          <w:rFonts w:hint="eastAsia" w:ascii="黑体" w:hAnsi="黑体" w:eastAsia="黑体" w:cs="黑体"/>
          <w:snapToGrid w:val="0"/>
          <w:sz w:val="24"/>
          <w:szCs w:val="24"/>
          <w:lang w:val="en-US" w:eastAsia="zh-CN"/>
        </w:rPr>
        <w:t>工作</w:t>
      </w:r>
      <w:r>
        <w:rPr>
          <w:rFonts w:hint="eastAsia" w:ascii="黑体" w:hAnsi="黑体" w:eastAsia="黑体" w:cs="黑体"/>
          <w:snapToGrid w:val="0"/>
          <w:sz w:val="24"/>
          <w:szCs w:val="24"/>
        </w:rPr>
        <w:t>作业时必须保证文明安全</w:t>
      </w:r>
      <w:r>
        <w:rPr>
          <w:rFonts w:hint="eastAsia" w:ascii="黑体" w:hAnsi="黑体" w:eastAsia="黑体" w:cs="黑体"/>
          <w:snapToGrid w:val="0"/>
          <w:sz w:val="24"/>
          <w:szCs w:val="24"/>
          <w:lang w:val="en-US" w:eastAsia="zh-CN"/>
        </w:rPr>
        <w:t>作业</w:t>
      </w:r>
      <w:r>
        <w:rPr>
          <w:rFonts w:hint="eastAsia" w:ascii="黑体" w:hAnsi="黑体" w:eastAsia="黑体" w:cs="黑体"/>
          <w:snapToGrid w:val="0"/>
          <w:sz w:val="24"/>
          <w:szCs w:val="24"/>
        </w:rPr>
        <w:t>要求，做好防坠保护工作等，若发生安全事故，一切经济损失及法律责任由成交</w:t>
      </w:r>
      <w:r>
        <w:rPr>
          <w:rFonts w:hint="eastAsia" w:ascii="黑体" w:hAnsi="黑体" w:eastAsia="黑体" w:cs="黑体"/>
          <w:snapToGrid w:val="0"/>
          <w:sz w:val="24"/>
          <w:szCs w:val="24"/>
          <w:lang w:val="en-US" w:eastAsia="zh-CN"/>
        </w:rPr>
        <w:t>供应商自行承担</w:t>
      </w:r>
      <w:r>
        <w:rPr>
          <w:rFonts w:hint="eastAsia" w:ascii="黑体" w:hAnsi="黑体" w:eastAsia="黑体" w:cs="黑体"/>
          <w:snapToGrid w:val="0"/>
          <w:sz w:val="24"/>
          <w:szCs w:val="24"/>
        </w:rPr>
        <w:t>。</w:t>
      </w:r>
    </w:p>
    <w:p w14:paraId="6436BFA3">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黑体" w:hAnsi="黑体" w:eastAsia="黑体" w:cs="黑体"/>
          <w:snapToGrid w:val="0"/>
          <w:sz w:val="24"/>
          <w:szCs w:val="24"/>
        </w:rPr>
      </w:pPr>
      <w:r>
        <w:rPr>
          <w:rFonts w:hint="eastAsia" w:ascii="黑体" w:hAnsi="黑体" w:eastAsia="黑体" w:cs="黑体"/>
          <w:snapToGrid w:val="0"/>
          <w:sz w:val="24"/>
          <w:szCs w:val="24"/>
        </w:rPr>
        <w:t>2、在项目完成过程中，成交</w:t>
      </w:r>
      <w:r>
        <w:rPr>
          <w:rFonts w:hint="eastAsia" w:ascii="黑体" w:hAnsi="黑体" w:eastAsia="黑体" w:cs="黑体"/>
          <w:snapToGrid w:val="0"/>
          <w:sz w:val="24"/>
          <w:szCs w:val="24"/>
          <w:lang w:val="en-US" w:eastAsia="zh-CN"/>
        </w:rPr>
        <w:t>供应商</w:t>
      </w:r>
      <w:r>
        <w:rPr>
          <w:rFonts w:hint="eastAsia" w:ascii="黑体" w:hAnsi="黑体" w:eastAsia="黑体" w:cs="黑体"/>
          <w:snapToGrid w:val="0"/>
          <w:sz w:val="24"/>
          <w:szCs w:val="24"/>
        </w:rPr>
        <w:t>应负责保护环境清洁卫生，及时清理垃圾（垃圾清理费及相关费用，已包含在</w:t>
      </w:r>
      <w:r>
        <w:rPr>
          <w:rFonts w:hint="eastAsia" w:ascii="黑体" w:hAnsi="黑体" w:eastAsia="黑体" w:cs="黑体"/>
          <w:snapToGrid w:val="0"/>
          <w:sz w:val="24"/>
          <w:szCs w:val="24"/>
          <w:lang w:val="en-US" w:eastAsia="zh-CN"/>
        </w:rPr>
        <w:t>投标</w:t>
      </w:r>
      <w:r>
        <w:rPr>
          <w:rFonts w:hint="eastAsia" w:ascii="黑体" w:hAnsi="黑体" w:eastAsia="黑体" w:cs="黑体"/>
          <w:snapToGrid w:val="0"/>
          <w:sz w:val="24"/>
          <w:szCs w:val="24"/>
        </w:rPr>
        <w:t>报价中）。</w:t>
      </w:r>
    </w:p>
    <w:p w14:paraId="5A86016F">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黑体" w:hAnsi="黑体" w:eastAsia="黑体" w:cs="黑体"/>
          <w:snapToGrid w:val="0"/>
          <w:sz w:val="24"/>
          <w:szCs w:val="24"/>
        </w:rPr>
      </w:pPr>
      <w:r>
        <w:rPr>
          <w:rFonts w:hint="eastAsia" w:ascii="黑体" w:hAnsi="黑体" w:eastAsia="黑体" w:cs="黑体"/>
          <w:snapToGrid w:val="0"/>
          <w:sz w:val="24"/>
          <w:szCs w:val="24"/>
        </w:rPr>
        <w:t>3、成交人承担施工区域内自身设备和人员的安全责任。</w:t>
      </w:r>
    </w:p>
    <w:p w14:paraId="750B1A40">
      <w:pPr>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黑体" w:hAnsi="黑体" w:eastAsia="黑体" w:cs="黑体"/>
          <w:snapToGrid w:val="0"/>
          <w:sz w:val="24"/>
          <w:szCs w:val="24"/>
          <w:lang w:val="en-US" w:eastAsia="zh-CN"/>
        </w:rPr>
      </w:pPr>
      <w:r>
        <w:rPr>
          <w:rFonts w:hint="eastAsia" w:ascii="黑体" w:hAnsi="黑体" w:eastAsia="黑体" w:cs="黑体"/>
          <w:snapToGrid w:val="0"/>
          <w:sz w:val="24"/>
          <w:szCs w:val="24"/>
          <w:lang w:val="en-US" w:eastAsia="zh-CN"/>
        </w:rPr>
        <w:t>4、</w:t>
      </w:r>
      <w:r>
        <w:rPr>
          <w:rFonts w:hint="eastAsia" w:ascii="黑体" w:hAnsi="黑体" w:eastAsia="黑体" w:cs="黑体"/>
          <w:snapToGrid w:val="0"/>
          <w:sz w:val="24"/>
          <w:szCs w:val="24"/>
        </w:rPr>
        <w:t>成交供应商须严格按</w:t>
      </w:r>
      <w:r>
        <w:rPr>
          <w:rFonts w:hint="eastAsia" w:ascii="黑体" w:hAnsi="黑体" w:eastAsia="黑体" w:cs="黑体"/>
          <w:snapToGrid w:val="0"/>
          <w:sz w:val="24"/>
          <w:szCs w:val="24"/>
          <w:lang w:val="en-US" w:eastAsia="zh-CN"/>
        </w:rPr>
        <w:t>采购</w:t>
      </w:r>
      <w:r>
        <w:rPr>
          <w:rFonts w:hint="eastAsia" w:ascii="黑体" w:hAnsi="黑体" w:eastAsia="黑体" w:cs="黑体"/>
          <w:snapToGrid w:val="0"/>
          <w:sz w:val="24"/>
          <w:szCs w:val="24"/>
        </w:rPr>
        <w:t>文件</w:t>
      </w:r>
      <w:r>
        <w:rPr>
          <w:rFonts w:hint="eastAsia" w:ascii="黑体" w:hAnsi="黑体" w:eastAsia="黑体" w:cs="黑体"/>
          <w:snapToGrid w:val="0"/>
          <w:sz w:val="24"/>
          <w:szCs w:val="24"/>
          <w:lang w:val="en-US" w:eastAsia="zh-CN"/>
        </w:rPr>
        <w:t>需求</w:t>
      </w:r>
      <w:r>
        <w:rPr>
          <w:rFonts w:hint="eastAsia" w:ascii="黑体" w:hAnsi="黑体" w:eastAsia="黑体" w:cs="黑体"/>
          <w:snapToGrid w:val="0"/>
          <w:sz w:val="24"/>
          <w:szCs w:val="24"/>
        </w:rPr>
        <w:t>内容严格</w:t>
      </w:r>
      <w:r>
        <w:rPr>
          <w:rFonts w:hint="eastAsia" w:ascii="黑体" w:hAnsi="黑体" w:eastAsia="黑体" w:cs="黑体"/>
          <w:snapToGrid w:val="0"/>
          <w:sz w:val="24"/>
          <w:szCs w:val="24"/>
          <w:lang w:val="en-US" w:eastAsia="zh-CN"/>
        </w:rPr>
        <w:t>实施</w:t>
      </w:r>
      <w:r>
        <w:rPr>
          <w:rFonts w:hint="eastAsia" w:ascii="黑体" w:hAnsi="黑体" w:eastAsia="黑体" w:cs="黑体"/>
          <w:snapToGrid w:val="0"/>
          <w:sz w:val="24"/>
          <w:szCs w:val="24"/>
        </w:rPr>
        <w:t>，在实施过程中发现</w:t>
      </w:r>
      <w:r>
        <w:rPr>
          <w:rFonts w:hint="eastAsia" w:ascii="黑体" w:hAnsi="黑体" w:eastAsia="黑体" w:cs="黑体"/>
          <w:snapToGrid w:val="0"/>
          <w:sz w:val="24"/>
          <w:szCs w:val="24"/>
          <w:lang w:val="en-US" w:eastAsia="zh-CN"/>
        </w:rPr>
        <w:t>需求内容</w:t>
      </w:r>
      <w:r>
        <w:rPr>
          <w:rFonts w:hint="eastAsia" w:ascii="黑体" w:hAnsi="黑体" w:eastAsia="黑体" w:cs="黑体"/>
          <w:snapToGrid w:val="0"/>
          <w:sz w:val="24"/>
          <w:szCs w:val="24"/>
        </w:rPr>
        <w:t>有漏项导致局部实施内容需要调整，须先征得采购人书面同意后方可实施，但采购人不再额外支付任何费用。在实施过程中发现</w:t>
      </w:r>
      <w:r>
        <w:rPr>
          <w:rFonts w:hint="eastAsia" w:ascii="黑体" w:hAnsi="黑体" w:eastAsia="黑体" w:cs="黑体"/>
          <w:snapToGrid w:val="0"/>
          <w:sz w:val="24"/>
          <w:szCs w:val="24"/>
          <w:lang w:val="en-US" w:eastAsia="zh-CN"/>
        </w:rPr>
        <w:t>需求内容</w:t>
      </w:r>
      <w:r>
        <w:rPr>
          <w:rFonts w:hint="eastAsia" w:ascii="黑体" w:hAnsi="黑体" w:eastAsia="黑体" w:cs="黑体"/>
          <w:snapToGrid w:val="0"/>
          <w:sz w:val="24"/>
          <w:szCs w:val="24"/>
        </w:rPr>
        <w:t>有漏项导致局部实施内容需要</w:t>
      </w:r>
      <w:r>
        <w:rPr>
          <w:rFonts w:hint="eastAsia" w:ascii="黑体" w:hAnsi="黑体" w:eastAsia="黑体" w:cs="黑体"/>
          <w:snapToGrid w:val="0"/>
          <w:sz w:val="24"/>
          <w:szCs w:val="24"/>
          <w:lang w:val="en-US" w:eastAsia="zh-CN"/>
        </w:rPr>
        <w:t>新增</w:t>
      </w:r>
      <w:r>
        <w:rPr>
          <w:rFonts w:hint="eastAsia" w:ascii="黑体" w:hAnsi="黑体" w:eastAsia="黑体" w:cs="黑体"/>
          <w:snapToGrid w:val="0"/>
          <w:sz w:val="24"/>
          <w:szCs w:val="24"/>
        </w:rPr>
        <w:t>，须先征得采购人书面同意后方可实施，</w:t>
      </w:r>
      <w:r>
        <w:rPr>
          <w:rFonts w:hint="eastAsia" w:ascii="黑体" w:hAnsi="黑体" w:eastAsia="黑体" w:cs="黑体"/>
          <w:snapToGrid w:val="0"/>
          <w:sz w:val="24"/>
          <w:szCs w:val="24"/>
          <w:lang w:val="en-US" w:eastAsia="zh-CN"/>
        </w:rPr>
        <w:t>最终实施总价不得超过项目采购限价。</w:t>
      </w:r>
    </w:p>
    <w:p w14:paraId="4BA5101E">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黑体" w:hAnsi="黑体" w:eastAsia="黑体" w:cs="黑体"/>
          <w:snapToGrid w:val="0"/>
          <w:sz w:val="24"/>
          <w:szCs w:val="24"/>
        </w:rPr>
      </w:pPr>
      <w:r>
        <w:rPr>
          <w:rFonts w:hint="eastAsia" w:ascii="黑体" w:hAnsi="黑体" w:eastAsia="黑体" w:cs="黑体"/>
          <w:snapToGrid w:val="0"/>
          <w:sz w:val="24"/>
          <w:szCs w:val="24"/>
          <w:lang w:val="en-US" w:eastAsia="zh-CN"/>
        </w:rPr>
        <w:t>5</w:t>
      </w:r>
      <w:r>
        <w:rPr>
          <w:rFonts w:hint="eastAsia" w:ascii="黑体" w:hAnsi="黑体" w:eastAsia="黑体" w:cs="黑体"/>
          <w:snapToGrid w:val="0"/>
          <w:sz w:val="24"/>
          <w:szCs w:val="24"/>
        </w:rPr>
        <w:t>、供应商负责购买、运输本项目所需材料。</w:t>
      </w:r>
    </w:p>
    <w:p w14:paraId="3E1CC5AF">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黑体" w:hAnsi="黑体" w:eastAsia="黑体" w:cs="黑体"/>
          <w:snapToGrid w:val="0"/>
          <w:sz w:val="24"/>
          <w:szCs w:val="24"/>
        </w:rPr>
      </w:pPr>
      <w:r>
        <w:rPr>
          <w:rFonts w:hint="eastAsia" w:ascii="黑体" w:hAnsi="黑体" w:eastAsia="黑体" w:cs="黑体"/>
          <w:snapToGrid w:val="0"/>
          <w:sz w:val="24"/>
          <w:szCs w:val="24"/>
          <w:lang w:val="en-US" w:eastAsia="zh-CN"/>
        </w:rPr>
        <w:t>6</w:t>
      </w:r>
      <w:r>
        <w:rPr>
          <w:rFonts w:hint="eastAsia" w:ascii="黑体" w:hAnsi="黑体" w:eastAsia="黑体" w:cs="黑体"/>
          <w:snapToGrid w:val="0"/>
          <w:sz w:val="24"/>
          <w:szCs w:val="24"/>
        </w:rPr>
        <w:t>、供应商负责完成相关区域的维修、改造工作。</w:t>
      </w:r>
    </w:p>
    <w:p w14:paraId="0DB3F3E2">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黑体" w:hAnsi="黑体" w:eastAsia="黑体" w:cs="黑体"/>
          <w:snapToGrid w:val="0"/>
          <w:sz w:val="24"/>
          <w:szCs w:val="24"/>
        </w:rPr>
      </w:pPr>
      <w:r>
        <w:rPr>
          <w:rFonts w:hint="eastAsia" w:ascii="黑体" w:hAnsi="黑体" w:eastAsia="黑体" w:cs="黑体"/>
          <w:snapToGrid w:val="0"/>
          <w:sz w:val="24"/>
          <w:szCs w:val="24"/>
          <w:lang w:val="en-US" w:eastAsia="zh-CN"/>
        </w:rPr>
        <w:t>7</w:t>
      </w:r>
      <w:r>
        <w:rPr>
          <w:rFonts w:hint="eastAsia" w:ascii="黑体" w:hAnsi="黑体" w:eastAsia="黑体" w:cs="黑体"/>
          <w:snapToGrid w:val="0"/>
          <w:sz w:val="24"/>
          <w:szCs w:val="24"/>
        </w:rPr>
        <w:t>、供应商负责改造期间</w:t>
      </w:r>
      <w:r>
        <w:rPr>
          <w:rFonts w:hint="eastAsia" w:ascii="黑体" w:hAnsi="黑体" w:eastAsia="黑体" w:cs="黑体"/>
          <w:snapToGrid w:val="0"/>
          <w:sz w:val="24"/>
          <w:szCs w:val="24"/>
          <w:lang w:val="en-US" w:eastAsia="zh-CN"/>
        </w:rPr>
        <w:t>工作</w:t>
      </w:r>
      <w:r>
        <w:rPr>
          <w:rFonts w:hint="eastAsia" w:ascii="黑体" w:hAnsi="黑体" w:eastAsia="黑体" w:cs="黑体"/>
          <w:snapToGrid w:val="0"/>
          <w:sz w:val="24"/>
          <w:szCs w:val="24"/>
        </w:rPr>
        <w:t>区域及因</w:t>
      </w:r>
      <w:r>
        <w:rPr>
          <w:rFonts w:hint="eastAsia" w:ascii="黑体" w:hAnsi="黑体" w:eastAsia="黑体" w:cs="黑体"/>
          <w:snapToGrid w:val="0"/>
          <w:sz w:val="24"/>
          <w:szCs w:val="24"/>
          <w:lang w:val="en-US" w:eastAsia="zh-CN"/>
        </w:rPr>
        <w:t>工作</w:t>
      </w:r>
      <w:r>
        <w:rPr>
          <w:rFonts w:hint="eastAsia" w:ascii="黑体" w:hAnsi="黑体" w:eastAsia="黑体" w:cs="黑体"/>
          <w:snapToGrid w:val="0"/>
          <w:sz w:val="24"/>
          <w:szCs w:val="24"/>
        </w:rPr>
        <w:t>造成的清洁卫生管理。</w:t>
      </w:r>
    </w:p>
    <w:p w14:paraId="1DA3A5A6">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黑体" w:hAnsi="黑体" w:eastAsia="黑体" w:cs="黑体"/>
          <w:snapToGrid w:val="0"/>
          <w:sz w:val="24"/>
          <w:szCs w:val="24"/>
        </w:rPr>
      </w:pPr>
      <w:r>
        <w:rPr>
          <w:rFonts w:hint="eastAsia" w:ascii="黑体" w:hAnsi="黑体" w:eastAsia="黑体" w:cs="黑体"/>
          <w:snapToGrid w:val="0"/>
          <w:sz w:val="24"/>
          <w:szCs w:val="24"/>
          <w:lang w:val="en-US" w:eastAsia="zh-CN"/>
        </w:rPr>
        <w:t>8</w:t>
      </w:r>
      <w:r>
        <w:rPr>
          <w:rFonts w:hint="eastAsia" w:ascii="黑体" w:hAnsi="黑体" w:eastAsia="黑体" w:cs="黑体"/>
          <w:snapToGrid w:val="0"/>
          <w:sz w:val="24"/>
          <w:szCs w:val="24"/>
        </w:rPr>
        <w:t>、供应商负责改造结束后的除渣、清扫工作。</w:t>
      </w:r>
    </w:p>
    <w:p w14:paraId="5EB7C144">
      <w:pPr>
        <w:pStyle w:val="4"/>
        <w:pageBreakBefore w:val="0"/>
        <w:widowControl w:val="0"/>
        <w:kinsoku/>
        <w:wordWrap/>
        <w:overflowPunct/>
        <w:topLinePunct w:val="0"/>
        <w:autoSpaceDE/>
        <w:autoSpaceDN/>
        <w:bidi w:val="0"/>
        <w:adjustRightInd/>
        <w:snapToGrid w:val="0"/>
        <w:spacing w:before="0" w:after="0" w:line="360" w:lineRule="auto"/>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六、现场踏勘</w:t>
      </w:r>
    </w:p>
    <w:p w14:paraId="71A81300">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黑体" w:hAnsi="黑体" w:eastAsia="黑体" w:cs="黑体"/>
          <w:snapToGrid w:val="0"/>
          <w:sz w:val="24"/>
          <w:szCs w:val="24"/>
          <w:lang w:val="en-US" w:eastAsia="zh-CN"/>
        </w:rPr>
      </w:pPr>
      <w:r>
        <w:rPr>
          <w:rFonts w:hint="eastAsia" w:ascii="黑体" w:hAnsi="黑体" w:eastAsia="黑体" w:cs="黑体"/>
          <w:snapToGrid w:val="0"/>
          <w:sz w:val="24"/>
          <w:szCs w:val="24"/>
          <w:lang w:val="en-US" w:eastAsia="zh-CN"/>
        </w:rPr>
        <w:t>采购人不组织现场踏勘，由各供应商在采购开始前自行到现场进行踏勘了解实际情况，无论供应商是否踏勘过现场，均视为在响应截止时间之前踏勘过现场且对本项目潜在的风险和义务已完全了解，并已充分考虑了本项目可能面临的不确定因素可能导致的风险，成交供应商不得以不完全了解现场情况为借口而提出延长服务期限或提出额外赔偿等要求。踏勘产生的费用和风险等均由供应商自行承担。</w:t>
      </w:r>
    </w:p>
    <w:p w14:paraId="569D8435">
      <w:pPr>
        <w:adjustRightInd w:val="0"/>
        <w:snapToGrid w:val="0"/>
        <w:spacing w:line="360" w:lineRule="auto"/>
        <w:ind w:firstLine="480"/>
        <w:rPr>
          <w:rFonts w:hint="eastAsia" w:ascii="黑体" w:hAnsi="黑体" w:eastAsia="黑体" w:cs="黑体"/>
          <w:snapToGrid w:val="0"/>
          <w:sz w:val="21"/>
          <w:szCs w:val="21"/>
        </w:rPr>
      </w:pPr>
    </w:p>
    <w:p w14:paraId="7DC1895A">
      <w:pPr>
        <w:pageBreakBefore w:val="0"/>
        <w:kinsoku/>
        <w:overflowPunct/>
        <w:topLinePunct w:val="0"/>
        <w:autoSpaceDE/>
        <w:autoSpaceDN/>
        <w:bidi w:val="0"/>
        <w:adjustRightInd/>
        <w:spacing w:line="312" w:lineRule="auto"/>
        <w:ind w:firstLine="480" w:firstLineChars="200"/>
        <w:rPr>
          <w:rFonts w:hint="eastAsia" w:ascii="黑体" w:hAnsi="黑体" w:eastAsia="黑体" w:cs="黑体"/>
          <w:sz w:val="24"/>
          <w:szCs w:val="24"/>
          <w:lang w:val="en-US" w:eastAsia="zh-CN"/>
        </w:rPr>
      </w:pPr>
    </w:p>
    <w:p w14:paraId="50F3DCB7">
      <w:pPr>
        <w:pageBreakBefore w:val="0"/>
        <w:kinsoku/>
        <w:overflowPunct/>
        <w:topLinePunct w:val="0"/>
        <w:autoSpaceDE/>
        <w:autoSpaceDN/>
        <w:bidi w:val="0"/>
        <w:adjustRightInd/>
        <w:snapToGrid w:val="0"/>
        <w:spacing w:line="312" w:lineRule="auto"/>
        <w:jc w:val="center"/>
        <w:rPr>
          <w:rStyle w:val="38"/>
          <w:rFonts w:hint="eastAsia" w:ascii="黑体" w:hAnsi="黑体" w:eastAsia="黑体" w:cs="黑体"/>
          <w:color w:val="auto"/>
          <w:highlight w:val="none"/>
        </w:rPr>
      </w:pPr>
      <w:r>
        <w:rPr>
          <w:rStyle w:val="38"/>
          <w:rFonts w:hint="eastAsia" w:ascii="黑体" w:hAnsi="黑体" w:eastAsia="黑体" w:cs="黑体"/>
          <w:color w:val="auto"/>
          <w:highlight w:val="none"/>
        </w:rPr>
        <w:t>第三篇  项目商务要求</w:t>
      </w:r>
      <w:bookmarkEnd w:id="32"/>
    </w:p>
    <w:p w14:paraId="489BFE27">
      <w:pPr>
        <w:pStyle w:val="4"/>
        <w:pageBreakBefore w:val="0"/>
        <w:widowControl w:val="0"/>
        <w:kinsoku/>
        <w:wordWrap/>
        <w:overflowPunct/>
        <w:topLinePunct w:val="0"/>
        <w:autoSpaceDE/>
        <w:autoSpaceDN/>
        <w:bidi w:val="0"/>
        <w:adjustRightInd/>
        <w:snapToGrid w:val="0"/>
        <w:spacing w:before="0" w:after="0" w:line="360" w:lineRule="auto"/>
        <w:textAlignment w:val="auto"/>
        <w:rPr>
          <w:rFonts w:hint="eastAsia" w:ascii="黑体" w:hAnsi="黑体" w:eastAsia="黑体" w:cs="黑体"/>
          <w:color w:val="auto"/>
          <w:sz w:val="24"/>
          <w:szCs w:val="24"/>
          <w:highlight w:val="none"/>
        </w:rPr>
      </w:pPr>
      <w:bookmarkStart w:id="37" w:name="_Toc487204789"/>
      <w:bookmarkStart w:id="38" w:name="_Toc15856"/>
      <w:bookmarkStart w:id="39" w:name="_Toc29474"/>
      <w:bookmarkStart w:id="40" w:name="_Toc344475120"/>
      <w:r>
        <w:rPr>
          <w:rFonts w:hint="eastAsia" w:ascii="黑体" w:hAnsi="黑体" w:eastAsia="黑体" w:cs="黑体"/>
          <w:color w:val="auto"/>
          <w:sz w:val="24"/>
          <w:szCs w:val="24"/>
          <w:highlight w:val="none"/>
        </w:rPr>
        <w:t>一、服务期、服务地点及验收方式</w:t>
      </w:r>
      <w:bookmarkEnd w:id="37"/>
      <w:bookmarkEnd w:id="38"/>
      <w:bookmarkEnd w:id="39"/>
      <w:bookmarkEnd w:id="40"/>
      <w:bookmarkStart w:id="41" w:name="_Toc12056"/>
      <w:bookmarkStart w:id="42" w:name="_Toc16020"/>
    </w:p>
    <w:p w14:paraId="60A420B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kern w:val="0"/>
          <w:sz w:val="24"/>
          <w:szCs w:val="24"/>
          <w:highlight w:val="none"/>
        </w:rPr>
      </w:pPr>
      <w:bookmarkStart w:id="43" w:name="_Toc31453"/>
      <w:r>
        <w:rPr>
          <w:rFonts w:hint="eastAsia" w:ascii="黑体" w:hAnsi="黑体" w:eastAsia="黑体" w:cs="黑体"/>
          <w:color w:val="auto"/>
          <w:kern w:val="0"/>
          <w:sz w:val="24"/>
          <w:szCs w:val="24"/>
          <w:highlight w:val="none"/>
        </w:rPr>
        <w:t>（一）服务期：</w:t>
      </w:r>
      <w:bookmarkEnd w:id="43"/>
      <w:r>
        <w:rPr>
          <w:rFonts w:hint="eastAsia" w:ascii="黑体" w:hAnsi="黑体" w:eastAsia="黑体" w:cs="黑体"/>
          <w:color w:val="auto"/>
          <w:kern w:val="0"/>
          <w:sz w:val="24"/>
          <w:szCs w:val="24"/>
          <w:highlight w:val="none"/>
          <w:lang w:val="en-US" w:eastAsia="zh-CN"/>
        </w:rPr>
        <w:t>20日历天</w:t>
      </w:r>
      <w:r>
        <w:rPr>
          <w:rFonts w:hint="eastAsia" w:ascii="黑体" w:hAnsi="黑体" w:eastAsia="黑体" w:cs="黑体"/>
          <w:color w:val="auto"/>
          <w:kern w:val="0"/>
          <w:sz w:val="24"/>
          <w:szCs w:val="24"/>
          <w:highlight w:val="none"/>
        </w:rPr>
        <w:t>。</w:t>
      </w:r>
    </w:p>
    <w:p w14:paraId="2D9BD28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（二）服务地点：</w:t>
      </w:r>
      <w:r>
        <w:rPr>
          <w:rFonts w:hint="eastAsia" w:ascii="黑体" w:hAnsi="黑体" w:eastAsia="黑体" w:cs="黑体"/>
          <w:color w:val="auto"/>
          <w:sz w:val="24"/>
          <w:szCs w:val="24"/>
          <w:highlight w:val="none"/>
          <w:lang w:val="en-US" w:eastAsia="zh-CN"/>
        </w:rPr>
        <w:t>采购人指定地址</w:t>
      </w:r>
      <w:r>
        <w:rPr>
          <w:rFonts w:hint="eastAsia" w:ascii="黑体" w:hAnsi="黑体" w:eastAsia="黑体" w:cs="黑体"/>
          <w:color w:val="auto"/>
          <w:kern w:val="0"/>
          <w:sz w:val="24"/>
          <w:szCs w:val="24"/>
          <w:highlight w:val="none"/>
        </w:rPr>
        <w:t>。</w:t>
      </w:r>
    </w:p>
    <w:p w14:paraId="09992DB7">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kern w:val="0"/>
          <w:sz w:val="24"/>
          <w:szCs w:val="24"/>
          <w:highlight w:val="none"/>
          <w:lang w:val="zh-CN" w:eastAsia="zh-CN"/>
        </w:rPr>
      </w:pPr>
      <w:r>
        <w:rPr>
          <w:rFonts w:hint="eastAsia" w:ascii="黑体" w:hAnsi="黑体" w:eastAsia="黑体" w:cs="黑体"/>
          <w:color w:val="auto"/>
          <w:kern w:val="0"/>
          <w:sz w:val="24"/>
          <w:szCs w:val="24"/>
          <w:highlight w:val="none"/>
        </w:rPr>
        <w:t>（三）验收方式</w:t>
      </w: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lang w:val="zh-CN" w:eastAsia="zh-CN"/>
        </w:rPr>
        <w:t>采购人自行组织验收。</w:t>
      </w:r>
    </w:p>
    <w:p w14:paraId="4AAC0D10">
      <w:pPr>
        <w:pStyle w:val="4"/>
        <w:pageBreakBefore w:val="0"/>
        <w:widowControl w:val="0"/>
        <w:kinsoku/>
        <w:wordWrap/>
        <w:overflowPunct/>
        <w:topLinePunct w:val="0"/>
        <w:autoSpaceDE/>
        <w:autoSpaceDN/>
        <w:bidi w:val="0"/>
        <w:adjustRightInd/>
        <w:snapToGrid w:val="0"/>
        <w:spacing w:before="0" w:after="0" w:line="360" w:lineRule="auto"/>
        <w:textAlignment w:val="auto"/>
        <w:rPr>
          <w:rFonts w:hint="eastAsia" w:ascii="黑体" w:hAnsi="黑体" w:eastAsia="黑体" w:cs="黑体"/>
          <w:color w:val="auto"/>
          <w:sz w:val="24"/>
          <w:szCs w:val="24"/>
          <w:highlight w:val="none"/>
          <w:lang w:val="en-US" w:eastAsia="zh-CN"/>
        </w:rPr>
      </w:pPr>
      <w:bookmarkStart w:id="44" w:name="_Toc8393"/>
      <w:r>
        <w:rPr>
          <w:rFonts w:hint="eastAsia" w:ascii="黑体" w:hAnsi="黑体" w:eastAsia="黑体" w:cs="黑体"/>
          <w:color w:val="auto"/>
          <w:sz w:val="24"/>
          <w:szCs w:val="24"/>
          <w:highlight w:val="none"/>
          <w:lang w:val="en-US" w:eastAsia="zh-CN"/>
        </w:rPr>
        <w:t>二、质量要求</w:t>
      </w:r>
    </w:p>
    <w:p w14:paraId="441D04AA">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1、质量要求</w:t>
      </w:r>
    </w:p>
    <w:p w14:paraId="3C231B4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项目质量必须符合现行国家有关工程施工质量验收规范和标准的要求，并达到合格标准。</w:t>
      </w:r>
    </w:p>
    <w:p w14:paraId="6DC0FB3A">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2、售后服务</w:t>
      </w:r>
    </w:p>
    <w:p w14:paraId="10515CDC">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成交供应商在质量保证期内应当为采购人提供以下技术支持和服务：</w:t>
      </w:r>
    </w:p>
    <w:p w14:paraId="51E614F8">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（1）电话咨询</w:t>
      </w:r>
    </w:p>
    <w:p w14:paraId="00F07BC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成交供应商应当为采购人提供技术援助电话，解答采购人在使用中遇到的问题，及时为采购人提出解决问题的建议。</w:t>
      </w:r>
    </w:p>
    <w:p w14:paraId="3367D4A4">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（2）现场响应</w:t>
      </w:r>
    </w:p>
    <w:p w14:paraId="7BD1CFD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采购人遇到使用及技术问题，电话咨询不能解决的，成交供应商应在24小时内到达现场进行处理。</w:t>
      </w:r>
    </w:p>
    <w:p w14:paraId="0D3F2511">
      <w:pPr>
        <w:pStyle w:val="4"/>
        <w:pageBreakBefore w:val="0"/>
        <w:widowControl w:val="0"/>
        <w:kinsoku/>
        <w:wordWrap/>
        <w:overflowPunct/>
        <w:topLinePunct w:val="0"/>
        <w:autoSpaceDE/>
        <w:autoSpaceDN/>
        <w:bidi w:val="0"/>
        <w:adjustRightInd/>
        <w:snapToGrid w:val="0"/>
        <w:spacing w:before="0" w:after="0" w:line="360" w:lineRule="auto"/>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三</w:t>
      </w:r>
      <w:r>
        <w:rPr>
          <w:rFonts w:hint="eastAsia" w:ascii="黑体" w:hAnsi="黑体" w:eastAsia="黑体" w:cs="黑体"/>
          <w:color w:val="auto"/>
          <w:sz w:val="24"/>
          <w:szCs w:val="24"/>
          <w:highlight w:val="none"/>
        </w:rPr>
        <w:t>、报价要求</w:t>
      </w:r>
      <w:bookmarkEnd w:id="41"/>
      <w:bookmarkEnd w:id="42"/>
      <w:bookmarkEnd w:id="44"/>
    </w:p>
    <w:p w14:paraId="6B39919F">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kern w:val="0"/>
          <w:sz w:val="24"/>
          <w:szCs w:val="24"/>
          <w:highlight w:val="none"/>
          <w:lang w:val="en-US" w:eastAsia="zh-CN"/>
        </w:rPr>
      </w:pPr>
      <w:bookmarkStart w:id="45" w:name="_Toc24490"/>
      <w:bookmarkStart w:id="46" w:name="_Toc16798"/>
      <w:r>
        <w:rPr>
          <w:rFonts w:hint="eastAsia" w:ascii="黑体" w:hAnsi="黑体" w:eastAsia="黑体" w:cs="黑体"/>
          <w:color w:val="auto"/>
          <w:kern w:val="0"/>
          <w:sz w:val="24"/>
          <w:szCs w:val="24"/>
          <w:highlight w:val="none"/>
          <w:lang w:val="en-US" w:eastAsia="zh-CN"/>
        </w:rPr>
        <w:t>1、本项目报价为全费用综合单价，供应商报价不得超过所给出的全费用综合单价及最高限价，否则，作为无效标处理。供应商的响应报价应包含本项目本所需的服务费、人工费及提供服务所需的设备或货物购买（制造）费、辅材费、运输费、装卸费、安装调试费、培训费、利润及各种应纳的税费等。因成交供应商自身原因造成漏报、少报皆由其自行承担责任，采购人不再补偿。采购人不另支付其他任何费用。</w:t>
      </w:r>
    </w:p>
    <w:p w14:paraId="6644FB85">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2、本项目涉及的所有安全费用已纳入相关的报价中,若发生任何事故由供应商承担法律和经济责任。采购人不承担任何连带责任且不支付其它费用。</w:t>
      </w:r>
    </w:p>
    <w:p w14:paraId="747D45C9">
      <w:pPr>
        <w:pStyle w:val="4"/>
        <w:pageBreakBefore w:val="0"/>
        <w:widowControl w:val="0"/>
        <w:kinsoku/>
        <w:wordWrap/>
        <w:overflowPunct/>
        <w:topLinePunct w:val="0"/>
        <w:autoSpaceDE/>
        <w:autoSpaceDN/>
        <w:bidi w:val="0"/>
        <w:adjustRightInd/>
        <w:snapToGrid w:val="0"/>
        <w:spacing w:before="0" w:after="0" w:line="360" w:lineRule="auto"/>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四、付款方式</w:t>
      </w:r>
      <w:bookmarkEnd w:id="45"/>
      <w:bookmarkEnd w:id="46"/>
    </w:p>
    <w:p w14:paraId="6CCEFDF0">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kern w:val="0"/>
          <w:sz w:val="24"/>
          <w:szCs w:val="24"/>
          <w:highlight w:val="none"/>
          <w:lang w:val="en-US" w:eastAsia="zh-CN"/>
        </w:rPr>
      </w:pPr>
      <w:bookmarkStart w:id="47" w:name="_Toc25777"/>
      <w:bookmarkStart w:id="48" w:name="_Toc1416"/>
      <w:bookmarkStart w:id="49" w:name="_Toc20665"/>
      <w:r>
        <w:rPr>
          <w:rFonts w:hint="eastAsia" w:ascii="黑体" w:hAnsi="黑体" w:eastAsia="黑体" w:cs="黑体"/>
          <w:color w:val="auto"/>
          <w:kern w:val="0"/>
          <w:sz w:val="24"/>
          <w:szCs w:val="24"/>
          <w:highlight w:val="none"/>
          <w:lang w:val="en-US" w:eastAsia="zh-CN"/>
        </w:rPr>
        <w:t>项目验收合格后，成交供应商向采购人提交项目验收资料集开具足额发票，采购人以转账方式一次性向成交供应商支付全部的服务价款。</w:t>
      </w:r>
    </w:p>
    <w:p w14:paraId="66D1879D">
      <w:pPr>
        <w:pStyle w:val="4"/>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b/>
          <w:bCs/>
          <w:color w:val="auto"/>
          <w:kern w:val="2"/>
          <w:sz w:val="24"/>
          <w:szCs w:val="24"/>
          <w:lang w:val="en-US" w:eastAsia="zh-CN" w:bidi="ar-SA"/>
        </w:rPr>
        <w:t>五、</w:t>
      </w:r>
      <w:r>
        <w:rPr>
          <w:rFonts w:hint="eastAsia" w:ascii="黑体" w:hAnsi="黑体" w:eastAsia="黑体" w:cs="黑体"/>
          <w:color w:val="auto"/>
          <w:sz w:val="24"/>
          <w:szCs w:val="24"/>
          <w:highlight w:val="none"/>
          <w:lang w:val="en-US" w:eastAsia="zh-CN"/>
        </w:rPr>
        <w:t>结算原则</w:t>
      </w:r>
    </w:p>
    <w:p w14:paraId="5B46A91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采用固定全费用综合单价，结算总价=∑（成交单价×实际数量），以成交的投标总报价作为暂定的合同总价，其最终合同价款以成交供应商实际完成服务工作量计算。</w:t>
      </w:r>
    </w:p>
    <w:bookmarkEnd w:id="47"/>
    <w:bookmarkEnd w:id="48"/>
    <w:p w14:paraId="3BE887BB">
      <w:pPr>
        <w:pStyle w:val="4"/>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六、知识产权</w:t>
      </w:r>
    </w:p>
    <w:p w14:paraId="473A3011">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231AF174">
      <w:pPr>
        <w:pageBreakBefore w:val="0"/>
        <w:widowControl w:val="0"/>
        <w:kinsoku/>
        <w:wordWrap/>
        <w:overflowPunct/>
        <w:topLinePunct w:val="0"/>
        <w:autoSpaceDE/>
        <w:autoSpaceDN/>
        <w:bidi w:val="0"/>
        <w:adjustRightInd/>
        <w:snapToGrid w:val="0"/>
        <w:spacing w:line="360" w:lineRule="auto"/>
        <w:textAlignment w:val="auto"/>
        <w:rPr>
          <w:rFonts w:hint="eastAsia" w:ascii="黑体" w:hAnsi="黑体" w:eastAsia="黑体" w:cs="黑体"/>
          <w:b/>
          <w:bCs/>
          <w:color w:val="auto"/>
          <w:sz w:val="24"/>
          <w:szCs w:val="24"/>
          <w:highlight w:val="none"/>
        </w:rPr>
      </w:pPr>
      <w:r>
        <w:rPr>
          <w:rFonts w:hint="eastAsia" w:ascii="黑体" w:hAnsi="黑体" w:eastAsia="黑体" w:cs="黑体"/>
          <w:color w:val="auto"/>
          <w:sz w:val="24"/>
          <w:szCs w:val="24"/>
          <w:highlight w:val="none"/>
          <w:lang w:val="en-US" w:eastAsia="zh-CN"/>
        </w:rPr>
        <w:t>七</w:t>
      </w:r>
      <w:r>
        <w:rPr>
          <w:rFonts w:hint="eastAsia" w:ascii="黑体" w:hAnsi="黑体" w:eastAsia="黑体" w:cs="黑体"/>
          <w:b/>
          <w:bCs/>
          <w:color w:val="auto"/>
          <w:sz w:val="24"/>
          <w:szCs w:val="24"/>
          <w:highlight w:val="none"/>
        </w:rPr>
        <w:t>、其他</w:t>
      </w:r>
      <w:bookmarkEnd w:id="49"/>
    </w:p>
    <w:p w14:paraId="49A3B1E0">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（一）供应商必须在响应文件中对以上条款和服务承诺明确列出，承诺内容必须达到本篇及采购文件其他条款的要求。</w:t>
      </w:r>
    </w:p>
    <w:p w14:paraId="70FF986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成交供应商须严格按照采购文件采购人服务要求及自身提供的方案实施本项目，成交供应商在实施过程中接受采购人的监督和意见，根据采购人意见进行项目实施的调整。未经采购人允许，不得改变实施方案。</w:t>
      </w:r>
    </w:p>
    <w:p w14:paraId="7F43C55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4"/>
          <w:szCs w:val="24"/>
          <w:highlight w:val="none"/>
        </w:rPr>
        <w:t>（三）其他未尽事宜由供需双方在采购合同中详细约定。</w:t>
      </w:r>
    </w:p>
    <w:p w14:paraId="14E3FCD0">
      <w:pPr>
        <w:pStyle w:val="4"/>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p>
    <w:p w14:paraId="30D04387">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3A232CCE">
      <w:pPr>
        <w:rPr>
          <w:rStyle w:val="38"/>
          <w:rFonts w:hint="eastAsia" w:ascii="黑体" w:hAnsi="黑体" w:eastAsia="黑体" w:cs="黑体"/>
          <w:b/>
          <w:bCs/>
          <w:color w:val="auto"/>
          <w:highlight w:val="none"/>
        </w:rPr>
      </w:pPr>
      <w:bookmarkStart w:id="50" w:name="_Toc27973"/>
      <w:r>
        <w:rPr>
          <w:rStyle w:val="38"/>
          <w:rFonts w:hint="eastAsia" w:ascii="黑体" w:hAnsi="黑体" w:eastAsia="黑体" w:cs="黑体"/>
          <w:b/>
          <w:bCs/>
          <w:color w:val="auto"/>
          <w:highlight w:val="none"/>
        </w:rPr>
        <w:br w:type="page"/>
      </w:r>
    </w:p>
    <w:p w14:paraId="33E8D947">
      <w:pPr>
        <w:pStyle w:val="3"/>
        <w:pageBreakBefore w:val="0"/>
        <w:numPr>
          <w:ilvl w:val="0"/>
          <w:numId w:val="4"/>
        </w:numPr>
        <w:kinsoku/>
        <w:overflowPunct/>
        <w:topLinePunct w:val="0"/>
        <w:autoSpaceDE/>
        <w:autoSpaceDN/>
        <w:bidi w:val="0"/>
        <w:adjustRightInd/>
        <w:snapToGrid w:val="0"/>
        <w:spacing w:line="312" w:lineRule="auto"/>
        <w:ind w:left="-280" w:leftChars="-100" w:firstLine="560" w:firstLineChars="175"/>
        <w:jc w:val="center"/>
        <w:rPr>
          <w:rStyle w:val="38"/>
          <w:rFonts w:hint="eastAsia" w:ascii="黑体" w:hAnsi="黑体" w:eastAsia="黑体" w:cs="黑体"/>
          <w:b/>
          <w:bCs/>
          <w:color w:val="auto"/>
          <w:highlight w:val="none"/>
        </w:rPr>
      </w:pPr>
      <w:r>
        <w:rPr>
          <w:rStyle w:val="38"/>
          <w:rFonts w:hint="eastAsia" w:ascii="黑体" w:hAnsi="黑体" w:eastAsia="黑体" w:cs="黑体"/>
          <w:b/>
          <w:bCs/>
          <w:color w:val="auto"/>
          <w:highlight w:val="none"/>
        </w:rPr>
        <w:t>资格审查及评标办法</w:t>
      </w:r>
      <w:bookmarkEnd w:id="50"/>
    </w:p>
    <w:p w14:paraId="208D5F3A">
      <w:pPr>
        <w:pageBreakBefore w:val="0"/>
        <w:kinsoku/>
        <w:overflowPunct/>
        <w:topLinePunct w:val="0"/>
        <w:autoSpaceDE/>
        <w:autoSpaceDN/>
        <w:bidi w:val="0"/>
        <w:adjustRightInd/>
        <w:snapToGrid w:val="0"/>
        <w:spacing w:line="312"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一、资格性符合性检查</w:t>
      </w:r>
    </w:p>
    <w:p w14:paraId="064EA8B6">
      <w:pPr>
        <w:pageBreakBefore w:val="0"/>
        <w:kinsoku/>
        <w:overflowPunct/>
        <w:topLinePunct w:val="0"/>
        <w:autoSpaceDE/>
        <w:autoSpaceDN/>
        <w:bidi w:val="0"/>
        <w:adjustRightInd/>
        <w:snapToGrid w:val="0"/>
        <w:spacing w:line="312"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（一）资格性检查。依据法律法规和采购文件的规定，对响应文件中的资格证明等进行审查，以确定供应商是否具备投标资格。资格性检查资料表如下：</w:t>
      </w:r>
    </w:p>
    <w:tbl>
      <w:tblPr>
        <w:tblStyle w:val="24"/>
        <w:tblW w:w="9802" w:type="dxa"/>
        <w:tblInd w:w="-4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118"/>
        <w:gridCol w:w="3126"/>
        <w:gridCol w:w="4801"/>
      </w:tblGrid>
      <w:tr w14:paraId="60AE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E69FCC5">
            <w:pPr>
              <w:pageBreakBefore w:val="0"/>
              <w:kinsoku/>
              <w:overflowPunct/>
              <w:topLinePunct w:val="0"/>
              <w:autoSpaceDE/>
              <w:autoSpaceDN/>
              <w:bidi w:val="0"/>
              <w:adjustRightInd/>
              <w:snapToGrid w:val="0"/>
              <w:spacing w:line="312" w:lineRule="auto"/>
              <w:jc w:val="center"/>
              <w:rPr>
                <w:rFonts w:hint="eastAsia" w:ascii="黑体" w:hAnsi="黑体" w:eastAsia="黑体" w:cs="黑体"/>
                <w:b/>
                <w:color w:val="auto"/>
                <w:kern w:val="0"/>
                <w:sz w:val="22"/>
                <w:szCs w:val="22"/>
                <w:highlight w:val="none"/>
              </w:rPr>
            </w:pPr>
            <w:r>
              <w:rPr>
                <w:rFonts w:hint="eastAsia" w:ascii="黑体" w:hAnsi="黑体" w:eastAsia="黑体" w:cs="黑体"/>
                <w:b/>
                <w:color w:val="auto"/>
                <w:kern w:val="0"/>
                <w:sz w:val="22"/>
                <w:szCs w:val="22"/>
                <w:highlight w:val="none"/>
              </w:rPr>
              <w:t>序号</w:t>
            </w:r>
          </w:p>
        </w:tc>
        <w:tc>
          <w:tcPr>
            <w:tcW w:w="4244" w:type="dxa"/>
            <w:gridSpan w:val="2"/>
            <w:vAlign w:val="center"/>
          </w:tcPr>
          <w:p w14:paraId="28760003">
            <w:pPr>
              <w:pageBreakBefore w:val="0"/>
              <w:kinsoku/>
              <w:overflowPunct/>
              <w:topLinePunct w:val="0"/>
              <w:autoSpaceDE/>
              <w:autoSpaceDN/>
              <w:bidi w:val="0"/>
              <w:adjustRightInd/>
              <w:snapToGrid w:val="0"/>
              <w:spacing w:line="312" w:lineRule="auto"/>
              <w:jc w:val="center"/>
              <w:rPr>
                <w:rFonts w:hint="eastAsia" w:ascii="黑体" w:hAnsi="黑体" w:eastAsia="黑体" w:cs="黑体"/>
                <w:b/>
                <w:color w:val="auto"/>
                <w:kern w:val="0"/>
                <w:sz w:val="22"/>
                <w:szCs w:val="22"/>
                <w:highlight w:val="none"/>
              </w:rPr>
            </w:pPr>
            <w:r>
              <w:rPr>
                <w:rFonts w:hint="eastAsia" w:ascii="黑体" w:hAnsi="黑体" w:eastAsia="黑体" w:cs="黑体"/>
                <w:b/>
                <w:color w:val="auto"/>
                <w:kern w:val="0"/>
                <w:sz w:val="22"/>
                <w:szCs w:val="22"/>
                <w:highlight w:val="none"/>
              </w:rPr>
              <w:t>检查因素</w:t>
            </w:r>
          </w:p>
        </w:tc>
        <w:tc>
          <w:tcPr>
            <w:tcW w:w="4801" w:type="dxa"/>
            <w:vAlign w:val="center"/>
          </w:tcPr>
          <w:p w14:paraId="365E50C7">
            <w:pPr>
              <w:pageBreakBefore w:val="0"/>
              <w:kinsoku/>
              <w:overflowPunct/>
              <w:topLinePunct w:val="0"/>
              <w:autoSpaceDE/>
              <w:autoSpaceDN/>
              <w:bidi w:val="0"/>
              <w:adjustRightInd/>
              <w:snapToGrid w:val="0"/>
              <w:spacing w:line="312" w:lineRule="auto"/>
              <w:jc w:val="center"/>
              <w:rPr>
                <w:rFonts w:hint="eastAsia" w:ascii="黑体" w:hAnsi="黑体" w:eastAsia="黑体" w:cs="黑体"/>
                <w:b/>
                <w:color w:val="auto"/>
                <w:kern w:val="0"/>
                <w:sz w:val="22"/>
                <w:szCs w:val="22"/>
                <w:highlight w:val="none"/>
              </w:rPr>
            </w:pPr>
            <w:r>
              <w:rPr>
                <w:rFonts w:hint="eastAsia" w:ascii="黑体" w:hAnsi="黑体" w:eastAsia="黑体" w:cs="黑体"/>
                <w:b/>
                <w:color w:val="auto"/>
                <w:kern w:val="0"/>
                <w:sz w:val="22"/>
                <w:szCs w:val="22"/>
                <w:highlight w:val="none"/>
              </w:rPr>
              <w:t>检查内容</w:t>
            </w:r>
          </w:p>
        </w:tc>
      </w:tr>
      <w:tr w14:paraId="650A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restart"/>
            <w:vAlign w:val="center"/>
          </w:tcPr>
          <w:p w14:paraId="5AC940DD">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w:t>
            </w:r>
          </w:p>
        </w:tc>
        <w:tc>
          <w:tcPr>
            <w:tcW w:w="1118" w:type="dxa"/>
            <w:vMerge w:val="restart"/>
            <w:vAlign w:val="center"/>
          </w:tcPr>
          <w:p w14:paraId="4E8B0B0A">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2"/>
                <w:szCs w:val="22"/>
                <w:highlight w:val="none"/>
                <w:lang w:val="zh-CN"/>
              </w:rPr>
            </w:pPr>
            <w:r>
              <w:rPr>
                <w:rFonts w:hint="eastAsia" w:ascii="黑体" w:hAnsi="黑体" w:eastAsia="黑体" w:cs="黑体"/>
                <w:color w:val="auto"/>
                <w:sz w:val="22"/>
                <w:szCs w:val="22"/>
                <w:highlight w:val="none"/>
              </w:rPr>
              <w:t>供应商</w:t>
            </w:r>
            <w:r>
              <w:rPr>
                <w:rFonts w:hint="eastAsia" w:ascii="黑体" w:hAnsi="黑体" w:eastAsia="黑体" w:cs="黑体"/>
                <w:color w:val="auto"/>
                <w:sz w:val="22"/>
                <w:szCs w:val="22"/>
                <w:highlight w:val="none"/>
                <w:lang w:val="zh-CN"/>
              </w:rPr>
              <w:t>应符合的基本资格条件</w:t>
            </w:r>
          </w:p>
        </w:tc>
        <w:tc>
          <w:tcPr>
            <w:tcW w:w="3126" w:type="dxa"/>
            <w:vAlign w:val="center"/>
          </w:tcPr>
          <w:p w14:paraId="1F9CD211">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（1）具有独立承担民事责任的能力</w:t>
            </w:r>
          </w:p>
        </w:tc>
        <w:tc>
          <w:tcPr>
            <w:tcW w:w="4801" w:type="dxa"/>
            <w:vAlign w:val="center"/>
          </w:tcPr>
          <w:p w14:paraId="03D439DC">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供应商法人营业执照（副本）或事业单位法人证书（正本）或个体工商户营业执照或有效的自然人身份证明、组织机构代码证复印件（注</w:t>
            </w:r>
            <w:r>
              <w:rPr>
                <w:rFonts w:hint="eastAsia" w:ascii="黑体" w:hAnsi="黑体" w:eastAsia="黑体" w:cs="黑体"/>
                <w:color w:val="auto"/>
                <w:kern w:val="0"/>
                <w:sz w:val="22"/>
                <w:szCs w:val="22"/>
                <w:highlight w:val="none"/>
              </w:rPr>
              <w:sym w:font="Wingdings" w:char="F081"/>
            </w:r>
            <w:r>
              <w:rPr>
                <w:rFonts w:hint="eastAsia" w:ascii="黑体" w:hAnsi="黑体" w:eastAsia="黑体" w:cs="黑体"/>
                <w:color w:val="auto"/>
                <w:sz w:val="22"/>
                <w:szCs w:val="22"/>
                <w:highlight w:val="none"/>
              </w:rPr>
              <w:t xml:space="preserve">）； </w:t>
            </w:r>
          </w:p>
          <w:p w14:paraId="3260B56D">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供应商法定代表人身份证明和法定代表人授权代表委托书。</w:t>
            </w:r>
          </w:p>
        </w:tc>
      </w:tr>
      <w:tr w14:paraId="0E2A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57" w:type="dxa"/>
            <w:vMerge w:val="continue"/>
            <w:vAlign w:val="center"/>
          </w:tcPr>
          <w:p w14:paraId="3BB195A1">
            <w:pPr>
              <w:keepNext/>
              <w:keepLines/>
              <w:pageBreakBefore w:val="0"/>
              <w:kinsoku/>
              <w:overflowPunct/>
              <w:topLinePunct w:val="0"/>
              <w:autoSpaceDE/>
              <w:autoSpaceDN/>
              <w:bidi w:val="0"/>
              <w:adjustRightInd/>
              <w:snapToGrid w:val="0"/>
              <w:spacing w:before="260" w:after="260" w:line="312" w:lineRule="auto"/>
              <w:jc w:val="center"/>
              <w:outlineLvl w:val="2"/>
              <w:rPr>
                <w:rFonts w:hint="eastAsia" w:ascii="黑体" w:hAnsi="黑体" w:eastAsia="黑体" w:cs="黑体"/>
                <w:color w:val="auto"/>
                <w:sz w:val="22"/>
                <w:szCs w:val="22"/>
                <w:highlight w:val="none"/>
              </w:rPr>
            </w:pPr>
          </w:p>
        </w:tc>
        <w:tc>
          <w:tcPr>
            <w:tcW w:w="1118" w:type="dxa"/>
            <w:vMerge w:val="continue"/>
            <w:vAlign w:val="center"/>
          </w:tcPr>
          <w:p w14:paraId="635727DE">
            <w:pPr>
              <w:pageBreakBefore w:val="0"/>
              <w:kinsoku/>
              <w:overflowPunct/>
              <w:topLinePunct w:val="0"/>
              <w:autoSpaceDE/>
              <w:autoSpaceDN/>
              <w:bidi w:val="0"/>
              <w:adjustRightInd/>
              <w:snapToGrid w:val="0"/>
              <w:spacing w:before="260" w:after="260" w:line="312" w:lineRule="auto"/>
              <w:outlineLvl w:val="2"/>
              <w:rPr>
                <w:rFonts w:hint="eastAsia" w:ascii="黑体" w:hAnsi="黑体" w:eastAsia="黑体" w:cs="黑体"/>
                <w:color w:val="auto"/>
                <w:sz w:val="22"/>
                <w:szCs w:val="22"/>
                <w:highlight w:val="none"/>
                <w:lang w:val="zh-CN"/>
              </w:rPr>
            </w:pPr>
          </w:p>
        </w:tc>
        <w:tc>
          <w:tcPr>
            <w:tcW w:w="3126" w:type="dxa"/>
            <w:vAlign w:val="center"/>
          </w:tcPr>
          <w:p w14:paraId="5501EAA6">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zh-CN"/>
              </w:rPr>
              <w:t>（2）</w:t>
            </w:r>
            <w:r>
              <w:rPr>
                <w:rFonts w:hint="eastAsia" w:ascii="黑体" w:hAnsi="黑体" w:eastAsia="黑体" w:cs="黑体"/>
                <w:color w:val="auto"/>
                <w:sz w:val="22"/>
                <w:szCs w:val="22"/>
                <w:highlight w:val="none"/>
              </w:rPr>
              <w:t>具有良好的商业信誉和健全的财务会计制度</w:t>
            </w:r>
          </w:p>
        </w:tc>
        <w:tc>
          <w:tcPr>
            <w:tcW w:w="4801" w:type="dxa"/>
            <w:vMerge w:val="restart"/>
            <w:vAlign w:val="center"/>
          </w:tcPr>
          <w:p w14:paraId="76A559C4">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1.</w:t>
            </w:r>
            <w:r>
              <w:rPr>
                <w:rFonts w:hint="eastAsia" w:ascii="黑体" w:hAnsi="黑体" w:eastAsia="黑体" w:cs="黑体"/>
                <w:color w:val="auto"/>
                <w:sz w:val="22"/>
                <w:szCs w:val="22"/>
                <w:highlight w:val="none"/>
              </w:rPr>
              <w:t>供应商提供基本资格条件承诺函（见格式文件）</w:t>
            </w:r>
          </w:p>
          <w:p w14:paraId="6C94875F">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w:t>
            </w:r>
            <w:r>
              <w:rPr>
                <w:rFonts w:hint="eastAsia" w:ascii="黑体" w:hAnsi="黑体" w:eastAsia="黑体" w:cs="黑体"/>
                <w:color w:val="auto"/>
                <w:sz w:val="22"/>
                <w:szCs w:val="22"/>
                <w:highlight w:val="none"/>
                <w:lang w:val="en-US" w:eastAsia="zh-CN"/>
              </w:rPr>
              <w:t>采购人</w:t>
            </w:r>
            <w:r>
              <w:rPr>
                <w:rFonts w:hint="eastAsia" w:ascii="黑体" w:hAnsi="黑体" w:eastAsia="黑体" w:cs="黑体"/>
                <w:color w:val="auto"/>
                <w:sz w:val="22"/>
                <w:szCs w:val="22"/>
                <w:highlight w:val="none"/>
              </w:rPr>
              <w:t>或采购代理机构将通过 “信用中国”网站(www.creditchina.gov.cn)、"中国政府采购网"(www.ccgp.gov.cn)等渠道查询</w:t>
            </w:r>
            <w:r>
              <w:rPr>
                <w:rFonts w:hint="eastAsia" w:ascii="黑体" w:hAnsi="黑体" w:eastAsia="黑体" w:cs="黑体"/>
                <w:color w:val="auto"/>
                <w:sz w:val="22"/>
                <w:szCs w:val="22"/>
                <w:highlight w:val="none"/>
                <w:lang w:val="en-US" w:eastAsia="zh-CN"/>
              </w:rPr>
              <w:t>供应商</w:t>
            </w:r>
            <w:r>
              <w:rPr>
                <w:rFonts w:hint="eastAsia" w:ascii="黑体" w:hAnsi="黑体" w:eastAsia="黑体" w:cs="黑体"/>
                <w:color w:val="auto"/>
                <w:sz w:val="22"/>
                <w:szCs w:val="22"/>
                <w:highlight w:val="none"/>
              </w:rPr>
              <w:t>信用记录，对列入失信被执行人、重大税收违法案件当事人名单、政府采购严重违法失信行为记录名单的竞选人将拒绝其参与政府采购活动。</w:t>
            </w:r>
          </w:p>
        </w:tc>
      </w:tr>
      <w:tr w14:paraId="41C1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57" w:type="dxa"/>
            <w:vMerge w:val="continue"/>
            <w:vAlign w:val="center"/>
          </w:tcPr>
          <w:p w14:paraId="3F8E3947">
            <w:pPr>
              <w:keepNext/>
              <w:keepLines/>
              <w:pageBreakBefore w:val="0"/>
              <w:kinsoku/>
              <w:overflowPunct/>
              <w:topLinePunct w:val="0"/>
              <w:autoSpaceDE/>
              <w:autoSpaceDN/>
              <w:bidi w:val="0"/>
              <w:adjustRightInd/>
              <w:snapToGrid w:val="0"/>
              <w:spacing w:before="260" w:after="260" w:line="312" w:lineRule="auto"/>
              <w:jc w:val="center"/>
              <w:outlineLvl w:val="2"/>
              <w:rPr>
                <w:rFonts w:hint="eastAsia" w:ascii="黑体" w:hAnsi="黑体" w:eastAsia="黑体" w:cs="黑体"/>
                <w:color w:val="auto"/>
                <w:sz w:val="22"/>
                <w:szCs w:val="22"/>
                <w:highlight w:val="none"/>
              </w:rPr>
            </w:pPr>
          </w:p>
        </w:tc>
        <w:tc>
          <w:tcPr>
            <w:tcW w:w="1118" w:type="dxa"/>
            <w:vMerge w:val="continue"/>
            <w:vAlign w:val="center"/>
          </w:tcPr>
          <w:p w14:paraId="005FA73D">
            <w:pPr>
              <w:pageBreakBefore w:val="0"/>
              <w:kinsoku/>
              <w:overflowPunct/>
              <w:topLinePunct w:val="0"/>
              <w:autoSpaceDE/>
              <w:autoSpaceDN/>
              <w:bidi w:val="0"/>
              <w:adjustRightInd/>
              <w:snapToGrid w:val="0"/>
              <w:spacing w:before="260" w:after="260" w:line="312" w:lineRule="auto"/>
              <w:outlineLvl w:val="2"/>
              <w:rPr>
                <w:rFonts w:hint="eastAsia" w:ascii="黑体" w:hAnsi="黑体" w:eastAsia="黑体" w:cs="黑体"/>
                <w:color w:val="auto"/>
                <w:sz w:val="22"/>
                <w:szCs w:val="22"/>
                <w:highlight w:val="none"/>
                <w:lang w:val="zh-CN"/>
              </w:rPr>
            </w:pPr>
          </w:p>
        </w:tc>
        <w:tc>
          <w:tcPr>
            <w:tcW w:w="3126" w:type="dxa"/>
            <w:vAlign w:val="center"/>
          </w:tcPr>
          <w:p w14:paraId="76CEC451">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2"/>
                <w:szCs w:val="22"/>
                <w:highlight w:val="none"/>
                <w:lang w:val="zh-CN"/>
              </w:rPr>
            </w:pPr>
            <w:r>
              <w:rPr>
                <w:rFonts w:hint="eastAsia" w:ascii="黑体" w:hAnsi="黑体" w:eastAsia="黑体" w:cs="黑体"/>
                <w:color w:val="auto"/>
                <w:sz w:val="22"/>
                <w:szCs w:val="22"/>
                <w:highlight w:val="none"/>
                <w:lang w:val="zh-CN"/>
              </w:rPr>
              <w:t>（3）具有履行合同所必需的设备和专业技术能力</w:t>
            </w:r>
          </w:p>
        </w:tc>
        <w:tc>
          <w:tcPr>
            <w:tcW w:w="4801" w:type="dxa"/>
            <w:vMerge w:val="continue"/>
            <w:vAlign w:val="center"/>
          </w:tcPr>
          <w:p w14:paraId="71527918">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2"/>
                <w:szCs w:val="22"/>
                <w:highlight w:val="none"/>
              </w:rPr>
            </w:pPr>
          </w:p>
        </w:tc>
      </w:tr>
      <w:tr w14:paraId="16F6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57" w:type="dxa"/>
            <w:vMerge w:val="continue"/>
            <w:vAlign w:val="center"/>
          </w:tcPr>
          <w:p w14:paraId="18B12031">
            <w:pPr>
              <w:keepNext/>
              <w:keepLines/>
              <w:pageBreakBefore w:val="0"/>
              <w:kinsoku/>
              <w:overflowPunct/>
              <w:topLinePunct w:val="0"/>
              <w:autoSpaceDE/>
              <w:autoSpaceDN/>
              <w:bidi w:val="0"/>
              <w:adjustRightInd/>
              <w:snapToGrid w:val="0"/>
              <w:spacing w:before="260" w:after="260" w:line="312" w:lineRule="auto"/>
              <w:jc w:val="center"/>
              <w:outlineLvl w:val="2"/>
              <w:rPr>
                <w:rFonts w:hint="eastAsia" w:ascii="黑体" w:hAnsi="黑体" w:eastAsia="黑体" w:cs="黑体"/>
                <w:color w:val="auto"/>
                <w:sz w:val="22"/>
                <w:szCs w:val="22"/>
                <w:highlight w:val="none"/>
              </w:rPr>
            </w:pPr>
          </w:p>
        </w:tc>
        <w:tc>
          <w:tcPr>
            <w:tcW w:w="1118" w:type="dxa"/>
            <w:vMerge w:val="continue"/>
            <w:vAlign w:val="center"/>
          </w:tcPr>
          <w:p w14:paraId="2E0B7784">
            <w:pPr>
              <w:pageBreakBefore w:val="0"/>
              <w:kinsoku/>
              <w:overflowPunct/>
              <w:topLinePunct w:val="0"/>
              <w:autoSpaceDE/>
              <w:autoSpaceDN/>
              <w:bidi w:val="0"/>
              <w:adjustRightInd/>
              <w:snapToGrid w:val="0"/>
              <w:spacing w:before="260" w:after="260" w:line="312" w:lineRule="auto"/>
              <w:outlineLvl w:val="2"/>
              <w:rPr>
                <w:rFonts w:hint="eastAsia" w:ascii="黑体" w:hAnsi="黑体" w:eastAsia="黑体" w:cs="黑体"/>
                <w:color w:val="auto"/>
                <w:sz w:val="22"/>
                <w:szCs w:val="22"/>
                <w:highlight w:val="none"/>
                <w:lang w:val="zh-CN"/>
              </w:rPr>
            </w:pPr>
          </w:p>
        </w:tc>
        <w:tc>
          <w:tcPr>
            <w:tcW w:w="3126" w:type="dxa"/>
            <w:vAlign w:val="center"/>
          </w:tcPr>
          <w:p w14:paraId="4BD7A496">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2"/>
                <w:szCs w:val="22"/>
                <w:highlight w:val="none"/>
                <w:lang w:val="zh-CN"/>
              </w:rPr>
            </w:pPr>
            <w:r>
              <w:rPr>
                <w:rFonts w:hint="eastAsia" w:ascii="黑体" w:hAnsi="黑体" w:eastAsia="黑体" w:cs="黑体"/>
                <w:color w:val="auto"/>
                <w:sz w:val="22"/>
                <w:szCs w:val="22"/>
                <w:highlight w:val="none"/>
                <w:lang w:val="zh-CN"/>
              </w:rPr>
              <w:t>（4）有依法缴纳税收和社会保障金的良好记录</w:t>
            </w:r>
          </w:p>
        </w:tc>
        <w:tc>
          <w:tcPr>
            <w:tcW w:w="4801" w:type="dxa"/>
            <w:vMerge w:val="continue"/>
            <w:vAlign w:val="center"/>
          </w:tcPr>
          <w:p w14:paraId="3444A845">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2"/>
                <w:szCs w:val="22"/>
                <w:highlight w:val="none"/>
              </w:rPr>
            </w:pPr>
          </w:p>
        </w:tc>
      </w:tr>
      <w:tr w14:paraId="557E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57" w:type="dxa"/>
            <w:vMerge w:val="continue"/>
            <w:vAlign w:val="center"/>
          </w:tcPr>
          <w:p w14:paraId="00B6CA73">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sz w:val="22"/>
                <w:szCs w:val="22"/>
                <w:highlight w:val="none"/>
              </w:rPr>
            </w:pPr>
          </w:p>
        </w:tc>
        <w:tc>
          <w:tcPr>
            <w:tcW w:w="1118" w:type="dxa"/>
            <w:vMerge w:val="continue"/>
            <w:vAlign w:val="center"/>
          </w:tcPr>
          <w:p w14:paraId="3D5E4C03">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2"/>
                <w:szCs w:val="22"/>
                <w:highlight w:val="none"/>
                <w:lang w:val="zh-CN"/>
              </w:rPr>
            </w:pPr>
          </w:p>
        </w:tc>
        <w:tc>
          <w:tcPr>
            <w:tcW w:w="3126" w:type="dxa"/>
            <w:vAlign w:val="center"/>
          </w:tcPr>
          <w:p w14:paraId="7E25997B">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2"/>
                <w:szCs w:val="22"/>
                <w:highlight w:val="none"/>
                <w:lang w:val="zh-CN"/>
              </w:rPr>
            </w:pPr>
            <w:r>
              <w:rPr>
                <w:rFonts w:hint="eastAsia" w:ascii="黑体" w:hAnsi="黑体" w:eastAsia="黑体" w:cs="黑体"/>
                <w:color w:val="auto"/>
                <w:sz w:val="22"/>
                <w:szCs w:val="22"/>
                <w:highlight w:val="none"/>
              </w:rPr>
              <w:t>（5）参加政府采购活动前三年内，在经营活动中没有重大违法记录（注②）</w:t>
            </w:r>
          </w:p>
        </w:tc>
        <w:tc>
          <w:tcPr>
            <w:tcW w:w="4801" w:type="dxa"/>
            <w:vMerge w:val="continue"/>
            <w:vAlign w:val="center"/>
          </w:tcPr>
          <w:p w14:paraId="21E6A3C5">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2"/>
                <w:szCs w:val="22"/>
                <w:highlight w:val="none"/>
              </w:rPr>
            </w:pPr>
          </w:p>
        </w:tc>
      </w:tr>
      <w:tr w14:paraId="0FD9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57" w:type="dxa"/>
            <w:vMerge w:val="continue"/>
            <w:vAlign w:val="center"/>
          </w:tcPr>
          <w:p w14:paraId="75CCDACC">
            <w:pPr>
              <w:keepNext/>
              <w:keepLines/>
              <w:pageBreakBefore w:val="0"/>
              <w:kinsoku/>
              <w:overflowPunct/>
              <w:topLinePunct w:val="0"/>
              <w:autoSpaceDE/>
              <w:autoSpaceDN/>
              <w:bidi w:val="0"/>
              <w:adjustRightInd/>
              <w:snapToGrid w:val="0"/>
              <w:spacing w:before="260" w:after="260" w:line="312" w:lineRule="auto"/>
              <w:jc w:val="center"/>
              <w:outlineLvl w:val="2"/>
              <w:rPr>
                <w:rFonts w:hint="eastAsia" w:ascii="黑体" w:hAnsi="黑体" w:eastAsia="黑体" w:cs="黑体"/>
                <w:color w:val="auto"/>
                <w:sz w:val="22"/>
                <w:szCs w:val="22"/>
                <w:highlight w:val="none"/>
              </w:rPr>
            </w:pPr>
          </w:p>
        </w:tc>
        <w:tc>
          <w:tcPr>
            <w:tcW w:w="1118" w:type="dxa"/>
            <w:vMerge w:val="continue"/>
            <w:vAlign w:val="center"/>
          </w:tcPr>
          <w:p w14:paraId="28CD071D">
            <w:pPr>
              <w:pageBreakBefore w:val="0"/>
              <w:kinsoku/>
              <w:overflowPunct/>
              <w:topLinePunct w:val="0"/>
              <w:autoSpaceDE/>
              <w:autoSpaceDN/>
              <w:bidi w:val="0"/>
              <w:adjustRightInd/>
              <w:snapToGrid w:val="0"/>
              <w:spacing w:before="260" w:after="260" w:line="312" w:lineRule="auto"/>
              <w:outlineLvl w:val="2"/>
              <w:rPr>
                <w:rFonts w:hint="eastAsia" w:ascii="黑体" w:hAnsi="黑体" w:eastAsia="黑体" w:cs="黑体"/>
                <w:color w:val="auto"/>
                <w:sz w:val="22"/>
                <w:szCs w:val="22"/>
                <w:highlight w:val="none"/>
                <w:lang w:val="zh-CN"/>
              </w:rPr>
            </w:pPr>
          </w:p>
        </w:tc>
        <w:tc>
          <w:tcPr>
            <w:tcW w:w="3126" w:type="dxa"/>
            <w:vAlign w:val="center"/>
          </w:tcPr>
          <w:p w14:paraId="75DD8B7D">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（6）法律、行政法规规定的其他条件</w:t>
            </w:r>
          </w:p>
        </w:tc>
        <w:tc>
          <w:tcPr>
            <w:tcW w:w="4801" w:type="dxa"/>
            <w:vAlign w:val="center"/>
          </w:tcPr>
          <w:p w14:paraId="4364EFD9">
            <w:pPr>
              <w:pageBreakBefore w:val="0"/>
              <w:kinsoku/>
              <w:overflowPunct/>
              <w:topLinePunct w:val="0"/>
              <w:autoSpaceDE/>
              <w:autoSpaceDN/>
              <w:bidi w:val="0"/>
              <w:adjustRightInd/>
              <w:snapToGrid w:val="0"/>
              <w:spacing w:before="260" w:after="260" w:line="312" w:lineRule="auto"/>
              <w:outlineLvl w:val="2"/>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w:t>
            </w:r>
          </w:p>
        </w:tc>
      </w:tr>
      <w:tr w14:paraId="1D38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57" w:type="dxa"/>
            <w:vAlign w:val="center"/>
          </w:tcPr>
          <w:p w14:paraId="2AE8FB50">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w:t>
            </w:r>
          </w:p>
        </w:tc>
        <w:tc>
          <w:tcPr>
            <w:tcW w:w="4244" w:type="dxa"/>
            <w:gridSpan w:val="2"/>
            <w:vAlign w:val="center"/>
          </w:tcPr>
          <w:p w14:paraId="40E31016">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特定资格条件</w:t>
            </w:r>
          </w:p>
        </w:tc>
        <w:tc>
          <w:tcPr>
            <w:tcW w:w="4801" w:type="dxa"/>
            <w:vAlign w:val="center"/>
          </w:tcPr>
          <w:p w14:paraId="7C291A2D">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2"/>
                <w:szCs w:val="22"/>
                <w:highlight w:val="none"/>
              </w:rPr>
            </w:pPr>
            <w:bookmarkStart w:id="51" w:name="_Toc11965"/>
            <w:bookmarkStart w:id="52" w:name="_Toc13413"/>
            <w:r>
              <w:rPr>
                <w:rFonts w:hint="eastAsia" w:ascii="黑体" w:hAnsi="黑体" w:eastAsia="黑体" w:cs="黑体"/>
                <w:color w:val="auto"/>
                <w:sz w:val="22"/>
                <w:szCs w:val="22"/>
                <w:highlight w:val="none"/>
              </w:rPr>
              <w:t>按第一篇“资格要求（二）特定资格条件”的要求提交证明文件并加盖供应商公章。</w:t>
            </w:r>
            <w:bookmarkEnd w:id="51"/>
            <w:bookmarkEnd w:id="52"/>
          </w:p>
        </w:tc>
      </w:tr>
    </w:tbl>
    <w:p w14:paraId="2A8A09E7">
      <w:pPr>
        <w:pageBreakBefore w:val="0"/>
        <w:kinsoku/>
        <w:overflowPunct/>
        <w:topLinePunct w:val="0"/>
        <w:autoSpaceDE/>
        <w:autoSpaceDN/>
        <w:bidi w:val="0"/>
        <w:adjustRightInd/>
        <w:snapToGrid w:val="0"/>
        <w:spacing w:line="312" w:lineRule="auto"/>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注：</w:t>
      </w:r>
    </w:p>
    <w:p w14:paraId="33569B35">
      <w:pPr>
        <w:pageBreakBefore w:val="0"/>
        <w:kinsoku/>
        <w:overflowPunct/>
        <w:topLinePunct w:val="0"/>
        <w:autoSpaceDE/>
        <w:autoSpaceDN/>
        <w:bidi w:val="0"/>
        <w:adjustRightInd/>
        <w:snapToGrid w:val="0"/>
        <w:spacing w:line="312" w:lineRule="auto"/>
        <w:ind w:firstLine="440" w:firstLineChars="200"/>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sym w:font="Wingdings" w:char="F081"/>
      </w:r>
      <w:r>
        <w:rPr>
          <w:rFonts w:hint="eastAsia" w:ascii="黑体" w:hAnsi="黑体" w:eastAsia="黑体" w:cs="黑体"/>
          <w:color w:val="auto"/>
          <w:kern w:val="0"/>
          <w:sz w:val="22"/>
          <w:szCs w:val="22"/>
          <w:highlight w:val="none"/>
        </w:rPr>
        <w:t>供应商按“五证合一”登记制度办理营业执照的，组织机构代码证、税务登记证（副本）和社会保险登记证以供应商所提供的营业执照（副本）复印件为准。</w:t>
      </w:r>
    </w:p>
    <w:p w14:paraId="65DFC37F">
      <w:pPr>
        <w:pageBreakBefore w:val="0"/>
        <w:kinsoku/>
        <w:overflowPunct/>
        <w:topLinePunct w:val="0"/>
        <w:autoSpaceDE/>
        <w:autoSpaceDN/>
        <w:bidi w:val="0"/>
        <w:adjustRightInd/>
        <w:snapToGrid w:val="0"/>
        <w:spacing w:line="312" w:lineRule="auto"/>
        <w:ind w:firstLine="440" w:firstLineChars="200"/>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sym w:font="Wingdings" w:char="F082"/>
      </w:r>
      <w:r>
        <w:rPr>
          <w:rFonts w:hint="eastAsia" w:ascii="黑体" w:hAnsi="黑体" w:eastAsia="黑体" w:cs="黑体"/>
          <w:color w:val="auto"/>
          <w:kern w:val="0"/>
          <w:sz w:val="22"/>
          <w:szCs w:val="22"/>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4727DC9">
      <w:pPr>
        <w:pageBreakBefore w:val="0"/>
        <w:kinsoku/>
        <w:overflowPunct/>
        <w:topLinePunct w:val="0"/>
        <w:autoSpaceDE/>
        <w:autoSpaceDN/>
        <w:bidi w:val="0"/>
        <w:adjustRightInd/>
        <w:snapToGrid w:val="0"/>
        <w:spacing w:line="312" w:lineRule="auto"/>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（二）符合性检查。依据采购文件的规定，从响应文件的有效性、完整性和对采购文件的响应程度进行审查，以确定是否对采购文件的实质性要求作出响应。符合性检查资料表如下：</w:t>
      </w:r>
    </w:p>
    <w:tbl>
      <w:tblPr>
        <w:tblStyle w:val="24"/>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5446"/>
      </w:tblGrid>
      <w:tr w14:paraId="7DA8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79D82BA1">
            <w:pPr>
              <w:pageBreakBefore w:val="0"/>
              <w:kinsoku/>
              <w:overflowPunct/>
              <w:topLinePunct w:val="0"/>
              <w:autoSpaceDE/>
              <w:autoSpaceDN/>
              <w:bidi w:val="0"/>
              <w:adjustRightInd/>
              <w:snapToGrid w:val="0"/>
              <w:spacing w:line="312" w:lineRule="auto"/>
              <w:jc w:val="center"/>
              <w:rPr>
                <w:rFonts w:hint="eastAsia" w:ascii="黑体" w:hAnsi="黑体" w:eastAsia="黑体" w:cs="黑体"/>
                <w:b/>
                <w:color w:val="auto"/>
                <w:kern w:val="0"/>
                <w:sz w:val="22"/>
                <w:szCs w:val="22"/>
                <w:highlight w:val="none"/>
              </w:rPr>
            </w:pPr>
            <w:r>
              <w:rPr>
                <w:rFonts w:hint="eastAsia" w:ascii="黑体" w:hAnsi="黑体" w:eastAsia="黑体" w:cs="黑体"/>
                <w:b/>
                <w:color w:val="auto"/>
                <w:kern w:val="0"/>
                <w:sz w:val="22"/>
                <w:szCs w:val="22"/>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11CE4C6C">
            <w:pPr>
              <w:pageBreakBefore w:val="0"/>
              <w:kinsoku/>
              <w:overflowPunct/>
              <w:topLinePunct w:val="0"/>
              <w:autoSpaceDE/>
              <w:autoSpaceDN/>
              <w:bidi w:val="0"/>
              <w:adjustRightInd/>
              <w:snapToGrid w:val="0"/>
              <w:spacing w:line="312" w:lineRule="auto"/>
              <w:jc w:val="center"/>
              <w:rPr>
                <w:rFonts w:hint="eastAsia" w:ascii="黑体" w:hAnsi="黑体" w:eastAsia="黑体" w:cs="黑体"/>
                <w:b/>
                <w:color w:val="auto"/>
                <w:kern w:val="0"/>
                <w:sz w:val="22"/>
                <w:szCs w:val="22"/>
                <w:highlight w:val="none"/>
              </w:rPr>
            </w:pPr>
            <w:r>
              <w:rPr>
                <w:rFonts w:hint="eastAsia" w:ascii="黑体" w:hAnsi="黑体" w:eastAsia="黑体" w:cs="黑体"/>
                <w:b/>
                <w:color w:val="auto"/>
                <w:kern w:val="0"/>
                <w:sz w:val="22"/>
                <w:szCs w:val="22"/>
                <w:highlight w:val="none"/>
              </w:rPr>
              <w:t>评审因素</w:t>
            </w:r>
          </w:p>
        </w:tc>
        <w:tc>
          <w:tcPr>
            <w:tcW w:w="5446" w:type="dxa"/>
            <w:tcBorders>
              <w:top w:val="single" w:color="auto" w:sz="4" w:space="0"/>
              <w:left w:val="single" w:color="auto" w:sz="4" w:space="0"/>
              <w:bottom w:val="single" w:color="auto" w:sz="4" w:space="0"/>
              <w:right w:val="single" w:color="auto" w:sz="4" w:space="0"/>
            </w:tcBorders>
            <w:vAlign w:val="center"/>
          </w:tcPr>
          <w:p w14:paraId="43628586">
            <w:pPr>
              <w:pageBreakBefore w:val="0"/>
              <w:kinsoku/>
              <w:overflowPunct/>
              <w:topLinePunct w:val="0"/>
              <w:autoSpaceDE/>
              <w:autoSpaceDN/>
              <w:bidi w:val="0"/>
              <w:adjustRightInd/>
              <w:snapToGrid w:val="0"/>
              <w:spacing w:line="312" w:lineRule="auto"/>
              <w:jc w:val="center"/>
              <w:rPr>
                <w:rFonts w:hint="eastAsia" w:ascii="黑体" w:hAnsi="黑体" w:eastAsia="黑体" w:cs="黑体"/>
                <w:b/>
                <w:color w:val="auto"/>
                <w:kern w:val="0"/>
                <w:sz w:val="22"/>
                <w:szCs w:val="22"/>
                <w:highlight w:val="none"/>
              </w:rPr>
            </w:pPr>
            <w:r>
              <w:rPr>
                <w:rFonts w:hint="eastAsia" w:ascii="黑体" w:hAnsi="黑体" w:eastAsia="黑体" w:cs="黑体"/>
                <w:b/>
                <w:color w:val="auto"/>
                <w:kern w:val="0"/>
                <w:sz w:val="22"/>
                <w:szCs w:val="22"/>
                <w:highlight w:val="none"/>
              </w:rPr>
              <w:t>评审标准</w:t>
            </w:r>
          </w:p>
        </w:tc>
      </w:tr>
      <w:tr w14:paraId="01DB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4F548FC9">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549DA47A">
            <w:pPr>
              <w:pageBreakBefore w:val="0"/>
              <w:kinsoku/>
              <w:overflowPunct/>
              <w:topLinePunct w:val="0"/>
              <w:autoSpaceDE/>
              <w:autoSpaceDN/>
              <w:bidi w:val="0"/>
              <w:adjustRightInd/>
              <w:snapToGrid w:val="0"/>
              <w:spacing w:line="312" w:lineRule="auto"/>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2E40388D">
            <w:pPr>
              <w:pageBreakBefore w:val="0"/>
              <w:kinsoku/>
              <w:overflowPunct/>
              <w:topLinePunct w:val="0"/>
              <w:autoSpaceDE/>
              <w:autoSpaceDN/>
              <w:bidi w:val="0"/>
              <w:adjustRightInd/>
              <w:snapToGrid w:val="0"/>
              <w:spacing w:line="312" w:lineRule="auto"/>
              <w:rPr>
                <w:rFonts w:hint="eastAsia" w:ascii="黑体" w:hAnsi="黑体" w:eastAsia="黑体" w:cs="黑体"/>
                <w:color w:val="auto"/>
                <w:kern w:val="0"/>
                <w:sz w:val="22"/>
                <w:szCs w:val="22"/>
                <w:highlight w:val="none"/>
              </w:rPr>
            </w:pPr>
            <w:r>
              <w:rPr>
                <w:rFonts w:hint="eastAsia" w:ascii="黑体" w:hAnsi="黑体" w:eastAsia="黑体" w:cs="黑体"/>
                <w:color w:val="auto"/>
                <w:sz w:val="22"/>
                <w:szCs w:val="22"/>
                <w:highlight w:val="none"/>
              </w:rPr>
              <w:t>响应文件签署</w:t>
            </w:r>
          </w:p>
        </w:tc>
        <w:tc>
          <w:tcPr>
            <w:tcW w:w="5446" w:type="dxa"/>
            <w:tcBorders>
              <w:top w:val="single" w:color="auto" w:sz="4" w:space="0"/>
              <w:left w:val="single" w:color="auto" w:sz="4" w:space="0"/>
              <w:bottom w:val="single" w:color="auto" w:sz="4" w:space="0"/>
              <w:right w:val="single" w:color="auto" w:sz="4" w:space="0"/>
            </w:tcBorders>
            <w:vAlign w:val="center"/>
          </w:tcPr>
          <w:p w14:paraId="1F3109BE">
            <w:pPr>
              <w:pageBreakBefore w:val="0"/>
              <w:kinsoku/>
              <w:overflowPunct/>
              <w:topLinePunct w:val="0"/>
              <w:autoSpaceDE/>
              <w:autoSpaceDN/>
              <w:bidi w:val="0"/>
              <w:adjustRightInd/>
              <w:snapToGrid w:val="0"/>
              <w:spacing w:line="312" w:lineRule="auto"/>
              <w:rPr>
                <w:rFonts w:hint="eastAsia" w:ascii="黑体" w:hAnsi="黑体" w:eastAsia="黑体" w:cs="黑体"/>
                <w:color w:val="auto"/>
                <w:kern w:val="0"/>
                <w:sz w:val="22"/>
                <w:szCs w:val="22"/>
                <w:highlight w:val="none"/>
              </w:rPr>
            </w:pPr>
            <w:r>
              <w:rPr>
                <w:rFonts w:hint="eastAsia" w:ascii="黑体" w:hAnsi="黑体" w:eastAsia="黑体" w:cs="黑体"/>
                <w:color w:val="auto"/>
                <w:sz w:val="22"/>
                <w:szCs w:val="22"/>
                <w:highlight w:val="none"/>
              </w:rPr>
              <w:t>响应文件上法定代表人或其授权代表人的签字齐全。</w:t>
            </w:r>
          </w:p>
        </w:tc>
      </w:tr>
      <w:tr w14:paraId="4F09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4964A415">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黑体" w:hAnsi="黑体" w:eastAsia="黑体" w:cs="黑体"/>
                <w:color w:val="auto"/>
                <w:kern w:val="0"/>
                <w:sz w:val="22"/>
                <w:szCs w:val="22"/>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D9365C3">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黑体" w:hAnsi="黑体" w:eastAsia="黑体" w:cs="黑体"/>
                <w:color w:val="auto"/>
                <w:kern w:val="0"/>
                <w:sz w:val="22"/>
                <w:szCs w:val="22"/>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57A21469">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法定代表人身份证明及授权委托书</w:t>
            </w:r>
          </w:p>
        </w:tc>
        <w:tc>
          <w:tcPr>
            <w:tcW w:w="5446" w:type="dxa"/>
            <w:tcBorders>
              <w:top w:val="single" w:color="auto" w:sz="4" w:space="0"/>
              <w:left w:val="single" w:color="auto" w:sz="4" w:space="0"/>
              <w:bottom w:val="single" w:color="auto" w:sz="4" w:space="0"/>
              <w:right w:val="single" w:color="auto" w:sz="4" w:space="0"/>
            </w:tcBorders>
            <w:vAlign w:val="center"/>
          </w:tcPr>
          <w:p w14:paraId="76CB8203">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法定代表人身份证明及授权委托书有效，符合采购文件规定的格式，签字或盖章齐全。</w:t>
            </w:r>
          </w:p>
        </w:tc>
      </w:tr>
      <w:tr w14:paraId="32F6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759D82E2">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黑体" w:hAnsi="黑体" w:eastAsia="黑体" w:cs="黑体"/>
                <w:color w:val="auto"/>
                <w:kern w:val="0"/>
                <w:sz w:val="22"/>
                <w:szCs w:val="22"/>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4B9D4E96">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黑体" w:hAnsi="黑体" w:eastAsia="黑体" w:cs="黑体"/>
                <w:color w:val="auto"/>
                <w:kern w:val="0"/>
                <w:sz w:val="22"/>
                <w:szCs w:val="22"/>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7CA452C0">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2"/>
                <w:szCs w:val="22"/>
                <w:highlight w:val="none"/>
                <w:lang w:val="zh-CN"/>
              </w:rPr>
            </w:pPr>
            <w:r>
              <w:rPr>
                <w:rFonts w:hint="eastAsia" w:ascii="黑体" w:hAnsi="黑体" w:eastAsia="黑体" w:cs="黑体"/>
                <w:color w:val="auto"/>
                <w:sz w:val="22"/>
                <w:szCs w:val="22"/>
                <w:highlight w:val="none"/>
              </w:rPr>
              <w:t>响应</w:t>
            </w:r>
            <w:r>
              <w:rPr>
                <w:rFonts w:hint="eastAsia" w:ascii="黑体" w:hAnsi="黑体" w:eastAsia="黑体" w:cs="黑体"/>
                <w:color w:val="auto"/>
                <w:sz w:val="22"/>
                <w:szCs w:val="22"/>
                <w:highlight w:val="none"/>
                <w:lang w:val="zh-CN"/>
              </w:rPr>
              <w:t>方案</w:t>
            </w:r>
          </w:p>
        </w:tc>
        <w:tc>
          <w:tcPr>
            <w:tcW w:w="5446" w:type="dxa"/>
            <w:tcBorders>
              <w:top w:val="single" w:color="auto" w:sz="4" w:space="0"/>
              <w:left w:val="single" w:color="auto" w:sz="4" w:space="0"/>
              <w:bottom w:val="single" w:color="auto" w:sz="4" w:space="0"/>
              <w:right w:val="single" w:color="auto" w:sz="4" w:space="0"/>
            </w:tcBorders>
            <w:vAlign w:val="center"/>
          </w:tcPr>
          <w:p w14:paraId="13F3A9D4">
            <w:pPr>
              <w:pageBreakBefore w:val="0"/>
              <w:kinsoku/>
              <w:overflowPunct/>
              <w:topLinePunct w:val="0"/>
              <w:autoSpaceDE/>
              <w:autoSpaceDN/>
              <w:bidi w:val="0"/>
              <w:adjustRightInd/>
              <w:snapToGrid w:val="0"/>
              <w:spacing w:line="312" w:lineRule="auto"/>
              <w:rPr>
                <w:rFonts w:hint="eastAsia" w:ascii="黑体" w:hAnsi="黑体" w:eastAsia="黑体" w:cs="黑体"/>
                <w:color w:val="auto"/>
                <w:kern w:val="0"/>
                <w:sz w:val="22"/>
                <w:szCs w:val="22"/>
                <w:highlight w:val="none"/>
              </w:rPr>
            </w:pPr>
            <w:r>
              <w:rPr>
                <w:rFonts w:hint="eastAsia" w:ascii="黑体" w:hAnsi="黑体" w:eastAsia="黑体" w:cs="黑体"/>
                <w:color w:val="auto"/>
                <w:sz w:val="22"/>
                <w:szCs w:val="22"/>
                <w:highlight w:val="none"/>
                <w:lang w:val="zh-CN"/>
              </w:rPr>
              <w:t>每个分包只能有一个</w:t>
            </w:r>
            <w:r>
              <w:rPr>
                <w:rFonts w:hint="eastAsia" w:ascii="黑体" w:hAnsi="黑体" w:eastAsia="黑体" w:cs="黑体"/>
                <w:color w:val="auto"/>
                <w:sz w:val="22"/>
                <w:szCs w:val="22"/>
                <w:highlight w:val="none"/>
              </w:rPr>
              <w:t>响应</w:t>
            </w:r>
            <w:r>
              <w:rPr>
                <w:rFonts w:hint="eastAsia" w:ascii="黑体" w:hAnsi="黑体" w:eastAsia="黑体" w:cs="黑体"/>
                <w:color w:val="auto"/>
                <w:sz w:val="22"/>
                <w:szCs w:val="22"/>
                <w:highlight w:val="none"/>
                <w:lang w:val="zh-CN"/>
              </w:rPr>
              <w:t>方案。</w:t>
            </w:r>
          </w:p>
        </w:tc>
      </w:tr>
      <w:tr w14:paraId="3D93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16BBC544">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黑体" w:hAnsi="黑体" w:eastAsia="黑体" w:cs="黑体"/>
                <w:color w:val="auto"/>
                <w:kern w:val="0"/>
                <w:sz w:val="22"/>
                <w:szCs w:val="22"/>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09CDE3C7">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黑体" w:hAnsi="黑体" w:eastAsia="黑体" w:cs="黑体"/>
                <w:color w:val="auto"/>
                <w:kern w:val="0"/>
                <w:sz w:val="22"/>
                <w:szCs w:val="22"/>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3E5CB539">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2"/>
                <w:szCs w:val="22"/>
                <w:highlight w:val="none"/>
                <w:lang w:val="zh-CN"/>
              </w:rPr>
            </w:pPr>
            <w:r>
              <w:rPr>
                <w:rFonts w:hint="eastAsia" w:ascii="黑体" w:hAnsi="黑体" w:eastAsia="黑体" w:cs="黑体"/>
                <w:color w:val="auto"/>
                <w:sz w:val="22"/>
                <w:szCs w:val="22"/>
                <w:highlight w:val="none"/>
              </w:rPr>
              <w:t>报价唯一</w:t>
            </w:r>
          </w:p>
        </w:tc>
        <w:tc>
          <w:tcPr>
            <w:tcW w:w="5446" w:type="dxa"/>
            <w:tcBorders>
              <w:top w:val="single" w:color="auto" w:sz="4" w:space="0"/>
              <w:left w:val="single" w:color="auto" w:sz="4" w:space="0"/>
              <w:bottom w:val="single" w:color="auto" w:sz="4" w:space="0"/>
              <w:right w:val="single" w:color="auto" w:sz="4" w:space="0"/>
            </w:tcBorders>
            <w:vAlign w:val="center"/>
          </w:tcPr>
          <w:p w14:paraId="79CD0C50">
            <w:pPr>
              <w:pageBreakBefore w:val="0"/>
              <w:kinsoku/>
              <w:overflowPunct/>
              <w:topLinePunct w:val="0"/>
              <w:autoSpaceDE/>
              <w:autoSpaceDN/>
              <w:bidi w:val="0"/>
              <w:adjustRightInd/>
              <w:snapToGrid w:val="0"/>
              <w:spacing w:line="312" w:lineRule="auto"/>
              <w:rPr>
                <w:rFonts w:hint="eastAsia" w:ascii="黑体" w:hAnsi="黑体" w:eastAsia="黑体" w:cs="黑体"/>
                <w:color w:val="auto"/>
                <w:kern w:val="0"/>
                <w:sz w:val="22"/>
                <w:szCs w:val="22"/>
                <w:highlight w:val="none"/>
              </w:rPr>
            </w:pPr>
            <w:r>
              <w:rPr>
                <w:rFonts w:hint="eastAsia" w:ascii="黑体" w:hAnsi="黑体" w:eastAsia="黑体" w:cs="黑体"/>
                <w:color w:val="auto"/>
                <w:sz w:val="22"/>
                <w:szCs w:val="22"/>
                <w:highlight w:val="none"/>
              </w:rPr>
              <w:t>只能有一个有效报价，不得提交选择性报价。</w:t>
            </w:r>
          </w:p>
        </w:tc>
      </w:tr>
      <w:tr w14:paraId="47F4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86" w:type="dxa"/>
            <w:tcBorders>
              <w:top w:val="single" w:color="auto" w:sz="4" w:space="0"/>
              <w:left w:val="single" w:color="auto" w:sz="4" w:space="0"/>
              <w:bottom w:val="single" w:color="auto" w:sz="4" w:space="0"/>
              <w:right w:val="single" w:color="auto" w:sz="4" w:space="0"/>
            </w:tcBorders>
            <w:vAlign w:val="center"/>
          </w:tcPr>
          <w:p w14:paraId="2A537CB8">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2</w:t>
            </w:r>
          </w:p>
        </w:tc>
        <w:tc>
          <w:tcPr>
            <w:tcW w:w="1455" w:type="dxa"/>
            <w:tcBorders>
              <w:top w:val="single" w:color="auto" w:sz="4" w:space="0"/>
              <w:left w:val="single" w:color="auto" w:sz="4" w:space="0"/>
              <w:bottom w:val="single" w:color="auto" w:sz="4" w:space="0"/>
              <w:right w:val="single" w:color="auto" w:sz="4" w:space="0"/>
            </w:tcBorders>
            <w:vAlign w:val="center"/>
          </w:tcPr>
          <w:p w14:paraId="090F778E">
            <w:pPr>
              <w:pageBreakBefore w:val="0"/>
              <w:kinsoku/>
              <w:overflowPunct/>
              <w:topLinePunct w:val="0"/>
              <w:autoSpaceDE/>
              <w:autoSpaceDN/>
              <w:bidi w:val="0"/>
              <w:adjustRightInd/>
              <w:snapToGrid w:val="0"/>
              <w:spacing w:line="312" w:lineRule="auto"/>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334DBDC9">
            <w:pPr>
              <w:pageBreakBefore w:val="0"/>
              <w:kinsoku/>
              <w:overflowPunct/>
              <w:topLinePunct w:val="0"/>
              <w:autoSpaceDE/>
              <w:autoSpaceDN/>
              <w:bidi w:val="0"/>
              <w:adjustRightInd/>
              <w:snapToGrid w:val="0"/>
              <w:spacing w:line="312" w:lineRule="auto"/>
              <w:rPr>
                <w:rFonts w:hint="eastAsia" w:ascii="黑体" w:hAnsi="黑体" w:eastAsia="黑体" w:cs="黑体"/>
                <w:color w:val="auto"/>
                <w:kern w:val="0"/>
                <w:sz w:val="22"/>
                <w:szCs w:val="22"/>
                <w:highlight w:val="none"/>
              </w:rPr>
            </w:pPr>
            <w:r>
              <w:rPr>
                <w:rFonts w:hint="eastAsia" w:ascii="黑体" w:hAnsi="黑体" w:eastAsia="黑体" w:cs="黑体"/>
                <w:color w:val="auto"/>
                <w:sz w:val="22"/>
                <w:szCs w:val="22"/>
                <w:highlight w:val="none"/>
              </w:rPr>
              <w:t>响应</w:t>
            </w:r>
            <w:r>
              <w:rPr>
                <w:rFonts w:hint="eastAsia" w:ascii="黑体" w:hAnsi="黑体" w:eastAsia="黑体" w:cs="黑体"/>
                <w:color w:val="auto"/>
                <w:sz w:val="22"/>
                <w:szCs w:val="22"/>
                <w:highlight w:val="none"/>
                <w:lang w:val="zh-CN"/>
              </w:rPr>
              <w:t>文件份数</w:t>
            </w:r>
          </w:p>
        </w:tc>
        <w:tc>
          <w:tcPr>
            <w:tcW w:w="5446" w:type="dxa"/>
            <w:tcBorders>
              <w:top w:val="single" w:color="auto" w:sz="4" w:space="0"/>
              <w:left w:val="single" w:color="auto" w:sz="4" w:space="0"/>
              <w:bottom w:val="single" w:color="auto" w:sz="4" w:space="0"/>
              <w:right w:val="single" w:color="auto" w:sz="4" w:space="0"/>
            </w:tcBorders>
            <w:vAlign w:val="center"/>
          </w:tcPr>
          <w:p w14:paraId="25804375">
            <w:pPr>
              <w:pageBreakBefore w:val="0"/>
              <w:kinsoku/>
              <w:overflowPunct/>
              <w:topLinePunct w:val="0"/>
              <w:autoSpaceDE/>
              <w:autoSpaceDN/>
              <w:bidi w:val="0"/>
              <w:adjustRightInd/>
              <w:snapToGrid w:val="0"/>
              <w:spacing w:line="312" w:lineRule="auto"/>
              <w:rPr>
                <w:rFonts w:hint="eastAsia" w:ascii="黑体" w:hAnsi="黑体" w:eastAsia="黑体" w:cs="黑体"/>
                <w:color w:val="auto"/>
                <w:kern w:val="0"/>
                <w:sz w:val="22"/>
                <w:szCs w:val="22"/>
                <w:highlight w:val="none"/>
              </w:rPr>
            </w:pPr>
            <w:r>
              <w:rPr>
                <w:rFonts w:hint="eastAsia" w:ascii="黑体" w:hAnsi="黑体" w:eastAsia="黑体" w:cs="黑体"/>
                <w:color w:val="auto"/>
                <w:sz w:val="22"/>
                <w:szCs w:val="22"/>
                <w:highlight w:val="none"/>
              </w:rPr>
              <w:t>响应</w:t>
            </w:r>
            <w:r>
              <w:rPr>
                <w:rFonts w:hint="eastAsia" w:ascii="黑体" w:hAnsi="黑体" w:eastAsia="黑体" w:cs="黑体"/>
                <w:color w:val="auto"/>
                <w:sz w:val="22"/>
                <w:szCs w:val="22"/>
                <w:highlight w:val="none"/>
                <w:lang w:val="zh-CN"/>
              </w:rPr>
              <w:t>文件数量符合</w:t>
            </w:r>
            <w:r>
              <w:rPr>
                <w:rFonts w:hint="eastAsia" w:ascii="黑体" w:hAnsi="黑体" w:eastAsia="黑体" w:cs="黑体"/>
                <w:color w:val="auto"/>
                <w:sz w:val="22"/>
                <w:szCs w:val="22"/>
                <w:highlight w:val="none"/>
              </w:rPr>
              <w:t>采购文件</w:t>
            </w:r>
            <w:r>
              <w:rPr>
                <w:rFonts w:hint="eastAsia" w:ascii="黑体" w:hAnsi="黑体" w:eastAsia="黑体" w:cs="黑体"/>
                <w:color w:val="auto"/>
                <w:sz w:val="22"/>
                <w:szCs w:val="22"/>
                <w:highlight w:val="none"/>
                <w:lang w:val="zh-CN"/>
              </w:rPr>
              <w:t>要求。</w:t>
            </w:r>
          </w:p>
        </w:tc>
      </w:tr>
      <w:tr w14:paraId="4B90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47583AD2">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2B6FABE5">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2"/>
                <w:szCs w:val="22"/>
                <w:highlight w:val="none"/>
                <w:lang w:val="zh-CN"/>
              </w:rPr>
            </w:pPr>
            <w:r>
              <w:rPr>
                <w:rFonts w:hint="eastAsia" w:ascii="黑体" w:hAnsi="黑体" w:eastAsia="黑体" w:cs="黑体"/>
                <w:color w:val="auto"/>
                <w:kern w:val="0"/>
                <w:sz w:val="22"/>
                <w:szCs w:val="22"/>
                <w:highlight w:val="none"/>
              </w:rPr>
              <w:t>采购文件的响应程度审查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078B0408">
            <w:pPr>
              <w:pageBreakBefore w:val="0"/>
              <w:kinsoku/>
              <w:overflowPunct/>
              <w:topLinePunct w:val="0"/>
              <w:autoSpaceDE/>
              <w:autoSpaceDN/>
              <w:bidi w:val="0"/>
              <w:adjustRightInd/>
              <w:snapToGrid w:val="0"/>
              <w:spacing w:line="312" w:lineRule="auto"/>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响应文件内容</w:t>
            </w:r>
          </w:p>
        </w:tc>
        <w:tc>
          <w:tcPr>
            <w:tcW w:w="5446" w:type="dxa"/>
            <w:tcBorders>
              <w:top w:val="single" w:color="auto" w:sz="4" w:space="0"/>
              <w:left w:val="single" w:color="auto" w:sz="4" w:space="0"/>
              <w:bottom w:val="single" w:color="auto" w:sz="4" w:space="0"/>
              <w:right w:val="single" w:color="auto" w:sz="4" w:space="0"/>
            </w:tcBorders>
            <w:vAlign w:val="center"/>
          </w:tcPr>
          <w:p w14:paraId="196AA170">
            <w:pPr>
              <w:pStyle w:val="13"/>
              <w:pageBreakBefore w:val="0"/>
              <w:kinsoku/>
              <w:overflowPunct/>
              <w:topLinePunct w:val="0"/>
              <w:autoSpaceDE/>
              <w:autoSpaceDN/>
              <w:bidi w:val="0"/>
              <w:adjustRightInd/>
              <w:snapToGrid w:val="0"/>
              <w:spacing w:line="312" w:lineRule="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对采购文件第二篇、第三篇规定的内容作出响应。</w:t>
            </w:r>
          </w:p>
        </w:tc>
      </w:tr>
      <w:tr w14:paraId="3231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23D51A70">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黑体" w:hAnsi="黑体" w:eastAsia="黑体" w:cs="黑体"/>
                <w:color w:val="auto"/>
                <w:kern w:val="0"/>
                <w:sz w:val="22"/>
                <w:szCs w:val="22"/>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4F9229C8">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黑体" w:hAnsi="黑体" w:eastAsia="黑体" w:cs="黑体"/>
                <w:color w:val="auto"/>
                <w:sz w:val="22"/>
                <w:szCs w:val="22"/>
                <w:highlight w:val="none"/>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14:paraId="7078CA52">
            <w:pPr>
              <w:pageBreakBefore w:val="0"/>
              <w:kinsoku/>
              <w:overflowPunct/>
              <w:topLinePunct w:val="0"/>
              <w:autoSpaceDE/>
              <w:autoSpaceDN/>
              <w:bidi w:val="0"/>
              <w:adjustRightInd/>
              <w:snapToGrid w:val="0"/>
              <w:spacing w:line="312" w:lineRule="auto"/>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投标有效期</w:t>
            </w:r>
          </w:p>
        </w:tc>
        <w:tc>
          <w:tcPr>
            <w:tcW w:w="5446" w:type="dxa"/>
            <w:tcBorders>
              <w:top w:val="single" w:color="auto" w:sz="4" w:space="0"/>
              <w:left w:val="single" w:color="auto" w:sz="4" w:space="0"/>
              <w:bottom w:val="single" w:color="auto" w:sz="4" w:space="0"/>
              <w:right w:val="single" w:color="auto" w:sz="4" w:space="0"/>
            </w:tcBorders>
            <w:vAlign w:val="center"/>
          </w:tcPr>
          <w:p w14:paraId="46FB4D4A">
            <w:pPr>
              <w:pageBreakBefore w:val="0"/>
              <w:kinsoku/>
              <w:overflowPunct/>
              <w:topLinePunct w:val="0"/>
              <w:autoSpaceDE/>
              <w:autoSpaceDN/>
              <w:bidi w:val="0"/>
              <w:adjustRightInd/>
              <w:snapToGrid w:val="0"/>
              <w:spacing w:line="312" w:lineRule="auto"/>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90日历天</w:t>
            </w:r>
            <w:r>
              <w:rPr>
                <w:rFonts w:hint="eastAsia" w:ascii="黑体" w:hAnsi="黑体" w:eastAsia="黑体" w:cs="黑体"/>
                <w:color w:val="auto"/>
                <w:sz w:val="22"/>
                <w:szCs w:val="22"/>
                <w:highlight w:val="none"/>
                <w:lang w:val="zh-CN"/>
              </w:rPr>
              <w:t>。</w:t>
            </w:r>
          </w:p>
        </w:tc>
      </w:tr>
    </w:tbl>
    <w:p w14:paraId="78516335">
      <w:pPr>
        <w:pageBreakBefore w:val="0"/>
        <w:kinsoku/>
        <w:overflowPunct/>
        <w:topLinePunct w:val="0"/>
        <w:autoSpaceDE/>
        <w:autoSpaceDN/>
        <w:bidi w:val="0"/>
        <w:adjustRightInd/>
        <w:snapToGrid w:val="0"/>
        <w:spacing w:line="312"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1、在投标过程中的任何一方不得向他人透露与本项目有关的技术资料、价格或其他信息。</w:t>
      </w:r>
    </w:p>
    <w:p w14:paraId="154D59F9">
      <w:pPr>
        <w:pageBreakBefore w:val="0"/>
        <w:kinsoku/>
        <w:overflowPunct/>
        <w:topLinePunct w:val="0"/>
        <w:autoSpaceDE/>
        <w:autoSpaceDN/>
        <w:bidi w:val="0"/>
        <w:adjustRightInd/>
        <w:snapToGrid w:val="0"/>
        <w:spacing w:line="312"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w:t>
      </w:r>
      <w:r>
        <w:rPr>
          <w:rFonts w:hint="eastAsia" w:ascii="黑体" w:hAnsi="黑体" w:eastAsia="黑体" w:cs="黑体"/>
          <w:color w:val="auto"/>
          <w:sz w:val="22"/>
          <w:szCs w:val="22"/>
          <w:highlight w:val="none"/>
          <w:lang w:eastAsia="zh-CN"/>
        </w:rPr>
        <w:t>评审委员会</w:t>
      </w:r>
      <w:r>
        <w:rPr>
          <w:rFonts w:hint="eastAsia" w:ascii="黑体" w:hAnsi="黑体" w:eastAsia="黑体" w:cs="黑体"/>
          <w:color w:val="auto"/>
          <w:sz w:val="22"/>
          <w:szCs w:val="22"/>
          <w:highlight w:val="none"/>
        </w:rPr>
        <w:t>采用</w:t>
      </w:r>
      <w:r>
        <w:rPr>
          <w:rFonts w:hint="eastAsia" w:ascii="黑体" w:hAnsi="黑体" w:eastAsia="黑体" w:cs="黑体"/>
          <w:b/>
          <w:bCs/>
          <w:color w:val="auto"/>
          <w:sz w:val="22"/>
          <w:szCs w:val="22"/>
          <w:highlight w:val="none"/>
        </w:rPr>
        <w:t>综合评分法</w:t>
      </w:r>
      <w:r>
        <w:rPr>
          <w:rFonts w:hint="eastAsia" w:ascii="黑体" w:hAnsi="黑体" w:eastAsia="黑体" w:cs="黑体"/>
          <w:color w:val="auto"/>
          <w:sz w:val="22"/>
          <w:szCs w:val="22"/>
          <w:highlight w:val="none"/>
        </w:rPr>
        <w:t>对供应商的响应文件和报价进行综合评分。综合评分法，是指响应文件满足采购文件全部实质性要求且按照评审因素的量化指标评审得分最高的供应商为成交候选供应商的评审方法。供应商总得分为价格、服务、商务等评定因素分别按照相应权重值计算分项得分后相加，满分为100分。</w:t>
      </w:r>
    </w:p>
    <w:p w14:paraId="34708CBE">
      <w:pPr>
        <w:pageBreakBefore w:val="0"/>
        <w:kinsoku/>
        <w:overflowPunct/>
        <w:topLinePunct w:val="0"/>
        <w:autoSpaceDE/>
        <w:autoSpaceDN/>
        <w:bidi w:val="0"/>
        <w:adjustRightInd/>
        <w:snapToGrid w:val="0"/>
        <w:spacing w:line="312"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3、</w:t>
      </w:r>
      <w:r>
        <w:rPr>
          <w:rFonts w:hint="eastAsia" w:ascii="黑体" w:hAnsi="黑体" w:eastAsia="黑体" w:cs="黑体"/>
          <w:color w:val="auto"/>
          <w:sz w:val="22"/>
          <w:szCs w:val="22"/>
          <w:highlight w:val="none"/>
          <w:lang w:eastAsia="zh-CN"/>
        </w:rPr>
        <w:t>评审委员会</w:t>
      </w:r>
      <w:r>
        <w:rPr>
          <w:rFonts w:hint="eastAsia" w:ascii="黑体" w:hAnsi="黑体" w:eastAsia="黑体" w:cs="黑体"/>
          <w:color w:val="auto"/>
          <w:sz w:val="22"/>
          <w:szCs w:val="22"/>
          <w:highlight w:val="none"/>
        </w:rPr>
        <w:t>各成员独立对每个有效响应（通过资格性检查、符合性检查的供应商）的文件进行评价、打分，然后汇总每个供应商每项评分因素的得分，并根据综合评分情况按照评审得分由高到低顺序推荐</w:t>
      </w:r>
      <w:r>
        <w:rPr>
          <w:rFonts w:hint="eastAsia" w:ascii="黑体" w:hAnsi="黑体" w:eastAsia="黑体" w:cs="黑体"/>
          <w:color w:val="auto"/>
          <w:kern w:val="0"/>
          <w:sz w:val="22"/>
          <w:szCs w:val="22"/>
          <w:highlight w:val="none"/>
        </w:rPr>
        <w:t>综合得分排名前三的供应商为本项目成交候选人</w:t>
      </w:r>
      <w:r>
        <w:rPr>
          <w:rFonts w:hint="eastAsia" w:ascii="黑体" w:hAnsi="黑体" w:eastAsia="黑体" w:cs="黑体"/>
          <w:color w:val="auto"/>
          <w:sz w:val="22"/>
          <w:szCs w:val="22"/>
          <w:highlight w:val="none"/>
        </w:rPr>
        <w:t>，并编写评审报告。若供应商的评审得分相同的，按照投标报价由低到高的顺序排列推荐。评审得分且投标报价相同的，按照服务指标优劣顺序排列推荐。以上都相同的，按商务条款的优劣顺序排列推荐。服务部分得分为0分的供应商，将失去成为成交候选人的资格。</w:t>
      </w:r>
    </w:p>
    <w:p w14:paraId="1AA12B5C">
      <w:pPr>
        <w:pStyle w:val="4"/>
        <w:pageBreakBefore w:val="0"/>
        <w:kinsoku/>
        <w:overflowPunct/>
        <w:topLinePunct w:val="0"/>
        <w:autoSpaceDE/>
        <w:autoSpaceDN/>
        <w:bidi w:val="0"/>
        <w:adjustRightInd/>
        <w:snapToGrid w:val="0"/>
        <w:spacing w:before="0" w:after="0" w:line="312" w:lineRule="auto"/>
        <w:rPr>
          <w:rFonts w:hint="eastAsia" w:ascii="黑体" w:hAnsi="黑体" w:eastAsia="黑体" w:cs="黑体"/>
          <w:color w:val="auto"/>
          <w:sz w:val="22"/>
          <w:szCs w:val="22"/>
          <w:highlight w:val="none"/>
        </w:rPr>
      </w:pPr>
      <w:bookmarkStart w:id="53" w:name="_Toc11790"/>
      <w:r>
        <w:rPr>
          <w:rFonts w:hint="eastAsia" w:ascii="黑体" w:hAnsi="黑体" w:eastAsia="黑体" w:cs="黑体"/>
          <w:color w:val="auto"/>
          <w:sz w:val="22"/>
          <w:szCs w:val="22"/>
          <w:highlight w:val="none"/>
        </w:rPr>
        <w:t>二、评审标准</w:t>
      </w:r>
      <w:bookmarkEnd w:id="53"/>
    </w:p>
    <w:tbl>
      <w:tblPr>
        <w:tblStyle w:val="24"/>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290"/>
        <w:gridCol w:w="1113"/>
        <w:gridCol w:w="4404"/>
        <w:gridCol w:w="1830"/>
      </w:tblGrid>
      <w:tr w14:paraId="12A8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8" w:type="dxa"/>
            <w:noWrap w:val="0"/>
            <w:vAlign w:val="center"/>
          </w:tcPr>
          <w:p w14:paraId="0A12FFA4">
            <w:pPr>
              <w:pageBreakBefore w:val="0"/>
              <w:kinsoku/>
              <w:overflowPunct/>
              <w:topLinePunct w:val="0"/>
              <w:autoSpaceDE/>
              <w:autoSpaceDN/>
              <w:bidi w:val="0"/>
              <w:adjustRightInd/>
              <w:spacing w:line="240" w:lineRule="auto"/>
              <w:ind w:firstLine="28"/>
              <w:jc w:val="center"/>
              <w:rPr>
                <w:rFonts w:hint="eastAsia" w:ascii="黑体" w:hAnsi="黑体" w:eastAsia="黑体" w:cs="黑体"/>
                <w:color w:val="auto"/>
                <w:sz w:val="24"/>
                <w:szCs w:val="24"/>
                <w:highlight w:val="none"/>
              </w:rPr>
            </w:pPr>
            <w:bookmarkStart w:id="54" w:name="_Toc102227320"/>
            <w:bookmarkStart w:id="55" w:name="_Toc426965635"/>
            <w:bookmarkStart w:id="56" w:name="_Toc487204784"/>
            <w:bookmarkStart w:id="57" w:name="_Toc342913394"/>
            <w:r>
              <w:rPr>
                <w:rFonts w:hint="eastAsia" w:ascii="黑体" w:hAnsi="黑体" w:eastAsia="黑体" w:cs="黑体"/>
                <w:color w:val="auto"/>
                <w:sz w:val="24"/>
                <w:szCs w:val="24"/>
                <w:highlight w:val="none"/>
              </w:rPr>
              <w:t>序号</w:t>
            </w:r>
          </w:p>
        </w:tc>
        <w:tc>
          <w:tcPr>
            <w:tcW w:w="1290" w:type="dxa"/>
            <w:noWrap w:val="0"/>
            <w:vAlign w:val="center"/>
          </w:tcPr>
          <w:p w14:paraId="0569E760">
            <w:pPr>
              <w:pageBreakBefore w:val="0"/>
              <w:kinsoku/>
              <w:overflowPunct/>
              <w:topLinePunct w:val="0"/>
              <w:autoSpaceDE/>
              <w:autoSpaceDN/>
              <w:bidi w:val="0"/>
              <w:adjustRightInd/>
              <w:spacing w:line="240" w:lineRule="auto"/>
              <w:ind w:firstLine="28"/>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评分因素</w:t>
            </w:r>
          </w:p>
          <w:p w14:paraId="4B5119F9">
            <w:pPr>
              <w:pageBreakBefore w:val="0"/>
              <w:kinsoku/>
              <w:overflowPunct/>
              <w:topLinePunct w:val="0"/>
              <w:autoSpaceDE/>
              <w:autoSpaceDN/>
              <w:bidi w:val="0"/>
              <w:adjustRightInd/>
              <w:spacing w:line="240" w:lineRule="auto"/>
              <w:ind w:firstLine="28"/>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及权重</w:t>
            </w:r>
          </w:p>
        </w:tc>
        <w:tc>
          <w:tcPr>
            <w:tcW w:w="1113" w:type="dxa"/>
            <w:noWrap w:val="0"/>
            <w:vAlign w:val="center"/>
          </w:tcPr>
          <w:p w14:paraId="7C0B5764">
            <w:pPr>
              <w:pageBreakBefore w:val="0"/>
              <w:kinsoku/>
              <w:overflowPunct/>
              <w:topLinePunct w:val="0"/>
              <w:autoSpaceDE/>
              <w:autoSpaceDN/>
              <w:bidi w:val="0"/>
              <w:adjustRightInd/>
              <w:spacing w:line="240" w:lineRule="auto"/>
              <w:ind w:firstLine="28"/>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分值</w:t>
            </w:r>
          </w:p>
        </w:tc>
        <w:tc>
          <w:tcPr>
            <w:tcW w:w="4404" w:type="dxa"/>
            <w:noWrap w:val="0"/>
            <w:vAlign w:val="center"/>
          </w:tcPr>
          <w:p w14:paraId="2277699A">
            <w:pPr>
              <w:pageBreakBefore w:val="0"/>
              <w:kinsoku/>
              <w:overflowPunct/>
              <w:topLinePunct w:val="0"/>
              <w:autoSpaceDE/>
              <w:autoSpaceDN/>
              <w:bidi w:val="0"/>
              <w:adjustRightInd/>
              <w:spacing w:line="240" w:lineRule="auto"/>
              <w:ind w:firstLine="28"/>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评分标准</w:t>
            </w:r>
          </w:p>
        </w:tc>
        <w:tc>
          <w:tcPr>
            <w:tcW w:w="1830" w:type="dxa"/>
            <w:noWrap w:val="0"/>
            <w:vAlign w:val="center"/>
          </w:tcPr>
          <w:p w14:paraId="3AF04D2D">
            <w:pPr>
              <w:pStyle w:val="56"/>
              <w:pageBreakBefore w:val="0"/>
              <w:kinsoku/>
              <w:overflowPunct/>
              <w:topLinePunct w:val="0"/>
              <w:autoSpaceDE/>
              <w:autoSpaceDN/>
              <w:bidi w:val="0"/>
              <w:adjustRightInd/>
              <w:spacing w:before="0" w:after="0" w:line="240" w:lineRule="auto"/>
              <w:rPr>
                <w:rFonts w:hint="eastAsia" w:ascii="黑体" w:hAnsi="黑体" w:eastAsia="黑体" w:cs="黑体"/>
                <w:b w:val="0"/>
                <w:color w:val="auto"/>
                <w:szCs w:val="24"/>
                <w:highlight w:val="none"/>
              </w:rPr>
            </w:pPr>
            <w:r>
              <w:rPr>
                <w:rFonts w:hint="eastAsia" w:ascii="黑体" w:hAnsi="黑体" w:eastAsia="黑体" w:cs="黑体"/>
                <w:b w:val="0"/>
                <w:color w:val="auto"/>
                <w:szCs w:val="24"/>
                <w:highlight w:val="none"/>
              </w:rPr>
              <w:t>说明</w:t>
            </w:r>
          </w:p>
        </w:tc>
      </w:tr>
      <w:tr w14:paraId="1B8E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08" w:type="dxa"/>
            <w:noWrap w:val="0"/>
            <w:vAlign w:val="center"/>
          </w:tcPr>
          <w:p w14:paraId="02CCA315">
            <w:pPr>
              <w:pageBreakBefore w:val="0"/>
              <w:kinsoku/>
              <w:overflowPunct/>
              <w:topLinePunct w:val="0"/>
              <w:autoSpaceDE/>
              <w:autoSpaceDN/>
              <w:bidi w:val="0"/>
              <w:adjustRightInd/>
              <w:spacing w:line="240" w:lineRule="auto"/>
              <w:ind w:firstLine="28"/>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1290" w:type="dxa"/>
            <w:noWrap w:val="0"/>
            <w:vAlign w:val="center"/>
          </w:tcPr>
          <w:p w14:paraId="60DAAE5A">
            <w:pPr>
              <w:pageBreakBefore w:val="0"/>
              <w:kinsoku/>
              <w:overflowPunct/>
              <w:topLinePunct w:val="0"/>
              <w:autoSpaceDE/>
              <w:autoSpaceDN/>
              <w:bidi w:val="0"/>
              <w:adjustRightInd/>
              <w:spacing w:line="240" w:lineRule="auto"/>
              <w:ind w:firstLine="28"/>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竞采报价</w:t>
            </w:r>
          </w:p>
          <w:p w14:paraId="510DDA9D">
            <w:pPr>
              <w:pageBreakBefore w:val="0"/>
              <w:kinsoku/>
              <w:overflowPunct/>
              <w:topLinePunct w:val="0"/>
              <w:autoSpaceDE/>
              <w:autoSpaceDN/>
              <w:bidi w:val="0"/>
              <w:adjustRightInd/>
              <w:spacing w:line="240" w:lineRule="auto"/>
              <w:ind w:firstLine="28"/>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val="en-US" w:eastAsia="zh-CN"/>
              </w:rPr>
              <w:t>3</w:t>
            </w:r>
            <w:r>
              <w:rPr>
                <w:rFonts w:hint="eastAsia" w:ascii="黑体" w:hAnsi="黑体" w:eastAsia="黑体" w:cs="黑体"/>
                <w:color w:val="auto"/>
                <w:sz w:val="22"/>
                <w:szCs w:val="22"/>
                <w:highlight w:val="none"/>
              </w:rPr>
              <w:t>0%）</w:t>
            </w:r>
          </w:p>
        </w:tc>
        <w:tc>
          <w:tcPr>
            <w:tcW w:w="1113" w:type="dxa"/>
            <w:noWrap w:val="0"/>
            <w:vAlign w:val="center"/>
          </w:tcPr>
          <w:p w14:paraId="07C5D9D5">
            <w:pPr>
              <w:pageBreakBefore w:val="0"/>
              <w:kinsoku/>
              <w:overflowPunct/>
              <w:topLinePunct w:val="0"/>
              <w:autoSpaceDE/>
              <w:autoSpaceDN/>
              <w:bidi w:val="0"/>
              <w:adjustRightInd/>
              <w:spacing w:line="240" w:lineRule="auto"/>
              <w:ind w:firstLine="28"/>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rPr>
              <w:t>3</w:t>
            </w:r>
            <w:r>
              <w:rPr>
                <w:rFonts w:hint="eastAsia" w:ascii="黑体" w:hAnsi="黑体" w:eastAsia="黑体" w:cs="黑体"/>
                <w:color w:val="auto"/>
                <w:sz w:val="22"/>
                <w:szCs w:val="22"/>
                <w:highlight w:val="none"/>
              </w:rPr>
              <w:t>0分</w:t>
            </w:r>
          </w:p>
        </w:tc>
        <w:tc>
          <w:tcPr>
            <w:tcW w:w="4404" w:type="dxa"/>
            <w:noWrap w:val="0"/>
            <w:vAlign w:val="center"/>
          </w:tcPr>
          <w:p w14:paraId="7A7186FB">
            <w:pPr>
              <w:pageBreakBefore w:val="0"/>
              <w:kinsoku/>
              <w:overflowPunct/>
              <w:topLinePunct w:val="0"/>
              <w:autoSpaceDE/>
              <w:autoSpaceDN/>
              <w:bidi w:val="0"/>
              <w:adjustRightInd/>
              <w:spacing w:line="240" w:lineRule="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有效的竞采报价中的最低价为评标基准价，按照下列公式计算每个竞标人的价格得分。</w:t>
            </w:r>
          </w:p>
          <w:p w14:paraId="0FBC52C7">
            <w:pPr>
              <w:pageBreakBefore w:val="0"/>
              <w:kinsoku/>
              <w:overflowPunct/>
              <w:topLinePunct w:val="0"/>
              <w:autoSpaceDE/>
              <w:autoSpaceDN/>
              <w:bidi w:val="0"/>
              <w:adjustRightInd/>
              <w:spacing w:line="240" w:lineRule="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 xml:space="preserve"> 竞采报价得分＝（评标基准价/ 竞采报价）×价格权重×100。</w:t>
            </w:r>
          </w:p>
        </w:tc>
        <w:tc>
          <w:tcPr>
            <w:tcW w:w="1830" w:type="dxa"/>
            <w:noWrap w:val="0"/>
            <w:vAlign w:val="center"/>
          </w:tcPr>
          <w:p w14:paraId="24BBB54C">
            <w:pPr>
              <w:pageBreakBefore w:val="0"/>
              <w:kinsoku/>
              <w:overflowPunct/>
              <w:topLinePunct w:val="0"/>
              <w:autoSpaceDE/>
              <w:autoSpaceDN/>
              <w:bidi w:val="0"/>
              <w:adjustRightInd/>
              <w:spacing w:line="240" w:lineRule="auto"/>
              <w:ind w:left="-38"/>
              <w:rPr>
                <w:rFonts w:hint="eastAsia" w:ascii="黑体" w:hAnsi="黑体" w:eastAsia="黑体" w:cs="黑体"/>
                <w:color w:val="auto"/>
                <w:sz w:val="24"/>
                <w:szCs w:val="24"/>
                <w:highlight w:val="none"/>
              </w:rPr>
            </w:pPr>
          </w:p>
        </w:tc>
      </w:tr>
      <w:tr w14:paraId="0C3B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08" w:type="dxa"/>
            <w:vMerge w:val="restart"/>
            <w:noWrap w:val="0"/>
            <w:vAlign w:val="center"/>
          </w:tcPr>
          <w:p w14:paraId="0A851305">
            <w:pPr>
              <w:pageBreakBefore w:val="0"/>
              <w:kinsoku/>
              <w:overflowPunct/>
              <w:topLinePunct w:val="0"/>
              <w:autoSpaceDE/>
              <w:autoSpaceDN/>
              <w:bidi w:val="0"/>
              <w:adjustRightInd/>
              <w:spacing w:line="240" w:lineRule="auto"/>
              <w:ind w:firstLine="28"/>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1290" w:type="dxa"/>
            <w:vMerge w:val="restart"/>
            <w:noWrap w:val="0"/>
            <w:vAlign w:val="center"/>
          </w:tcPr>
          <w:p w14:paraId="47626C8F">
            <w:pPr>
              <w:pageBreakBefore w:val="0"/>
              <w:kinsoku/>
              <w:overflowPunct/>
              <w:topLinePunct w:val="0"/>
              <w:autoSpaceDE/>
              <w:autoSpaceDN/>
              <w:bidi w:val="0"/>
              <w:adjustRightInd/>
              <w:spacing w:line="240" w:lineRule="auto"/>
              <w:ind w:firstLine="28"/>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服务部分</w:t>
            </w:r>
          </w:p>
          <w:p w14:paraId="23147D81">
            <w:pPr>
              <w:pageBreakBefore w:val="0"/>
              <w:kinsoku/>
              <w:overflowPunct/>
              <w:topLinePunct w:val="0"/>
              <w:autoSpaceDE/>
              <w:autoSpaceDN/>
              <w:bidi w:val="0"/>
              <w:adjustRightInd/>
              <w:spacing w:line="240" w:lineRule="auto"/>
              <w:ind w:firstLine="28"/>
              <w:jc w:val="center"/>
              <w:rPr>
                <w:rFonts w:hint="eastAsia" w:ascii="黑体" w:hAnsi="黑体" w:eastAsia="黑体" w:cs="黑体"/>
                <w:color w:val="auto"/>
                <w:sz w:val="24"/>
                <w:szCs w:val="24"/>
                <w:highlight w:val="none"/>
              </w:rPr>
            </w:pPr>
            <w:r>
              <w:rPr>
                <w:rFonts w:hint="eastAsia" w:ascii="黑体" w:hAnsi="黑体" w:eastAsia="黑体" w:cs="黑体"/>
                <w:color w:val="auto"/>
                <w:sz w:val="22"/>
                <w:szCs w:val="22"/>
                <w:highlight w:val="none"/>
              </w:rPr>
              <w:t>（</w:t>
            </w:r>
            <w:r>
              <w:rPr>
                <w:rFonts w:hint="eastAsia" w:ascii="黑体" w:hAnsi="黑体" w:eastAsia="黑体" w:cs="黑体"/>
                <w:color w:val="auto"/>
                <w:sz w:val="22"/>
                <w:szCs w:val="22"/>
                <w:highlight w:val="none"/>
                <w:lang w:val="en-US" w:eastAsia="zh-CN"/>
              </w:rPr>
              <w:t>60</w:t>
            </w:r>
            <w:r>
              <w:rPr>
                <w:rFonts w:hint="eastAsia" w:ascii="黑体" w:hAnsi="黑体" w:eastAsia="黑体" w:cs="黑体"/>
                <w:color w:val="auto"/>
                <w:sz w:val="22"/>
                <w:szCs w:val="22"/>
                <w:highlight w:val="none"/>
              </w:rPr>
              <w:t>%）</w:t>
            </w:r>
          </w:p>
        </w:tc>
        <w:tc>
          <w:tcPr>
            <w:tcW w:w="1113" w:type="dxa"/>
            <w:noWrap w:val="0"/>
            <w:vAlign w:val="center"/>
          </w:tcPr>
          <w:p w14:paraId="6777DCA9">
            <w:pPr>
              <w:keepNext w:val="0"/>
              <w:keepLines w:val="0"/>
              <w:pageBreakBefore w:val="0"/>
              <w:widowControl w:val="0"/>
              <w:kinsoku/>
              <w:wordWrap/>
              <w:overflowPunct/>
              <w:topLinePunct w:val="0"/>
              <w:autoSpaceDE/>
              <w:autoSpaceDN/>
              <w:bidi w:val="0"/>
              <w:adjustRightInd/>
              <w:snapToGrid w:val="0"/>
              <w:spacing w:line="240" w:lineRule="auto"/>
              <w:ind w:right="-100" w:rightChars="-36"/>
              <w:jc w:val="center"/>
              <w:textAlignment w:val="auto"/>
              <w:rPr>
                <w:rFonts w:hint="eastAsia" w:ascii="黑体" w:hAnsi="黑体" w:eastAsia="黑体" w:cs="黑体"/>
                <w:sz w:val="22"/>
                <w:szCs w:val="22"/>
                <w:highlight w:val="none"/>
                <w:lang w:val="en-US" w:eastAsia="zh-CN"/>
              </w:rPr>
            </w:pPr>
            <w:r>
              <w:rPr>
                <w:rFonts w:hint="eastAsia" w:ascii="黑体" w:hAnsi="黑体" w:eastAsia="黑体" w:cs="黑体"/>
                <w:sz w:val="22"/>
                <w:szCs w:val="22"/>
                <w:highlight w:val="none"/>
                <w:lang w:val="en-US" w:eastAsia="zh-CN"/>
              </w:rPr>
              <w:t>维修服务方案</w:t>
            </w:r>
          </w:p>
          <w:p w14:paraId="1BCFBECE">
            <w:pPr>
              <w:pStyle w:val="15"/>
              <w:jc w:val="center"/>
              <w:rPr>
                <w:rFonts w:hint="eastAsia" w:ascii="黑体" w:hAnsi="黑体" w:eastAsia="黑体" w:cs="黑体"/>
                <w:color w:val="auto"/>
                <w:sz w:val="24"/>
                <w:szCs w:val="24"/>
                <w:highlight w:val="none"/>
              </w:rPr>
            </w:pPr>
            <w:r>
              <w:rPr>
                <w:rFonts w:hint="eastAsia" w:ascii="黑体" w:hAnsi="黑体" w:eastAsia="黑体" w:cs="黑体"/>
                <w:sz w:val="22"/>
                <w:szCs w:val="22"/>
                <w:highlight w:val="none"/>
                <w:lang w:val="en-US" w:eastAsia="zh-CN"/>
              </w:rPr>
              <w:t>（15分）</w:t>
            </w:r>
          </w:p>
        </w:tc>
        <w:tc>
          <w:tcPr>
            <w:tcW w:w="4404" w:type="dxa"/>
            <w:noWrap w:val="0"/>
            <w:vAlign w:val="center"/>
          </w:tcPr>
          <w:p w14:paraId="01FB8A58">
            <w:pPr>
              <w:keepNext w:val="0"/>
              <w:keepLines w:val="0"/>
              <w:pageBreakBefore w:val="0"/>
              <w:widowControl w:val="0"/>
              <w:kinsoku/>
              <w:wordWrap/>
              <w:overflowPunct/>
              <w:topLinePunct w:val="0"/>
              <w:autoSpaceDE/>
              <w:autoSpaceDN/>
              <w:bidi w:val="0"/>
              <w:adjustRightInd/>
              <w:snapToGrid w:val="0"/>
              <w:spacing w:line="240" w:lineRule="auto"/>
              <w:ind w:right="-100" w:rightChars="-36" w:firstLine="440" w:firstLineChars="200"/>
              <w:jc w:val="left"/>
              <w:textAlignment w:val="auto"/>
              <w:rPr>
                <w:rFonts w:hint="eastAsia" w:ascii="黑体" w:hAnsi="黑体" w:eastAsia="黑体" w:cs="黑体"/>
                <w:sz w:val="22"/>
                <w:szCs w:val="22"/>
                <w:highlight w:val="none"/>
                <w:lang w:val="en-US" w:eastAsia="zh-CN"/>
              </w:rPr>
            </w:pPr>
            <w:r>
              <w:rPr>
                <w:rFonts w:hint="eastAsia" w:ascii="黑体" w:hAnsi="黑体" w:eastAsia="黑体" w:cs="黑体"/>
                <w:sz w:val="22"/>
                <w:szCs w:val="22"/>
                <w:highlight w:val="none"/>
                <w:lang w:val="en-US" w:eastAsia="zh-CN"/>
              </w:rPr>
              <w:t>供应商</w:t>
            </w:r>
            <w:r>
              <w:rPr>
                <w:rFonts w:hint="eastAsia" w:ascii="黑体" w:hAnsi="黑体" w:eastAsia="黑体" w:cs="黑体"/>
                <w:sz w:val="22"/>
                <w:szCs w:val="22"/>
                <w:highlight w:val="none"/>
                <w:lang w:val="zh-CN" w:eastAsia="zh-CN"/>
              </w:rPr>
              <w:t>针对</w:t>
            </w:r>
            <w:r>
              <w:rPr>
                <w:rFonts w:hint="eastAsia" w:ascii="黑体" w:hAnsi="黑体" w:eastAsia="黑体" w:cs="黑体"/>
                <w:sz w:val="22"/>
                <w:szCs w:val="22"/>
                <w:highlight w:val="none"/>
                <w:lang w:val="en-US" w:eastAsia="zh-CN"/>
              </w:rPr>
              <w:t>本项目</w:t>
            </w:r>
            <w:r>
              <w:rPr>
                <w:rFonts w:hint="eastAsia" w:ascii="黑体" w:hAnsi="黑体" w:eastAsia="黑体" w:cs="黑体"/>
                <w:sz w:val="22"/>
                <w:szCs w:val="22"/>
                <w:highlight w:val="none"/>
                <w:lang w:val="zh-CN" w:eastAsia="zh-CN"/>
              </w:rPr>
              <w:t>具体情况，编写</w:t>
            </w:r>
            <w:r>
              <w:rPr>
                <w:rFonts w:hint="eastAsia" w:ascii="黑体" w:hAnsi="黑体" w:eastAsia="黑体" w:cs="黑体"/>
                <w:sz w:val="22"/>
                <w:szCs w:val="22"/>
                <w:highlight w:val="none"/>
                <w:lang w:val="en-US" w:eastAsia="zh-CN"/>
              </w:rPr>
              <w:t>维修服务方案包括但不限于施工方法与技术措施、材料的选用、技术的创新。</w:t>
            </w:r>
          </w:p>
          <w:p w14:paraId="6A2803FD">
            <w:pPr>
              <w:keepNext w:val="0"/>
              <w:keepLines w:val="0"/>
              <w:pageBreakBefore w:val="0"/>
              <w:widowControl w:val="0"/>
              <w:kinsoku/>
              <w:wordWrap/>
              <w:overflowPunct/>
              <w:topLinePunct w:val="0"/>
              <w:autoSpaceDE/>
              <w:autoSpaceDN/>
              <w:bidi w:val="0"/>
              <w:adjustRightInd/>
              <w:snapToGrid w:val="0"/>
              <w:spacing w:line="240" w:lineRule="auto"/>
              <w:ind w:right="-100" w:rightChars="-36" w:firstLine="440" w:firstLineChars="200"/>
              <w:jc w:val="left"/>
              <w:textAlignment w:val="auto"/>
              <w:rPr>
                <w:rFonts w:hint="eastAsia" w:ascii="黑体" w:hAnsi="黑体" w:eastAsia="黑体" w:cs="黑体"/>
                <w:sz w:val="22"/>
                <w:szCs w:val="22"/>
                <w:highlight w:val="none"/>
                <w:lang w:val="en-US" w:eastAsia="zh-CN"/>
              </w:rPr>
            </w:pPr>
            <w:r>
              <w:rPr>
                <w:rFonts w:hint="eastAsia" w:ascii="黑体" w:hAnsi="黑体" w:eastAsia="黑体" w:cs="黑体"/>
                <w:sz w:val="22"/>
                <w:szCs w:val="22"/>
                <w:highlight w:val="none"/>
                <w:lang w:val="en-US" w:eastAsia="zh-CN"/>
              </w:rPr>
              <w:t xml:space="preserve">1.方案包含上述所有内容的基础上，内容不存在瑕疵的得15分； </w:t>
            </w:r>
          </w:p>
          <w:p w14:paraId="715CAA02">
            <w:pPr>
              <w:keepNext w:val="0"/>
              <w:keepLines w:val="0"/>
              <w:pageBreakBefore w:val="0"/>
              <w:widowControl w:val="0"/>
              <w:kinsoku/>
              <w:wordWrap/>
              <w:overflowPunct/>
              <w:topLinePunct w:val="0"/>
              <w:autoSpaceDE/>
              <w:autoSpaceDN/>
              <w:bidi w:val="0"/>
              <w:adjustRightInd/>
              <w:snapToGrid w:val="0"/>
              <w:spacing w:line="240" w:lineRule="auto"/>
              <w:ind w:right="-100" w:rightChars="-36" w:firstLine="440" w:firstLineChars="200"/>
              <w:jc w:val="left"/>
              <w:textAlignment w:val="auto"/>
              <w:rPr>
                <w:rFonts w:hint="eastAsia" w:ascii="黑体" w:hAnsi="黑体" w:eastAsia="黑体" w:cs="黑体"/>
                <w:sz w:val="22"/>
                <w:szCs w:val="22"/>
                <w:highlight w:val="none"/>
                <w:lang w:val="en-US" w:eastAsia="zh-CN"/>
              </w:rPr>
            </w:pPr>
            <w:r>
              <w:rPr>
                <w:rFonts w:hint="eastAsia" w:ascii="黑体" w:hAnsi="黑体" w:eastAsia="黑体" w:cs="黑体"/>
                <w:sz w:val="22"/>
                <w:szCs w:val="22"/>
                <w:highlight w:val="none"/>
                <w:lang w:val="en-US" w:eastAsia="zh-CN"/>
              </w:rPr>
              <w:t xml:space="preserve">2.方案包含上述所有内容的基础上，内容存在1处瑕疵的得10分； </w:t>
            </w:r>
          </w:p>
          <w:p w14:paraId="4AAF20EB">
            <w:pPr>
              <w:keepNext w:val="0"/>
              <w:keepLines w:val="0"/>
              <w:pageBreakBefore w:val="0"/>
              <w:widowControl w:val="0"/>
              <w:kinsoku/>
              <w:wordWrap/>
              <w:overflowPunct/>
              <w:topLinePunct w:val="0"/>
              <w:autoSpaceDE/>
              <w:autoSpaceDN/>
              <w:bidi w:val="0"/>
              <w:adjustRightInd/>
              <w:snapToGrid w:val="0"/>
              <w:spacing w:line="240" w:lineRule="auto"/>
              <w:ind w:right="-100" w:rightChars="-36" w:firstLine="440" w:firstLineChars="200"/>
              <w:jc w:val="left"/>
              <w:textAlignment w:val="auto"/>
              <w:rPr>
                <w:rFonts w:hint="eastAsia" w:ascii="黑体" w:hAnsi="黑体" w:eastAsia="黑体" w:cs="黑体"/>
                <w:sz w:val="22"/>
                <w:szCs w:val="22"/>
                <w:highlight w:val="none"/>
                <w:lang w:val="en-US" w:eastAsia="zh-CN"/>
              </w:rPr>
            </w:pPr>
            <w:r>
              <w:rPr>
                <w:rFonts w:hint="eastAsia" w:ascii="黑体" w:hAnsi="黑体" w:eastAsia="黑体" w:cs="黑体"/>
                <w:sz w:val="22"/>
                <w:szCs w:val="22"/>
                <w:highlight w:val="none"/>
                <w:lang w:val="en-US" w:eastAsia="zh-CN"/>
              </w:rPr>
              <w:t>3.方案包含上述所有内容的基础上，内容存在2处瑕疵的得5分；</w:t>
            </w:r>
          </w:p>
          <w:p w14:paraId="74A8F2AA">
            <w:pPr>
              <w:keepNext w:val="0"/>
              <w:keepLines w:val="0"/>
              <w:pageBreakBefore w:val="0"/>
              <w:widowControl w:val="0"/>
              <w:kinsoku/>
              <w:wordWrap/>
              <w:overflowPunct/>
              <w:topLinePunct w:val="0"/>
              <w:autoSpaceDE/>
              <w:autoSpaceDN/>
              <w:bidi w:val="0"/>
              <w:adjustRightInd/>
              <w:snapToGrid w:val="0"/>
              <w:spacing w:line="240" w:lineRule="auto"/>
              <w:ind w:right="-100" w:rightChars="-36" w:firstLine="44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sz w:val="22"/>
                <w:szCs w:val="22"/>
                <w:highlight w:val="none"/>
                <w:lang w:val="en-US" w:eastAsia="zh-CN"/>
              </w:rPr>
              <w:t>4.方案包含上述内容不全或内容存在3处以上瑕疵的或未提供得0分。</w:t>
            </w:r>
          </w:p>
        </w:tc>
        <w:tc>
          <w:tcPr>
            <w:tcW w:w="1830" w:type="dxa"/>
            <w:vMerge w:val="restart"/>
            <w:noWrap w:val="0"/>
            <w:vAlign w:val="center"/>
          </w:tcPr>
          <w:p w14:paraId="1AD08329">
            <w:pPr>
              <w:pageBreakBefore w:val="0"/>
              <w:kinsoku/>
              <w:overflowPunct/>
              <w:topLinePunct w:val="0"/>
              <w:autoSpaceDE/>
              <w:autoSpaceDN/>
              <w:bidi w:val="0"/>
              <w:adjustRightInd/>
              <w:spacing w:line="240" w:lineRule="auto"/>
              <w:ind w:firstLine="480" w:firstLineChars="200"/>
              <w:rPr>
                <w:rFonts w:hint="eastAsia" w:ascii="黑体" w:hAnsi="黑体" w:eastAsia="黑体" w:cs="黑体"/>
                <w:color w:val="auto"/>
                <w:sz w:val="24"/>
                <w:szCs w:val="24"/>
                <w:highlight w:val="none"/>
                <w:lang w:val="zh-CN"/>
              </w:rPr>
            </w:pPr>
          </w:p>
          <w:p w14:paraId="21134B03">
            <w:pPr>
              <w:pageBreakBefore w:val="0"/>
              <w:kinsoku/>
              <w:overflowPunct/>
              <w:topLinePunct w:val="0"/>
              <w:autoSpaceDE/>
              <w:autoSpaceDN/>
              <w:bidi w:val="0"/>
              <w:adjustRightInd/>
              <w:snapToGrid w:val="0"/>
              <w:spacing w:line="240" w:lineRule="auto"/>
              <w:jc w:val="left"/>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（1）评审委员会按服务部分各评审因素设定的分值评分。</w:t>
            </w:r>
          </w:p>
          <w:p w14:paraId="2D4BAD16">
            <w:pPr>
              <w:pageBreakBefore w:val="0"/>
              <w:kinsoku/>
              <w:overflowPunct/>
              <w:topLinePunct w:val="0"/>
              <w:autoSpaceDE/>
              <w:autoSpaceDN/>
              <w:bidi w:val="0"/>
              <w:adjustRightInd/>
              <w:snapToGrid w:val="0"/>
              <w:spacing w:line="240" w:lineRule="auto"/>
              <w:jc w:val="left"/>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（2）所有评委打分取算术平均值为该供应商服务部分得分。</w:t>
            </w:r>
          </w:p>
          <w:p w14:paraId="12067222">
            <w:pPr>
              <w:pageBreakBefore w:val="0"/>
              <w:kinsoku/>
              <w:overflowPunct/>
              <w:topLinePunct w:val="0"/>
              <w:autoSpaceDE/>
              <w:autoSpaceDN/>
              <w:bidi w:val="0"/>
              <w:adjustRightInd/>
              <w:snapToGrid w:val="0"/>
              <w:spacing w:line="240" w:lineRule="auto"/>
              <w:jc w:val="left"/>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（3）服务部分得分的最终结果取小数点后两位，第三位四舍五入。</w:t>
            </w:r>
          </w:p>
          <w:p w14:paraId="088CA8A4">
            <w:pPr>
              <w:pStyle w:val="57"/>
              <w:pageBreakBefore w:val="0"/>
              <w:kinsoku/>
              <w:overflowPunct/>
              <w:topLinePunct w:val="0"/>
              <w:autoSpaceDE/>
              <w:autoSpaceDN/>
              <w:bidi w:val="0"/>
              <w:adjustRightInd/>
              <w:spacing w:line="240" w:lineRule="auto"/>
              <w:ind w:firstLine="0" w:firstLineChars="0"/>
              <w:jc w:val="left"/>
              <w:rPr>
                <w:rFonts w:hint="eastAsia" w:ascii="黑体" w:hAnsi="黑体" w:eastAsia="黑体" w:cs="黑体"/>
                <w:color w:val="auto"/>
                <w:sz w:val="20"/>
                <w:szCs w:val="20"/>
                <w:highlight w:val="none"/>
              </w:rPr>
            </w:pPr>
            <w:r>
              <w:rPr>
                <w:rFonts w:hint="eastAsia" w:ascii="黑体" w:hAnsi="黑体" w:eastAsia="黑体" w:cs="黑体"/>
                <w:color w:val="auto"/>
                <w:sz w:val="22"/>
                <w:szCs w:val="22"/>
                <w:highlight w:val="none"/>
              </w:rPr>
              <w:t>（4）供应商所提供的服务方案原则上不超过</w:t>
            </w:r>
            <w:r>
              <w:rPr>
                <w:rFonts w:hint="eastAsia" w:ascii="黑体" w:hAnsi="黑体" w:eastAsia="黑体" w:cs="黑体"/>
                <w:color w:val="auto"/>
                <w:sz w:val="22"/>
                <w:szCs w:val="22"/>
                <w:highlight w:val="none"/>
                <w:lang w:val="en-US" w:eastAsia="zh-CN"/>
              </w:rPr>
              <w:t>50</w:t>
            </w:r>
            <w:r>
              <w:rPr>
                <w:rFonts w:hint="eastAsia" w:ascii="黑体" w:hAnsi="黑体" w:eastAsia="黑体" w:cs="黑体"/>
                <w:color w:val="auto"/>
                <w:sz w:val="22"/>
                <w:szCs w:val="22"/>
                <w:highlight w:val="none"/>
              </w:rPr>
              <w:t>页。</w:t>
            </w:r>
          </w:p>
          <w:p w14:paraId="649ADEE9">
            <w:pPr>
              <w:pageBreakBefore w:val="0"/>
              <w:kinsoku/>
              <w:overflowPunct/>
              <w:topLinePunct w:val="0"/>
              <w:autoSpaceDE/>
              <w:autoSpaceDN/>
              <w:bidi w:val="0"/>
              <w:adjustRightInd/>
              <w:spacing w:line="240" w:lineRule="auto"/>
              <w:ind w:firstLine="28"/>
              <w:jc w:val="left"/>
              <w:rPr>
                <w:rFonts w:hint="eastAsia" w:ascii="黑体" w:hAnsi="黑体" w:eastAsia="黑体" w:cs="黑体"/>
                <w:color w:val="auto"/>
                <w:sz w:val="24"/>
                <w:szCs w:val="24"/>
                <w:highlight w:val="none"/>
              </w:rPr>
            </w:pPr>
          </w:p>
        </w:tc>
      </w:tr>
      <w:tr w14:paraId="7F89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08" w:type="dxa"/>
            <w:vMerge w:val="continue"/>
            <w:noWrap w:val="0"/>
            <w:vAlign w:val="center"/>
          </w:tcPr>
          <w:p w14:paraId="0E31D8BC">
            <w:pPr>
              <w:pageBreakBefore w:val="0"/>
              <w:kinsoku/>
              <w:overflowPunct/>
              <w:topLinePunct w:val="0"/>
              <w:autoSpaceDE/>
              <w:autoSpaceDN/>
              <w:bidi w:val="0"/>
              <w:adjustRightInd/>
              <w:spacing w:line="240" w:lineRule="auto"/>
              <w:ind w:firstLine="28"/>
              <w:jc w:val="center"/>
              <w:rPr>
                <w:rFonts w:hint="eastAsia" w:ascii="黑体" w:hAnsi="黑体" w:eastAsia="黑体" w:cs="黑体"/>
                <w:color w:val="auto"/>
                <w:sz w:val="24"/>
                <w:szCs w:val="24"/>
                <w:highlight w:val="none"/>
              </w:rPr>
            </w:pPr>
          </w:p>
        </w:tc>
        <w:tc>
          <w:tcPr>
            <w:tcW w:w="1290" w:type="dxa"/>
            <w:vMerge w:val="continue"/>
            <w:noWrap w:val="0"/>
            <w:vAlign w:val="center"/>
          </w:tcPr>
          <w:p w14:paraId="2BC3EA45">
            <w:pPr>
              <w:pageBreakBefore w:val="0"/>
              <w:kinsoku/>
              <w:overflowPunct/>
              <w:topLinePunct w:val="0"/>
              <w:autoSpaceDE/>
              <w:autoSpaceDN/>
              <w:bidi w:val="0"/>
              <w:adjustRightInd/>
              <w:spacing w:line="240" w:lineRule="auto"/>
              <w:ind w:firstLine="28"/>
              <w:jc w:val="center"/>
              <w:rPr>
                <w:rFonts w:hint="eastAsia" w:ascii="黑体" w:hAnsi="黑体" w:eastAsia="黑体" w:cs="黑体"/>
                <w:color w:val="auto"/>
                <w:sz w:val="24"/>
                <w:szCs w:val="24"/>
                <w:highlight w:val="none"/>
              </w:rPr>
            </w:pPr>
          </w:p>
        </w:tc>
        <w:tc>
          <w:tcPr>
            <w:tcW w:w="1113" w:type="dxa"/>
            <w:noWrap w:val="0"/>
            <w:vAlign w:val="center"/>
          </w:tcPr>
          <w:p w14:paraId="28F67E90">
            <w:pPr>
              <w:keepNext w:val="0"/>
              <w:keepLines w:val="0"/>
              <w:pageBreakBefore w:val="0"/>
              <w:widowControl w:val="0"/>
              <w:kinsoku/>
              <w:wordWrap/>
              <w:overflowPunct/>
              <w:topLinePunct w:val="0"/>
              <w:autoSpaceDE/>
              <w:autoSpaceDN/>
              <w:bidi w:val="0"/>
              <w:adjustRightInd/>
              <w:snapToGrid w:val="0"/>
              <w:spacing w:line="240" w:lineRule="auto"/>
              <w:ind w:right="-100" w:rightChars="-36"/>
              <w:jc w:val="center"/>
              <w:textAlignment w:val="auto"/>
              <w:rPr>
                <w:rFonts w:hint="eastAsia" w:ascii="黑体" w:hAnsi="黑体" w:eastAsia="黑体" w:cs="黑体"/>
                <w:sz w:val="22"/>
                <w:szCs w:val="22"/>
                <w:highlight w:val="none"/>
                <w:lang w:val="en-US" w:eastAsia="zh-CN"/>
              </w:rPr>
            </w:pPr>
            <w:r>
              <w:rPr>
                <w:rFonts w:hint="eastAsia" w:ascii="黑体" w:hAnsi="黑体" w:eastAsia="黑体" w:cs="黑体"/>
                <w:sz w:val="22"/>
                <w:szCs w:val="22"/>
                <w:highlight w:val="none"/>
                <w:lang w:val="en-US" w:eastAsia="zh-CN"/>
              </w:rPr>
              <w:t>安全管理</w:t>
            </w:r>
          </w:p>
          <w:p w14:paraId="33554042">
            <w:pPr>
              <w:keepNext w:val="0"/>
              <w:keepLines w:val="0"/>
              <w:pageBreakBefore w:val="0"/>
              <w:widowControl w:val="0"/>
              <w:kinsoku/>
              <w:wordWrap/>
              <w:overflowPunct/>
              <w:topLinePunct w:val="0"/>
              <w:autoSpaceDE/>
              <w:autoSpaceDN/>
              <w:bidi w:val="0"/>
              <w:adjustRightInd/>
              <w:snapToGrid w:val="0"/>
              <w:spacing w:line="240" w:lineRule="auto"/>
              <w:ind w:right="-100" w:rightChars="-36"/>
              <w:jc w:val="center"/>
              <w:textAlignment w:val="auto"/>
              <w:rPr>
                <w:rFonts w:hint="eastAsia" w:ascii="黑体" w:hAnsi="黑体" w:eastAsia="黑体" w:cs="黑体"/>
                <w:sz w:val="22"/>
                <w:szCs w:val="22"/>
                <w:highlight w:val="none"/>
                <w:lang w:val="en-US" w:eastAsia="zh-CN"/>
              </w:rPr>
            </w:pPr>
            <w:r>
              <w:rPr>
                <w:rFonts w:hint="eastAsia" w:ascii="黑体" w:hAnsi="黑体" w:eastAsia="黑体" w:cs="黑体"/>
                <w:sz w:val="22"/>
                <w:szCs w:val="22"/>
                <w:highlight w:val="none"/>
                <w:lang w:val="en-US" w:eastAsia="zh-CN"/>
              </w:rPr>
              <w:t>体系与措施方案</w:t>
            </w:r>
          </w:p>
          <w:p w14:paraId="50D30BF5">
            <w:pPr>
              <w:keepNext w:val="0"/>
              <w:keepLines w:val="0"/>
              <w:pageBreakBefore w:val="0"/>
              <w:widowControl w:val="0"/>
              <w:kinsoku/>
              <w:wordWrap/>
              <w:overflowPunct/>
              <w:topLinePunct w:val="0"/>
              <w:autoSpaceDE/>
              <w:autoSpaceDN/>
              <w:bidi w:val="0"/>
              <w:adjustRightInd/>
              <w:snapToGrid w:val="0"/>
              <w:spacing w:line="240" w:lineRule="auto"/>
              <w:ind w:right="-100" w:rightChars="-36"/>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sz w:val="22"/>
                <w:szCs w:val="22"/>
                <w:highlight w:val="none"/>
                <w:lang w:val="en-US" w:eastAsia="zh-CN"/>
              </w:rPr>
              <w:t>（15分）</w:t>
            </w:r>
          </w:p>
        </w:tc>
        <w:tc>
          <w:tcPr>
            <w:tcW w:w="4404" w:type="dxa"/>
            <w:noWrap w:val="0"/>
            <w:vAlign w:val="center"/>
          </w:tcPr>
          <w:p w14:paraId="3B718AF3">
            <w:pPr>
              <w:keepNext w:val="0"/>
              <w:keepLines w:val="0"/>
              <w:pageBreakBefore w:val="0"/>
              <w:widowControl w:val="0"/>
              <w:kinsoku/>
              <w:wordWrap/>
              <w:overflowPunct/>
              <w:topLinePunct w:val="0"/>
              <w:autoSpaceDE/>
              <w:autoSpaceDN/>
              <w:bidi w:val="0"/>
              <w:adjustRightInd/>
              <w:snapToGrid w:val="0"/>
              <w:spacing w:line="240" w:lineRule="auto"/>
              <w:ind w:right="-100" w:rightChars="-36" w:firstLine="440" w:firstLineChars="200"/>
              <w:jc w:val="left"/>
              <w:textAlignment w:val="auto"/>
              <w:rPr>
                <w:rFonts w:hint="eastAsia" w:ascii="黑体" w:hAnsi="黑体" w:eastAsia="黑体" w:cs="黑体"/>
                <w:sz w:val="22"/>
                <w:szCs w:val="22"/>
                <w:highlight w:val="none"/>
                <w:lang w:val="en-US" w:eastAsia="zh-CN"/>
              </w:rPr>
            </w:pPr>
            <w:r>
              <w:rPr>
                <w:rFonts w:hint="eastAsia" w:ascii="黑体" w:hAnsi="黑体" w:eastAsia="黑体" w:cs="黑体"/>
                <w:sz w:val="22"/>
                <w:szCs w:val="22"/>
                <w:highlight w:val="none"/>
                <w:lang w:val="en-US" w:eastAsia="zh-CN"/>
              </w:rPr>
              <w:t>供应商</w:t>
            </w:r>
            <w:r>
              <w:rPr>
                <w:rFonts w:hint="eastAsia" w:ascii="黑体" w:hAnsi="黑体" w:eastAsia="黑体" w:cs="黑体"/>
                <w:sz w:val="22"/>
                <w:szCs w:val="22"/>
                <w:highlight w:val="none"/>
                <w:lang w:val="zh-CN" w:eastAsia="zh-CN"/>
              </w:rPr>
              <w:t>针对</w:t>
            </w:r>
            <w:r>
              <w:rPr>
                <w:rFonts w:hint="eastAsia" w:ascii="黑体" w:hAnsi="黑体" w:eastAsia="黑体" w:cs="黑体"/>
                <w:sz w:val="22"/>
                <w:szCs w:val="22"/>
                <w:highlight w:val="none"/>
                <w:lang w:val="en-US" w:eastAsia="zh-CN"/>
              </w:rPr>
              <w:t>本项目</w:t>
            </w:r>
            <w:r>
              <w:rPr>
                <w:rFonts w:hint="eastAsia" w:ascii="黑体" w:hAnsi="黑体" w:eastAsia="黑体" w:cs="黑体"/>
                <w:sz w:val="22"/>
                <w:szCs w:val="22"/>
                <w:highlight w:val="none"/>
                <w:lang w:val="zh-CN" w:eastAsia="zh-CN"/>
              </w:rPr>
              <w:t>具体情况，编写</w:t>
            </w:r>
            <w:r>
              <w:rPr>
                <w:rFonts w:hint="eastAsia" w:ascii="黑体" w:hAnsi="黑体" w:eastAsia="黑体" w:cs="黑体"/>
                <w:sz w:val="22"/>
                <w:szCs w:val="22"/>
                <w:highlight w:val="none"/>
                <w:lang w:val="en-US" w:eastAsia="zh-CN"/>
              </w:rPr>
              <w:t>安全管理体系与措施方案包括但不限于施工安全措施、消防安全措施、应急突发事件的安全预案。</w:t>
            </w:r>
          </w:p>
          <w:p w14:paraId="7E822615">
            <w:pPr>
              <w:keepNext w:val="0"/>
              <w:keepLines w:val="0"/>
              <w:pageBreakBefore w:val="0"/>
              <w:widowControl w:val="0"/>
              <w:kinsoku/>
              <w:wordWrap/>
              <w:overflowPunct/>
              <w:topLinePunct w:val="0"/>
              <w:autoSpaceDE/>
              <w:autoSpaceDN/>
              <w:bidi w:val="0"/>
              <w:adjustRightInd/>
              <w:snapToGrid w:val="0"/>
              <w:spacing w:line="240" w:lineRule="auto"/>
              <w:ind w:right="-100" w:rightChars="-36" w:firstLine="440" w:firstLineChars="200"/>
              <w:jc w:val="left"/>
              <w:textAlignment w:val="auto"/>
              <w:rPr>
                <w:rFonts w:hint="eastAsia" w:ascii="黑体" w:hAnsi="黑体" w:eastAsia="黑体" w:cs="黑体"/>
                <w:sz w:val="22"/>
                <w:szCs w:val="22"/>
                <w:highlight w:val="none"/>
                <w:lang w:val="en-US" w:eastAsia="zh-CN"/>
              </w:rPr>
            </w:pPr>
            <w:r>
              <w:rPr>
                <w:rFonts w:hint="eastAsia" w:ascii="黑体" w:hAnsi="黑体" w:eastAsia="黑体" w:cs="黑体"/>
                <w:sz w:val="22"/>
                <w:szCs w:val="22"/>
                <w:highlight w:val="none"/>
                <w:lang w:val="en-US" w:eastAsia="zh-CN"/>
              </w:rPr>
              <w:t xml:space="preserve">1.方案包含上述所有内容的基础上，内容不存在瑕疵的得15分； </w:t>
            </w:r>
          </w:p>
          <w:p w14:paraId="46B31A45">
            <w:pPr>
              <w:keepNext w:val="0"/>
              <w:keepLines w:val="0"/>
              <w:pageBreakBefore w:val="0"/>
              <w:widowControl w:val="0"/>
              <w:kinsoku/>
              <w:wordWrap/>
              <w:overflowPunct/>
              <w:topLinePunct w:val="0"/>
              <w:autoSpaceDE/>
              <w:autoSpaceDN/>
              <w:bidi w:val="0"/>
              <w:adjustRightInd/>
              <w:snapToGrid w:val="0"/>
              <w:spacing w:line="240" w:lineRule="auto"/>
              <w:ind w:right="-100" w:rightChars="-36" w:firstLine="440" w:firstLineChars="200"/>
              <w:jc w:val="left"/>
              <w:textAlignment w:val="auto"/>
              <w:rPr>
                <w:rFonts w:hint="eastAsia" w:ascii="黑体" w:hAnsi="黑体" w:eastAsia="黑体" w:cs="黑体"/>
                <w:sz w:val="22"/>
                <w:szCs w:val="22"/>
                <w:highlight w:val="none"/>
                <w:lang w:val="en-US" w:eastAsia="zh-CN"/>
              </w:rPr>
            </w:pPr>
            <w:r>
              <w:rPr>
                <w:rFonts w:hint="eastAsia" w:ascii="黑体" w:hAnsi="黑体" w:eastAsia="黑体" w:cs="黑体"/>
                <w:sz w:val="22"/>
                <w:szCs w:val="22"/>
                <w:highlight w:val="none"/>
                <w:lang w:val="en-US" w:eastAsia="zh-CN"/>
              </w:rPr>
              <w:t xml:space="preserve">2.方案包含上述所有内容的基础上，内容存在1处瑕疵的得10分； </w:t>
            </w:r>
          </w:p>
          <w:p w14:paraId="454CCD79">
            <w:pPr>
              <w:keepNext w:val="0"/>
              <w:keepLines w:val="0"/>
              <w:pageBreakBefore w:val="0"/>
              <w:widowControl w:val="0"/>
              <w:kinsoku/>
              <w:wordWrap/>
              <w:overflowPunct/>
              <w:topLinePunct w:val="0"/>
              <w:autoSpaceDE/>
              <w:autoSpaceDN/>
              <w:bidi w:val="0"/>
              <w:adjustRightInd/>
              <w:snapToGrid w:val="0"/>
              <w:spacing w:line="240" w:lineRule="auto"/>
              <w:ind w:right="-100" w:rightChars="-36" w:firstLine="440" w:firstLineChars="200"/>
              <w:jc w:val="left"/>
              <w:textAlignment w:val="auto"/>
              <w:rPr>
                <w:rFonts w:hint="eastAsia" w:ascii="黑体" w:hAnsi="黑体" w:eastAsia="黑体" w:cs="黑体"/>
                <w:sz w:val="22"/>
                <w:szCs w:val="22"/>
                <w:highlight w:val="none"/>
                <w:lang w:val="en-US" w:eastAsia="zh-CN"/>
              </w:rPr>
            </w:pPr>
            <w:r>
              <w:rPr>
                <w:rFonts w:hint="eastAsia" w:ascii="黑体" w:hAnsi="黑体" w:eastAsia="黑体" w:cs="黑体"/>
                <w:sz w:val="22"/>
                <w:szCs w:val="22"/>
                <w:highlight w:val="none"/>
                <w:lang w:val="en-US" w:eastAsia="zh-CN"/>
              </w:rPr>
              <w:t>3.方案包含上述所有内容的基础上，内容存在2处瑕疵的得5分；</w:t>
            </w:r>
          </w:p>
          <w:p w14:paraId="124BEB84">
            <w:pPr>
              <w:keepNext w:val="0"/>
              <w:keepLines w:val="0"/>
              <w:pageBreakBefore w:val="0"/>
              <w:widowControl w:val="0"/>
              <w:kinsoku/>
              <w:wordWrap/>
              <w:overflowPunct/>
              <w:topLinePunct w:val="0"/>
              <w:autoSpaceDE/>
              <w:autoSpaceDN/>
              <w:bidi w:val="0"/>
              <w:adjustRightInd/>
              <w:snapToGrid w:val="0"/>
              <w:spacing w:line="240" w:lineRule="auto"/>
              <w:ind w:right="-100" w:rightChars="-36" w:firstLine="44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sz w:val="22"/>
                <w:szCs w:val="22"/>
                <w:highlight w:val="none"/>
                <w:lang w:val="en-US" w:eastAsia="zh-CN"/>
              </w:rPr>
              <w:t>4.方案包含上述内容不全或内容存在3处以上瑕疵的或未提供得0分。</w:t>
            </w:r>
          </w:p>
        </w:tc>
        <w:tc>
          <w:tcPr>
            <w:tcW w:w="1830" w:type="dxa"/>
            <w:vMerge w:val="continue"/>
            <w:noWrap w:val="0"/>
            <w:vAlign w:val="center"/>
          </w:tcPr>
          <w:p w14:paraId="77D0AFCF">
            <w:pPr>
              <w:pageBreakBefore w:val="0"/>
              <w:kinsoku/>
              <w:overflowPunct/>
              <w:topLinePunct w:val="0"/>
              <w:autoSpaceDE/>
              <w:autoSpaceDN/>
              <w:bidi w:val="0"/>
              <w:adjustRightInd/>
              <w:spacing w:line="240" w:lineRule="auto"/>
              <w:ind w:firstLine="28"/>
              <w:jc w:val="left"/>
              <w:rPr>
                <w:rFonts w:hint="eastAsia" w:ascii="黑体" w:hAnsi="黑体" w:eastAsia="黑体" w:cs="黑体"/>
                <w:color w:val="auto"/>
                <w:sz w:val="24"/>
                <w:szCs w:val="24"/>
                <w:highlight w:val="none"/>
              </w:rPr>
            </w:pPr>
          </w:p>
        </w:tc>
      </w:tr>
      <w:tr w14:paraId="1466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trPr>
        <w:tc>
          <w:tcPr>
            <w:tcW w:w="808" w:type="dxa"/>
            <w:vMerge w:val="continue"/>
            <w:noWrap w:val="0"/>
            <w:vAlign w:val="center"/>
          </w:tcPr>
          <w:p w14:paraId="25C5267A">
            <w:pPr>
              <w:pageBreakBefore w:val="0"/>
              <w:kinsoku/>
              <w:overflowPunct/>
              <w:topLinePunct w:val="0"/>
              <w:autoSpaceDE/>
              <w:autoSpaceDN/>
              <w:bidi w:val="0"/>
              <w:adjustRightInd/>
              <w:spacing w:line="240" w:lineRule="auto"/>
              <w:ind w:firstLine="28"/>
              <w:jc w:val="center"/>
              <w:rPr>
                <w:rFonts w:hint="eastAsia" w:ascii="黑体" w:hAnsi="黑体" w:eastAsia="黑体" w:cs="黑体"/>
                <w:color w:val="auto"/>
                <w:sz w:val="24"/>
                <w:szCs w:val="24"/>
                <w:highlight w:val="none"/>
              </w:rPr>
            </w:pPr>
          </w:p>
        </w:tc>
        <w:tc>
          <w:tcPr>
            <w:tcW w:w="1290" w:type="dxa"/>
            <w:vMerge w:val="continue"/>
            <w:noWrap w:val="0"/>
            <w:vAlign w:val="center"/>
          </w:tcPr>
          <w:p w14:paraId="117F2791">
            <w:pPr>
              <w:pageBreakBefore w:val="0"/>
              <w:kinsoku/>
              <w:overflowPunct/>
              <w:topLinePunct w:val="0"/>
              <w:autoSpaceDE/>
              <w:autoSpaceDN/>
              <w:bidi w:val="0"/>
              <w:adjustRightInd/>
              <w:spacing w:line="240" w:lineRule="auto"/>
              <w:ind w:firstLine="28"/>
              <w:jc w:val="center"/>
              <w:rPr>
                <w:rFonts w:hint="eastAsia" w:ascii="黑体" w:hAnsi="黑体" w:eastAsia="黑体" w:cs="黑体"/>
                <w:color w:val="auto"/>
                <w:sz w:val="24"/>
                <w:szCs w:val="24"/>
                <w:highlight w:val="none"/>
              </w:rPr>
            </w:pPr>
          </w:p>
        </w:tc>
        <w:tc>
          <w:tcPr>
            <w:tcW w:w="1113" w:type="dxa"/>
            <w:noWrap w:val="0"/>
            <w:vAlign w:val="center"/>
          </w:tcPr>
          <w:p w14:paraId="3116AF0F">
            <w:pPr>
              <w:keepNext w:val="0"/>
              <w:keepLines w:val="0"/>
              <w:pageBreakBefore w:val="0"/>
              <w:widowControl w:val="0"/>
              <w:kinsoku/>
              <w:wordWrap/>
              <w:overflowPunct/>
              <w:topLinePunct w:val="0"/>
              <w:autoSpaceDE/>
              <w:autoSpaceDN/>
              <w:bidi w:val="0"/>
              <w:adjustRightInd/>
              <w:snapToGrid w:val="0"/>
              <w:spacing w:line="240" w:lineRule="auto"/>
              <w:ind w:right="-100" w:rightChars="-36"/>
              <w:jc w:val="center"/>
              <w:textAlignment w:val="auto"/>
              <w:rPr>
                <w:rFonts w:hint="eastAsia" w:ascii="黑体" w:hAnsi="黑体" w:eastAsia="黑体" w:cs="黑体"/>
                <w:sz w:val="22"/>
                <w:szCs w:val="22"/>
                <w:highlight w:val="none"/>
                <w:lang w:val="en-US" w:eastAsia="zh-CN"/>
              </w:rPr>
            </w:pPr>
            <w:r>
              <w:rPr>
                <w:rFonts w:hint="eastAsia" w:ascii="黑体" w:hAnsi="黑体" w:eastAsia="黑体" w:cs="黑体"/>
                <w:sz w:val="22"/>
                <w:szCs w:val="22"/>
                <w:highlight w:val="none"/>
                <w:lang w:val="en-US" w:eastAsia="zh-CN"/>
              </w:rPr>
              <w:t>质量管理体系与措施方案</w:t>
            </w:r>
          </w:p>
          <w:p w14:paraId="473D092A">
            <w:pPr>
              <w:keepNext w:val="0"/>
              <w:keepLines w:val="0"/>
              <w:pageBreakBefore w:val="0"/>
              <w:widowControl w:val="0"/>
              <w:kinsoku/>
              <w:wordWrap/>
              <w:overflowPunct/>
              <w:topLinePunct w:val="0"/>
              <w:autoSpaceDE/>
              <w:autoSpaceDN/>
              <w:bidi w:val="0"/>
              <w:adjustRightInd/>
              <w:snapToGrid w:val="0"/>
              <w:spacing w:line="240" w:lineRule="auto"/>
              <w:ind w:right="-100" w:rightChars="-36"/>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sz w:val="22"/>
                <w:szCs w:val="22"/>
                <w:highlight w:val="none"/>
                <w:lang w:val="en-US" w:eastAsia="zh-CN"/>
              </w:rPr>
              <w:t>（15分）</w:t>
            </w:r>
          </w:p>
        </w:tc>
        <w:tc>
          <w:tcPr>
            <w:tcW w:w="4404" w:type="dxa"/>
            <w:noWrap w:val="0"/>
            <w:vAlign w:val="center"/>
          </w:tcPr>
          <w:p w14:paraId="6CE05365">
            <w:pPr>
              <w:keepNext w:val="0"/>
              <w:keepLines w:val="0"/>
              <w:pageBreakBefore w:val="0"/>
              <w:widowControl w:val="0"/>
              <w:kinsoku/>
              <w:wordWrap/>
              <w:overflowPunct/>
              <w:topLinePunct w:val="0"/>
              <w:autoSpaceDE/>
              <w:autoSpaceDN/>
              <w:bidi w:val="0"/>
              <w:adjustRightInd/>
              <w:snapToGrid w:val="0"/>
              <w:spacing w:line="240" w:lineRule="auto"/>
              <w:ind w:right="-100" w:rightChars="-36" w:firstLine="440" w:firstLineChars="200"/>
              <w:jc w:val="left"/>
              <w:textAlignment w:val="auto"/>
              <w:rPr>
                <w:rFonts w:hint="eastAsia" w:ascii="黑体" w:hAnsi="黑体" w:eastAsia="黑体" w:cs="黑体"/>
                <w:sz w:val="22"/>
                <w:szCs w:val="22"/>
                <w:highlight w:val="none"/>
                <w:lang w:val="en-US" w:eastAsia="zh-CN"/>
              </w:rPr>
            </w:pPr>
            <w:r>
              <w:rPr>
                <w:rFonts w:hint="eastAsia" w:ascii="黑体" w:hAnsi="黑体" w:eastAsia="黑体" w:cs="黑体"/>
                <w:sz w:val="22"/>
                <w:szCs w:val="22"/>
                <w:highlight w:val="none"/>
                <w:lang w:val="en-US" w:eastAsia="zh-CN"/>
              </w:rPr>
              <w:t>供应商</w:t>
            </w:r>
            <w:r>
              <w:rPr>
                <w:rFonts w:hint="eastAsia" w:ascii="黑体" w:hAnsi="黑体" w:eastAsia="黑体" w:cs="黑体"/>
                <w:sz w:val="22"/>
                <w:szCs w:val="22"/>
                <w:highlight w:val="none"/>
                <w:lang w:val="zh-CN" w:eastAsia="zh-CN"/>
              </w:rPr>
              <w:t>针对</w:t>
            </w:r>
            <w:r>
              <w:rPr>
                <w:rFonts w:hint="eastAsia" w:ascii="黑体" w:hAnsi="黑体" w:eastAsia="黑体" w:cs="黑体"/>
                <w:sz w:val="22"/>
                <w:szCs w:val="22"/>
                <w:highlight w:val="none"/>
                <w:lang w:val="en-US" w:eastAsia="zh-CN"/>
              </w:rPr>
              <w:t>本项目</w:t>
            </w:r>
            <w:r>
              <w:rPr>
                <w:rFonts w:hint="eastAsia" w:ascii="黑体" w:hAnsi="黑体" w:eastAsia="黑体" w:cs="黑体"/>
                <w:sz w:val="22"/>
                <w:szCs w:val="22"/>
                <w:highlight w:val="none"/>
                <w:lang w:val="zh-CN" w:eastAsia="zh-CN"/>
              </w:rPr>
              <w:t>具体情况，编写</w:t>
            </w:r>
            <w:r>
              <w:rPr>
                <w:rFonts w:hint="eastAsia" w:ascii="黑体" w:hAnsi="黑体" w:eastAsia="黑体" w:cs="黑体"/>
                <w:sz w:val="22"/>
                <w:szCs w:val="22"/>
                <w:highlight w:val="none"/>
                <w:lang w:val="en-US" w:eastAsia="zh-CN"/>
              </w:rPr>
              <w:t>质量管理体系与措施方案，包括但不限于质量控制体系、保修承诺、环境保护措施。</w:t>
            </w:r>
          </w:p>
          <w:p w14:paraId="1EBD67F6">
            <w:pPr>
              <w:keepNext w:val="0"/>
              <w:keepLines w:val="0"/>
              <w:pageBreakBefore w:val="0"/>
              <w:widowControl w:val="0"/>
              <w:kinsoku/>
              <w:wordWrap/>
              <w:overflowPunct/>
              <w:topLinePunct w:val="0"/>
              <w:autoSpaceDE/>
              <w:autoSpaceDN/>
              <w:bidi w:val="0"/>
              <w:adjustRightInd/>
              <w:snapToGrid w:val="0"/>
              <w:spacing w:line="240" w:lineRule="auto"/>
              <w:ind w:right="-100" w:rightChars="-36" w:firstLine="440" w:firstLineChars="200"/>
              <w:jc w:val="left"/>
              <w:textAlignment w:val="auto"/>
              <w:rPr>
                <w:rFonts w:hint="eastAsia" w:ascii="黑体" w:hAnsi="黑体" w:eastAsia="黑体" w:cs="黑体"/>
                <w:sz w:val="22"/>
                <w:szCs w:val="22"/>
                <w:highlight w:val="none"/>
                <w:lang w:val="en-US" w:eastAsia="zh-CN"/>
              </w:rPr>
            </w:pPr>
            <w:r>
              <w:rPr>
                <w:rFonts w:hint="eastAsia" w:ascii="黑体" w:hAnsi="黑体" w:eastAsia="黑体" w:cs="黑体"/>
                <w:sz w:val="22"/>
                <w:szCs w:val="22"/>
                <w:highlight w:val="none"/>
                <w:lang w:val="en-US" w:eastAsia="zh-CN"/>
              </w:rPr>
              <w:t xml:space="preserve">1.方案包含上述所有内容的基础上，内容不存在瑕疵的得15分； </w:t>
            </w:r>
          </w:p>
          <w:p w14:paraId="3821DB78">
            <w:pPr>
              <w:keepNext w:val="0"/>
              <w:keepLines w:val="0"/>
              <w:pageBreakBefore w:val="0"/>
              <w:widowControl w:val="0"/>
              <w:kinsoku/>
              <w:wordWrap/>
              <w:overflowPunct/>
              <w:topLinePunct w:val="0"/>
              <w:autoSpaceDE/>
              <w:autoSpaceDN/>
              <w:bidi w:val="0"/>
              <w:adjustRightInd/>
              <w:snapToGrid w:val="0"/>
              <w:spacing w:line="240" w:lineRule="auto"/>
              <w:ind w:right="-100" w:rightChars="-36" w:firstLine="440" w:firstLineChars="200"/>
              <w:jc w:val="left"/>
              <w:textAlignment w:val="auto"/>
              <w:rPr>
                <w:rFonts w:hint="eastAsia" w:ascii="黑体" w:hAnsi="黑体" w:eastAsia="黑体" w:cs="黑体"/>
                <w:sz w:val="22"/>
                <w:szCs w:val="22"/>
                <w:highlight w:val="none"/>
                <w:lang w:val="en-US" w:eastAsia="zh-CN"/>
              </w:rPr>
            </w:pPr>
            <w:r>
              <w:rPr>
                <w:rFonts w:hint="eastAsia" w:ascii="黑体" w:hAnsi="黑体" w:eastAsia="黑体" w:cs="黑体"/>
                <w:sz w:val="22"/>
                <w:szCs w:val="22"/>
                <w:highlight w:val="none"/>
                <w:lang w:val="en-US" w:eastAsia="zh-CN"/>
              </w:rPr>
              <w:t xml:space="preserve">2.方案包含上述所有内容的基础上，内容存在1处瑕疵的得10分； </w:t>
            </w:r>
          </w:p>
          <w:p w14:paraId="30057543">
            <w:pPr>
              <w:keepNext w:val="0"/>
              <w:keepLines w:val="0"/>
              <w:pageBreakBefore w:val="0"/>
              <w:widowControl w:val="0"/>
              <w:kinsoku/>
              <w:wordWrap/>
              <w:overflowPunct/>
              <w:topLinePunct w:val="0"/>
              <w:autoSpaceDE/>
              <w:autoSpaceDN/>
              <w:bidi w:val="0"/>
              <w:adjustRightInd/>
              <w:snapToGrid w:val="0"/>
              <w:spacing w:line="240" w:lineRule="auto"/>
              <w:ind w:right="-100" w:rightChars="-36" w:firstLine="440" w:firstLineChars="200"/>
              <w:jc w:val="left"/>
              <w:textAlignment w:val="auto"/>
              <w:rPr>
                <w:rFonts w:hint="eastAsia" w:ascii="黑体" w:hAnsi="黑体" w:eastAsia="黑体" w:cs="黑体"/>
                <w:sz w:val="22"/>
                <w:szCs w:val="22"/>
                <w:highlight w:val="none"/>
                <w:lang w:val="en-US" w:eastAsia="zh-CN"/>
              </w:rPr>
            </w:pPr>
            <w:r>
              <w:rPr>
                <w:rFonts w:hint="eastAsia" w:ascii="黑体" w:hAnsi="黑体" w:eastAsia="黑体" w:cs="黑体"/>
                <w:sz w:val="22"/>
                <w:szCs w:val="22"/>
                <w:highlight w:val="none"/>
                <w:lang w:val="en-US" w:eastAsia="zh-CN"/>
              </w:rPr>
              <w:t>3.方案包含上述所有内容的基础上，内容存在2处瑕疵的得5分；</w:t>
            </w:r>
          </w:p>
          <w:p w14:paraId="442F6F68">
            <w:pPr>
              <w:keepNext w:val="0"/>
              <w:keepLines w:val="0"/>
              <w:pageBreakBefore w:val="0"/>
              <w:widowControl w:val="0"/>
              <w:kinsoku/>
              <w:wordWrap/>
              <w:overflowPunct/>
              <w:topLinePunct w:val="0"/>
              <w:autoSpaceDE/>
              <w:autoSpaceDN/>
              <w:bidi w:val="0"/>
              <w:adjustRightInd/>
              <w:snapToGrid w:val="0"/>
              <w:spacing w:line="240" w:lineRule="auto"/>
              <w:ind w:right="-100" w:rightChars="-36" w:firstLine="44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sz w:val="22"/>
                <w:szCs w:val="22"/>
                <w:highlight w:val="none"/>
                <w:lang w:val="en-US" w:eastAsia="zh-CN"/>
              </w:rPr>
              <w:t>4.方案包含上述内容不全或内容存在3处以上瑕疵的或未提供得0分。</w:t>
            </w:r>
          </w:p>
        </w:tc>
        <w:tc>
          <w:tcPr>
            <w:tcW w:w="1830" w:type="dxa"/>
            <w:vMerge w:val="continue"/>
            <w:noWrap w:val="0"/>
            <w:vAlign w:val="center"/>
          </w:tcPr>
          <w:p w14:paraId="6A558943">
            <w:pPr>
              <w:pageBreakBefore w:val="0"/>
              <w:kinsoku/>
              <w:overflowPunct/>
              <w:topLinePunct w:val="0"/>
              <w:autoSpaceDE/>
              <w:autoSpaceDN/>
              <w:bidi w:val="0"/>
              <w:adjustRightInd/>
              <w:spacing w:line="240" w:lineRule="auto"/>
              <w:ind w:firstLine="28"/>
              <w:jc w:val="left"/>
              <w:rPr>
                <w:rFonts w:hint="eastAsia" w:ascii="黑体" w:hAnsi="黑体" w:eastAsia="黑体" w:cs="黑体"/>
                <w:color w:val="auto"/>
                <w:sz w:val="24"/>
                <w:szCs w:val="24"/>
                <w:highlight w:val="none"/>
              </w:rPr>
            </w:pPr>
          </w:p>
        </w:tc>
      </w:tr>
      <w:tr w14:paraId="5443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trPr>
        <w:tc>
          <w:tcPr>
            <w:tcW w:w="808" w:type="dxa"/>
            <w:vMerge w:val="continue"/>
            <w:noWrap w:val="0"/>
            <w:vAlign w:val="center"/>
          </w:tcPr>
          <w:p w14:paraId="3781DCA2">
            <w:pPr>
              <w:pageBreakBefore w:val="0"/>
              <w:kinsoku/>
              <w:overflowPunct/>
              <w:topLinePunct w:val="0"/>
              <w:autoSpaceDE/>
              <w:autoSpaceDN/>
              <w:bidi w:val="0"/>
              <w:adjustRightInd/>
              <w:spacing w:line="240" w:lineRule="auto"/>
              <w:ind w:firstLine="28"/>
              <w:jc w:val="center"/>
              <w:rPr>
                <w:rFonts w:hint="eastAsia" w:ascii="黑体" w:hAnsi="黑体" w:eastAsia="黑体" w:cs="黑体"/>
                <w:color w:val="auto"/>
                <w:sz w:val="24"/>
                <w:szCs w:val="24"/>
                <w:highlight w:val="none"/>
              </w:rPr>
            </w:pPr>
          </w:p>
        </w:tc>
        <w:tc>
          <w:tcPr>
            <w:tcW w:w="1290" w:type="dxa"/>
            <w:vMerge w:val="continue"/>
            <w:noWrap w:val="0"/>
            <w:vAlign w:val="center"/>
          </w:tcPr>
          <w:p w14:paraId="1AF5A969">
            <w:pPr>
              <w:pageBreakBefore w:val="0"/>
              <w:kinsoku/>
              <w:overflowPunct/>
              <w:topLinePunct w:val="0"/>
              <w:autoSpaceDE/>
              <w:autoSpaceDN/>
              <w:bidi w:val="0"/>
              <w:adjustRightInd/>
              <w:spacing w:line="240" w:lineRule="auto"/>
              <w:ind w:firstLine="28"/>
              <w:jc w:val="center"/>
              <w:rPr>
                <w:rFonts w:hint="eastAsia" w:ascii="黑体" w:hAnsi="黑体" w:eastAsia="黑体" w:cs="黑体"/>
                <w:color w:val="auto"/>
                <w:sz w:val="24"/>
                <w:szCs w:val="24"/>
                <w:highlight w:val="none"/>
              </w:rPr>
            </w:pPr>
          </w:p>
        </w:tc>
        <w:tc>
          <w:tcPr>
            <w:tcW w:w="1113" w:type="dxa"/>
            <w:noWrap w:val="0"/>
            <w:vAlign w:val="center"/>
          </w:tcPr>
          <w:p w14:paraId="5DD827E8">
            <w:pPr>
              <w:keepNext w:val="0"/>
              <w:keepLines w:val="0"/>
              <w:pageBreakBefore w:val="0"/>
              <w:widowControl w:val="0"/>
              <w:kinsoku/>
              <w:wordWrap/>
              <w:overflowPunct/>
              <w:topLinePunct w:val="0"/>
              <w:autoSpaceDE/>
              <w:autoSpaceDN/>
              <w:bidi w:val="0"/>
              <w:adjustRightInd/>
              <w:snapToGrid w:val="0"/>
              <w:spacing w:line="240" w:lineRule="auto"/>
              <w:ind w:right="-100" w:rightChars="-36"/>
              <w:jc w:val="center"/>
              <w:textAlignment w:val="auto"/>
              <w:rPr>
                <w:rFonts w:hint="eastAsia" w:ascii="黑体" w:hAnsi="黑体" w:eastAsia="黑体" w:cs="黑体"/>
                <w:sz w:val="22"/>
                <w:szCs w:val="22"/>
                <w:highlight w:val="none"/>
                <w:lang w:val="en-US" w:eastAsia="zh-CN"/>
              </w:rPr>
            </w:pPr>
            <w:r>
              <w:rPr>
                <w:rFonts w:hint="eastAsia" w:ascii="黑体" w:hAnsi="黑体" w:eastAsia="黑体" w:cs="黑体"/>
                <w:sz w:val="22"/>
                <w:szCs w:val="22"/>
                <w:highlight w:val="none"/>
                <w:lang w:val="en-US" w:eastAsia="zh-CN"/>
              </w:rPr>
              <w:t>应急预案</w:t>
            </w:r>
          </w:p>
          <w:p w14:paraId="31FAE34E">
            <w:pPr>
              <w:pStyle w:val="15"/>
              <w:jc w:val="center"/>
              <w:rPr>
                <w:rFonts w:hint="eastAsia" w:ascii="黑体" w:hAnsi="黑体" w:eastAsia="黑体" w:cs="黑体"/>
                <w:color w:val="auto"/>
                <w:sz w:val="24"/>
                <w:szCs w:val="24"/>
                <w:highlight w:val="none"/>
                <w:lang w:val="en-US" w:eastAsia="zh-CN"/>
              </w:rPr>
            </w:pPr>
            <w:r>
              <w:rPr>
                <w:rFonts w:hint="eastAsia" w:ascii="黑体" w:hAnsi="黑体" w:eastAsia="黑体" w:cs="黑体"/>
                <w:sz w:val="22"/>
                <w:szCs w:val="22"/>
                <w:highlight w:val="none"/>
                <w:lang w:val="en-US" w:eastAsia="zh-CN"/>
              </w:rPr>
              <w:t>（15分）</w:t>
            </w:r>
          </w:p>
        </w:tc>
        <w:tc>
          <w:tcPr>
            <w:tcW w:w="4404" w:type="dxa"/>
            <w:noWrap w:val="0"/>
            <w:vAlign w:val="center"/>
          </w:tcPr>
          <w:p w14:paraId="4826FB55">
            <w:pPr>
              <w:keepNext w:val="0"/>
              <w:keepLines w:val="0"/>
              <w:pageBreakBefore w:val="0"/>
              <w:widowControl w:val="0"/>
              <w:kinsoku/>
              <w:wordWrap/>
              <w:overflowPunct/>
              <w:topLinePunct w:val="0"/>
              <w:autoSpaceDE/>
              <w:autoSpaceDN/>
              <w:bidi w:val="0"/>
              <w:adjustRightInd/>
              <w:snapToGrid w:val="0"/>
              <w:spacing w:line="240" w:lineRule="auto"/>
              <w:ind w:right="-100" w:rightChars="-36" w:firstLine="440" w:firstLineChars="200"/>
              <w:jc w:val="left"/>
              <w:textAlignment w:val="auto"/>
              <w:rPr>
                <w:rFonts w:hint="eastAsia" w:ascii="黑体" w:hAnsi="黑体" w:eastAsia="黑体" w:cs="黑体"/>
                <w:sz w:val="22"/>
                <w:szCs w:val="22"/>
                <w:highlight w:val="none"/>
                <w:lang w:val="en-US" w:eastAsia="zh-CN"/>
              </w:rPr>
            </w:pPr>
            <w:r>
              <w:rPr>
                <w:rFonts w:hint="eastAsia" w:ascii="黑体" w:hAnsi="黑体" w:eastAsia="黑体" w:cs="黑体"/>
                <w:sz w:val="22"/>
                <w:szCs w:val="22"/>
                <w:highlight w:val="none"/>
                <w:lang w:val="en-US" w:eastAsia="zh-CN"/>
              </w:rPr>
              <w:t>供应商</w:t>
            </w:r>
            <w:r>
              <w:rPr>
                <w:rFonts w:hint="eastAsia" w:ascii="黑体" w:hAnsi="黑体" w:eastAsia="黑体" w:cs="黑体"/>
                <w:sz w:val="22"/>
                <w:szCs w:val="22"/>
                <w:highlight w:val="none"/>
                <w:lang w:val="zh-CN" w:eastAsia="zh-CN"/>
              </w:rPr>
              <w:t>针对</w:t>
            </w:r>
            <w:r>
              <w:rPr>
                <w:rFonts w:hint="eastAsia" w:ascii="黑体" w:hAnsi="黑体" w:eastAsia="黑体" w:cs="黑体"/>
                <w:sz w:val="22"/>
                <w:szCs w:val="22"/>
                <w:highlight w:val="none"/>
                <w:lang w:val="en-US" w:eastAsia="zh-CN"/>
              </w:rPr>
              <w:t>本项目</w:t>
            </w:r>
            <w:r>
              <w:rPr>
                <w:rFonts w:hint="eastAsia" w:ascii="黑体" w:hAnsi="黑体" w:eastAsia="黑体" w:cs="黑体"/>
                <w:sz w:val="22"/>
                <w:szCs w:val="22"/>
                <w:highlight w:val="none"/>
                <w:lang w:val="zh-CN" w:eastAsia="zh-CN"/>
              </w:rPr>
              <w:t>具体情况，编写</w:t>
            </w:r>
            <w:r>
              <w:rPr>
                <w:rFonts w:hint="eastAsia" w:ascii="黑体" w:hAnsi="黑体" w:eastAsia="黑体" w:cs="黑体"/>
                <w:sz w:val="22"/>
                <w:szCs w:val="22"/>
                <w:highlight w:val="none"/>
                <w:lang w:val="en-US" w:eastAsia="zh-CN"/>
              </w:rPr>
              <w:t>应急预案，方案包含但不限于工程应急抢修响应组织架构、应急传达机制、应急设施设备配置、工程应急抢修流程。</w:t>
            </w:r>
          </w:p>
          <w:p w14:paraId="6634152F">
            <w:pPr>
              <w:keepNext w:val="0"/>
              <w:keepLines w:val="0"/>
              <w:pageBreakBefore w:val="0"/>
              <w:widowControl w:val="0"/>
              <w:kinsoku/>
              <w:wordWrap/>
              <w:overflowPunct/>
              <w:topLinePunct w:val="0"/>
              <w:autoSpaceDE/>
              <w:autoSpaceDN/>
              <w:bidi w:val="0"/>
              <w:adjustRightInd/>
              <w:snapToGrid w:val="0"/>
              <w:spacing w:line="240" w:lineRule="auto"/>
              <w:ind w:right="-100" w:rightChars="-36" w:firstLine="440" w:firstLineChars="200"/>
              <w:jc w:val="left"/>
              <w:textAlignment w:val="auto"/>
              <w:rPr>
                <w:rFonts w:hint="eastAsia" w:ascii="黑体" w:hAnsi="黑体" w:eastAsia="黑体" w:cs="黑体"/>
                <w:sz w:val="22"/>
                <w:szCs w:val="22"/>
                <w:highlight w:val="none"/>
                <w:lang w:val="en-US" w:eastAsia="zh-CN"/>
              </w:rPr>
            </w:pPr>
            <w:r>
              <w:rPr>
                <w:rFonts w:hint="eastAsia" w:ascii="黑体" w:hAnsi="黑体" w:eastAsia="黑体" w:cs="黑体"/>
                <w:sz w:val="22"/>
                <w:szCs w:val="22"/>
                <w:highlight w:val="none"/>
                <w:lang w:val="en-US" w:eastAsia="zh-CN"/>
              </w:rPr>
              <w:t xml:space="preserve">1.方案包含上述所有内容的基础上，内容不存在瑕疵的得15分； </w:t>
            </w:r>
          </w:p>
          <w:p w14:paraId="20E89553">
            <w:pPr>
              <w:keepNext w:val="0"/>
              <w:keepLines w:val="0"/>
              <w:pageBreakBefore w:val="0"/>
              <w:widowControl w:val="0"/>
              <w:kinsoku/>
              <w:wordWrap/>
              <w:overflowPunct/>
              <w:topLinePunct w:val="0"/>
              <w:autoSpaceDE/>
              <w:autoSpaceDN/>
              <w:bidi w:val="0"/>
              <w:adjustRightInd/>
              <w:snapToGrid w:val="0"/>
              <w:spacing w:line="240" w:lineRule="auto"/>
              <w:ind w:right="-100" w:rightChars="-36" w:firstLine="440" w:firstLineChars="200"/>
              <w:jc w:val="left"/>
              <w:textAlignment w:val="auto"/>
              <w:rPr>
                <w:rFonts w:hint="eastAsia" w:ascii="黑体" w:hAnsi="黑体" w:eastAsia="黑体" w:cs="黑体"/>
                <w:sz w:val="22"/>
                <w:szCs w:val="22"/>
                <w:highlight w:val="none"/>
                <w:lang w:val="en-US" w:eastAsia="zh-CN"/>
              </w:rPr>
            </w:pPr>
            <w:r>
              <w:rPr>
                <w:rFonts w:hint="eastAsia" w:ascii="黑体" w:hAnsi="黑体" w:eastAsia="黑体" w:cs="黑体"/>
                <w:sz w:val="22"/>
                <w:szCs w:val="22"/>
                <w:highlight w:val="none"/>
                <w:lang w:val="en-US" w:eastAsia="zh-CN"/>
              </w:rPr>
              <w:t xml:space="preserve">2.方案包含上述所有内容的基础上，内容存在1处瑕疵的得10分； </w:t>
            </w:r>
          </w:p>
          <w:p w14:paraId="7C73D004">
            <w:pPr>
              <w:keepNext w:val="0"/>
              <w:keepLines w:val="0"/>
              <w:pageBreakBefore w:val="0"/>
              <w:widowControl w:val="0"/>
              <w:kinsoku/>
              <w:wordWrap/>
              <w:overflowPunct/>
              <w:topLinePunct w:val="0"/>
              <w:autoSpaceDE/>
              <w:autoSpaceDN/>
              <w:bidi w:val="0"/>
              <w:adjustRightInd/>
              <w:snapToGrid w:val="0"/>
              <w:spacing w:line="240" w:lineRule="auto"/>
              <w:ind w:right="-100" w:rightChars="-36" w:firstLine="440" w:firstLineChars="200"/>
              <w:jc w:val="left"/>
              <w:textAlignment w:val="auto"/>
              <w:rPr>
                <w:rFonts w:hint="eastAsia" w:ascii="黑体" w:hAnsi="黑体" w:eastAsia="黑体" w:cs="黑体"/>
                <w:sz w:val="22"/>
                <w:szCs w:val="22"/>
                <w:highlight w:val="none"/>
                <w:lang w:val="en-US" w:eastAsia="zh-CN"/>
              </w:rPr>
            </w:pPr>
            <w:r>
              <w:rPr>
                <w:rFonts w:hint="eastAsia" w:ascii="黑体" w:hAnsi="黑体" w:eastAsia="黑体" w:cs="黑体"/>
                <w:sz w:val="22"/>
                <w:szCs w:val="22"/>
                <w:highlight w:val="none"/>
                <w:lang w:val="en-US" w:eastAsia="zh-CN"/>
              </w:rPr>
              <w:t>3.方案包含上述所有内容的基础上，内容存在2处瑕疵的得5分；</w:t>
            </w:r>
          </w:p>
          <w:p w14:paraId="61430D4F">
            <w:pPr>
              <w:keepNext w:val="0"/>
              <w:keepLines w:val="0"/>
              <w:pageBreakBefore w:val="0"/>
              <w:widowControl w:val="0"/>
              <w:kinsoku/>
              <w:wordWrap/>
              <w:overflowPunct/>
              <w:topLinePunct w:val="0"/>
              <w:autoSpaceDE/>
              <w:autoSpaceDN/>
              <w:bidi w:val="0"/>
              <w:adjustRightInd/>
              <w:snapToGrid w:val="0"/>
              <w:spacing w:line="240" w:lineRule="auto"/>
              <w:ind w:right="-100" w:rightChars="-36" w:firstLine="440" w:firstLineChars="200"/>
              <w:jc w:val="left"/>
              <w:textAlignment w:val="auto"/>
              <w:rPr>
                <w:rFonts w:hint="eastAsia" w:ascii="黑体" w:hAnsi="黑体" w:eastAsia="黑体" w:cs="黑体"/>
                <w:lang w:val="en-US" w:eastAsia="zh-CN"/>
              </w:rPr>
            </w:pPr>
            <w:r>
              <w:rPr>
                <w:rFonts w:hint="eastAsia" w:ascii="黑体" w:hAnsi="黑体" w:eastAsia="黑体" w:cs="黑体"/>
                <w:sz w:val="22"/>
                <w:szCs w:val="22"/>
                <w:highlight w:val="none"/>
                <w:lang w:val="en-US" w:eastAsia="zh-CN"/>
              </w:rPr>
              <w:t>4.方案包含上述内容不全或内容存在3处以上瑕疵的或未提供得0分。</w:t>
            </w:r>
          </w:p>
        </w:tc>
        <w:tc>
          <w:tcPr>
            <w:tcW w:w="1830" w:type="dxa"/>
            <w:vMerge w:val="continue"/>
            <w:noWrap w:val="0"/>
            <w:vAlign w:val="center"/>
          </w:tcPr>
          <w:p w14:paraId="2B33B737">
            <w:pPr>
              <w:pageBreakBefore w:val="0"/>
              <w:kinsoku/>
              <w:overflowPunct/>
              <w:topLinePunct w:val="0"/>
              <w:autoSpaceDE/>
              <w:autoSpaceDN/>
              <w:bidi w:val="0"/>
              <w:adjustRightInd/>
              <w:spacing w:line="240" w:lineRule="auto"/>
              <w:ind w:firstLine="28"/>
              <w:jc w:val="left"/>
              <w:rPr>
                <w:rFonts w:hint="eastAsia" w:ascii="黑体" w:hAnsi="黑体" w:eastAsia="黑体" w:cs="黑体"/>
                <w:color w:val="auto"/>
                <w:sz w:val="24"/>
                <w:szCs w:val="24"/>
                <w:highlight w:val="none"/>
              </w:rPr>
            </w:pPr>
          </w:p>
        </w:tc>
      </w:tr>
      <w:tr w14:paraId="39E5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445" w:type="dxa"/>
            <w:gridSpan w:val="5"/>
            <w:noWrap w:val="0"/>
            <w:vAlign w:val="center"/>
          </w:tcPr>
          <w:p w14:paraId="3A358A4A">
            <w:pPr>
              <w:pageBreakBefore w:val="0"/>
              <w:kinsoku/>
              <w:overflowPunct/>
              <w:topLinePunct w:val="0"/>
              <w:autoSpaceDE/>
              <w:autoSpaceDN/>
              <w:bidi w:val="0"/>
              <w:adjustRightInd/>
              <w:snapToGrid w:val="0"/>
              <w:spacing w:line="240" w:lineRule="auto"/>
              <w:jc w:val="lef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注：本项内容中所称的“瑕疵”：</w:t>
            </w:r>
          </w:p>
          <w:p w14:paraId="68245D94">
            <w:pPr>
              <w:pageBreakBefore w:val="0"/>
              <w:kinsoku/>
              <w:overflowPunct/>
              <w:topLinePunct w:val="0"/>
              <w:autoSpaceDE/>
              <w:autoSpaceDN/>
              <w:bidi w:val="0"/>
              <w:adjustRightInd/>
              <w:snapToGrid w:val="0"/>
              <w:spacing w:line="240" w:lineRule="auto"/>
              <w:jc w:val="lef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①内容表述不完整或缺少关键分析点；</w:t>
            </w:r>
          </w:p>
          <w:p w14:paraId="413C9070">
            <w:pPr>
              <w:pageBreakBefore w:val="0"/>
              <w:kinsoku/>
              <w:overflowPunct/>
              <w:topLinePunct w:val="0"/>
              <w:autoSpaceDE/>
              <w:autoSpaceDN/>
              <w:bidi w:val="0"/>
              <w:adjustRightInd/>
              <w:snapToGrid w:val="0"/>
              <w:spacing w:line="240" w:lineRule="auto"/>
              <w:jc w:val="lef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②计划及措施不科学合理方案；</w:t>
            </w:r>
          </w:p>
          <w:p w14:paraId="0F6535B6">
            <w:pPr>
              <w:pageBreakBefore w:val="0"/>
              <w:kinsoku/>
              <w:overflowPunct/>
              <w:topLinePunct w:val="0"/>
              <w:autoSpaceDE/>
              <w:autoSpaceDN/>
              <w:bidi w:val="0"/>
              <w:adjustRightInd/>
              <w:snapToGrid w:val="0"/>
              <w:spacing w:line="240" w:lineRule="auto"/>
              <w:jc w:val="lef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③内容表述前后矛盾、无连贯性、内容存在逻辑漏洞；</w:t>
            </w:r>
          </w:p>
          <w:p w14:paraId="267757F7">
            <w:pPr>
              <w:pageBreakBefore w:val="0"/>
              <w:kinsoku/>
              <w:overflowPunct/>
              <w:topLinePunct w:val="0"/>
              <w:autoSpaceDE/>
              <w:autoSpaceDN/>
              <w:bidi w:val="0"/>
              <w:adjustRightInd/>
              <w:snapToGrid w:val="0"/>
              <w:spacing w:line="240" w:lineRule="auto"/>
              <w:jc w:val="lef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④常识性错误；</w:t>
            </w:r>
          </w:p>
          <w:p w14:paraId="78276D5E">
            <w:pPr>
              <w:pageBreakBefore w:val="0"/>
              <w:kinsoku/>
              <w:overflowPunct/>
              <w:topLinePunct w:val="0"/>
              <w:autoSpaceDE/>
              <w:autoSpaceDN/>
              <w:bidi w:val="0"/>
              <w:adjustRightInd/>
              <w:snapToGrid w:val="0"/>
              <w:spacing w:line="240" w:lineRule="auto"/>
              <w:jc w:val="lef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⑤技术措施保障安排并不适用本项目特性或非专门针对本项目制定；</w:t>
            </w:r>
          </w:p>
          <w:p w14:paraId="1ADC2BC8">
            <w:pPr>
              <w:pageBreakBefore w:val="0"/>
              <w:kinsoku/>
              <w:overflowPunct/>
              <w:topLinePunct w:val="0"/>
              <w:autoSpaceDE/>
              <w:autoSpaceDN/>
              <w:bidi w:val="0"/>
              <w:adjustRightInd/>
              <w:snapToGrid w:val="0"/>
              <w:spacing w:line="240" w:lineRule="auto"/>
              <w:jc w:val="lef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⑥方案中提出的措施举措不利于本项目目标的实现；</w:t>
            </w:r>
          </w:p>
          <w:p w14:paraId="0E7B7A40">
            <w:pPr>
              <w:pageBreakBefore w:val="0"/>
              <w:kinsoku/>
              <w:overflowPunct/>
              <w:topLinePunct w:val="0"/>
              <w:autoSpaceDE/>
              <w:autoSpaceDN/>
              <w:bidi w:val="0"/>
              <w:adjustRightInd/>
              <w:snapToGrid w:val="0"/>
              <w:spacing w:line="240" w:lineRule="auto"/>
              <w:jc w:val="lef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⑦现有技术条件下不可能实现采购目标；</w:t>
            </w:r>
          </w:p>
          <w:p w14:paraId="5DC7B799">
            <w:pPr>
              <w:pageBreakBefore w:val="0"/>
              <w:kinsoku/>
              <w:overflowPunct/>
              <w:topLinePunct w:val="0"/>
              <w:autoSpaceDE/>
              <w:autoSpaceDN/>
              <w:bidi w:val="0"/>
              <w:adjustRightInd/>
              <w:spacing w:line="240" w:lineRule="auto"/>
              <w:ind w:firstLine="28"/>
              <w:jc w:val="left"/>
              <w:rPr>
                <w:rFonts w:hint="eastAsia" w:ascii="黑体" w:hAnsi="黑体" w:eastAsia="黑体" w:cs="黑体"/>
                <w:color w:val="auto"/>
                <w:sz w:val="24"/>
                <w:szCs w:val="24"/>
                <w:highlight w:val="none"/>
              </w:rPr>
            </w:pPr>
            <w:r>
              <w:rPr>
                <w:rFonts w:hint="eastAsia" w:ascii="黑体" w:hAnsi="黑体" w:eastAsia="黑体" w:cs="黑体"/>
                <w:color w:val="auto"/>
                <w:sz w:val="21"/>
                <w:szCs w:val="21"/>
                <w:highlight w:val="none"/>
              </w:rPr>
              <w:t>上述任意一种情形为1处瑕疵。</w:t>
            </w:r>
          </w:p>
        </w:tc>
      </w:tr>
      <w:tr w14:paraId="17DE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808" w:type="dxa"/>
            <w:noWrap w:val="0"/>
            <w:vAlign w:val="center"/>
          </w:tcPr>
          <w:p w14:paraId="2D9E35FA">
            <w:pPr>
              <w:pageBreakBefore w:val="0"/>
              <w:kinsoku/>
              <w:overflowPunct/>
              <w:topLinePunct w:val="0"/>
              <w:autoSpaceDE/>
              <w:autoSpaceDN/>
              <w:bidi w:val="0"/>
              <w:adjustRightInd/>
              <w:spacing w:line="240" w:lineRule="auto"/>
              <w:ind w:firstLine="28"/>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1290" w:type="dxa"/>
            <w:noWrap w:val="0"/>
            <w:vAlign w:val="center"/>
          </w:tcPr>
          <w:p w14:paraId="085DFCD4">
            <w:pPr>
              <w:pageBreakBefore w:val="0"/>
              <w:kinsoku/>
              <w:overflowPunct/>
              <w:topLinePunct w:val="0"/>
              <w:autoSpaceDE/>
              <w:autoSpaceDN/>
              <w:bidi w:val="0"/>
              <w:adjustRightInd/>
              <w:spacing w:line="240" w:lineRule="auto"/>
              <w:ind w:left="-38" w:firstLine="28"/>
              <w:jc w:val="center"/>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商务部分（</w:t>
            </w:r>
            <w:r>
              <w:rPr>
                <w:rFonts w:hint="eastAsia" w:ascii="黑体" w:hAnsi="黑体" w:eastAsia="黑体" w:cs="黑体"/>
                <w:color w:val="auto"/>
                <w:sz w:val="22"/>
                <w:szCs w:val="22"/>
                <w:highlight w:val="none"/>
                <w:lang w:val="en-US" w:eastAsia="zh-CN"/>
              </w:rPr>
              <w:t>1</w:t>
            </w:r>
            <w:r>
              <w:rPr>
                <w:rFonts w:hint="eastAsia" w:ascii="黑体" w:hAnsi="黑体" w:eastAsia="黑体" w:cs="黑体"/>
                <w:color w:val="auto"/>
                <w:sz w:val="22"/>
                <w:szCs w:val="22"/>
                <w:highlight w:val="none"/>
              </w:rPr>
              <w:t>0%）</w:t>
            </w:r>
          </w:p>
        </w:tc>
        <w:tc>
          <w:tcPr>
            <w:tcW w:w="1113" w:type="dxa"/>
            <w:noWrap w:val="0"/>
            <w:vAlign w:val="center"/>
          </w:tcPr>
          <w:p w14:paraId="72BBF102">
            <w:pPr>
              <w:pageBreakBefore w:val="0"/>
              <w:widowControl/>
              <w:kinsoku/>
              <w:overflowPunct/>
              <w:topLinePunct w:val="0"/>
              <w:autoSpaceDE/>
              <w:autoSpaceDN/>
              <w:bidi w:val="0"/>
              <w:adjustRightInd/>
              <w:spacing w:line="240" w:lineRule="auto"/>
              <w:jc w:val="center"/>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lang w:val="en-US" w:eastAsia="zh-CN"/>
              </w:rPr>
              <w:t>1</w:t>
            </w:r>
            <w:r>
              <w:rPr>
                <w:rFonts w:hint="eastAsia" w:ascii="黑体" w:hAnsi="黑体" w:eastAsia="黑体" w:cs="黑体"/>
                <w:color w:val="auto"/>
                <w:kern w:val="0"/>
                <w:sz w:val="22"/>
                <w:szCs w:val="22"/>
                <w:highlight w:val="none"/>
              </w:rPr>
              <w:t>0分</w:t>
            </w:r>
          </w:p>
        </w:tc>
        <w:tc>
          <w:tcPr>
            <w:tcW w:w="4404" w:type="dxa"/>
            <w:noWrap w:val="0"/>
            <w:vAlign w:val="center"/>
          </w:tcPr>
          <w:p w14:paraId="53970893">
            <w:pPr>
              <w:pageBreakBefore w:val="0"/>
              <w:kinsoku/>
              <w:overflowPunct/>
              <w:topLinePunct w:val="0"/>
              <w:autoSpaceDE/>
              <w:autoSpaceDN/>
              <w:bidi w:val="0"/>
              <w:adjustRightInd/>
              <w:spacing w:line="24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供应商</w:t>
            </w:r>
            <w:r>
              <w:rPr>
                <w:rFonts w:hint="eastAsia" w:ascii="黑体" w:hAnsi="黑体" w:eastAsia="黑体" w:cs="黑体"/>
                <w:color w:val="auto"/>
                <w:sz w:val="22"/>
                <w:szCs w:val="22"/>
                <w:highlight w:val="none"/>
                <w:lang w:val="en-US" w:eastAsia="zh-CN"/>
              </w:rPr>
              <w:t>承担</w:t>
            </w:r>
            <w:r>
              <w:rPr>
                <w:rFonts w:hint="eastAsia" w:ascii="黑体" w:hAnsi="黑体" w:eastAsia="黑体" w:cs="黑体"/>
                <w:color w:val="auto"/>
                <w:sz w:val="22"/>
                <w:szCs w:val="22"/>
                <w:highlight w:val="none"/>
              </w:rPr>
              <w:t>过</w:t>
            </w:r>
            <w:r>
              <w:rPr>
                <w:rFonts w:hint="eastAsia" w:ascii="黑体" w:hAnsi="黑体" w:eastAsia="黑体" w:cs="黑体"/>
                <w:color w:val="auto"/>
                <w:sz w:val="22"/>
                <w:szCs w:val="22"/>
                <w:highlight w:val="none"/>
                <w:lang w:val="en-US" w:eastAsia="zh-CN"/>
              </w:rPr>
              <w:t>类似</w:t>
            </w:r>
            <w:r>
              <w:rPr>
                <w:rFonts w:hint="eastAsia" w:ascii="黑体" w:hAnsi="黑体" w:eastAsia="黑体" w:cs="黑体"/>
                <w:color w:val="auto"/>
                <w:sz w:val="22"/>
                <w:szCs w:val="22"/>
                <w:highlight w:val="none"/>
              </w:rPr>
              <w:t>业绩的，每提供一个得</w:t>
            </w:r>
            <w:r>
              <w:rPr>
                <w:rFonts w:hint="eastAsia" w:ascii="黑体" w:hAnsi="黑体" w:eastAsia="黑体" w:cs="黑体"/>
                <w:color w:val="auto"/>
                <w:sz w:val="22"/>
                <w:szCs w:val="22"/>
                <w:highlight w:val="none"/>
                <w:lang w:val="en-US" w:eastAsia="zh-CN"/>
              </w:rPr>
              <w:t>5</w:t>
            </w:r>
            <w:r>
              <w:rPr>
                <w:rFonts w:hint="eastAsia" w:ascii="黑体" w:hAnsi="黑体" w:eastAsia="黑体" w:cs="黑体"/>
                <w:color w:val="auto"/>
                <w:sz w:val="22"/>
                <w:szCs w:val="22"/>
                <w:highlight w:val="none"/>
              </w:rPr>
              <w:t>分，本项最多得</w:t>
            </w:r>
            <w:r>
              <w:rPr>
                <w:rFonts w:hint="eastAsia" w:ascii="黑体" w:hAnsi="黑体" w:eastAsia="黑体" w:cs="黑体"/>
                <w:color w:val="auto"/>
                <w:sz w:val="22"/>
                <w:szCs w:val="22"/>
                <w:highlight w:val="none"/>
                <w:lang w:val="en-US" w:eastAsia="zh-CN"/>
              </w:rPr>
              <w:t>10</w:t>
            </w:r>
            <w:r>
              <w:rPr>
                <w:rFonts w:hint="eastAsia" w:ascii="黑体" w:hAnsi="黑体" w:eastAsia="黑体" w:cs="黑体"/>
                <w:color w:val="auto"/>
                <w:sz w:val="22"/>
                <w:szCs w:val="22"/>
                <w:highlight w:val="none"/>
              </w:rPr>
              <w:t>分，未提供不得分。</w:t>
            </w:r>
          </w:p>
          <w:p w14:paraId="3619C8AA">
            <w:pPr>
              <w:pageBreakBefore w:val="0"/>
              <w:kinsoku/>
              <w:overflowPunct/>
              <w:topLinePunct w:val="0"/>
              <w:autoSpaceDE/>
              <w:autoSpaceDN/>
              <w:bidi w:val="0"/>
              <w:adjustRightInd/>
              <w:spacing w:line="240" w:lineRule="auto"/>
              <w:ind w:firstLine="440" w:firstLineChars="200"/>
              <w:rPr>
                <w:rFonts w:hint="default"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类似业绩指合同包含改造或维修等服务内容。</w:t>
            </w:r>
          </w:p>
        </w:tc>
        <w:tc>
          <w:tcPr>
            <w:tcW w:w="1830" w:type="dxa"/>
            <w:noWrap w:val="0"/>
            <w:vAlign w:val="center"/>
          </w:tcPr>
          <w:p w14:paraId="483582BF">
            <w:pPr>
              <w:pStyle w:val="23"/>
              <w:pageBreakBefore w:val="0"/>
              <w:kinsoku/>
              <w:overflowPunct/>
              <w:topLinePunct w:val="0"/>
              <w:autoSpaceDE/>
              <w:autoSpaceDN/>
              <w:bidi w:val="0"/>
              <w:adjustRightInd/>
              <w:spacing w:line="240" w:lineRule="auto"/>
              <w:ind w:left="0" w:leftChars="0" w:firstLine="0" w:firstLineChars="0"/>
              <w:jc w:val="left"/>
              <w:rPr>
                <w:rFonts w:hint="eastAsia" w:ascii="黑体" w:hAnsi="黑体" w:eastAsia="黑体" w:cs="黑体"/>
                <w:color w:val="auto"/>
                <w:sz w:val="22"/>
                <w:szCs w:val="22"/>
                <w:highlight w:val="none"/>
                <w:lang w:val="en-US" w:eastAsia="zh-CN"/>
              </w:rPr>
            </w:pPr>
            <w:r>
              <w:rPr>
                <w:rFonts w:hint="eastAsia" w:ascii="黑体" w:hAnsi="黑体" w:eastAsia="黑体" w:cs="黑体"/>
                <w:color w:val="auto"/>
                <w:sz w:val="22"/>
                <w:szCs w:val="22"/>
                <w:highlight w:val="none"/>
                <w:lang w:val="en-US" w:eastAsia="zh-CN"/>
              </w:rPr>
              <w:t>提供合同（协议）复印件并加盖公章。</w:t>
            </w:r>
          </w:p>
        </w:tc>
      </w:tr>
    </w:tbl>
    <w:p w14:paraId="1213D9AC">
      <w:pPr>
        <w:pageBreakBefore w:val="0"/>
        <w:kinsoku/>
        <w:overflowPunct/>
        <w:topLinePunct w:val="0"/>
        <w:autoSpaceDE/>
        <w:autoSpaceDN/>
        <w:bidi w:val="0"/>
        <w:adjustRightInd/>
        <w:snapToGrid w:val="0"/>
        <w:spacing w:line="312"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（二）成交</w:t>
      </w:r>
      <w:bookmarkEnd w:id="54"/>
      <w:r>
        <w:rPr>
          <w:rFonts w:hint="eastAsia" w:ascii="黑体" w:hAnsi="黑体" w:eastAsia="黑体" w:cs="黑体"/>
          <w:b/>
          <w:bCs/>
          <w:color w:val="auto"/>
          <w:sz w:val="24"/>
          <w:szCs w:val="24"/>
          <w:highlight w:val="none"/>
        </w:rPr>
        <w:t>标准</w:t>
      </w:r>
      <w:bookmarkEnd w:id="55"/>
      <w:bookmarkEnd w:id="56"/>
      <w:bookmarkEnd w:id="57"/>
    </w:p>
    <w:p w14:paraId="70041FD2">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eastAsia="zh-CN"/>
        </w:rPr>
        <w:t>评审委员会</w:t>
      </w:r>
      <w:r>
        <w:rPr>
          <w:rFonts w:hint="eastAsia" w:ascii="黑体" w:hAnsi="黑体" w:eastAsia="黑体" w:cs="黑体"/>
          <w:color w:val="auto"/>
          <w:sz w:val="24"/>
          <w:szCs w:val="24"/>
          <w:highlight w:val="none"/>
        </w:rPr>
        <w:t>认为供应商的报价明显低于其他通过符合性审查供应商的报价，有可能影响产品质量或者不能诚信履约的，应当将其作为无效投标处理。</w:t>
      </w:r>
    </w:p>
    <w:p w14:paraId="1206ABA3">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采取采购人确定成交供应商的，采购代理机构应当在评审结束后2个工作日内将评审报告送采购人确认。采购人应当在收到评审报告后5个工作日内，从评审报告提出的成交候选人中，根据质量和服务均能满足采购文件实质性响应要求且综合得分最高的供应商确定为成交供应商。采购人逾期未确定成交供应商且不提出异议的，视为确定评审报告提出的排名第一的供应商为成交供应商。</w:t>
      </w:r>
    </w:p>
    <w:p w14:paraId="33FD49FD">
      <w:pPr>
        <w:pStyle w:val="4"/>
        <w:pageBreakBefore w:val="0"/>
        <w:kinsoku/>
        <w:overflowPunct/>
        <w:topLinePunct w:val="0"/>
        <w:autoSpaceDE/>
        <w:autoSpaceDN/>
        <w:bidi w:val="0"/>
        <w:adjustRightInd/>
        <w:snapToGrid w:val="0"/>
        <w:spacing w:before="0" w:after="0" w:line="312" w:lineRule="auto"/>
        <w:rPr>
          <w:rFonts w:hint="eastAsia" w:ascii="黑体" w:hAnsi="黑体" w:eastAsia="黑体" w:cs="黑体"/>
          <w:color w:val="auto"/>
          <w:sz w:val="24"/>
          <w:szCs w:val="24"/>
          <w:highlight w:val="none"/>
        </w:rPr>
      </w:pPr>
      <w:bookmarkStart w:id="58" w:name="_Toc5608"/>
      <w:bookmarkStart w:id="59" w:name="_Toc1719"/>
      <w:r>
        <w:rPr>
          <w:rFonts w:hint="eastAsia" w:ascii="黑体" w:hAnsi="黑体" w:eastAsia="黑体" w:cs="黑体"/>
          <w:color w:val="auto"/>
          <w:sz w:val="24"/>
          <w:szCs w:val="24"/>
          <w:highlight w:val="none"/>
        </w:rPr>
        <w:t>三、评审依据</w:t>
      </w:r>
      <w:bookmarkEnd w:id="58"/>
      <w:bookmarkEnd w:id="59"/>
    </w:p>
    <w:p w14:paraId="5F10E3DA">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评审的依据为采购文件和响应文件（含有效的补充文件）。</w:t>
      </w:r>
      <w:r>
        <w:rPr>
          <w:rFonts w:hint="eastAsia" w:ascii="黑体" w:hAnsi="黑体" w:eastAsia="黑体" w:cs="黑体"/>
          <w:color w:val="auto"/>
          <w:sz w:val="24"/>
          <w:szCs w:val="24"/>
          <w:highlight w:val="none"/>
          <w:lang w:eastAsia="zh-CN"/>
        </w:rPr>
        <w:t>评审委员会</w:t>
      </w:r>
      <w:r>
        <w:rPr>
          <w:rFonts w:hint="eastAsia" w:ascii="黑体" w:hAnsi="黑体" w:eastAsia="黑体" w:cs="黑体"/>
          <w:color w:val="auto"/>
          <w:sz w:val="24"/>
          <w:szCs w:val="24"/>
          <w:highlight w:val="none"/>
        </w:rPr>
        <w:t>判断响应文件对采购文件的响应，仅基于响应文件本身而不靠外部证据。</w:t>
      </w:r>
    </w:p>
    <w:p w14:paraId="3B1BE2AE">
      <w:pPr>
        <w:pStyle w:val="4"/>
        <w:pageBreakBefore w:val="0"/>
        <w:kinsoku/>
        <w:overflowPunct/>
        <w:topLinePunct w:val="0"/>
        <w:autoSpaceDE/>
        <w:autoSpaceDN/>
        <w:bidi w:val="0"/>
        <w:adjustRightInd/>
        <w:snapToGrid w:val="0"/>
        <w:spacing w:before="0" w:after="0" w:line="312" w:lineRule="auto"/>
        <w:rPr>
          <w:rFonts w:hint="eastAsia" w:ascii="黑体" w:hAnsi="黑体" w:eastAsia="黑体" w:cs="黑体"/>
          <w:color w:val="auto"/>
          <w:sz w:val="24"/>
          <w:szCs w:val="24"/>
          <w:highlight w:val="none"/>
        </w:rPr>
      </w:pPr>
      <w:bookmarkStart w:id="60" w:name="_Toc492721018"/>
      <w:bookmarkStart w:id="61" w:name="_Toc493506301"/>
      <w:bookmarkStart w:id="62" w:name="_Toc16238"/>
      <w:bookmarkStart w:id="63" w:name="_Toc342913395"/>
      <w:bookmarkStart w:id="64" w:name="_Toc426965636"/>
      <w:bookmarkStart w:id="65" w:name="_Toc487204785"/>
      <w:bookmarkStart w:id="66" w:name="_Toc102227321"/>
      <w:r>
        <w:rPr>
          <w:rFonts w:hint="eastAsia" w:ascii="黑体" w:hAnsi="黑体" w:eastAsia="黑体" w:cs="黑体"/>
          <w:color w:val="auto"/>
          <w:sz w:val="24"/>
          <w:szCs w:val="24"/>
          <w:highlight w:val="none"/>
        </w:rPr>
        <w:t>四、无效投标条款</w:t>
      </w:r>
      <w:bookmarkEnd w:id="60"/>
      <w:bookmarkEnd w:id="61"/>
      <w:bookmarkEnd w:id="62"/>
    </w:p>
    <w:p w14:paraId="3416F8DE">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供应商人或其响应文件出现下列情况之一者，应为无效投标：</w:t>
      </w:r>
    </w:p>
    <w:p w14:paraId="0BC8BFE9">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（一）响应文件未按采购文件要求签署、盖章的；</w:t>
      </w:r>
    </w:p>
    <w:p w14:paraId="5D3FE0E4">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（二）不具备采购文件中规定的资格要求的；</w:t>
      </w:r>
    </w:p>
    <w:p w14:paraId="22A08BE0">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（三）报价超过采购文件中规定的预算金额或者最高限价的；</w:t>
      </w:r>
    </w:p>
    <w:p w14:paraId="41892ADC">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（四）响应文件含有采购人不能接受的附加条件的；</w:t>
      </w:r>
    </w:p>
    <w:p w14:paraId="6F6CE05F">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（五）供应商串通投标的；</w:t>
      </w:r>
    </w:p>
    <w:p w14:paraId="641A8ADF">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（六）供应商</w:t>
      </w:r>
      <w:r>
        <w:rPr>
          <w:rStyle w:val="30"/>
          <w:rFonts w:hint="eastAsia" w:ascii="黑体" w:hAnsi="黑体" w:eastAsia="黑体" w:cs="黑体"/>
          <w:color w:val="auto"/>
          <w:sz w:val="24"/>
          <w:szCs w:val="24"/>
          <w:highlight w:val="none"/>
        </w:rPr>
        <w:t>组成联合体投标的</w:t>
      </w:r>
      <w:r>
        <w:rPr>
          <w:rFonts w:hint="eastAsia" w:ascii="黑体" w:hAnsi="黑体" w:eastAsia="黑体" w:cs="黑体"/>
          <w:color w:val="auto"/>
          <w:sz w:val="24"/>
          <w:szCs w:val="24"/>
          <w:highlight w:val="none"/>
        </w:rPr>
        <w:t>；</w:t>
      </w:r>
    </w:p>
    <w:p w14:paraId="15F82CA7">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（七）法律、法规和招标文件规定的其他无效情形。</w:t>
      </w:r>
    </w:p>
    <w:p w14:paraId="6913DB03">
      <w:pPr>
        <w:pStyle w:val="4"/>
        <w:pageBreakBefore w:val="0"/>
        <w:kinsoku/>
        <w:overflowPunct/>
        <w:topLinePunct w:val="0"/>
        <w:autoSpaceDE/>
        <w:autoSpaceDN/>
        <w:bidi w:val="0"/>
        <w:adjustRightInd/>
        <w:snapToGrid w:val="0"/>
        <w:spacing w:before="0" w:after="0" w:line="312" w:lineRule="auto"/>
        <w:rPr>
          <w:rFonts w:hint="eastAsia" w:ascii="黑体" w:hAnsi="黑体" w:eastAsia="黑体" w:cs="黑体"/>
          <w:color w:val="auto"/>
          <w:sz w:val="24"/>
          <w:szCs w:val="24"/>
          <w:highlight w:val="none"/>
        </w:rPr>
      </w:pPr>
      <w:bookmarkStart w:id="67" w:name="_Toc16529"/>
      <w:r>
        <w:rPr>
          <w:rFonts w:hint="eastAsia" w:ascii="黑体" w:hAnsi="黑体" w:eastAsia="黑体" w:cs="黑体"/>
          <w:color w:val="auto"/>
          <w:sz w:val="24"/>
          <w:szCs w:val="24"/>
          <w:highlight w:val="none"/>
        </w:rPr>
        <w:t>五、废标条款</w:t>
      </w:r>
      <w:bookmarkEnd w:id="67"/>
    </w:p>
    <w:p w14:paraId="2373F479">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评审委员会</w:t>
      </w:r>
      <w:r>
        <w:rPr>
          <w:rFonts w:hint="eastAsia" w:ascii="黑体" w:hAnsi="黑体" w:eastAsia="黑体" w:cs="黑体"/>
          <w:color w:val="auto"/>
          <w:sz w:val="24"/>
          <w:szCs w:val="24"/>
          <w:highlight w:val="none"/>
        </w:rPr>
        <w:t>评审时出现以下情况之一的，应予废标：</w:t>
      </w:r>
    </w:p>
    <w:p w14:paraId="6EA6844A">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（一）符合资格条件的供应商或者对采购文件作实质响应的供应商不足</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家的；</w:t>
      </w:r>
    </w:p>
    <w:p w14:paraId="0C77BAE9">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（二）供应商的报价均超过了采购预算，采购人不能支付的；</w:t>
      </w:r>
    </w:p>
    <w:p w14:paraId="3FF3A79E">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（三）出现影响采购公正的违法、违规行为的；</w:t>
      </w:r>
    </w:p>
    <w:p w14:paraId="041D2A16">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（四）因重大变故，采购任务取消的。</w:t>
      </w:r>
    </w:p>
    <w:p w14:paraId="4E08A7A3">
      <w:pPr>
        <w:pageBreakBefore w:val="0"/>
        <w:kinsoku/>
        <w:overflowPunct/>
        <w:topLinePunct w:val="0"/>
        <w:autoSpaceDE/>
        <w:autoSpaceDN/>
        <w:bidi w:val="0"/>
        <w:adjustRightInd/>
        <w:snapToGrid w:val="0"/>
        <w:spacing w:line="312" w:lineRule="auto"/>
        <w:ind w:firstLine="600" w:firstLineChars="2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废标后，除采购任务取消情形外，应当重新组织采购。</w:t>
      </w:r>
    </w:p>
    <w:p w14:paraId="3A6F4BB1">
      <w:pPr>
        <w:pStyle w:val="4"/>
        <w:pageBreakBefore w:val="0"/>
        <w:kinsoku/>
        <w:overflowPunct/>
        <w:topLinePunct w:val="0"/>
        <w:autoSpaceDE/>
        <w:autoSpaceDN/>
        <w:bidi w:val="0"/>
        <w:adjustRightInd/>
        <w:snapToGrid w:val="0"/>
        <w:spacing w:before="0" w:after="0" w:line="312" w:lineRule="auto"/>
        <w:rPr>
          <w:rFonts w:hint="eastAsia" w:ascii="黑体" w:hAnsi="黑体" w:eastAsia="黑体" w:cs="黑体"/>
          <w:color w:val="auto"/>
          <w:sz w:val="24"/>
          <w:szCs w:val="24"/>
          <w:highlight w:val="none"/>
        </w:rPr>
      </w:pPr>
      <w:bookmarkStart w:id="68" w:name="_Toc8502"/>
      <w:r>
        <w:rPr>
          <w:rFonts w:hint="eastAsia" w:ascii="黑体" w:hAnsi="黑体" w:eastAsia="黑体" w:cs="黑体"/>
          <w:color w:val="auto"/>
          <w:sz w:val="24"/>
          <w:szCs w:val="24"/>
          <w:highlight w:val="none"/>
        </w:rPr>
        <w:t>六、成交通知</w:t>
      </w:r>
      <w:bookmarkEnd w:id="63"/>
      <w:bookmarkEnd w:id="64"/>
      <w:bookmarkEnd w:id="65"/>
      <w:bookmarkEnd w:id="66"/>
      <w:bookmarkEnd w:id="68"/>
    </w:p>
    <w:p w14:paraId="591739F7">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（一）成交供应商确定后，采购代理机构将在</w:t>
      </w:r>
      <w:r>
        <w:rPr>
          <w:rFonts w:hint="eastAsia" w:ascii="黑体" w:hAnsi="黑体" w:eastAsia="黑体" w:cs="黑体"/>
          <w:color w:val="auto"/>
          <w:sz w:val="24"/>
          <w:szCs w:val="24"/>
          <w:highlight w:val="none"/>
          <w:lang w:eastAsia="zh-CN"/>
        </w:rPr>
        <w:t>“行采家”（https://www.gec123.com）</w:t>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"http://www.cqgp.gov.cn）上发布成交结果公示。" </w:instrText>
      </w:r>
      <w:r>
        <w:rPr>
          <w:rFonts w:hint="eastAsia" w:ascii="黑体" w:hAnsi="黑体" w:eastAsia="黑体" w:cs="黑体"/>
          <w:color w:val="auto"/>
          <w:highlight w:val="none"/>
        </w:rPr>
        <w:fldChar w:fldCharType="separate"/>
      </w:r>
      <w:r>
        <w:rPr>
          <w:rFonts w:hint="eastAsia" w:ascii="黑体" w:hAnsi="黑体" w:eastAsia="黑体" w:cs="黑体"/>
          <w:color w:val="auto"/>
          <w:sz w:val="24"/>
          <w:szCs w:val="24"/>
          <w:highlight w:val="none"/>
        </w:rPr>
        <w:t>上发布成交结果公告。</w:t>
      </w:r>
      <w:r>
        <w:rPr>
          <w:rFonts w:hint="eastAsia" w:ascii="黑体" w:hAnsi="黑体" w:eastAsia="黑体" w:cs="黑体"/>
          <w:color w:val="auto"/>
          <w:sz w:val="24"/>
          <w:szCs w:val="24"/>
          <w:highlight w:val="none"/>
        </w:rPr>
        <w:fldChar w:fldCharType="end"/>
      </w:r>
    </w:p>
    <w:p w14:paraId="65FC4602">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（二）结果公告发出同时，采购代理机构将以书面形式发出《成交通知书》。《成交通知书》一经发出即发生法律效力。</w:t>
      </w:r>
    </w:p>
    <w:p w14:paraId="4407ACA7">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（三）《成交通知书》将作为签订合同的依据。</w:t>
      </w:r>
    </w:p>
    <w:p w14:paraId="12DAEB0A">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（四）如有供应商对成交结果提出质疑的，在质疑处理完毕后发出成交通知书。</w:t>
      </w:r>
    </w:p>
    <w:p w14:paraId="396FDF07">
      <w:pPr>
        <w:pStyle w:val="4"/>
        <w:pageBreakBefore w:val="0"/>
        <w:kinsoku/>
        <w:overflowPunct/>
        <w:topLinePunct w:val="0"/>
        <w:autoSpaceDE/>
        <w:autoSpaceDN/>
        <w:bidi w:val="0"/>
        <w:adjustRightInd/>
        <w:snapToGrid w:val="0"/>
        <w:spacing w:before="0" w:after="0" w:line="312" w:lineRule="auto"/>
        <w:rPr>
          <w:rFonts w:hint="eastAsia" w:ascii="黑体" w:hAnsi="黑体" w:eastAsia="黑体" w:cs="黑体"/>
          <w:color w:val="auto"/>
          <w:sz w:val="24"/>
          <w:szCs w:val="24"/>
          <w:highlight w:val="none"/>
        </w:rPr>
      </w:pPr>
      <w:bookmarkStart w:id="69" w:name="_Toc3695"/>
      <w:bookmarkStart w:id="70" w:name="_Toc487204786"/>
      <w:bookmarkStart w:id="71" w:name="_Toc31626"/>
      <w:bookmarkStart w:id="72" w:name="_Toc426965637"/>
      <w:r>
        <w:rPr>
          <w:rFonts w:hint="eastAsia" w:ascii="黑体" w:hAnsi="黑体" w:eastAsia="黑体" w:cs="黑体"/>
          <w:color w:val="auto"/>
          <w:sz w:val="24"/>
          <w:szCs w:val="24"/>
          <w:highlight w:val="none"/>
        </w:rPr>
        <w:t>七、关于质疑和投诉</w:t>
      </w:r>
      <w:bookmarkEnd w:id="69"/>
      <w:bookmarkEnd w:id="70"/>
      <w:bookmarkEnd w:id="71"/>
      <w:bookmarkEnd w:id="72"/>
    </w:p>
    <w:p w14:paraId="4C5576D1">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（一）质疑内容、时限</w:t>
      </w:r>
    </w:p>
    <w:p w14:paraId="2B8EA2DF">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1、供应商对成交结果有异议的，应当在成交结果公告发布之日起七个工作日内以书面形式向采购人、采购代理机构提出质疑，并附相关证明材料。</w:t>
      </w:r>
    </w:p>
    <w:p w14:paraId="19668CDF">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2、供应商对采购文件中供应商特定资格条件、技术要求和商务要求、评审标准及评审细则有异议的，应主要向采购人提出质疑，其他问题可向采购代理机构提出质疑。</w:t>
      </w:r>
    </w:p>
    <w:p w14:paraId="2E608844">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（二）质疑答复</w:t>
      </w:r>
    </w:p>
    <w:p w14:paraId="399696B1">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采购人、采购代理机构将参照《重庆市政府采购供应商质疑投诉处理暂行规定》的相关规定对质疑内容作出答复和处理。</w:t>
      </w:r>
    </w:p>
    <w:p w14:paraId="382D0010">
      <w:pPr>
        <w:pStyle w:val="4"/>
        <w:pageBreakBefore w:val="0"/>
        <w:kinsoku/>
        <w:overflowPunct/>
        <w:topLinePunct w:val="0"/>
        <w:autoSpaceDE/>
        <w:autoSpaceDN/>
        <w:bidi w:val="0"/>
        <w:adjustRightInd/>
        <w:snapToGrid w:val="0"/>
        <w:spacing w:before="0" w:after="0" w:line="312" w:lineRule="auto"/>
        <w:rPr>
          <w:rFonts w:hint="eastAsia" w:ascii="黑体" w:hAnsi="黑体" w:eastAsia="黑体" w:cs="黑体"/>
          <w:color w:val="auto"/>
          <w:sz w:val="24"/>
          <w:szCs w:val="24"/>
          <w:highlight w:val="none"/>
        </w:rPr>
      </w:pPr>
      <w:bookmarkStart w:id="73" w:name="_Toc102227322"/>
      <w:bookmarkStart w:id="74" w:name="_Toc487204787"/>
      <w:bookmarkStart w:id="75" w:name="_Toc426965638"/>
      <w:bookmarkStart w:id="76" w:name="_Toc23427"/>
      <w:bookmarkStart w:id="77" w:name="_Toc15991"/>
      <w:bookmarkStart w:id="78" w:name="_Toc342913396"/>
      <w:r>
        <w:rPr>
          <w:rFonts w:hint="eastAsia" w:ascii="黑体" w:hAnsi="黑体" w:eastAsia="黑体" w:cs="黑体"/>
          <w:color w:val="auto"/>
          <w:sz w:val="24"/>
          <w:szCs w:val="24"/>
          <w:highlight w:val="none"/>
        </w:rPr>
        <w:t>八、签订</w:t>
      </w:r>
      <w:bookmarkEnd w:id="73"/>
      <w:r>
        <w:rPr>
          <w:rFonts w:hint="eastAsia" w:ascii="黑体" w:hAnsi="黑体" w:eastAsia="黑体" w:cs="黑体"/>
          <w:color w:val="auto"/>
          <w:sz w:val="24"/>
          <w:szCs w:val="24"/>
          <w:highlight w:val="none"/>
        </w:rPr>
        <w:t>合同</w:t>
      </w:r>
      <w:bookmarkEnd w:id="74"/>
      <w:bookmarkEnd w:id="75"/>
      <w:bookmarkEnd w:id="76"/>
      <w:bookmarkEnd w:id="77"/>
      <w:bookmarkEnd w:id="78"/>
    </w:p>
    <w:p w14:paraId="3B7A66B7">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（一）采购人应当自成交通知书发出之日起</w:t>
      </w:r>
      <w:r>
        <w:rPr>
          <w:rFonts w:hint="eastAsia" w:ascii="黑体" w:hAnsi="黑体" w:eastAsia="黑体" w:cs="黑体"/>
          <w:color w:val="auto"/>
          <w:sz w:val="24"/>
          <w:szCs w:val="24"/>
          <w:highlight w:val="none"/>
          <w:lang w:val="en-US" w:eastAsia="zh-CN"/>
        </w:rPr>
        <w:t>二</w:t>
      </w:r>
      <w:r>
        <w:rPr>
          <w:rFonts w:hint="eastAsia" w:ascii="黑体" w:hAnsi="黑体" w:eastAsia="黑体" w:cs="黑体"/>
          <w:color w:val="auto"/>
          <w:sz w:val="24"/>
          <w:szCs w:val="24"/>
          <w:highlight w:val="none"/>
        </w:rPr>
        <w:t>十日内，按照采购文件和成交供应商响应文件的约定，与成交供应商签订书面合同。所签订的合同不得对采购文件和成交供应商响应文件作实质性修改。</w:t>
      </w:r>
    </w:p>
    <w:p w14:paraId="3942B068">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（二）采购文件、成交供应商的响应文件及有效承诺文件等，均为签订合同的依据。</w:t>
      </w:r>
    </w:p>
    <w:p w14:paraId="3A895F8D">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（三）成交供应商未按照采购文件确定的事项签订合同，或者与采购人另行订立背离合同实质性内容协议的，将承担相关法律责任。</w:t>
      </w:r>
    </w:p>
    <w:p w14:paraId="24C7C03A">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（四）采购人不得向成交供应商提出超出采购以外的任何要求作为签订合同的条件，不得与成交供应商订立背离采购确定的合同文本以及采购标的、采购金额、采购数量、技术和服务要求等实质性内容的协议。</w:t>
      </w:r>
    </w:p>
    <w:p w14:paraId="57C02E39">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（五）除不可抗力等因素外，成交通知书发出后，采购人改变成交结果，或者成交供应商无正当理由拒绝签订采购合同的，应当承担相应的法律责任。</w:t>
      </w:r>
    </w:p>
    <w:p w14:paraId="7D0FE4E6">
      <w:pPr>
        <w:pStyle w:val="36"/>
        <w:pageBreakBefore w:val="0"/>
        <w:kinsoku/>
        <w:overflowPunct/>
        <w:topLinePunct w:val="0"/>
        <w:autoSpaceDE/>
        <w:autoSpaceDN/>
        <w:bidi w:val="0"/>
        <w:adjustRightInd/>
        <w:snapToGrid w:val="0"/>
        <w:spacing w:before="190" w:after="190" w:line="312" w:lineRule="auto"/>
        <w:ind w:left="0" w:leftChars="0" w:firstLine="0" w:firstLineChars="0"/>
        <w:rPr>
          <w:rFonts w:hint="eastAsia" w:ascii="黑体" w:hAnsi="黑体" w:eastAsia="黑体" w:cs="黑体"/>
          <w:color w:val="auto"/>
          <w:sz w:val="24"/>
          <w:szCs w:val="24"/>
          <w:highlight w:val="none"/>
        </w:rPr>
        <w:sectPr>
          <w:footerReference r:id="rId9" w:type="default"/>
          <w:pgSz w:w="11907" w:h="16840"/>
          <w:pgMar w:top="1440" w:right="1480" w:bottom="1440" w:left="1480" w:header="964" w:footer="992" w:gutter="0"/>
          <w:pgNumType w:fmt="decimal"/>
          <w:cols w:space="720" w:num="1"/>
          <w:docGrid w:type="linesAndChars" w:linePitch="381" w:charSpace="0"/>
        </w:sectPr>
      </w:pPr>
    </w:p>
    <w:p w14:paraId="73703403">
      <w:pPr>
        <w:pStyle w:val="3"/>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bookmarkStart w:id="79" w:name="_Toc27619"/>
      <w:r>
        <w:rPr>
          <w:rStyle w:val="38"/>
          <w:rFonts w:hint="eastAsia" w:ascii="黑体" w:hAnsi="黑体" w:eastAsia="黑体" w:cs="黑体"/>
          <w:b/>
          <w:bCs/>
          <w:color w:val="auto"/>
          <w:highlight w:val="none"/>
        </w:rPr>
        <w:t>第五篇  供应商须知</w:t>
      </w:r>
      <w:bookmarkEnd w:id="21"/>
      <w:bookmarkEnd w:id="22"/>
      <w:bookmarkEnd w:id="79"/>
    </w:p>
    <w:p w14:paraId="7485F15B">
      <w:pPr>
        <w:pStyle w:val="4"/>
        <w:pageBreakBefore w:val="0"/>
        <w:kinsoku/>
        <w:overflowPunct/>
        <w:topLinePunct w:val="0"/>
        <w:autoSpaceDE/>
        <w:autoSpaceDN/>
        <w:bidi w:val="0"/>
        <w:adjustRightInd/>
        <w:snapToGrid w:val="0"/>
        <w:spacing w:before="0" w:after="0" w:line="312" w:lineRule="auto"/>
        <w:rPr>
          <w:rFonts w:hint="eastAsia" w:ascii="黑体" w:hAnsi="黑体" w:eastAsia="黑体" w:cs="黑体"/>
          <w:color w:val="auto"/>
          <w:sz w:val="24"/>
          <w:szCs w:val="24"/>
          <w:highlight w:val="none"/>
        </w:rPr>
      </w:pPr>
      <w:bookmarkStart w:id="80" w:name="_Toc426965630"/>
      <w:bookmarkStart w:id="81" w:name="_Toc342913389"/>
      <w:bookmarkStart w:id="82" w:name="_Toc487204779"/>
      <w:bookmarkStart w:id="83" w:name="_Toc20643"/>
      <w:bookmarkStart w:id="84" w:name="_Toc32059"/>
      <w:r>
        <w:rPr>
          <w:rFonts w:hint="eastAsia" w:ascii="黑体" w:hAnsi="黑体" w:eastAsia="黑体" w:cs="黑体"/>
          <w:color w:val="auto"/>
          <w:sz w:val="24"/>
          <w:szCs w:val="24"/>
          <w:highlight w:val="none"/>
        </w:rPr>
        <w:t>一、采购费用</w:t>
      </w:r>
      <w:bookmarkEnd w:id="80"/>
      <w:bookmarkEnd w:id="81"/>
      <w:bookmarkEnd w:id="82"/>
      <w:bookmarkEnd w:id="83"/>
      <w:bookmarkEnd w:id="84"/>
    </w:p>
    <w:p w14:paraId="2B79293E">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参与采购的供应商应承担其编制响应文件与递交响应文件所涉及的一切费用，不论采购结果如何，采购人和采购代理机构在任何情况下无义务也无责任承担这些费用。</w:t>
      </w:r>
    </w:p>
    <w:p w14:paraId="3474F66C">
      <w:pPr>
        <w:pStyle w:val="4"/>
        <w:pageBreakBefore w:val="0"/>
        <w:tabs>
          <w:tab w:val="left" w:pos="2640"/>
        </w:tabs>
        <w:kinsoku/>
        <w:overflowPunct/>
        <w:topLinePunct w:val="0"/>
        <w:autoSpaceDE/>
        <w:autoSpaceDN/>
        <w:bidi w:val="0"/>
        <w:adjustRightInd/>
        <w:snapToGrid w:val="0"/>
        <w:spacing w:before="0" w:after="0" w:line="312" w:lineRule="auto"/>
        <w:rPr>
          <w:rFonts w:hint="eastAsia" w:ascii="黑体" w:hAnsi="黑体" w:eastAsia="黑体" w:cs="黑体"/>
          <w:color w:val="auto"/>
          <w:sz w:val="24"/>
          <w:szCs w:val="24"/>
          <w:highlight w:val="none"/>
        </w:rPr>
      </w:pPr>
      <w:bookmarkStart w:id="85" w:name="_Toc487204780"/>
      <w:bookmarkStart w:id="86" w:name="_Toc7850"/>
      <w:bookmarkStart w:id="87" w:name="_Toc342913391"/>
      <w:bookmarkStart w:id="88" w:name="_Toc426965631"/>
      <w:bookmarkStart w:id="89" w:name="_Toc18383"/>
      <w:r>
        <w:rPr>
          <w:rFonts w:hint="eastAsia" w:ascii="黑体" w:hAnsi="黑体" w:eastAsia="黑体" w:cs="黑体"/>
          <w:color w:val="auto"/>
          <w:sz w:val="24"/>
          <w:szCs w:val="24"/>
          <w:highlight w:val="none"/>
        </w:rPr>
        <w:t>二、</w:t>
      </w:r>
      <w:bookmarkEnd w:id="85"/>
      <w:bookmarkEnd w:id="86"/>
      <w:bookmarkEnd w:id="87"/>
      <w:bookmarkEnd w:id="88"/>
      <w:r>
        <w:rPr>
          <w:rFonts w:hint="eastAsia" w:ascii="黑体" w:hAnsi="黑体" w:eastAsia="黑体" w:cs="黑体"/>
          <w:color w:val="auto"/>
          <w:sz w:val="24"/>
          <w:szCs w:val="24"/>
          <w:highlight w:val="none"/>
        </w:rPr>
        <w:t>采购文件</w:t>
      </w:r>
      <w:bookmarkEnd w:id="89"/>
      <w:r>
        <w:rPr>
          <w:rFonts w:hint="eastAsia" w:ascii="黑体" w:hAnsi="黑体" w:eastAsia="黑体" w:cs="黑体"/>
          <w:color w:val="auto"/>
          <w:sz w:val="24"/>
          <w:szCs w:val="24"/>
          <w:highlight w:val="none"/>
        </w:rPr>
        <w:tab/>
      </w:r>
    </w:p>
    <w:p w14:paraId="57DD4D2C">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（一）采购文件由采购公告、项目服务需求、项目商务要求、资格审查及评标办法、供应商须知、合同主要条款和格式合同（样本）、响应文件格式要求七部分组成。</w:t>
      </w:r>
    </w:p>
    <w:p w14:paraId="61A7D5F8">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（二）采购人（或采购代理机构）所作的一切有效的书面通知、修改及补充，都是采购文件不可分割的部分。</w:t>
      </w:r>
    </w:p>
    <w:p w14:paraId="48636954">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（三）采购文件的解释</w:t>
      </w:r>
    </w:p>
    <w:p w14:paraId="3F2A7EB1">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如对采购文件有疑问，必须以书面形式在提交响应文件截止时间1个工作日前向采购人（或采购代理机构）要求澄清，采购人（或采购代理机构）可视具体情况做出处理或答复。如供应商未提出疑问，视为完全理解并同意本采购文件。一经进入采购程序，即视为供应商已详细阅读全部文件资料，完全理解采购文件所有条款内容并同意放弃对这方面有不明白及误解的权利。</w:t>
      </w:r>
      <w:bookmarkStart w:id="90" w:name="_Toc318159780"/>
      <w:bookmarkStart w:id="91" w:name="_Toc318166429"/>
      <w:bookmarkStart w:id="92" w:name="_Toc318159349"/>
      <w:bookmarkStart w:id="93" w:name="_Toc318159160"/>
    </w:p>
    <w:bookmarkEnd w:id="90"/>
    <w:bookmarkEnd w:id="91"/>
    <w:bookmarkEnd w:id="92"/>
    <w:bookmarkEnd w:id="93"/>
    <w:p w14:paraId="7C50F9A5">
      <w:pPr>
        <w:pStyle w:val="4"/>
        <w:pageBreakBefore w:val="0"/>
        <w:kinsoku/>
        <w:overflowPunct/>
        <w:topLinePunct w:val="0"/>
        <w:autoSpaceDE/>
        <w:autoSpaceDN/>
        <w:bidi w:val="0"/>
        <w:adjustRightInd/>
        <w:snapToGrid w:val="0"/>
        <w:spacing w:before="0" w:after="0" w:line="312" w:lineRule="auto"/>
        <w:rPr>
          <w:rFonts w:hint="eastAsia" w:ascii="黑体" w:hAnsi="黑体" w:eastAsia="黑体" w:cs="黑体"/>
          <w:color w:val="auto"/>
          <w:sz w:val="24"/>
          <w:szCs w:val="24"/>
          <w:highlight w:val="none"/>
        </w:rPr>
      </w:pPr>
      <w:bookmarkStart w:id="94" w:name="_Toc26774"/>
      <w:bookmarkStart w:id="95" w:name="_Toc179714297"/>
      <w:bookmarkStart w:id="96" w:name="_Toc426965632"/>
      <w:bookmarkStart w:id="97" w:name="_Toc487204781"/>
      <w:bookmarkStart w:id="98" w:name="_Toc102227318"/>
      <w:bookmarkStart w:id="99" w:name="_Toc18927"/>
      <w:bookmarkStart w:id="100" w:name="_Toc342913392"/>
      <w:r>
        <w:rPr>
          <w:rFonts w:hint="eastAsia" w:ascii="黑体" w:hAnsi="黑体" w:eastAsia="黑体" w:cs="黑体"/>
          <w:color w:val="auto"/>
          <w:sz w:val="24"/>
          <w:szCs w:val="24"/>
          <w:highlight w:val="none"/>
        </w:rPr>
        <w:t>三、采购要求</w:t>
      </w:r>
      <w:bookmarkEnd w:id="94"/>
      <w:bookmarkEnd w:id="95"/>
      <w:bookmarkEnd w:id="96"/>
      <w:bookmarkEnd w:id="97"/>
      <w:bookmarkEnd w:id="98"/>
      <w:bookmarkEnd w:id="99"/>
      <w:bookmarkEnd w:id="100"/>
    </w:p>
    <w:p w14:paraId="10281176">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（一）响应文件</w:t>
      </w:r>
    </w:p>
    <w:p w14:paraId="00C552E8">
      <w:pPr>
        <w:pageBreakBefore w:val="0"/>
        <w:kinsoku/>
        <w:overflowPunct/>
        <w:topLinePunct w:val="0"/>
        <w:autoSpaceDE/>
        <w:autoSpaceDN/>
        <w:bidi w:val="0"/>
        <w:adjustRightInd/>
        <w:snapToGrid w:val="0"/>
        <w:spacing w:line="312" w:lineRule="auto"/>
        <w:ind w:firstLine="482" w:firstLineChars="200"/>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投标供应商须在规定时间内完成线上平台的响应文件提交，否则视为无效响应。</w:t>
      </w:r>
    </w:p>
    <w:p w14:paraId="4B36AF0B">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供应商应当按照采购文件的要求编制响应文件，并对采购文件提出的要求和条件作出实质性响应，响应文件应编制完整的页码、目录。</w:t>
      </w:r>
    </w:p>
    <w:p w14:paraId="1DEEB937">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1、响应文件组成</w:t>
      </w:r>
    </w:p>
    <w:p w14:paraId="2955D211">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响应文件由第七篇“响应文件格式要求”规定的部分和供应商所作的一切有效补充、修改和承诺等文件组成，供应商应按照第七篇“响应文件格式”规定的目录顺序组织编写和装订，也可在基本格式基础上对表格进行扩展，未规定格式的由供应商自定格式。</w:t>
      </w:r>
    </w:p>
    <w:p w14:paraId="56B078CC">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2、联合体</w:t>
      </w:r>
    </w:p>
    <w:p w14:paraId="7A7D0FE5">
      <w:pPr>
        <w:pageBreakBefore w:val="0"/>
        <w:kinsoku/>
        <w:overflowPunct/>
        <w:topLinePunct w:val="0"/>
        <w:autoSpaceDE/>
        <w:autoSpaceDN/>
        <w:bidi w:val="0"/>
        <w:adjustRightInd/>
        <w:snapToGrid w:val="0"/>
        <w:spacing w:line="312" w:lineRule="auto"/>
        <w:ind w:firstLine="482" w:firstLineChars="200"/>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本项目不接受联合体投标。</w:t>
      </w:r>
    </w:p>
    <w:p w14:paraId="5B684CC7">
      <w:pPr>
        <w:pageBreakBefore w:val="0"/>
        <w:numPr>
          <w:ilvl w:val="0"/>
          <w:numId w:val="5"/>
        </w:numPr>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投标有效期：响应文件及有关承诺文件有效期为提交响应文件截止时间起90天。</w:t>
      </w:r>
    </w:p>
    <w:p w14:paraId="7B9E8BB8">
      <w:pPr>
        <w:pageBreakBefore w:val="0"/>
        <w:kinsoku/>
        <w:overflowPunct/>
        <w:topLinePunct w:val="0"/>
        <w:autoSpaceDE/>
        <w:autoSpaceDN/>
        <w:bidi w:val="0"/>
        <w:adjustRightInd/>
        <w:snapToGrid w:val="0"/>
        <w:spacing w:line="312" w:lineRule="auto"/>
        <w:ind w:firstLine="240" w:firstLineChars="1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（二）报价要求</w:t>
      </w:r>
    </w:p>
    <w:p w14:paraId="7A1BC1A8">
      <w:pPr>
        <w:pageBreakBefore w:val="0"/>
        <w:kinsoku/>
        <w:overflowPunct/>
        <w:topLinePunct w:val="0"/>
        <w:autoSpaceDE/>
        <w:autoSpaceDN/>
        <w:bidi w:val="0"/>
        <w:adjustRightInd/>
        <w:snapToGrid w:val="0"/>
        <w:spacing w:line="312" w:lineRule="auto"/>
        <w:ind w:firstLine="470" w:firstLineChars="196"/>
        <w:jc w:val="left"/>
        <w:rPr>
          <w:rFonts w:hint="eastAsia" w:ascii="黑体" w:hAnsi="黑体" w:eastAsia="黑体" w:cs="黑体"/>
          <w:color w:val="auto"/>
          <w:sz w:val="24"/>
          <w:highlight w:val="none"/>
        </w:rPr>
      </w:pPr>
      <w:r>
        <w:rPr>
          <w:rFonts w:hint="eastAsia" w:ascii="黑体" w:hAnsi="黑体" w:eastAsia="黑体" w:cs="黑体"/>
          <w:bCs/>
          <w:color w:val="auto"/>
          <w:sz w:val="24"/>
          <w:highlight w:val="none"/>
        </w:rPr>
        <w:t>1.供应商应严格按照“</w:t>
      </w:r>
      <w:r>
        <w:rPr>
          <w:rFonts w:hint="eastAsia" w:ascii="黑体" w:hAnsi="黑体" w:eastAsia="黑体" w:cs="黑体"/>
          <w:bCs/>
          <w:color w:val="auto"/>
          <w:sz w:val="24"/>
          <w:highlight w:val="none"/>
          <w:lang w:val="en-US" w:eastAsia="zh-CN"/>
        </w:rPr>
        <w:t>响应</w:t>
      </w:r>
      <w:r>
        <w:rPr>
          <w:rFonts w:hint="eastAsia" w:ascii="黑体" w:hAnsi="黑体" w:eastAsia="黑体" w:cs="黑体"/>
          <w:bCs/>
          <w:color w:val="auto"/>
          <w:sz w:val="24"/>
          <w:highlight w:val="none"/>
        </w:rPr>
        <w:t>文件格式”中“开标一览表”和“分项报价明细表”</w:t>
      </w:r>
      <w:r>
        <w:rPr>
          <w:rFonts w:hint="eastAsia" w:ascii="黑体" w:hAnsi="黑体" w:eastAsia="黑体" w:cs="黑体"/>
          <w:color w:val="auto"/>
          <w:sz w:val="24"/>
          <w:highlight w:val="none"/>
        </w:rPr>
        <w:t>的格式填写报价。</w:t>
      </w:r>
    </w:p>
    <w:p w14:paraId="0F8F2B93">
      <w:pPr>
        <w:pageBreakBefore w:val="0"/>
        <w:kinsoku/>
        <w:overflowPunct/>
        <w:topLinePunct w:val="0"/>
        <w:autoSpaceDE/>
        <w:autoSpaceDN/>
        <w:bidi w:val="0"/>
        <w:adjustRightInd/>
        <w:snapToGrid w:val="0"/>
        <w:spacing w:line="312" w:lineRule="auto"/>
        <w:ind w:left="3" w:leftChars="1"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2.供应商的报价为一次性报价，即在投标有效期内投标价格固定不变。</w:t>
      </w:r>
    </w:p>
    <w:p w14:paraId="704DB369">
      <w:pPr>
        <w:pageBreakBefore w:val="0"/>
        <w:kinsoku/>
        <w:overflowPunct/>
        <w:topLinePunct w:val="0"/>
        <w:autoSpaceDE/>
        <w:autoSpaceDN/>
        <w:bidi w:val="0"/>
        <w:adjustRightInd/>
        <w:snapToGrid w:val="0"/>
        <w:spacing w:line="312" w:lineRule="auto"/>
        <w:ind w:left="3" w:leftChars="1"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3.本项目只接受一个投标报价，有选择的或有条件的报价将不予接受。</w:t>
      </w:r>
    </w:p>
    <w:p w14:paraId="5E487696">
      <w:pPr>
        <w:pageBreakBefore w:val="0"/>
        <w:kinsoku/>
        <w:overflowPunct/>
        <w:topLinePunct w:val="0"/>
        <w:autoSpaceDE/>
        <w:autoSpaceDN/>
        <w:bidi w:val="0"/>
        <w:adjustRightInd/>
        <w:snapToGrid w:val="0"/>
        <w:spacing w:line="312" w:lineRule="auto"/>
        <w:ind w:firstLine="240" w:firstLineChars="1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（三）修正错误</w:t>
      </w:r>
    </w:p>
    <w:p w14:paraId="43E01BEA">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若响应文件出现计算或表达上的错误，修正错误的原则如下：</w:t>
      </w:r>
    </w:p>
    <w:p w14:paraId="6B516C63">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1.响应文件中报价函的内容与响应文件中相应内容不一致的，以报价函为准；</w:t>
      </w:r>
    </w:p>
    <w:p w14:paraId="18C853E1">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2.大写金额和小写金额不一致的，以大写金额为准；</w:t>
      </w:r>
    </w:p>
    <w:p w14:paraId="77F4626B">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3.单价金额小数点或者百分比有明显错位的，以报价函总价为准，并修改单价；</w:t>
      </w:r>
    </w:p>
    <w:p w14:paraId="2A9E8EEF">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4.总价金额与按单价汇总金额不一致的，以单价金额计算结果为准。</w:t>
      </w:r>
    </w:p>
    <w:p w14:paraId="643024AE">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评审委员会</w:t>
      </w:r>
      <w:r>
        <w:rPr>
          <w:rFonts w:hint="eastAsia" w:ascii="黑体" w:hAnsi="黑体" w:eastAsia="黑体" w:cs="黑体"/>
          <w:color w:val="auto"/>
          <w:sz w:val="24"/>
          <w:szCs w:val="24"/>
          <w:highlight w:val="none"/>
        </w:rPr>
        <w:t>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5F023E80">
      <w:pPr>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黑体" w:hAnsi="黑体" w:eastAsia="黑体" w:cs="黑体"/>
          <w:color w:val="auto"/>
          <w:sz w:val="24"/>
          <w:szCs w:val="24"/>
          <w:highlight w:val="none"/>
          <w:lang w:val="en-US" w:eastAsia="zh-CN"/>
        </w:rPr>
      </w:pPr>
      <w:bookmarkStart w:id="101" w:name="_Toc493506302"/>
      <w:bookmarkStart w:id="102" w:name="_Toc492721019"/>
      <w:r>
        <w:rPr>
          <w:rFonts w:hint="eastAsia" w:ascii="黑体" w:hAnsi="黑体" w:eastAsia="黑体" w:cs="黑体"/>
          <w:color w:val="auto"/>
          <w:sz w:val="24"/>
          <w:szCs w:val="24"/>
          <w:highlight w:val="none"/>
          <w:lang w:val="en-US" w:eastAsia="zh-CN"/>
        </w:rPr>
        <w:t>（四）提交纸质响应文件的份数和签署</w:t>
      </w:r>
    </w:p>
    <w:p w14:paraId="2216C77A">
      <w:pPr>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1.供应商须在线上上传盖章后的响应文件电子文档一份。</w:t>
      </w:r>
    </w:p>
    <w:p w14:paraId="3BE1E5A0">
      <w:pPr>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2.供应商须在现场递交纸质响应文件一式三份，其中正本一份，副本两份，副本可为正本的复印件。响应文件电子文档内容应与纸质文件正本、副本一致。</w:t>
      </w:r>
    </w:p>
    <w:p w14:paraId="3735D62A">
      <w:pPr>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（五）响应文件的递交</w:t>
      </w:r>
    </w:p>
    <w:p w14:paraId="38BBF197">
      <w:pPr>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响应文件的正本、副本均应密封送达投标地点，应在封套上注明项目名称、供应商名称。若正本、副本分别进行密封的，还应在封套上注明“正本”、“副本”字样。</w:t>
      </w:r>
    </w:p>
    <w:p w14:paraId="1C444216">
      <w:pPr>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（六）供应商参与人员</w:t>
      </w:r>
    </w:p>
    <w:p w14:paraId="0751E74F">
      <w:pPr>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各个供应商可派1名代表参与采购，应为法定代表人或具有法定代表人授权委托书的授权代表。</w:t>
      </w:r>
    </w:p>
    <w:p w14:paraId="16476473">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七</w:t>
      </w:r>
      <w:r>
        <w:rPr>
          <w:rFonts w:hint="eastAsia" w:ascii="黑体" w:hAnsi="黑体" w:eastAsia="黑体" w:cs="黑体"/>
          <w:sz w:val="24"/>
          <w:szCs w:val="24"/>
          <w:highlight w:val="none"/>
        </w:rPr>
        <w:t>）响应文件语言：简体中文</w:t>
      </w:r>
    </w:p>
    <w:p w14:paraId="61F0246A">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八</w:t>
      </w:r>
      <w:r>
        <w:rPr>
          <w:rFonts w:hint="eastAsia" w:ascii="黑体" w:hAnsi="黑体" w:eastAsia="黑体" w:cs="黑体"/>
          <w:sz w:val="24"/>
          <w:szCs w:val="24"/>
          <w:highlight w:val="none"/>
        </w:rPr>
        <w:t>）无效响应</w:t>
      </w:r>
    </w:p>
    <w:p w14:paraId="7C1EBB78">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供应商发生以下条款情况之一者，视为无效响应，其响应文件将被拒绝：</w:t>
      </w:r>
    </w:p>
    <w:p w14:paraId="79E3FE20">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1、供应商不符合资格要求的；</w:t>
      </w:r>
    </w:p>
    <w:p w14:paraId="6D389052">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2、供应商所提交的响应文件不按规定签字、盖章的；</w:t>
      </w:r>
    </w:p>
    <w:p w14:paraId="3CEBDDEC">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3、供应商的报价超过采购预算（若有采购预算单价，则含采购预算单价）的；</w:t>
      </w:r>
    </w:p>
    <w:p w14:paraId="0D48EE15">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4、供应商响应文件附有采购人无法接受的条件的；</w:t>
      </w:r>
    </w:p>
    <w:p w14:paraId="7686BFDF">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5、供应商串通投标的；</w:t>
      </w:r>
    </w:p>
    <w:p w14:paraId="6EC5995A">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6、供应商组成联合体投标的；</w:t>
      </w:r>
    </w:p>
    <w:p w14:paraId="74442F7C">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7、法律、法规和采购文件规定的其他无效情形。</w:t>
      </w:r>
    </w:p>
    <w:p w14:paraId="30FB0BA6">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九</w:t>
      </w:r>
      <w:r>
        <w:rPr>
          <w:rFonts w:hint="eastAsia" w:ascii="黑体" w:hAnsi="黑体" w:eastAsia="黑体" w:cs="黑体"/>
          <w:color w:val="auto"/>
          <w:sz w:val="24"/>
          <w:szCs w:val="24"/>
          <w:highlight w:val="none"/>
        </w:rPr>
        <w:t>）废标条款</w:t>
      </w:r>
      <w:bookmarkEnd w:id="101"/>
      <w:bookmarkEnd w:id="102"/>
    </w:p>
    <w:p w14:paraId="322783E7">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出现下列情形之一的，采购人或者采购代理机构应当终止采购活动，发布项目终止公告并说明原因，重新开展采购活动：</w:t>
      </w:r>
    </w:p>
    <w:p w14:paraId="537F0897">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1、因情况变化，不再符合规定的采购方式适用情形的；</w:t>
      </w:r>
    </w:p>
    <w:p w14:paraId="3DF57EA7">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2、出现影响采购公正的违法、违规行为的；</w:t>
      </w:r>
    </w:p>
    <w:p w14:paraId="0C69EDDB">
      <w:pPr>
        <w:pageBreakBefore w:val="0"/>
        <w:kinsoku/>
        <w:overflowPunct/>
        <w:topLinePunct w:val="0"/>
        <w:autoSpaceDE/>
        <w:autoSpaceDN/>
        <w:bidi w:val="0"/>
        <w:adjustRightInd/>
        <w:snapToGrid w:val="0"/>
        <w:spacing w:line="312" w:lineRule="auto"/>
        <w:ind w:firstLine="960" w:firstLineChars="4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废标后，除采购任务取消情形外，应当重新组织采购。</w:t>
      </w:r>
    </w:p>
    <w:p w14:paraId="509EAA62">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十</w:t>
      </w:r>
      <w:r>
        <w:rPr>
          <w:rFonts w:hint="eastAsia" w:ascii="黑体" w:hAnsi="黑体" w:eastAsia="黑体" w:cs="黑体"/>
          <w:color w:val="auto"/>
          <w:sz w:val="24"/>
          <w:szCs w:val="24"/>
          <w:highlight w:val="none"/>
        </w:rPr>
        <w:t>）采购代理服务费</w:t>
      </w:r>
      <w:bookmarkStart w:id="103" w:name="_Toc31741"/>
      <w:bookmarkStart w:id="104" w:name="_Toc102227319"/>
      <w:bookmarkStart w:id="105" w:name="_Toc179714298"/>
      <w:bookmarkStart w:id="106" w:name="_Toc487204782"/>
      <w:bookmarkStart w:id="107" w:name="_Toc426965633"/>
      <w:bookmarkStart w:id="108" w:name="_Toc342913393"/>
    </w:p>
    <w:p w14:paraId="5108251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黑体" w:hAnsi="黑体" w:eastAsia="黑体" w:cs="黑体"/>
          <w:color w:val="auto"/>
          <w:sz w:val="24"/>
          <w:szCs w:val="24"/>
          <w:highlight w:val="none"/>
          <w:lang w:val="en-US" w:eastAsia="zh-CN"/>
        </w:rPr>
      </w:pPr>
      <w:bookmarkStart w:id="109" w:name="OLE_LINK8"/>
      <w:bookmarkStart w:id="110" w:name="OLE_LINK7"/>
      <w:bookmarkStart w:id="111" w:name="_Toc6943"/>
      <w:r>
        <w:rPr>
          <w:rFonts w:hint="eastAsia" w:ascii="黑体" w:hAnsi="黑体" w:eastAsia="黑体" w:cs="黑体"/>
          <w:color w:val="auto"/>
          <w:sz w:val="24"/>
          <w:highlight w:val="none"/>
          <w:lang w:val="en-US" w:eastAsia="zh-CN"/>
        </w:rPr>
        <w:t>供应商</w:t>
      </w:r>
      <w:r>
        <w:rPr>
          <w:rFonts w:hint="eastAsia" w:ascii="黑体" w:hAnsi="黑体" w:eastAsia="黑体" w:cs="黑体"/>
          <w:color w:val="auto"/>
          <w:sz w:val="24"/>
          <w:highlight w:val="none"/>
        </w:rPr>
        <w:t>成交后向</w:t>
      </w:r>
      <w:r>
        <w:rPr>
          <w:rFonts w:hint="eastAsia" w:ascii="黑体" w:hAnsi="黑体" w:eastAsia="黑体" w:cs="黑体"/>
          <w:color w:val="auto"/>
          <w:sz w:val="24"/>
          <w:highlight w:val="none"/>
          <w:lang w:val="en-US" w:eastAsia="zh-CN"/>
        </w:rPr>
        <w:t>采购</w:t>
      </w:r>
      <w:r>
        <w:rPr>
          <w:rFonts w:hint="eastAsia" w:ascii="黑体" w:hAnsi="黑体" w:eastAsia="黑体" w:cs="黑体"/>
          <w:color w:val="auto"/>
          <w:sz w:val="24"/>
          <w:highlight w:val="none"/>
        </w:rPr>
        <w:t>代理机构缴纳</w:t>
      </w:r>
      <w:r>
        <w:rPr>
          <w:rFonts w:hint="eastAsia" w:ascii="黑体" w:hAnsi="黑体" w:eastAsia="黑体" w:cs="黑体"/>
          <w:color w:val="auto"/>
          <w:sz w:val="24"/>
          <w:highlight w:val="none"/>
          <w:lang w:val="en-US" w:eastAsia="zh-CN"/>
        </w:rPr>
        <w:t>采购</w:t>
      </w:r>
      <w:r>
        <w:rPr>
          <w:rFonts w:hint="eastAsia" w:ascii="黑体" w:hAnsi="黑体" w:eastAsia="黑体" w:cs="黑体"/>
          <w:color w:val="auto"/>
          <w:sz w:val="24"/>
          <w:highlight w:val="none"/>
        </w:rPr>
        <w:t>代理服务费</w:t>
      </w:r>
      <w:bookmarkEnd w:id="109"/>
      <w:bookmarkEnd w:id="110"/>
      <w:r>
        <w:rPr>
          <w:rFonts w:hint="eastAsia" w:ascii="黑体" w:hAnsi="黑体" w:eastAsia="黑体" w:cs="黑体"/>
          <w:color w:val="auto"/>
          <w:sz w:val="24"/>
          <w:highlight w:val="none"/>
          <w:lang w:val="en-US" w:eastAsia="zh-CN"/>
        </w:rPr>
        <w:t>3000.00元。</w:t>
      </w:r>
    </w:p>
    <w:p w14:paraId="75A10159">
      <w:pPr>
        <w:pStyle w:val="4"/>
        <w:pageBreakBefore w:val="0"/>
        <w:kinsoku/>
        <w:overflowPunct/>
        <w:topLinePunct w:val="0"/>
        <w:autoSpaceDE/>
        <w:autoSpaceDN/>
        <w:bidi w:val="0"/>
        <w:adjustRightInd/>
        <w:snapToGrid w:val="0"/>
        <w:spacing w:before="0" w:after="0" w:line="312"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四</w:t>
      </w:r>
      <w:r>
        <w:rPr>
          <w:rFonts w:hint="eastAsia" w:ascii="黑体" w:hAnsi="黑体" w:eastAsia="黑体" w:cs="黑体"/>
          <w:color w:val="auto"/>
          <w:sz w:val="24"/>
          <w:szCs w:val="24"/>
          <w:highlight w:val="none"/>
        </w:rPr>
        <w:t>、评标</w:t>
      </w:r>
      <w:bookmarkEnd w:id="111"/>
    </w:p>
    <w:p w14:paraId="5DFBC10D">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见“第四篇 资格评审及评标办法”内容。</w:t>
      </w:r>
    </w:p>
    <w:p w14:paraId="793E5B08">
      <w:pPr>
        <w:pStyle w:val="4"/>
        <w:pageBreakBefore w:val="0"/>
        <w:kinsoku/>
        <w:overflowPunct/>
        <w:topLinePunct w:val="0"/>
        <w:autoSpaceDE/>
        <w:autoSpaceDN/>
        <w:bidi w:val="0"/>
        <w:adjustRightInd/>
        <w:snapToGrid w:val="0"/>
        <w:spacing w:before="0" w:after="0" w:line="312" w:lineRule="auto"/>
        <w:rPr>
          <w:rFonts w:hint="eastAsia" w:ascii="黑体" w:hAnsi="黑体" w:eastAsia="黑体" w:cs="黑体"/>
          <w:color w:val="auto"/>
          <w:sz w:val="24"/>
          <w:szCs w:val="24"/>
          <w:highlight w:val="none"/>
        </w:rPr>
      </w:pPr>
      <w:bookmarkStart w:id="112" w:name="_Toc8575"/>
      <w:r>
        <w:rPr>
          <w:rFonts w:hint="eastAsia" w:ascii="黑体" w:hAnsi="黑体" w:eastAsia="黑体" w:cs="黑体"/>
          <w:color w:val="auto"/>
          <w:sz w:val="24"/>
          <w:szCs w:val="24"/>
          <w:highlight w:val="none"/>
          <w:lang w:val="en-US" w:eastAsia="zh-CN"/>
        </w:rPr>
        <w:t>五</w:t>
      </w:r>
      <w:r>
        <w:rPr>
          <w:rFonts w:hint="eastAsia" w:ascii="黑体" w:hAnsi="黑体" w:eastAsia="黑体" w:cs="黑体"/>
          <w:color w:val="auto"/>
          <w:sz w:val="24"/>
          <w:szCs w:val="24"/>
          <w:highlight w:val="none"/>
        </w:rPr>
        <w:t>、定标</w:t>
      </w:r>
      <w:bookmarkEnd w:id="112"/>
    </w:p>
    <w:p w14:paraId="37288120">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（一）定标原则</w:t>
      </w:r>
    </w:p>
    <w:p w14:paraId="579A6FEB">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采购人或其授权的</w:t>
      </w:r>
      <w:r>
        <w:rPr>
          <w:rFonts w:hint="eastAsia" w:ascii="黑体" w:hAnsi="黑体" w:eastAsia="黑体" w:cs="黑体"/>
          <w:color w:val="auto"/>
          <w:sz w:val="24"/>
          <w:szCs w:val="24"/>
          <w:highlight w:val="none"/>
          <w:lang w:eastAsia="zh-CN"/>
        </w:rPr>
        <w:t>评审委员会</w:t>
      </w:r>
      <w:r>
        <w:rPr>
          <w:rFonts w:hint="eastAsia" w:ascii="黑体" w:hAnsi="黑体" w:eastAsia="黑体" w:cs="黑体"/>
          <w:color w:val="auto"/>
          <w:sz w:val="24"/>
          <w:szCs w:val="24"/>
          <w:highlight w:val="none"/>
        </w:rPr>
        <w:t>应按照评标报告中推荐的成交候选人排名顺序确定1名成交供应商。</w:t>
      </w:r>
    </w:p>
    <w:p w14:paraId="26DCE741">
      <w:pPr>
        <w:pStyle w:val="12"/>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（二）定标程序</w:t>
      </w:r>
    </w:p>
    <w:p w14:paraId="114214D4">
      <w:pPr>
        <w:pStyle w:val="12"/>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1、应当在评标结束后2个工作日内将评标报告送采购人。</w:t>
      </w:r>
    </w:p>
    <w:p w14:paraId="5DCB1943">
      <w:pPr>
        <w:pStyle w:val="12"/>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2、采购人应当自收到评标报告之日起５个工作日内，在评标报告确定的成交候选人名单中按顺序确定1名成交供应商。成交候选人并列的，由采购人或者采购人委托</w:t>
      </w:r>
      <w:r>
        <w:rPr>
          <w:rFonts w:hint="eastAsia" w:ascii="黑体" w:hAnsi="黑体" w:eastAsia="黑体" w:cs="黑体"/>
          <w:color w:val="auto"/>
          <w:sz w:val="24"/>
          <w:szCs w:val="24"/>
          <w:highlight w:val="none"/>
          <w:lang w:eastAsia="zh-CN"/>
        </w:rPr>
        <w:t>评审委员会</w:t>
      </w:r>
      <w:r>
        <w:rPr>
          <w:rFonts w:hint="eastAsia" w:ascii="黑体" w:hAnsi="黑体" w:eastAsia="黑体" w:cs="黑体"/>
          <w:color w:val="auto"/>
          <w:sz w:val="24"/>
          <w:szCs w:val="24"/>
          <w:highlight w:val="none"/>
        </w:rPr>
        <w:t>按照采购文件规定的方式确定成交供应商；采购文件未规定的，采取随机抽取的方式确定。</w:t>
      </w:r>
    </w:p>
    <w:p w14:paraId="2D393E81">
      <w:pPr>
        <w:pStyle w:val="12"/>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3.采购人应当自成交供应商确定之日起2个工作日内，在</w:t>
      </w:r>
      <w:r>
        <w:rPr>
          <w:rFonts w:hint="eastAsia" w:ascii="黑体" w:hAnsi="黑体" w:eastAsia="黑体" w:cs="黑体"/>
          <w:color w:val="auto"/>
          <w:sz w:val="24"/>
          <w:szCs w:val="24"/>
          <w:highlight w:val="none"/>
          <w:lang w:eastAsia="zh-CN"/>
        </w:rPr>
        <w:t>“行采家”（https://www.gec123.com）</w:t>
      </w:r>
      <w:r>
        <w:rPr>
          <w:rFonts w:hint="eastAsia" w:ascii="黑体" w:hAnsi="黑体" w:eastAsia="黑体" w:cs="黑体"/>
          <w:color w:val="auto"/>
          <w:sz w:val="24"/>
          <w:szCs w:val="24"/>
          <w:highlight w:val="none"/>
        </w:rPr>
        <w:t>网上公告成交结果。成交结果公告期限为1个工作日。</w:t>
      </w:r>
    </w:p>
    <w:p w14:paraId="5BB618EE">
      <w:pPr>
        <w:pStyle w:val="12"/>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4.成交供应商变更</w:t>
      </w:r>
    </w:p>
    <w:p w14:paraId="16A15EE1">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成交供应商拒绝与采购人签订合同的，采购人可以按照评标报告推荐的成交候选人顺序，确定排名下一位的候选人为成交供应商，也可以重新开展采购活动。</w:t>
      </w:r>
    </w:p>
    <w:p w14:paraId="6D498B36">
      <w:pPr>
        <w:pStyle w:val="4"/>
        <w:pageBreakBefore w:val="0"/>
        <w:kinsoku/>
        <w:overflowPunct/>
        <w:topLinePunct w:val="0"/>
        <w:autoSpaceDE/>
        <w:autoSpaceDN/>
        <w:bidi w:val="0"/>
        <w:adjustRightInd/>
        <w:snapToGrid w:val="0"/>
        <w:spacing w:before="0" w:after="0" w:line="312" w:lineRule="auto"/>
        <w:rPr>
          <w:rFonts w:hint="eastAsia" w:ascii="黑体" w:hAnsi="黑体" w:eastAsia="黑体" w:cs="黑体"/>
          <w:color w:val="auto"/>
          <w:sz w:val="24"/>
          <w:szCs w:val="24"/>
          <w:highlight w:val="none"/>
        </w:rPr>
      </w:pPr>
      <w:bookmarkStart w:id="113" w:name="_Toc493506310"/>
      <w:bookmarkStart w:id="114" w:name="_Toc6153"/>
      <w:r>
        <w:rPr>
          <w:rFonts w:hint="eastAsia" w:ascii="黑体" w:hAnsi="黑体" w:eastAsia="黑体" w:cs="黑体"/>
          <w:color w:val="auto"/>
          <w:sz w:val="24"/>
          <w:szCs w:val="24"/>
          <w:highlight w:val="none"/>
          <w:lang w:val="en-US" w:eastAsia="zh-CN"/>
        </w:rPr>
        <w:t>六</w:t>
      </w:r>
      <w:r>
        <w:rPr>
          <w:rFonts w:hint="eastAsia" w:ascii="黑体" w:hAnsi="黑体" w:eastAsia="黑体" w:cs="黑体"/>
          <w:color w:val="auto"/>
          <w:sz w:val="24"/>
          <w:szCs w:val="24"/>
          <w:highlight w:val="none"/>
        </w:rPr>
        <w:t>、成交通知书</w:t>
      </w:r>
      <w:bookmarkEnd w:id="113"/>
      <w:bookmarkEnd w:id="114"/>
    </w:p>
    <w:p w14:paraId="3F4B2A79">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（一）成交供应商确定后，采购代理机构将在</w:t>
      </w:r>
      <w:r>
        <w:rPr>
          <w:rFonts w:hint="eastAsia" w:ascii="黑体" w:hAnsi="黑体" w:eastAsia="黑体" w:cs="黑体"/>
          <w:color w:val="auto"/>
          <w:sz w:val="24"/>
          <w:szCs w:val="24"/>
          <w:highlight w:val="none"/>
          <w:lang w:eastAsia="zh-CN"/>
        </w:rPr>
        <w:t>“行采家”（https://www.gec123.com）</w:t>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"http://www.cqgp.gov.cn）上发布成交结果公示。" </w:instrText>
      </w:r>
      <w:r>
        <w:rPr>
          <w:rFonts w:hint="eastAsia" w:ascii="黑体" w:hAnsi="黑体" w:eastAsia="黑体" w:cs="黑体"/>
          <w:color w:val="auto"/>
          <w:highlight w:val="none"/>
        </w:rPr>
        <w:fldChar w:fldCharType="separate"/>
      </w:r>
      <w:r>
        <w:rPr>
          <w:rFonts w:hint="eastAsia" w:ascii="黑体" w:hAnsi="黑体" w:eastAsia="黑体" w:cs="黑体"/>
          <w:color w:val="auto"/>
          <w:sz w:val="24"/>
          <w:szCs w:val="24"/>
          <w:highlight w:val="none"/>
        </w:rPr>
        <w:t>上发布成交结果公告。</w:t>
      </w:r>
      <w:r>
        <w:rPr>
          <w:rFonts w:hint="eastAsia" w:ascii="黑体" w:hAnsi="黑体" w:eastAsia="黑体" w:cs="黑体"/>
          <w:color w:val="auto"/>
          <w:sz w:val="24"/>
          <w:szCs w:val="24"/>
          <w:highlight w:val="none"/>
        </w:rPr>
        <w:fldChar w:fldCharType="end"/>
      </w:r>
      <w:r>
        <w:rPr>
          <w:rFonts w:hint="eastAsia" w:ascii="黑体" w:hAnsi="黑体" w:eastAsia="黑体" w:cs="黑体"/>
          <w:color w:val="auto"/>
          <w:sz w:val="24"/>
          <w:szCs w:val="24"/>
          <w:highlight w:val="none"/>
        </w:rPr>
        <w:t>结果公告发出同时，采购代理机构将以书面形式发出《成交通知书》。《成交通知书》一经发出即发生法律效力。</w:t>
      </w:r>
    </w:p>
    <w:p w14:paraId="300D3308">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（二）《成交通知书》将作为签订合同的依据。</w:t>
      </w:r>
    </w:p>
    <w:p w14:paraId="36A1D5B1">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（三）如有供应商对成交结果提出质疑的，在质疑处理完毕后发出成交通知书。</w:t>
      </w:r>
    </w:p>
    <w:p w14:paraId="7F6394E5">
      <w:pPr>
        <w:pageBreakBefore w:val="0"/>
        <w:kinsoku/>
        <w:overflowPunct/>
        <w:topLinePunct w:val="0"/>
        <w:autoSpaceDE/>
        <w:autoSpaceDN/>
        <w:bidi w:val="0"/>
        <w:adjustRightInd/>
        <w:snapToGrid w:val="0"/>
        <w:spacing w:line="312" w:lineRule="auto"/>
        <w:ind w:firstLine="480" w:firstLineChars="200"/>
        <w:rPr>
          <w:rStyle w:val="38"/>
          <w:rFonts w:hint="eastAsia" w:ascii="黑体" w:hAnsi="黑体" w:eastAsia="黑体" w:cs="黑体"/>
          <w:color w:val="auto"/>
          <w:sz w:val="36"/>
          <w:szCs w:val="36"/>
          <w:highlight w:val="none"/>
        </w:rPr>
      </w:pPr>
      <w:r>
        <w:rPr>
          <w:rFonts w:hint="eastAsia" w:ascii="黑体" w:hAnsi="黑体" w:eastAsia="黑体" w:cs="黑体"/>
          <w:color w:val="auto"/>
          <w:sz w:val="24"/>
          <w:szCs w:val="24"/>
          <w:highlight w:val="none"/>
        </w:rPr>
        <w:t>（四）成交通知书发出后，采购人改变成交结果，或者成交供应商放弃中标，应当承担相应的法律责任。</w:t>
      </w:r>
      <w:bookmarkEnd w:id="23"/>
      <w:bookmarkEnd w:id="103"/>
      <w:bookmarkEnd w:id="104"/>
      <w:bookmarkEnd w:id="105"/>
      <w:bookmarkEnd w:id="106"/>
      <w:bookmarkEnd w:id="107"/>
      <w:bookmarkEnd w:id="108"/>
      <w:bookmarkStart w:id="115" w:name="_Toc12789058"/>
      <w:bookmarkStart w:id="116" w:name="_Toc128744993"/>
    </w:p>
    <w:bookmarkEnd w:id="115"/>
    <w:bookmarkEnd w:id="116"/>
    <w:p w14:paraId="4D67351C">
      <w:pPr>
        <w:pageBreakBefore w:val="0"/>
        <w:kinsoku/>
        <w:overflowPunct/>
        <w:topLinePunct w:val="0"/>
        <w:autoSpaceDE/>
        <w:autoSpaceDN/>
        <w:bidi w:val="0"/>
        <w:adjustRightInd/>
        <w:snapToGrid w:val="0"/>
        <w:spacing w:line="312" w:lineRule="auto"/>
        <w:rPr>
          <w:rStyle w:val="38"/>
          <w:rFonts w:hint="eastAsia" w:ascii="黑体" w:hAnsi="黑体" w:eastAsia="黑体" w:cs="黑体"/>
          <w:color w:val="auto"/>
          <w:sz w:val="36"/>
          <w:szCs w:val="36"/>
          <w:highlight w:val="none"/>
        </w:rPr>
      </w:pPr>
      <w:r>
        <w:rPr>
          <w:rStyle w:val="38"/>
          <w:rFonts w:hint="eastAsia" w:ascii="黑体" w:hAnsi="黑体" w:eastAsia="黑体" w:cs="黑体"/>
          <w:color w:val="auto"/>
          <w:sz w:val="36"/>
          <w:szCs w:val="36"/>
          <w:highlight w:val="none"/>
        </w:rPr>
        <w:br w:type="page"/>
      </w:r>
    </w:p>
    <w:p w14:paraId="7BDC1621">
      <w:pPr>
        <w:pageBreakBefore w:val="0"/>
        <w:widowControl/>
        <w:kinsoku/>
        <w:overflowPunct/>
        <w:topLinePunct w:val="0"/>
        <w:autoSpaceDE/>
        <w:autoSpaceDN/>
        <w:bidi w:val="0"/>
        <w:adjustRightInd/>
        <w:snapToGrid w:val="0"/>
        <w:spacing w:line="312" w:lineRule="auto"/>
        <w:jc w:val="center"/>
        <w:rPr>
          <w:rStyle w:val="38"/>
          <w:rFonts w:hint="eastAsia" w:ascii="黑体" w:hAnsi="黑体" w:eastAsia="黑体" w:cs="黑体"/>
          <w:color w:val="auto"/>
          <w:highlight w:val="none"/>
        </w:rPr>
      </w:pPr>
      <w:bookmarkStart w:id="117" w:name="_Toc26968"/>
      <w:r>
        <w:rPr>
          <w:rStyle w:val="38"/>
          <w:rFonts w:hint="eastAsia" w:ascii="黑体" w:hAnsi="黑体" w:eastAsia="黑体" w:cs="黑体"/>
          <w:color w:val="auto"/>
          <w:highlight w:val="none"/>
        </w:rPr>
        <w:t>第六篇 合同主要条款和格式合同</w:t>
      </w:r>
      <w:bookmarkEnd w:id="117"/>
    </w:p>
    <w:p w14:paraId="4326BEE7">
      <w:pPr>
        <w:pStyle w:val="7"/>
        <w:pageBreakBefore w:val="0"/>
        <w:kinsoku/>
        <w:overflowPunct/>
        <w:topLinePunct w:val="0"/>
        <w:autoSpaceDE/>
        <w:autoSpaceDN/>
        <w:bidi w:val="0"/>
        <w:adjustRightInd/>
        <w:snapToGrid w:val="0"/>
        <w:spacing w:line="312" w:lineRule="auto"/>
        <w:rPr>
          <w:rFonts w:hint="eastAsia" w:ascii="黑体" w:hAnsi="黑体" w:eastAsia="黑体" w:cs="黑体"/>
          <w:color w:val="auto"/>
          <w:highlight w:val="none"/>
        </w:rPr>
      </w:pPr>
    </w:p>
    <w:p w14:paraId="669A877D">
      <w:pPr>
        <w:pageBreakBefore w:val="0"/>
        <w:widowControl/>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r>
        <w:rPr>
          <w:rFonts w:hint="eastAsia" w:ascii="黑体" w:hAnsi="黑体" w:eastAsia="黑体" w:cs="黑体"/>
          <w:color w:val="auto"/>
          <w:highlight w:val="none"/>
        </w:rPr>
        <w:t>由成交供应商与采购人自行拟定</w:t>
      </w:r>
    </w:p>
    <w:p w14:paraId="41FB9F53">
      <w:pPr>
        <w:pageBreakBefore w:val="0"/>
        <w:kinsoku/>
        <w:overflowPunct/>
        <w:topLinePunct w:val="0"/>
        <w:autoSpaceDE/>
        <w:autoSpaceDN/>
        <w:bidi w:val="0"/>
        <w:adjustRightInd/>
        <w:snapToGrid w:val="0"/>
        <w:spacing w:line="312" w:lineRule="auto"/>
        <w:jc w:val="center"/>
        <w:rPr>
          <w:rFonts w:hint="eastAsia" w:ascii="黑体" w:hAnsi="黑体" w:eastAsia="黑体" w:cs="黑体"/>
          <w:b/>
          <w:color w:val="auto"/>
          <w:sz w:val="44"/>
          <w:highlight w:val="none"/>
        </w:rPr>
      </w:pPr>
      <w:r>
        <w:rPr>
          <w:rFonts w:hint="eastAsia" w:ascii="黑体" w:hAnsi="黑体" w:eastAsia="黑体" w:cs="黑体"/>
          <w:b/>
          <w:color w:val="auto"/>
          <w:sz w:val="44"/>
          <w:highlight w:val="none"/>
        </w:rPr>
        <w:t>采购合同</w:t>
      </w:r>
    </w:p>
    <w:p w14:paraId="16D34D39">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r>
        <w:rPr>
          <w:rFonts w:hint="eastAsia" w:ascii="黑体" w:hAnsi="黑体" w:eastAsia="黑体" w:cs="黑体"/>
          <w:color w:val="auto"/>
          <w:highlight w:val="none"/>
        </w:rPr>
        <w:t>（项目执行编号：     ）</w:t>
      </w:r>
    </w:p>
    <w:p w14:paraId="01587A92">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highlight w:val="none"/>
        </w:rPr>
      </w:pPr>
      <w:r>
        <w:rPr>
          <w:rFonts w:hint="eastAsia" w:ascii="黑体" w:hAnsi="黑体" w:eastAsia="黑体" w:cs="黑体"/>
          <w:color w:val="auto"/>
          <w:sz w:val="24"/>
          <w:highlight w:val="none"/>
        </w:rPr>
        <w:t>甲方（需方）：___________________________      计价单位：____________</w:t>
      </w:r>
    </w:p>
    <w:p w14:paraId="504787D5">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highlight w:val="none"/>
        </w:rPr>
      </w:pPr>
      <w:r>
        <w:rPr>
          <w:rFonts w:hint="eastAsia" w:ascii="黑体" w:hAnsi="黑体" w:eastAsia="黑体" w:cs="黑体"/>
          <w:color w:val="auto"/>
          <w:sz w:val="24"/>
          <w:highlight w:val="none"/>
        </w:rPr>
        <w:t>乙方（供方）：___________________________      计量单位：_____________</w:t>
      </w:r>
    </w:p>
    <w:p w14:paraId="4B523ABD">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highlight w:val="none"/>
        </w:rPr>
      </w:pPr>
    </w:p>
    <w:p w14:paraId="655441DF">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highlight w:val="none"/>
        </w:rPr>
      </w:pPr>
      <w:r>
        <w:rPr>
          <w:rFonts w:hint="eastAsia" w:ascii="黑体" w:hAnsi="黑体" w:eastAsia="黑体" w:cs="黑体"/>
          <w:color w:val="auto"/>
          <w:sz w:val="24"/>
          <w:highlight w:val="none"/>
        </w:rPr>
        <w:t>经双方协商一致，达成以下购销合同：</w:t>
      </w:r>
    </w:p>
    <w:tbl>
      <w:tblPr>
        <w:tblStyle w:val="24"/>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7"/>
        <w:gridCol w:w="984"/>
        <w:gridCol w:w="448"/>
        <w:gridCol w:w="1984"/>
        <w:gridCol w:w="1559"/>
        <w:gridCol w:w="1484"/>
      </w:tblGrid>
      <w:tr w14:paraId="130F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937" w:type="dxa"/>
            <w:vAlign w:val="center"/>
          </w:tcPr>
          <w:p w14:paraId="4DD38FA9">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项目名称</w:t>
            </w:r>
          </w:p>
        </w:tc>
        <w:tc>
          <w:tcPr>
            <w:tcW w:w="984" w:type="dxa"/>
            <w:vAlign w:val="center"/>
          </w:tcPr>
          <w:p w14:paraId="55B97842">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数量</w:t>
            </w:r>
          </w:p>
        </w:tc>
        <w:tc>
          <w:tcPr>
            <w:tcW w:w="2432" w:type="dxa"/>
            <w:gridSpan w:val="2"/>
            <w:vAlign w:val="center"/>
          </w:tcPr>
          <w:p w14:paraId="021DA68D">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总价</w:t>
            </w:r>
          </w:p>
        </w:tc>
        <w:tc>
          <w:tcPr>
            <w:tcW w:w="1559" w:type="dxa"/>
            <w:vAlign w:val="center"/>
          </w:tcPr>
          <w:p w14:paraId="28820CA4">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服务时间</w:t>
            </w:r>
          </w:p>
        </w:tc>
        <w:tc>
          <w:tcPr>
            <w:tcW w:w="1484" w:type="dxa"/>
            <w:vAlign w:val="center"/>
          </w:tcPr>
          <w:p w14:paraId="15197B06">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服务地点</w:t>
            </w:r>
          </w:p>
        </w:tc>
      </w:tr>
      <w:tr w14:paraId="1709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937" w:type="dxa"/>
            <w:vAlign w:val="center"/>
          </w:tcPr>
          <w:p w14:paraId="591B2AE7">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sz w:val="21"/>
                <w:szCs w:val="21"/>
                <w:highlight w:val="none"/>
              </w:rPr>
            </w:pPr>
          </w:p>
        </w:tc>
        <w:tc>
          <w:tcPr>
            <w:tcW w:w="984" w:type="dxa"/>
            <w:vAlign w:val="center"/>
          </w:tcPr>
          <w:p w14:paraId="3C4FDB25">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sz w:val="21"/>
                <w:szCs w:val="21"/>
                <w:highlight w:val="none"/>
              </w:rPr>
            </w:pPr>
          </w:p>
        </w:tc>
        <w:tc>
          <w:tcPr>
            <w:tcW w:w="2432" w:type="dxa"/>
            <w:gridSpan w:val="2"/>
            <w:vAlign w:val="center"/>
          </w:tcPr>
          <w:p w14:paraId="2C73A574">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sz w:val="21"/>
                <w:szCs w:val="21"/>
                <w:highlight w:val="none"/>
              </w:rPr>
            </w:pPr>
          </w:p>
        </w:tc>
        <w:tc>
          <w:tcPr>
            <w:tcW w:w="1559" w:type="dxa"/>
            <w:vAlign w:val="center"/>
          </w:tcPr>
          <w:p w14:paraId="083E9AAE">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sz w:val="21"/>
                <w:szCs w:val="21"/>
                <w:highlight w:val="none"/>
              </w:rPr>
            </w:pPr>
          </w:p>
        </w:tc>
        <w:tc>
          <w:tcPr>
            <w:tcW w:w="1484" w:type="dxa"/>
            <w:vAlign w:val="center"/>
          </w:tcPr>
          <w:p w14:paraId="2D7C460D">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sz w:val="21"/>
                <w:szCs w:val="21"/>
                <w:highlight w:val="none"/>
              </w:rPr>
            </w:pPr>
          </w:p>
        </w:tc>
      </w:tr>
      <w:tr w14:paraId="5923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9396" w:type="dxa"/>
            <w:gridSpan w:val="6"/>
            <w:vAlign w:val="center"/>
          </w:tcPr>
          <w:p w14:paraId="4C52EF01">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合计人民币（小写）：</w:t>
            </w:r>
          </w:p>
        </w:tc>
      </w:tr>
      <w:tr w14:paraId="5AFB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9396" w:type="dxa"/>
            <w:gridSpan w:val="6"/>
            <w:vAlign w:val="center"/>
          </w:tcPr>
          <w:p w14:paraId="3F0D7AA6">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合计人民币（大写）：</w:t>
            </w:r>
          </w:p>
        </w:tc>
      </w:tr>
      <w:tr w14:paraId="0E0B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96" w:type="dxa"/>
            <w:gridSpan w:val="6"/>
          </w:tcPr>
          <w:p w14:paraId="53DD60B2">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一、服务内容</w:t>
            </w:r>
          </w:p>
          <w:p w14:paraId="6AA6B706">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1.服务内容包含：</w:t>
            </w:r>
          </w:p>
          <w:p w14:paraId="11F57287">
            <w:pPr>
              <w:pStyle w:val="34"/>
              <w:pageBreakBefore w:val="0"/>
              <w:kinsoku/>
              <w:overflowPunct/>
              <w:topLinePunct w:val="0"/>
              <w:autoSpaceDE/>
              <w:autoSpaceDN/>
              <w:bidi w:val="0"/>
              <w:adjustRightInd/>
              <w:snapToGrid w:val="0"/>
              <w:spacing w:line="312" w:lineRule="auto"/>
              <w:rPr>
                <w:rFonts w:hint="eastAsia" w:ascii="黑体" w:hAnsi="黑体" w:eastAsia="黑体" w:cs="黑体"/>
                <w:color w:val="auto"/>
                <w:highlight w:val="none"/>
              </w:rPr>
            </w:pPr>
            <w:r>
              <w:rPr>
                <w:rFonts w:hint="eastAsia" w:ascii="黑体" w:hAnsi="黑体" w:eastAsia="黑体" w:cs="黑体"/>
                <w:color w:val="auto"/>
                <w:sz w:val="21"/>
                <w:szCs w:val="21"/>
                <w:highlight w:val="none"/>
              </w:rPr>
              <w:t>2.服务费用包含：</w:t>
            </w:r>
          </w:p>
        </w:tc>
      </w:tr>
      <w:tr w14:paraId="17BF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9396" w:type="dxa"/>
            <w:gridSpan w:val="6"/>
          </w:tcPr>
          <w:p w14:paraId="1587DAAF">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二、验收标准、方法：</w:t>
            </w:r>
          </w:p>
          <w:p w14:paraId="6B5914AD">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如有异议，请于3 日内提出。</w:t>
            </w:r>
          </w:p>
        </w:tc>
      </w:tr>
      <w:tr w14:paraId="6EC3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9396" w:type="dxa"/>
            <w:gridSpan w:val="6"/>
          </w:tcPr>
          <w:p w14:paraId="42E23754">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三、付款方式：</w:t>
            </w:r>
          </w:p>
          <w:p w14:paraId="3D980CA0">
            <w:pPr>
              <w:pStyle w:val="13"/>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p>
        </w:tc>
      </w:tr>
      <w:tr w14:paraId="2007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9396" w:type="dxa"/>
            <w:gridSpan w:val="6"/>
          </w:tcPr>
          <w:p w14:paraId="241AD3DD">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四、违约责任：</w:t>
            </w:r>
          </w:p>
          <w:p w14:paraId="12411829">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按《中华人民共和国民法典》、《中华人民共和国政府采购法》执行，或按双方约定。（采购人应按项目实际情况完整填写）</w:t>
            </w:r>
          </w:p>
        </w:tc>
      </w:tr>
      <w:tr w14:paraId="74FE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396" w:type="dxa"/>
            <w:gridSpan w:val="6"/>
          </w:tcPr>
          <w:p w14:paraId="10E94E11">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五、其他约定事项：</w:t>
            </w:r>
          </w:p>
          <w:p w14:paraId="3E163D14">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1.采购文件及其澄清文件、</w:t>
            </w:r>
            <w:r>
              <w:rPr>
                <w:rFonts w:hint="eastAsia" w:ascii="黑体" w:hAnsi="黑体" w:eastAsia="黑体" w:cs="黑体"/>
                <w:color w:val="auto"/>
                <w:sz w:val="21"/>
                <w:szCs w:val="21"/>
                <w:highlight w:val="none"/>
                <w:lang w:val="en-US" w:eastAsia="zh-CN"/>
              </w:rPr>
              <w:t>响应</w:t>
            </w:r>
            <w:r>
              <w:rPr>
                <w:rFonts w:hint="eastAsia" w:ascii="黑体" w:hAnsi="黑体" w:eastAsia="黑体" w:cs="黑体"/>
                <w:color w:val="auto"/>
                <w:sz w:val="21"/>
                <w:szCs w:val="21"/>
                <w:highlight w:val="none"/>
              </w:rPr>
              <w:t>文件和承诺是本合同不可分割的部分。</w:t>
            </w:r>
          </w:p>
          <w:p w14:paraId="5C0AA240">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2.本合同如发生争议由双方协商解决，协商不成向需方所在地仲裁机构提请仲裁。</w:t>
            </w:r>
          </w:p>
          <w:p w14:paraId="4137904E">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3.本合同一式_4_份， 需方_3_份，供方_1_份，具备同等法律效力。</w:t>
            </w:r>
          </w:p>
          <w:p w14:paraId="3F101706">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4.其他：</w:t>
            </w:r>
          </w:p>
        </w:tc>
      </w:tr>
      <w:tr w14:paraId="3D04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9" w:type="dxa"/>
            <w:gridSpan w:val="3"/>
          </w:tcPr>
          <w:p w14:paraId="1E3B0905">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需方：</w:t>
            </w:r>
          </w:p>
          <w:p w14:paraId="472B32AA">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地址：</w:t>
            </w:r>
          </w:p>
          <w:p w14:paraId="33767956">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联系电话：</w:t>
            </w:r>
          </w:p>
          <w:p w14:paraId="75C16953">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授权代表：</w:t>
            </w:r>
          </w:p>
        </w:tc>
        <w:tc>
          <w:tcPr>
            <w:tcW w:w="5027" w:type="dxa"/>
            <w:gridSpan w:val="3"/>
          </w:tcPr>
          <w:p w14:paraId="7B5AB241">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供方：</w:t>
            </w:r>
          </w:p>
          <w:p w14:paraId="25A9922E">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地址：</w:t>
            </w:r>
          </w:p>
          <w:p w14:paraId="394A5F15">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电话：</w:t>
            </w:r>
          </w:p>
          <w:p w14:paraId="05502B49">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传真：</w:t>
            </w:r>
          </w:p>
          <w:p w14:paraId="5FDB1E98">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开户银行：</w:t>
            </w:r>
          </w:p>
          <w:p w14:paraId="42133A88">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账号：</w:t>
            </w:r>
          </w:p>
          <w:p w14:paraId="29FAE43A">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授权代表：</w:t>
            </w:r>
          </w:p>
          <w:p w14:paraId="6769813C">
            <w:pPr>
              <w:pageBreakBefore w:val="0"/>
              <w:widowControl/>
              <w:kinsoku/>
              <w:overflowPunct/>
              <w:topLinePunct w:val="0"/>
              <w:autoSpaceDE/>
              <w:autoSpaceDN/>
              <w:bidi w:val="0"/>
              <w:adjustRightInd/>
              <w:snapToGrid w:val="0"/>
              <w:spacing w:line="312" w:lineRule="auto"/>
              <w:jc w:val="lef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（本栏请用计算机打印以便于准确付款）</w:t>
            </w:r>
          </w:p>
        </w:tc>
      </w:tr>
      <w:tr w14:paraId="3228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9396" w:type="dxa"/>
            <w:gridSpan w:val="6"/>
          </w:tcPr>
          <w:p w14:paraId="74A774D1">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备注：</w:t>
            </w:r>
          </w:p>
          <w:p w14:paraId="4518ADE9">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p>
          <w:p w14:paraId="2432A40B">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1"/>
                <w:szCs w:val="21"/>
                <w:highlight w:val="none"/>
              </w:rPr>
            </w:pPr>
          </w:p>
        </w:tc>
      </w:tr>
    </w:tbl>
    <w:p w14:paraId="25B8B83A">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签约时间：           年   月   日      签约地点：</w:t>
      </w:r>
    </w:p>
    <w:p w14:paraId="1E3E2AFD">
      <w:pPr>
        <w:pageBreakBefore w:val="0"/>
        <w:widowControl/>
        <w:tabs>
          <w:tab w:val="left" w:pos="6300"/>
        </w:tabs>
        <w:kinsoku/>
        <w:overflowPunct/>
        <w:topLinePunct w:val="0"/>
        <w:autoSpaceDE/>
        <w:autoSpaceDN/>
        <w:bidi w:val="0"/>
        <w:adjustRightInd/>
        <w:snapToGrid w:val="0"/>
        <w:spacing w:line="312" w:lineRule="auto"/>
        <w:ind w:left="249"/>
        <w:rPr>
          <w:rFonts w:hint="eastAsia" w:ascii="黑体" w:hAnsi="黑体" w:eastAsia="黑体" w:cs="黑体"/>
          <w:b/>
          <w:bCs/>
          <w:color w:val="auto"/>
          <w:sz w:val="30"/>
          <w:szCs w:val="30"/>
          <w:highlight w:val="none"/>
        </w:rPr>
      </w:pPr>
      <w:bookmarkStart w:id="118" w:name="_Toc15930"/>
    </w:p>
    <w:p w14:paraId="6AD039C4">
      <w:pPr>
        <w:pageBreakBefore w:val="0"/>
        <w:widowControl/>
        <w:tabs>
          <w:tab w:val="left" w:pos="6300"/>
        </w:tabs>
        <w:kinsoku/>
        <w:overflowPunct/>
        <w:topLinePunct w:val="0"/>
        <w:autoSpaceDE/>
        <w:autoSpaceDN/>
        <w:bidi w:val="0"/>
        <w:adjustRightInd/>
        <w:snapToGrid w:val="0"/>
        <w:spacing w:line="312" w:lineRule="auto"/>
        <w:ind w:left="249"/>
        <w:rPr>
          <w:rFonts w:hint="eastAsia" w:ascii="黑体" w:hAnsi="黑体" w:eastAsia="黑体" w:cs="黑体"/>
          <w:b/>
          <w:bCs/>
          <w:color w:val="auto"/>
          <w:sz w:val="30"/>
          <w:szCs w:val="30"/>
          <w:highlight w:val="none"/>
        </w:rPr>
      </w:pPr>
    </w:p>
    <w:p w14:paraId="44F8E0AE">
      <w:pPr>
        <w:pageBreakBefore w:val="0"/>
        <w:widowControl/>
        <w:tabs>
          <w:tab w:val="left" w:pos="6300"/>
        </w:tabs>
        <w:kinsoku/>
        <w:overflowPunct/>
        <w:topLinePunct w:val="0"/>
        <w:autoSpaceDE/>
        <w:autoSpaceDN/>
        <w:bidi w:val="0"/>
        <w:adjustRightInd/>
        <w:snapToGrid w:val="0"/>
        <w:spacing w:line="312" w:lineRule="auto"/>
        <w:ind w:left="249"/>
        <w:rPr>
          <w:rFonts w:hint="eastAsia" w:ascii="黑体" w:hAnsi="黑体" w:eastAsia="黑体" w:cs="黑体"/>
          <w:b/>
          <w:bCs/>
          <w:color w:val="auto"/>
          <w:sz w:val="30"/>
          <w:szCs w:val="30"/>
          <w:highlight w:val="none"/>
        </w:rPr>
      </w:pPr>
    </w:p>
    <w:p w14:paraId="0EF1DA30">
      <w:pPr>
        <w:pageBreakBefore w:val="0"/>
        <w:widowControl/>
        <w:tabs>
          <w:tab w:val="left" w:pos="6300"/>
        </w:tabs>
        <w:kinsoku/>
        <w:overflowPunct/>
        <w:topLinePunct w:val="0"/>
        <w:autoSpaceDE/>
        <w:autoSpaceDN/>
        <w:bidi w:val="0"/>
        <w:adjustRightInd/>
        <w:snapToGrid w:val="0"/>
        <w:spacing w:line="312" w:lineRule="auto"/>
        <w:ind w:left="249"/>
        <w:rPr>
          <w:rFonts w:hint="eastAsia" w:ascii="黑体" w:hAnsi="黑体" w:eastAsia="黑体" w:cs="黑体"/>
          <w:b/>
          <w:bCs/>
          <w:color w:val="auto"/>
          <w:sz w:val="30"/>
          <w:szCs w:val="30"/>
          <w:highlight w:val="none"/>
        </w:rPr>
      </w:pPr>
    </w:p>
    <w:p w14:paraId="08D2A2FE">
      <w:pPr>
        <w:pageBreakBefore w:val="0"/>
        <w:widowControl/>
        <w:tabs>
          <w:tab w:val="left" w:pos="6300"/>
        </w:tabs>
        <w:kinsoku/>
        <w:overflowPunct/>
        <w:topLinePunct w:val="0"/>
        <w:autoSpaceDE/>
        <w:autoSpaceDN/>
        <w:bidi w:val="0"/>
        <w:adjustRightInd/>
        <w:snapToGrid w:val="0"/>
        <w:spacing w:line="312" w:lineRule="auto"/>
        <w:ind w:left="249"/>
        <w:rPr>
          <w:rFonts w:hint="eastAsia" w:ascii="黑体" w:hAnsi="黑体" w:eastAsia="黑体" w:cs="黑体"/>
          <w:b/>
          <w:bCs/>
          <w:color w:val="auto"/>
          <w:sz w:val="30"/>
          <w:szCs w:val="30"/>
          <w:highlight w:val="none"/>
        </w:rPr>
      </w:pPr>
    </w:p>
    <w:p w14:paraId="47CC3770">
      <w:pPr>
        <w:pageBreakBefore w:val="0"/>
        <w:widowControl/>
        <w:tabs>
          <w:tab w:val="left" w:pos="6300"/>
        </w:tabs>
        <w:kinsoku/>
        <w:overflowPunct/>
        <w:topLinePunct w:val="0"/>
        <w:autoSpaceDE/>
        <w:autoSpaceDN/>
        <w:bidi w:val="0"/>
        <w:adjustRightInd/>
        <w:snapToGrid w:val="0"/>
        <w:spacing w:line="312" w:lineRule="auto"/>
        <w:ind w:left="249"/>
        <w:rPr>
          <w:rFonts w:hint="eastAsia" w:ascii="黑体" w:hAnsi="黑体" w:eastAsia="黑体" w:cs="黑体"/>
          <w:b/>
          <w:bCs/>
          <w:color w:val="auto"/>
          <w:sz w:val="30"/>
          <w:szCs w:val="30"/>
          <w:highlight w:val="none"/>
        </w:rPr>
      </w:pPr>
    </w:p>
    <w:p w14:paraId="3D82C8BD">
      <w:pPr>
        <w:pStyle w:val="34"/>
        <w:pageBreakBefore w:val="0"/>
        <w:kinsoku/>
        <w:overflowPunct/>
        <w:topLinePunct w:val="0"/>
        <w:autoSpaceDE/>
        <w:autoSpaceDN/>
        <w:bidi w:val="0"/>
        <w:adjustRightInd/>
        <w:snapToGrid w:val="0"/>
        <w:spacing w:line="312" w:lineRule="auto"/>
        <w:rPr>
          <w:rFonts w:hint="eastAsia" w:ascii="黑体" w:hAnsi="黑体" w:eastAsia="黑体" w:cs="黑体"/>
          <w:b/>
          <w:bCs/>
          <w:color w:val="auto"/>
          <w:sz w:val="30"/>
          <w:szCs w:val="30"/>
          <w:highlight w:val="none"/>
        </w:rPr>
      </w:pPr>
    </w:p>
    <w:p w14:paraId="45A7696C">
      <w:pPr>
        <w:pStyle w:val="35"/>
        <w:pageBreakBefore w:val="0"/>
        <w:kinsoku/>
        <w:overflowPunct/>
        <w:topLinePunct w:val="0"/>
        <w:autoSpaceDE/>
        <w:autoSpaceDN/>
        <w:bidi w:val="0"/>
        <w:adjustRightInd/>
        <w:snapToGrid w:val="0"/>
        <w:spacing w:line="312" w:lineRule="auto"/>
        <w:rPr>
          <w:rFonts w:hint="eastAsia" w:ascii="黑体" w:hAnsi="黑体" w:eastAsia="黑体" w:cs="黑体"/>
          <w:b/>
          <w:bCs/>
          <w:color w:val="auto"/>
          <w:sz w:val="30"/>
          <w:szCs w:val="30"/>
          <w:highlight w:val="none"/>
        </w:rPr>
      </w:pPr>
    </w:p>
    <w:p w14:paraId="5383DB96">
      <w:pPr>
        <w:pStyle w:val="35"/>
        <w:pageBreakBefore w:val="0"/>
        <w:kinsoku/>
        <w:overflowPunct/>
        <w:topLinePunct w:val="0"/>
        <w:autoSpaceDE/>
        <w:autoSpaceDN/>
        <w:bidi w:val="0"/>
        <w:adjustRightInd/>
        <w:snapToGrid w:val="0"/>
        <w:spacing w:line="312" w:lineRule="auto"/>
        <w:rPr>
          <w:rFonts w:hint="eastAsia" w:ascii="黑体" w:hAnsi="黑体" w:eastAsia="黑体" w:cs="黑体"/>
          <w:b/>
          <w:bCs/>
          <w:color w:val="auto"/>
          <w:sz w:val="30"/>
          <w:szCs w:val="30"/>
          <w:highlight w:val="none"/>
        </w:rPr>
      </w:pPr>
    </w:p>
    <w:p w14:paraId="0DE0C545">
      <w:pPr>
        <w:pStyle w:val="35"/>
        <w:pageBreakBefore w:val="0"/>
        <w:kinsoku/>
        <w:overflowPunct/>
        <w:topLinePunct w:val="0"/>
        <w:autoSpaceDE/>
        <w:autoSpaceDN/>
        <w:bidi w:val="0"/>
        <w:adjustRightInd/>
        <w:snapToGrid w:val="0"/>
        <w:spacing w:line="312" w:lineRule="auto"/>
        <w:rPr>
          <w:rFonts w:hint="eastAsia" w:ascii="黑体" w:hAnsi="黑体" w:eastAsia="黑体" w:cs="黑体"/>
          <w:b/>
          <w:bCs/>
          <w:color w:val="auto"/>
          <w:sz w:val="30"/>
          <w:szCs w:val="30"/>
          <w:highlight w:val="none"/>
        </w:rPr>
      </w:pPr>
    </w:p>
    <w:p w14:paraId="19724BB9">
      <w:pPr>
        <w:pageBreakBefore w:val="0"/>
        <w:widowControl/>
        <w:tabs>
          <w:tab w:val="left" w:pos="6300"/>
        </w:tabs>
        <w:kinsoku/>
        <w:overflowPunct/>
        <w:topLinePunct w:val="0"/>
        <w:autoSpaceDE/>
        <w:autoSpaceDN/>
        <w:bidi w:val="0"/>
        <w:adjustRightInd/>
        <w:snapToGrid w:val="0"/>
        <w:spacing w:line="312" w:lineRule="auto"/>
        <w:ind w:left="249"/>
        <w:rPr>
          <w:rFonts w:hint="eastAsia" w:ascii="黑体" w:hAnsi="黑体" w:eastAsia="黑体" w:cs="黑体"/>
          <w:b/>
          <w:bCs/>
          <w:color w:val="auto"/>
          <w:sz w:val="30"/>
          <w:szCs w:val="30"/>
          <w:highlight w:val="none"/>
        </w:rPr>
      </w:pPr>
    </w:p>
    <w:p w14:paraId="37F45680">
      <w:pPr>
        <w:pageBreakBefore w:val="0"/>
        <w:widowControl/>
        <w:tabs>
          <w:tab w:val="left" w:pos="6300"/>
        </w:tabs>
        <w:kinsoku/>
        <w:overflowPunct/>
        <w:topLinePunct w:val="0"/>
        <w:autoSpaceDE/>
        <w:autoSpaceDN/>
        <w:bidi w:val="0"/>
        <w:adjustRightInd/>
        <w:snapToGrid w:val="0"/>
        <w:spacing w:line="312" w:lineRule="auto"/>
        <w:rPr>
          <w:rFonts w:hint="eastAsia" w:ascii="黑体" w:hAnsi="黑体" w:eastAsia="黑体" w:cs="黑体"/>
          <w:b/>
          <w:bCs/>
          <w:color w:val="auto"/>
          <w:sz w:val="30"/>
          <w:szCs w:val="30"/>
          <w:highlight w:val="none"/>
        </w:rPr>
      </w:pPr>
    </w:p>
    <w:p w14:paraId="09CF4767">
      <w:pPr>
        <w:pageBreakBefore w:val="0"/>
        <w:widowControl/>
        <w:tabs>
          <w:tab w:val="left" w:pos="6300"/>
        </w:tabs>
        <w:kinsoku/>
        <w:overflowPunct/>
        <w:topLinePunct w:val="0"/>
        <w:autoSpaceDE/>
        <w:autoSpaceDN/>
        <w:bidi w:val="0"/>
        <w:adjustRightInd/>
        <w:snapToGrid w:val="0"/>
        <w:spacing w:line="312" w:lineRule="auto"/>
        <w:rPr>
          <w:rFonts w:hint="eastAsia" w:ascii="黑体" w:hAnsi="黑体" w:eastAsia="黑体" w:cs="黑体"/>
          <w:b/>
          <w:bCs/>
          <w:color w:val="auto"/>
          <w:sz w:val="30"/>
          <w:szCs w:val="30"/>
          <w:highlight w:val="none"/>
        </w:rPr>
      </w:pPr>
    </w:p>
    <w:p w14:paraId="10D1D264">
      <w:pPr>
        <w:pageBreakBefore w:val="0"/>
        <w:widowControl/>
        <w:tabs>
          <w:tab w:val="left" w:pos="6300"/>
        </w:tabs>
        <w:kinsoku/>
        <w:overflowPunct/>
        <w:topLinePunct w:val="0"/>
        <w:autoSpaceDE/>
        <w:autoSpaceDN/>
        <w:bidi w:val="0"/>
        <w:adjustRightInd/>
        <w:snapToGrid w:val="0"/>
        <w:spacing w:line="312" w:lineRule="auto"/>
        <w:rPr>
          <w:rFonts w:hint="eastAsia" w:ascii="黑体" w:hAnsi="黑体" w:eastAsia="黑体" w:cs="黑体"/>
          <w:b/>
          <w:bCs/>
          <w:color w:val="auto"/>
          <w:sz w:val="30"/>
          <w:szCs w:val="30"/>
          <w:highlight w:val="none"/>
        </w:rPr>
      </w:pPr>
    </w:p>
    <w:p w14:paraId="3F66E43A">
      <w:pPr>
        <w:pageBreakBefore w:val="0"/>
        <w:widowControl/>
        <w:tabs>
          <w:tab w:val="left" w:pos="6300"/>
        </w:tabs>
        <w:kinsoku/>
        <w:overflowPunct/>
        <w:topLinePunct w:val="0"/>
        <w:autoSpaceDE/>
        <w:autoSpaceDN/>
        <w:bidi w:val="0"/>
        <w:adjustRightInd/>
        <w:snapToGrid w:val="0"/>
        <w:spacing w:line="312" w:lineRule="auto"/>
        <w:rPr>
          <w:rFonts w:hint="eastAsia" w:ascii="黑体" w:hAnsi="黑体" w:eastAsia="黑体" w:cs="黑体"/>
          <w:b/>
          <w:bCs/>
          <w:color w:val="auto"/>
          <w:sz w:val="30"/>
          <w:szCs w:val="30"/>
          <w:highlight w:val="none"/>
        </w:rPr>
      </w:pPr>
    </w:p>
    <w:p w14:paraId="07202452">
      <w:pPr>
        <w:pageBreakBefore w:val="0"/>
        <w:widowControl/>
        <w:tabs>
          <w:tab w:val="left" w:pos="6300"/>
        </w:tabs>
        <w:kinsoku/>
        <w:overflowPunct/>
        <w:topLinePunct w:val="0"/>
        <w:autoSpaceDE/>
        <w:autoSpaceDN/>
        <w:bidi w:val="0"/>
        <w:adjustRightInd/>
        <w:snapToGrid w:val="0"/>
        <w:spacing w:line="312" w:lineRule="auto"/>
        <w:rPr>
          <w:rFonts w:hint="eastAsia" w:ascii="黑体" w:hAnsi="黑体" w:eastAsia="黑体" w:cs="黑体"/>
          <w:b/>
          <w:bCs/>
          <w:color w:val="auto"/>
          <w:sz w:val="30"/>
          <w:szCs w:val="30"/>
          <w:highlight w:val="none"/>
        </w:rPr>
      </w:pPr>
    </w:p>
    <w:p w14:paraId="4DCAA5B4">
      <w:pPr>
        <w:pageBreakBefore w:val="0"/>
        <w:widowControl/>
        <w:tabs>
          <w:tab w:val="left" w:pos="6300"/>
        </w:tabs>
        <w:kinsoku/>
        <w:overflowPunct/>
        <w:topLinePunct w:val="0"/>
        <w:autoSpaceDE/>
        <w:autoSpaceDN/>
        <w:bidi w:val="0"/>
        <w:adjustRightInd/>
        <w:snapToGrid w:val="0"/>
        <w:spacing w:line="312" w:lineRule="auto"/>
        <w:outlineLvl w:val="0"/>
        <w:rPr>
          <w:rFonts w:hint="eastAsia" w:ascii="黑体" w:hAnsi="黑体" w:eastAsia="黑体" w:cs="黑体"/>
          <w:color w:val="auto"/>
          <w:highlight w:val="none"/>
        </w:rPr>
      </w:pPr>
      <w:r>
        <w:rPr>
          <w:rFonts w:hint="eastAsia" w:ascii="黑体" w:hAnsi="黑体" w:eastAsia="黑体" w:cs="黑体"/>
          <w:b/>
          <w:bCs/>
          <w:color w:val="auto"/>
          <w:sz w:val="30"/>
          <w:szCs w:val="30"/>
          <w:highlight w:val="none"/>
        </w:rPr>
        <w:t>项目验收</w:t>
      </w:r>
      <w:bookmarkEnd w:id="118"/>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0"/>
        <w:gridCol w:w="2015"/>
        <w:gridCol w:w="180"/>
        <w:gridCol w:w="2115"/>
        <w:gridCol w:w="2398"/>
      </w:tblGrid>
      <w:tr w14:paraId="31D8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2F215F13">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bookmarkStart w:id="119" w:name="_Toc5446"/>
            <w:r>
              <w:rPr>
                <w:rFonts w:hint="eastAsia" w:ascii="黑体" w:hAnsi="黑体" w:eastAsia="黑体" w:cs="黑体"/>
                <w:b w:val="0"/>
                <w:color w:val="auto"/>
                <w:sz w:val="24"/>
                <w:szCs w:val="24"/>
                <w:highlight w:val="none"/>
              </w:rPr>
              <w:t>项目名称</w:t>
            </w:r>
            <w:bookmarkEnd w:id="119"/>
          </w:p>
        </w:tc>
        <w:tc>
          <w:tcPr>
            <w:tcW w:w="6708" w:type="dxa"/>
            <w:gridSpan w:val="4"/>
          </w:tcPr>
          <w:p w14:paraId="0D22A79D">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p>
        </w:tc>
      </w:tr>
      <w:tr w14:paraId="6A59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03FFBD87">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bookmarkStart w:id="120" w:name="_Toc14106"/>
            <w:r>
              <w:rPr>
                <w:rFonts w:hint="eastAsia" w:ascii="黑体" w:hAnsi="黑体" w:eastAsia="黑体" w:cs="黑体"/>
                <w:b w:val="0"/>
                <w:color w:val="auto"/>
                <w:sz w:val="24"/>
                <w:szCs w:val="24"/>
                <w:highlight w:val="none"/>
              </w:rPr>
              <w:t>项目执行编号</w:t>
            </w:r>
            <w:bookmarkEnd w:id="120"/>
          </w:p>
        </w:tc>
        <w:tc>
          <w:tcPr>
            <w:tcW w:w="6708" w:type="dxa"/>
            <w:gridSpan w:val="4"/>
          </w:tcPr>
          <w:p w14:paraId="530CE1E2">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p>
        </w:tc>
      </w:tr>
      <w:tr w14:paraId="4382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6C0C1213">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bookmarkStart w:id="121" w:name="_Toc10212"/>
            <w:r>
              <w:rPr>
                <w:rFonts w:hint="eastAsia" w:ascii="黑体" w:hAnsi="黑体" w:eastAsia="黑体" w:cs="黑体"/>
                <w:b w:val="0"/>
                <w:color w:val="auto"/>
                <w:sz w:val="24"/>
                <w:szCs w:val="24"/>
                <w:highlight w:val="none"/>
              </w:rPr>
              <w:t>采购人名称</w:t>
            </w:r>
            <w:bookmarkEnd w:id="121"/>
          </w:p>
        </w:tc>
        <w:tc>
          <w:tcPr>
            <w:tcW w:w="6708" w:type="dxa"/>
            <w:gridSpan w:val="4"/>
          </w:tcPr>
          <w:p w14:paraId="64006D60">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p>
        </w:tc>
      </w:tr>
      <w:tr w14:paraId="08CD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32F8269B">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bookmarkStart w:id="122" w:name="_Toc12584"/>
            <w:r>
              <w:rPr>
                <w:rFonts w:hint="eastAsia" w:ascii="黑体" w:hAnsi="黑体" w:eastAsia="黑体" w:cs="黑体"/>
                <w:b w:val="0"/>
                <w:color w:val="auto"/>
                <w:sz w:val="24"/>
                <w:szCs w:val="24"/>
                <w:highlight w:val="none"/>
              </w:rPr>
              <w:t>供应商名称</w:t>
            </w:r>
            <w:bookmarkEnd w:id="122"/>
          </w:p>
        </w:tc>
        <w:tc>
          <w:tcPr>
            <w:tcW w:w="6708" w:type="dxa"/>
            <w:gridSpan w:val="4"/>
          </w:tcPr>
          <w:p w14:paraId="6B7E507D">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p>
        </w:tc>
      </w:tr>
      <w:tr w14:paraId="5A7C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45950AD5">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bookmarkStart w:id="123" w:name="_Toc10023"/>
            <w:r>
              <w:rPr>
                <w:rFonts w:hint="eastAsia" w:ascii="黑体" w:hAnsi="黑体" w:eastAsia="黑体" w:cs="黑体"/>
                <w:b w:val="0"/>
                <w:color w:val="auto"/>
                <w:sz w:val="24"/>
                <w:szCs w:val="24"/>
                <w:highlight w:val="none"/>
              </w:rPr>
              <w:t>合同签订日期</w:t>
            </w:r>
            <w:bookmarkEnd w:id="123"/>
          </w:p>
        </w:tc>
        <w:tc>
          <w:tcPr>
            <w:tcW w:w="2015" w:type="dxa"/>
          </w:tcPr>
          <w:p w14:paraId="34D7D17C">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bookmarkStart w:id="124" w:name="_Toc25014"/>
            <w:r>
              <w:rPr>
                <w:rFonts w:hint="eastAsia" w:ascii="黑体" w:hAnsi="黑体" w:eastAsia="黑体" w:cs="黑体"/>
                <w:b w:val="0"/>
                <w:color w:val="auto"/>
                <w:sz w:val="24"/>
                <w:szCs w:val="24"/>
                <w:highlight w:val="none"/>
              </w:rPr>
              <w:t>年  月  日</w:t>
            </w:r>
            <w:bookmarkEnd w:id="124"/>
          </w:p>
        </w:tc>
        <w:tc>
          <w:tcPr>
            <w:tcW w:w="2295" w:type="dxa"/>
            <w:gridSpan w:val="2"/>
          </w:tcPr>
          <w:p w14:paraId="190BE013">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bookmarkStart w:id="125" w:name="_Toc9875"/>
            <w:r>
              <w:rPr>
                <w:rFonts w:hint="eastAsia" w:ascii="黑体" w:hAnsi="黑体" w:eastAsia="黑体" w:cs="黑体"/>
                <w:b w:val="0"/>
                <w:color w:val="auto"/>
                <w:sz w:val="24"/>
                <w:szCs w:val="24"/>
                <w:highlight w:val="none"/>
              </w:rPr>
              <w:t>合同总金额</w:t>
            </w:r>
            <w:bookmarkEnd w:id="125"/>
          </w:p>
        </w:tc>
        <w:tc>
          <w:tcPr>
            <w:tcW w:w="2398" w:type="dxa"/>
          </w:tcPr>
          <w:p w14:paraId="7F7DC32A">
            <w:pPr>
              <w:pStyle w:val="3"/>
              <w:pageBreakBefore w:val="0"/>
              <w:kinsoku/>
              <w:overflowPunct/>
              <w:topLinePunct w:val="0"/>
              <w:autoSpaceDE/>
              <w:autoSpaceDN/>
              <w:bidi w:val="0"/>
              <w:adjustRightInd/>
              <w:snapToGrid w:val="0"/>
              <w:spacing w:before="48" w:after="48" w:line="312" w:lineRule="auto"/>
              <w:ind w:left="1200" w:hanging="1200" w:hangingChars="500"/>
              <w:jc w:val="center"/>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 xml:space="preserve">     </w:t>
            </w:r>
            <w:bookmarkStart w:id="126" w:name="_Toc23504"/>
            <w:r>
              <w:rPr>
                <w:rFonts w:hint="eastAsia" w:ascii="黑体" w:hAnsi="黑体" w:eastAsia="黑体" w:cs="黑体"/>
                <w:b w:val="0"/>
                <w:color w:val="auto"/>
                <w:sz w:val="24"/>
                <w:szCs w:val="24"/>
                <w:highlight w:val="none"/>
              </w:rPr>
              <w:t>元</w:t>
            </w:r>
            <w:bookmarkEnd w:id="126"/>
          </w:p>
        </w:tc>
      </w:tr>
      <w:tr w14:paraId="7FA6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5F7615C3">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bookmarkStart w:id="127" w:name="_Toc19535"/>
            <w:r>
              <w:rPr>
                <w:rFonts w:hint="eastAsia" w:ascii="黑体" w:hAnsi="黑体" w:eastAsia="黑体" w:cs="黑体"/>
                <w:b w:val="0"/>
                <w:color w:val="auto"/>
                <w:sz w:val="24"/>
                <w:szCs w:val="24"/>
                <w:highlight w:val="none"/>
              </w:rPr>
              <w:t>验收日期</w:t>
            </w:r>
            <w:bookmarkEnd w:id="127"/>
          </w:p>
        </w:tc>
        <w:tc>
          <w:tcPr>
            <w:tcW w:w="2015" w:type="dxa"/>
          </w:tcPr>
          <w:p w14:paraId="109B085B">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bookmarkStart w:id="128" w:name="_Toc14111"/>
            <w:r>
              <w:rPr>
                <w:rFonts w:hint="eastAsia" w:ascii="黑体" w:hAnsi="黑体" w:eastAsia="黑体" w:cs="黑体"/>
                <w:b w:val="0"/>
                <w:color w:val="auto"/>
                <w:sz w:val="24"/>
                <w:szCs w:val="24"/>
                <w:highlight w:val="none"/>
              </w:rPr>
              <w:t>年  月  日</w:t>
            </w:r>
            <w:bookmarkEnd w:id="128"/>
          </w:p>
        </w:tc>
        <w:tc>
          <w:tcPr>
            <w:tcW w:w="2295" w:type="dxa"/>
            <w:gridSpan w:val="2"/>
          </w:tcPr>
          <w:p w14:paraId="589EDC69">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bookmarkStart w:id="129" w:name="_Toc15096"/>
            <w:r>
              <w:rPr>
                <w:rFonts w:hint="eastAsia" w:ascii="黑体" w:hAnsi="黑体" w:eastAsia="黑体" w:cs="黑体"/>
                <w:b w:val="0"/>
                <w:color w:val="auto"/>
                <w:sz w:val="24"/>
                <w:szCs w:val="24"/>
                <w:highlight w:val="none"/>
              </w:rPr>
              <w:t>验收地点</w:t>
            </w:r>
            <w:bookmarkEnd w:id="129"/>
          </w:p>
        </w:tc>
        <w:tc>
          <w:tcPr>
            <w:tcW w:w="2398" w:type="dxa"/>
          </w:tcPr>
          <w:p w14:paraId="0882A7F1">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p>
        </w:tc>
      </w:tr>
      <w:tr w14:paraId="7BF0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920" w:type="dxa"/>
            <w:vAlign w:val="center"/>
          </w:tcPr>
          <w:p w14:paraId="2FC33DD2">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bookmarkStart w:id="130" w:name="_Toc14078"/>
            <w:r>
              <w:rPr>
                <w:rFonts w:hint="eastAsia" w:ascii="黑体" w:hAnsi="黑体" w:eastAsia="黑体" w:cs="黑体"/>
                <w:b w:val="0"/>
                <w:color w:val="auto"/>
                <w:sz w:val="24"/>
                <w:szCs w:val="24"/>
                <w:highlight w:val="none"/>
              </w:rPr>
              <w:t>验收内容</w:t>
            </w:r>
            <w:bookmarkEnd w:id="130"/>
          </w:p>
        </w:tc>
        <w:tc>
          <w:tcPr>
            <w:tcW w:w="6708" w:type="dxa"/>
            <w:gridSpan w:val="4"/>
          </w:tcPr>
          <w:p w14:paraId="067904F6">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p>
        </w:tc>
      </w:tr>
      <w:tr w14:paraId="09D7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027376AD">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bookmarkStart w:id="131" w:name="_Toc28393"/>
            <w:r>
              <w:rPr>
                <w:rFonts w:hint="eastAsia" w:ascii="黑体" w:hAnsi="黑体" w:eastAsia="黑体" w:cs="黑体"/>
                <w:b w:val="0"/>
                <w:color w:val="auto"/>
                <w:sz w:val="24"/>
                <w:szCs w:val="24"/>
                <w:highlight w:val="none"/>
              </w:rPr>
              <w:t>验收情况记录表</w:t>
            </w:r>
            <w:bookmarkEnd w:id="131"/>
          </w:p>
        </w:tc>
        <w:tc>
          <w:tcPr>
            <w:tcW w:w="6708" w:type="dxa"/>
            <w:gridSpan w:val="4"/>
          </w:tcPr>
          <w:p w14:paraId="61AC3BCF">
            <w:pPr>
              <w:pStyle w:val="3"/>
              <w:pageBreakBefore w:val="0"/>
              <w:kinsoku/>
              <w:overflowPunct/>
              <w:topLinePunct w:val="0"/>
              <w:autoSpaceDE/>
              <w:autoSpaceDN/>
              <w:bidi w:val="0"/>
              <w:adjustRightInd/>
              <w:snapToGrid w:val="0"/>
              <w:spacing w:before="48" w:after="48" w:line="312" w:lineRule="auto"/>
              <w:jc w:val="left"/>
              <w:rPr>
                <w:rFonts w:hint="eastAsia" w:ascii="黑体" w:hAnsi="黑体" w:eastAsia="黑体" w:cs="黑体"/>
                <w:b w:val="0"/>
                <w:color w:val="auto"/>
                <w:sz w:val="24"/>
                <w:szCs w:val="24"/>
                <w:highlight w:val="none"/>
              </w:rPr>
            </w:pPr>
            <w:bookmarkStart w:id="132" w:name="_Toc15136"/>
            <w:r>
              <w:rPr>
                <w:rFonts w:hint="eastAsia" w:ascii="黑体" w:hAnsi="黑体" w:eastAsia="黑体" w:cs="黑体"/>
                <w:b w:val="0"/>
                <w:color w:val="auto"/>
                <w:sz w:val="24"/>
                <w:szCs w:val="24"/>
                <w:highlight w:val="none"/>
              </w:rPr>
              <w:t xml:space="preserve">①服务质量情况：    </w:t>
            </w:r>
            <w:r>
              <w:rPr>
                <w:rFonts w:hint="eastAsia" w:ascii="黑体" w:hAnsi="黑体" w:eastAsia="黑体" w:cs="黑体"/>
                <w:b w:val="0"/>
                <w:color w:val="auto"/>
                <w:sz w:val="24"/>
                <w:szCs w:val="24"/>
                <w:highlight w:val="none"/>
              </w:rPr>
              <w:sym w:font="Wingdings" w:char="00A8"/>
            </w:r>
            <w:r>
              <w:rPr>
                <w:rFonts w:hint="eastAsia" w:ascii="黑体" w:hAnsi="黑体" w:eastAsia="黑体" w:cs="黑体"/>
                <w:b w:val="0"/>
                <w:color w:val="auto"/>
                <w:sz w:val="24"/>
                <w:szCs w:val="24"/>
                <w:highlight w:val="none"/>
              </w:rPr>
              <w:t xml:space="preserve">好   </w:t>
            </w:r>
            <w:r>
              <w:rPr>
                <w:rFonts w:hint="eastAsia" w:ascii="黑体" w:hAnsi="黑体" w:eastAsia="黑体" w:cs="黑体"/>
                <w:b w:val="0"/>
                <w:color w:val="auto"/>
                <w:sz w:val="24"/>
                <w:szCs w:val="24"/>
                <w:highlight w:val="none"/>
              </w:rPr>
              <w:sym w:font="Wingdings" w:char="00A8"/>
            </w:r>
            <w:r>
              <w:rPr>
                <w:rFonts w:hint="eastAsia" w:ascii="黑体" w:hAnsi="黑体" w:eastAsia="黑体" w:cs="黑体"/>
                <w:b w:val="0"/>
                <w:color w:val="auto"/>
                <w:sz w:val="24"/>
                <w:szCs w:val="24"/>
                <w:highlight w:val="none"/>
              </w:rPr>
              <w:t xml:space="preserve">一般  </w:t>
            </w:r>
            <w:r>
              <w:rPr>
                <w:rFonts w:hint="eastAsia" w:ascii="黑体" w:hAnsi="黑体" w:eastAsia="黑体" w:cs="黑体"/>
                <w:b w:val="0"/>
                <w:color w:val="auto"/>
                <w:sz w:val="24"/>
                <w:szCs w:val="24"/>
                <w:highlight w:val="none"/>
              </w:rPr>
              <w:sym w:font="Wingdings" w:char="00A8"/>
            </w:r>
            <w:r>
              <w:rPr>
                <w:rFonts w:hint="eastAsia" w:ascii="黑体" w:hAnsi="黑体" w:eastAsia="黑体" w:cs="黑体"/>
                <w:b w:val="0"/>
                <w:color w:val="auto"/>
                <w:sz w:val="24"/>
                <w:szCs w:val="24"/>
                <w:highlight w:val="none"/>
              </w:rPr>
              <w:t>差</w:t>
            </w:r>
            <w:bookmarkEnd w:id="132"/>
          </w:p>
          <w:p w14:paraId="568088C0">
            <w:pPr>
              <w:pStyle w:val="3"/>
              <w:pageBreakBefore w:val="0"/>
              <w:kinsoku/>
              <w:overflowPunct/>
              <w:topLinePunct w:val="0"/>
              <w:autoSpaceDE/>
              <w:autoSpaceDN/>
              <w:bidi w:val="0"/>
              <w:adjustRightInd/>
              <w:snapToGrid w:val="0"/>
              <w:spacing w:before="48" w:after="48" w:line="312" w:lineRule="auto"/>
              <w:jc w:val="left"/>
              <w:rPr>
                <w:rFonts w:hint="eastAsia" w:ascii="黑体" w:hAnsi="黑体" w:eastAsia="黑体" w:cs="黑体"/>
                <w:b w:val="0"/>
                <w:color w:val="auto"/>
                <w:sz w:val="24"/>
                <w:szCs w:val="24"/>
                <w:highlight w:val="none"/>
              </w:rPr>
            </w:pPr>
            <w:bookmarkStart w:id="133" w:name="_Toc21187"/>
            <w:r>
              <w:rPr>
                <w:rFonts w:hint="eastAsia" w:ascii="黑体" w:hAnsi="黑体" w:eastAsia="黑体" w:cs="黑体"/>
                <w:b w:val="0"/>
                <w:color w:val="auto"/>
                <w:sz w:val="24"/>
                <w:szCs w:val="24"/>
                <w:highlight w:val="none"/>
              </w:rPr>
              <w:t xml:space="preserve">②合同履约情况：    </w:t>
            </w:r>
            <w:r>
              <w:rPr>
                <w:rFonts w:hint="eastAsia" w:ascii="黑体" w:hAnsi="黑体" w:eastAsia="黑体" w:cs="黑体"/>
                <w:b w:val="0"/>
                <w:color w:val="auto"/>
                <w:sz w:val="24"/>
                <w:szCs w:val="24"/>
                <w:highlight w:val="none"/>
              </w:rPr>
              <w:sym w:font="Wingdings" w:char="00A8"/>
            </w:r>
            <w:r>
              <w:rPr>
                <w:rFonts w:hint="eastAsia" w:ascii="黑体" w:hAnsi="黑体" w:eastAsia="黑体" w:cs="黑体"/>
                <w:b w:val="0"/>
                <w:color w:val="auto"/>
                <w:sz w:val="24"/>
                <w:szCs w:val="24"/>
                <w:highlight w:val="none"/>
              </w:rPr>
              <w:t xml:space="preserve">好   </w:t>
            </w:r>
            <w:r>
              <w:rPr>
                <w:rFonts w:hint="eastAsia" w:ascii="黑体" w:hAnsi="黑体" w:eastAsia="黑体" w:cs="黑体"/>
                <w:b w:val="0"/>
                <w:color w:val="auto"/>
                <w:sz w:val="24"/>
                <w:szCs w:val="24"/>
                <w:highlight w:val="none"/>
              </w:rPr>
              <w:sym w:font="Wingdings" w:char="00A8"/>
            </w:r>
            <w:r>
              <w:rPr>
                <w:rFonts w:hint="eastAsia" w:ascii="黑体" w:hAnsi="黑体" w:eastAsia="黑体" w:cs="黑体"/>
                <w:b w:val="0"/>
                <w:color w:val="auto"/>
                <w:sz w:val="24"/>
                <w:szCs w:val="24"/>
                <w:highlight w:val="none"/>
              </w:rPr>
              <w:t xml:space="preserve">一般  </w:t>
            </w:r>
            <w:r>
              <w:rPr>
                <w:rFonts w:hint="eastAsia" w:ascii="黑体" w:hAnsi="黑体" w:eastAsia="黑体" w:cs="黑体"/>
                <w:b w:val="0"/>
                <w:color w:val="auto"/>
                <w:sz w:val="24"/>
                <w:szCs w:val="24"/>
                <w:highlight w:val="none"/>
              </w:rPr>
              <w:sym w:font="Wingdings" w:char="00A8"/>
            </w:r>
            <w:r>
              <w:rPr>
                <w:rFonts w:hint="eastAsia" w:ascii="黑体" w:hAnsi="黑体" w:eastAsia="黑体" w:cs="黑体"/>
                <w:b w:val="0"/>
                <w:color w:val="auto"/>
                <w:sz w:val="24"/>
                <w:szCs w:val="24"/>
                <w:highlight w:val="none"/>
              </w:rPr>
              <w:t>差</w:t>
            </w:r>
            <w:bookmarkEnd w:id="133"/>
          </w:p>
          <w:p w14:paraId="234ECBD1">
            <w:pPr>
              <w:pStyle w:val="3"/>
              <w:pageBreakBefore w:val="0"/>
              <w:kinsoku/>
              <w:overflowPunct/>
              <w:topLinePunct w:val="0"/>
              <w:autoSpaceDE/>
              <w:autoSpaceDN/>
              <w:bidi w:val="0"/>
              <w:adjustRightInd/>
              <w:snapToGrid w:val="0"/>
              <w:spacing w:before="48" w:after="48" w:line="312" w:lineRule="auto"/>
              <w:jc w:val="left"/>
              <w:rPr>
                <w:rFonts w:hint="eastAsia" w:ascii="黑体" w:hAnsi="黑体" w:eastAsia="黑体" w:cs="黑体"/>
                <w:b w:val="0"/>
                <w:color w:val="auto"/>
                <w:sz w:val="24"/>
                <w:szCs w:val="24"/>
                <w:highlight w:val="none"/>
              </w:rPr>
            </w:pPr>
            <w:bookmarkStart w:id="134" w:name="_Toc20085"/>
            <w:r>
              <w:rPr>
                <w:rFonts w:hint="eastAsia" w:ascii="黑体" w:hAnsi="黑体" w:eastAsia="黑体" w:cs="黑体"/>
                <w:b w:val="0"/>
                <w:color w:val="auto"/>
                <w:sz w:val="24"/>
                <w:szCs w:val="24"/>
                <w:highlight w:val="none"/>
              </w:rPr>
              <w:t>③其他意见或情况：</w:t>
            </w:r>
            <w:bookmarkEnd w:id="134"/>
          </w:p>
        </w:tc>
      </w:tr>
      <w:tr w14:paraId="2AA8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920" w:type="dxa"/>
          </w:tcPr>
          <w:p w14:paraId="38F9A9C9">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bookmarkStart w:id="135" w:name="_Toc11582"/>
            <w:r>
              <w:rPr>
                <w:rFonts w:hint="eastAsia" w:ascii="黑体" w:hAnsi="黑体" w:eastAsia="黑体" w:cs="黑体"/>
                <w:b w:val="0"/>
                <w:color w:val="auto"/>
                <w:sz w:val="24"/>
                <w:szCs w:val="24"/>
                <w:highlight w:val="none"/>
              </w:rPr>
              <w:t>验收结论</w:t>
            </w:r>
            <w:bookmarkEnd w:id="135"/>
          </w:p>
        </w:tc>
        <w:tc>
          <w:tcPr>
            <w:tcW w:w="6708" w:type="dxa"/>
            <w:gridSpan w:val="4"/>
          </w:tcPr>
          <w:p w14:paraId="16B43C81">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p>
        </w:tc>
      </w:tr>
      <w:tr w14:paraId="7580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920" w:type="dxa"/>
          </w:tcPr>
          <w:p w14:paraId="7FB74E5D">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bookmarkStart w:id="136" w:name="_Toc3637"/>
            <w:r>
              <w:rPr>
                <w:rFonts w:hint="eastAsia" w:ascii="黑体" w:hAnsi="黑体" w:eastAsia="黑体" w:cs="黑体"/>
                <w:b w:val="0"/>
                <w:color w:val="auto"/>
                <w:sz w:val="24"/>
                <w:szCs w:val="24"/>
                <w:highlight w:val="none"/>
              </w:rPr>
              <w:t>验收人员（签字）</w:t>
            </w:r>
            <w:bookmarkEnd w:id="136"/>
          </w:p>
        </w:tc>
        <w:tc>
          <w:tcPr>
            <w:tcW w:w="6708" w:type="dxa"/>
            <w:gridSpan w:val="4"/>
          </w:tcPr>
          <w:p w14:paraId="47105EF4">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p>
        </w:tc>
      </w:tr>
      <w:tr w14:paraId="513B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5115" w:type="dxa"/>
            <w:gridSpan w:val="3"/>
          </w:tcPr>
          <w:p w14:paraId="7E914C5D">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bookmarkStart w:id="137" w:name="_Toc23182"/>
            <w:r>
              <w:rPr>
                <w:rFonts w:hint="eastAsia" w:ascii="黑体" w:hAnsi="黑体" w:eastAsia="黑体" w:cs="黑体"/>
                <w:b w:val="0"/>
                <w:color w:val="auto"/>
                <w:sz w:val="24"/>
                <w:szCs w:val="24"/>
                <w:highlight w:val="none"/>
              </w:rPr>
              <w:t>采购人意见</w:t>
            </w:r>
            <w:bookmarkEnd w:id="137"/>
          </w:p>
        </w:tc>
        <w:tc>
          <w:tcPr>
            <w:tcW w:w="4513" w:type="dxa"/>
            <w:gridSpan w:val="2"/>
          </w:tcPr>
          <w:p w14:paraId="3384EA94">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bookmarkStart w:id="138" w:name="_Toc12852"/>
            <w:r>
              <w:rPr>
                <w:rFonts w:hint="eastAsia" w:ascii="黑体" w:hAnsi="黑体" w:eastAsia="黑体" w:cs="黑体"/>
                <w:b w:val="0"/>
                <w:color w:val="auto"/>
                <w:sz w:val="24"/>
                <w:szCs w:val="24"/>
                <w:highlight w:val="none"/>
              </w:rPr>
              <w:t>供应商意见</w:t>
            </w:r>
            <w:bookmarkEnd w:id="138"/>
          </w:p>
        </w:tc>
      </w:tr>
      <w:tr w14:paraId="125C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5115" w:type="dxa"/>
            <w:gridSpan w:val="3"/>
          </w:tcPr>
          <w:p w14:paraId="38C7F111">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p>
          <w:p w14:paraId="043148F8">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bookmarkStart w:id="139" w:name="_Toc5600"/>
            <w:r>
              <w:rPr>
                <w:rFonts w:hint="eastAsia" w:ascii="黑体" w:hAnsi="黑体" w:eastAsia="黑体" w:cs="黑体"/>
                <w:b w:val="0"/>
                <w:color w:val="auto"/>
                <w:sz w:val="24"/>
                <w:szCs w:val="24"/>
                <w:highlight w:val="none"/>
              </w:rPr>
              <w:t>签字：</w:t>
            </w:r>
            <w:bookmarkEnd w:id="139"/>
          </w:p>
          <w:p w14:paraId="600BC81E">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p>
          <w:p w14:paraId="24E96101">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bookmarkStart w:id="140" w:name="_Toc2288"/>
            <w:r>
              <w:rPr>
                <w:rFonts w:hint="eastAsia" w:ascii="黑体" w:hAnsi="黑体" w:eastAsia="黑体" w:cs="黑体"/>
                <w:b w:val="0"/>
                <w:color w:val="auto"/>
                <w:sz w:val="24"/>
                <w:szCs w:val="24"/>
                <w:highlight w:val="none"/>
              </w:rPr>
              <w:t>（公章）</w:t>
            </w:r>
            <w:bookmarkEnd w:id="140"/>
          </w:p>
        </w:tc>
        <w:tc>
          <w:tcPr>
            <w:tcW w:w="4513" w:type="dxa"/>
            <w:gridSpan w:val="2"/>
          </w:tcPr>
          <w:p w14:paraId="7E66E588">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p>
          <w:p w14:paraId="555513EE">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bookmarkStart w:id="141" w:name="_Toc31669"/>
            <w:r>
              <w:rPr>
                <w:rFonts w:hint="eastAsia" w:ascii="黑体" w:hAnsi="黑体" w:eastAsia="黑体" w:cs="黑体"/>
                <w:b w:val="0"/>
                <w:color w:val="auto"/>
                <w:sz w:val="24"/>
                <w:szCs w:val="24"/>
                <w:highlight w:val="none"/>
              </w:rPr>
              <w:t>签字：</w:t>
            </w:r>
            <w:bookmarkEnd w:id="141"/>
          </w:p>
          <w:p w14:paraId="265D9850">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p>
          <w:p w14:paraId="32F9690D">
            <w:pPr>
              <w:pStyle w:val="3"/>
              <w:pageBreakBefore w:val="0"/>
              <w:kinsoku/>
              <w:overflowPunct/>
              <w:topLinePunct w:val="0"/>
              <w:autoSpaceDE/>
              <w:autoSpaceDN/>
              <w:bidi w:val="0"/>
              <w:adjustRightInd/>
              <w:snapToGrid w:val="0"/>
              <w:spacing w:before="48" w:after="48" w:line="312" w:lineRule="auto"/>
              <w:jc w:val="center"/>
              <w:rPr>
                <w:rFonts w:hint="eastAsia" w:ascii="黑体" w:hAnsi="黑体" w:eastAsia="黑体" w:cs="黑体"/>
                <w:b w:val="0"/>
                <w:color w:val="auto"/>
                <w:sz w:val="24"/>
                <w:szCs w:val="24"/>
                <w:highlight w:val="none"/>
              </w:rPr>
            </w:pPr>
            <w:bookmarkStart w:id="142" w:name="_Toc3320"/>
            <w:r>
              <w:rPr>
                <w:rFonts w:hint="eastAsia" w:ascii="黑体" w:hAnsi="黑体" w:eastAsia="黑体" w:cs="黑体"/>
                <w:b w:val="0"/>
                <w:color w:val="auto"/>
                <w:sz w:val="24"/>
                <w:szCs w:val="24"/>
                <w:highlight w:val="none"/>
              </w:rPr>
              <w:t>（公章）</w:t>
            </w:r>
            <w:bookmarkEnd w:id="142"/>
          </w:p>
        </w:tc>
      </w:tr>
    </w:tbl>
    <w:p w14:paraId="61FCF3BB">
      <w:pPr>
        <w:pStyle w:val="35"/>
        <w:pageBreakBefore w:val="0"/>
        <w:kinsoku/>
        <w:overflowPunct/>
        <w:topLinePunct w:val="0"/>
        <w:autoSpaceDE/>
        <w:autoSpaceDN/>
        <w:bidi w:val="0"/>
        <w:adjustRightInd/>
        <w:snapToGrid w:val="0"/>
        <w:spacing w:line="312" w:lineRule="auto"/>
        <w:rPr>
          <w:rFonts w:hint="eastAsia" w:ascii="黑体" w:hAnsi="黑体" w:eastAsia="黑体" w:cs="黑体"/>
          <w:color w:val="auto"/>
          <w:highlight w:val="none"/>
        </w:rPr>
        <w:sectPr>
          <w:headerReference r:id="rId10" w:type="default"/>
          <w:footerReference r:id="rId11" w:type="default"/>
          <w:pgSz w:w="11907" w:h="16840"/>
          <w:pgMar w:top="1134" w:right="1191" w:bottom="1134" w:left="1304" w:header="964" w:footer="992" w:gutter="0"/>
          <w:pgNumType w:fmt="decimal"/>
          <w:cols w:space="720" w:num="1"/>
          <w:docGrid w:linePitch="312" w:charSpace="0"/>
        </w:sectPr>
      </w:pPr>
    </w:p>
    <w:p w14:paraId="00A4C8DD">
      <w:pPr>
        <w:pStyle w:val="3"/>
        <w:pageBreakBefore w:val="0"/>
        <w:kinsoku/>
        <w:overflowPunct/>
        <w:topLinePunct w:val="0"/>
        <w:autoSpaceDE/>
        <w:autoSpaceDN/>
        <w:bidi w:val="0"/>
        <w:adjustRightInd/>
        <w:snapToGrid w:val="0"/>
        <w:spacing w:line="312" w:lineRule="auto"/>
        <w:jc w:val="center"/>
        <w:rPr>
          <w:rStyle w:val="38"/>
          <w:rFonts w:hint="eastAsia" w:ascii="黑体" w:hAnsi="黑体" w:eastAsia="黑体" w:cs="黑体"/>
          <w:b/>
          <w:bCs/>
          <w:color w:val="auto"/>
          <w:sz w:val="36"/>
          <w:szCs w:val="36"/>
          <w:highlight w:val="none"/>
        </w:rPr>
      </w:pPr>
      <w:bookmarkStart w:id="143" w:name="_Toc11628"/>
      <w:r>
        <w:rPr>
          <w:rStyle w:val="38"/>
          <w:rFonts w:hint="eastAsia" w:ascii="黑体" w:hAnsi="黑体" w:eastAsia="黑体" w:cs="黑体"/>
          <w:b/>
          <w:bCs/>
          <w:color w:val="auto"/>
          <w:highlight w:val="none"/>
        </w:rPr>
        <w:t>第七篇  响应文件格式要求</w:t>
      </w:r>
      <w:bookmarkEnd w:id="143"/>
    </w:p>
    <w:p w14:paraId="306863A3">
      <w:pPr>
        <w:pageBreakBefore w:val="0"/>
        <w:kinsoku/>
        <w:overflowPunct/>
        <w:topLinePunct w:val="0"/>
        <w:autoSpaceDE/>
        <w:autoSpaceDN/>
        <w:bidi w:val="0"/>
        <w:adjustRightInd/>
        <w:snapToGrid w:val="0"/>
        <w:spacing w:line="312"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一、经济部分</w:t>
      </w:r>
    </w:p>
    <w:p w14:paraId="653BA642">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（一）</w:t>
      </w:r>
      <w:r>
        <w:rPr>
          <w:rFonts w:hint="eastAsia" w:ascii="黑体" w:hAnsi="黑体" w:eastAsia="黑体" w:cs="黑体"/>
          <w:color w:val="auto"/>
          <w:sz w:val="24"/>
          <w:szCs w:val="24"/>
          <w:highlight w:val="none"/>
          <w:lang w:val="en-US" w:eastAsia="zh-CN"/>
        </w:rPr>
        <w:t>开标一览表</w:t>
      </w:r>
    </w:p>
    <w:p w14:paraId="06C3809B">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（二）分项报价明细表</w:t>
      </w:r>
    </w:p>
    <w:p w14:paraId="07E23547">
      <w:pPr>
        <w:pageBreakBefore w:val="0"/>
        <w:kinsoku/>
        <w:overflowPunct/>
        <w:topLinePunct w:val="0"/>
        <w:autoSpaceDE/>
        <w:autoSpaceDN/>
        <w:bidi w:val="0"/>
        <w:adjustRightInd/>
        <w:snapToGrid w:val="0"/>
        <w:spacing w:line="312"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二、技术部分</w:t>
      </w:r>
    </w:p>
    <w:p w14:paraId="659F68DB">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（一）服务方案</w:t>
      </w:r>
      <w:bookmarkStart w:id="171" w:name="_GoBack"/>
      <w:bookmarkEnd w:id="171"/>
    </w:p>
    <w:p w14:paraId="11EEF721">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（二）技术响应偏离表</w:t>
      </w:r>
    </w:p>
    <w:p w14:paraId="70052842">
      <w:pPr>
        <w:pageBreakBefore w:val="0"/>
        <w:kinsoku/>
        <w:overflowPunct/>
        <w:topLinePunct w:val="0"/>
        <w:autoSpaceDE/>
        <w:autoSpaceDN/>
        <w:bidi w:val="0"/>
        <w:adjustRightInd/>
        <w:snapToGrid w:val="0"/>
        <w:spacing w:line="312"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三、商务部分</w:t>
      </w:r>
    </w:p>
    <w:p w14:paraId="1B601170">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（一）商务响应偏离表</w:t>
      </w:r>
    </w:p>
    <w:p w14:paraId="25F22E3D">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（二）商务部分相关证明材料</w:t>
      </w:r>
    </w:p>
    <w:p w14:paraId="261484F0">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（三）其它优惠承诺</w:t>
      </w:r>
    </w:p>
    <w:p w14:paraId="2616CC2E">
      <w:pPr>
        <w:pageBreakBefore w:val="0"/>
        <w:kinsoku/>
        <w:overflowPunct/>
        <w:topLinePunct w:val="0"/>
        <w:autoSpaceDE/>
        <w:autoSpaceDN/>
        <w:bidi w:val="0"/>
        <w:adjustRightInd/>
        <w:snapToGrid w:val="0"/>
        <w:spacing w:line="312"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四、资格条件及其他</w:t>
      </w:r>
    </w:p>
    <w:p w14:paraId="4A3EC283">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（一）营业执照（副本）或事业单位法人证书（副本）复印件</w:t>
      </w:r>
    </w:p>
    <w:p w14:paraId="6948A78E">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（二）组织机构代码证复印件</w:t>
      </w:r>
    </w:p>
    <w:p w14:paraId="07CD5105">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（三）法定代表人身份证明书（格式）</w:t>
      </w:r>
    </w:p>
    <w:p w14:paraId="331C5A28">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（四）法定代表人授权委托书（格式）</w:t>
      </w:r>
    </w:p>
    <w:p w14:paraId="2E70FC59">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w:t>
      </w:r>
      <w:r>
        <w:rPr>
          <w:rFonts w:hint="eastAsia" w:ascii="黑体" w:hAnsi="黑体" w:eastAsia="黑体" w:cs="黑体"/>
          <w:color w:val="auto"/>
          <w:sz w:val="24"/>
          <w:szCs w:val="24"/>
          <w:highlight w:val="none"/>
          <w:lang w:eastAsia="zh-CN"/>
        </w:rPr>
        <w:t>基本资格条件承诺函</w:t>
      </w:r>
      <w:r>
        <w:rPr>
          <w:rFonts w:hint="eastAsia" w:ascii="黑体" w:hAnsi="黑体" w:eastAsia="黑体" w:cs="黑体"/>
          <w:color w:val="auto"/>
          <w:sz w:val="24"/>
          <w:szCs w:val="24"/>
          <w:highlight w:val="none"/>
        </w:rPr>
        <w:t>（格式）</w:t>
      </w:r>
    </w:p>
    <w:p w14:paraId="293F3524">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（六）特定资格条件证明</w:t>
      </w:r>
    </w:p>
    <w:p w14:paraId="5136C650">
      <w:pPr>
        <w:pageBreakBefore w:val="0"/>
        <w:kinsoku/>
        <w:overflowPunct/>
        <w:topLinePunct w:val="0"/>
        <w:autoSpaceDE/>
        <w:autoSpaceDN/>
        <w:bidi w:val="0"/>
        <w:adjustRightInd/>
        <w:snapToGrid w:val="0"/>
        <w:spacing w:line="312" w:lineRule="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五、其他应提供的资料</w:t>
      </w:r>
    </w:p>
    <w:p w14:paraId="6AE7C15A">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（一）其他与项目有关的资料（自附）</w:t>
      </w:r>
    </w:p>
    <w:p w14:paraId="542B136E">
      <w:pPr>
        <w:pStyle w:val="12"/>
        <w:pageBreakBefore w:val="0"/>
        <w:kinsoku/>
        <w:overflowPunct/>
        <w:topLinePunct w:val="0"/>
        <w:autoSpaceDE/>
        <w:autoSpaceDN/>
        <w:bidi w:val="0"/>
        <w:adjustRightInd/>
        <w:snapToGrid w:val="0"/>
        <w:spacing w:line="312" w:lineRule="auto"/>
        <w:rPr>
          <w:rFonts w:hint="eastAsia" w:ascii="黑体" w:hAnsi="黑体" w:eastAsia="黑体" w:cs="黑体"/>
          <w:color w:val="auto"/>
          <w:highlight w:val="none"/>
        </w:rPr>
      </w:pPr>
    </w:p>
    <w:p w14:paraId="66C33375">
      <w:pPr>
        <w:pStyle w:val="7"/>
        <w:pageBreakBefore w:val="0"/>
        <w:kinsoku/>
        <w:overflowPunct/>
        <w:topLinePunct w:val="0"/>
        <w:autoSpaceDE/>
        <w:autoSpaceDN/>
        <w:bidi w:val="0"/>
        <w:adjustRightInd/>
        <w:snapToGrid w:val="0"/>
        <w:spacing w:line="312" w:lineRule="auto"/>
        <w:rPr>
          <w:rFonts w:hint="eastAsia" w:ascii="黑体" w:hAnsi="黑体" w:eastAsia="黑体" w:cs="黑体"/>
          <w:color w:val="auto"/>
          <w:highlight w:val="none"/>
        </w:rPr>
      </w:pPr>
    </w:p>
    <w:p w14:paraId="04A59038">
      <w:pPr>
        <w:pStyle w:val="42"/>
        <w:pageBreakBefore w:val="0"/>
        <w:kinsoku/>
        <w:overflowPunct/>
        <w:topLinePunct w:val="0"/>
        <w:autoSpaceDE/>
        <w:autoSpaceDN/>
        <w:bidi w:val="0"/>
        <w:adjustRightInd/>
        <w:snapToGrid w:val="0"/>
        <w:spacing w:line="312" w:lineRule="auto"/>
        <w:ind w:left="0"/>
        <w:jc w:val="both"/>
        <w:rPr>
          <w:rFonts w:hint="eastAsia" w:ascii="黑体" w:hAnsi="黑体" w:eastAsia="黑体" w:cs="黑体"/>
          <w:color w:val="auto"/>
          <w:highlight w:val="none"/>
        </w:rPr>
        <w:sectPr>
          <w:headerReference r:id="rId12" w:type="default"/>
          <w:footerReference r:id="rId13" w:type="default"/>
          <w:pgSz w:w="11907" w:h="16840"/>
          <w:pgMar w:top="1134" w:right="1191" w:bottom="1134" w:left="1304" w:header="851" w:footer="992" w:gutter="0"/>
          <w:pgNumType w:fmt="decimal"/>
          <w:cols w:space="720" w:num="1"/>
        </w:sectPr>
      </w:pPr>
    </w:p>
    <w:p w14:paraId="1C7ED468">
      <w:pPr>
        <w:pStyle w:val="4"/>
        <w:pageBreakBefore w:val="0"/>
        <w:kinsoku/>
        <w:overflowPunct/>
        <w:topLinePunct w:val="0"/>
        <w:autoSpaceDE/>
        <w:autoSpaceDN/>
        <w:bidi w:val="0"/>
        <w:adjustRightInd/>
        <w:snapToGrid w:val="0"/>
        <w:spacing w:before="0" w:after="0" w:line="312" w:lineRule="auto"/>
        <w:rPr>
          <w:rFonts w:hint="eastAsia" w:ascii="黑体" w:hAnsi="黑体" w:eastAsia="黑体" w:cs="黑体"/>
          <w:color w:val="auto"/>
          <w:sz w:val="28"/>
          <w:szCs w:val="28"/>
          <w:highlight w:val="none"/>
        </w:rPr>
      </w:pPr>
      <w:bookmarkStart w:id="144" w:name="_Toc14854"/>
      <w:bookmarkStart w:id="145" w:name="_Toc487204797"/>
      <w:bookmarkStart w:id="146" w:name="_Toc486608277"/>
      <w:bookmarkStart w:id="147" w:name="_Toc9358"/>
      <w:bookmarkStart w:id="148" w:name="_Toc486585240"/>
      <w:r>
        <w:rPr>
          <w:rFonts w:hint="eastAsia" w:ascii="黑体" w:hAnsi="黑体" w:eastAsia="黑体" w:cs="黑体"/>
          <w:color w:val="auto"/>
          <w:sz w:val="28"/>
          <w:szCs w:val="28"/>
          <w:highlight w:val="none"/>
        </w:rPr>
        <w:t>一、经济部分</w:t>
      </w:r>
      <w:bookmarkEnd w:id="144"/>
      <w:bookmarkEnd w:id="145"/>
      <w:bookmarkEnd w:id="146"/>
      <w:bookmarkEnd w:id="147"/>
      <w:bookmarkEnd w:id="148"/>
    </w:p>
    <w:p w14:paraId="02D4AEA6">
      <w:pPr>
        <w:snapToGrid w:val="0"/>
        <w:spacing w:line="500" w:lineRule="exact"/>
        <w:jc w:val="center"/>
        <w:rPr>
          <w:rFonts w:hint="eastAsia" w:ascii="黑体" w:hAnsi="黑体" w:eastAsia="黑体" w:cs="黑体"/>
          <w:szCs w:val="36"/>
        </w:rPr>
      </w:pPr>
      <w:bookmarkStart w:id="149" w:name="_Toc486608278"/>
      <w:bookmarkStart w:id="150" w:name="_Toc24658"/>
      <w:bookmarkStart w:id="151" w:name="_Toc486585241"/>
      <w:bookmarkStart w:id="152" w:name="_Toc487204798"/>
      <w:bookmarkStart w:id="153" w:name="_Toc3192"/>
      <w:r>
        <w:rPr>
          <w:rFonts w:hint="eastAsia" w:ascii="黑体" w:hAnsi="黑体" w:eastAsia="黑体" w:cs="黑体"/>
          <w:szCs w:val="36"/>
        </w:rPr>
        <w:t>（一）开标一览表</w:t>
      </w:r>
    </w:p>
    <w:p w14:paraId="45442ADA">
      <w:pPr>
        <w:snapToGrid w:val="0"/>
        <w:spacing w:line="4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项目名称：</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1"/>
        <w:gridCol w:w="1727"/>
        <w:gridCol w:w="4760"/>
      </w:tblGrid>
      <w:tr w14:paraId="7DD7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3141" w:type="dxa"/>
            <w:noWrap w:val="0"/>
            <w:vAlign w:val="center"/>
          </w:tcPr>
          <w:p w14:paraId="1AE485A9">
            <w:pPr>
              <w:spacing w:line="500" w:lineRule="exact"/>
              <w:jc w:val="center"/>
              <w:rPr>
                <w:rFonts w:hint="eastAsia" w:ascii="黑体" w:hAnsi="黑体" w:eastAsia="黑体" w:cs="黑体"/>
                <w:sz w:val="21"/>
                <w:szCs w:val="28"/>
              </w:rPr>
            </w:pPr>
            <w:r>
              <w:rPr>
                <w:rFonts w:hint="eastAsia" w:ascii="黑体" w:hAnsi="黑体" w:eastAsia="黑体" w:cs="黑体"/>
                <w:sz w:val="21"/>
                <w:szCs w:val="28"/>
                <w:lang w:eastAsia="zh-CN"/>
              </w:rPr>
              <w:t>供应商</w:t>
            </w:r>
            <w:r>
              <w:rPr>
                <w:rFonts w:hint="eastAsia" w:ascii="黑体" w:hAnsi="黑体" w:eastAsia="黑体" w:cs="黑体"/>
                <w:sz w:val="21"/>
                <w:szCs w:val="28"/>
              </w:rPr>
              <w:t>名称</w:t>
            </w:r>
          </w:p>
        </w:tc>
        <w:tc>
          <w:tcPr>
            <w:tcW w:w="6487" w:type="dxa"/>
            <w:gridSpan w:val="2"/>
            <w:noWrap w:val="0"/>
            <w:vAlign w:val="center"/>
          </w:tcPr>
          <w:p w14:paraId="6152564A">
            <w:pPr>
              <w:spacing w:line="500" w:lineRule="exact"/>
              <w:jc w:val="center"/>
              <w:rPr>
                <w:rFonts w:hint="eastAsia" w:ascii="黑体" w:hAnsi="黑体" w:eastAsia="黑体" w:cs="黑体"/>
                <w:sz w:val="21"/>
                <w:szCs w:val="28"/>
              </w:rPr>
            </w:pPr>
          </w:p>
        </w:tc>
      </w:tr>
      <w:tr w14:paraId="1AE7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141" w:type="dxa"/>
            <w:noWrap w:val="0"/>
            <w:vAlign w:val="center"/>
          </w:tcPr>
          <w:p w14:paraId="54BF4D55">
            <w:pPr>
              <w:spacing w:line="500" w:lineRule="exact"/>
              <w:jc w:val="center"/>
              <w:rPr>
                <w:rFonts w:hint="eastAsia" w:ascii="黑体" w:hAnsi="黑体" w:eastAsia="黑体" w:cs="黑体"/>
                <w:sz w:val="21"/>
                <w:szCs w:val="28"/>
              </w:rPr>
            </w:pPr>
            <w:r>
              <w:rPr>
                <w:rFonts w:hint="eastAsia" w:ascii="黑体" w:hAnsi="黑体" w:eastAsia="黑体" w:cs="黑体"/>
                <w:sz w:val="21"/>
                <w:szCs w:val="28"/>
                <w:lang w:val="en-US" w:eastAsia="zh-CN"/>
              </w:rPr>
              <w:t>项目</w:t>
            </w:r>
            <w:r>
              <w:rPr>
                <w:rFonts w:hint="eastAsia" w:ascii="黑体" w:hAnsi="黑体" w:eastAsia="黑体" w:cs="黑体"/>
                <w:sz w:val="21"/>
                <w:szCs w:val="28"/>
              </w:rPr>
              <w:t>名称</w:t>
            </w:r>
          </w:p>
        </w:tc>
        <w:tc>
          <w:tcPr>
            <w:tcW w:w="1727" w:type="dxa"/>
            <w:noWrap w:val="0"/>
            <w:vAlign w:val="center"/>
          </w:tcPr>
          <w:p w14:paraId="5B058D9D">
            <w:pPr>
              <w:spacing w:line="500" w:lineRule="exact"/>
              <w:jc w:val="center"/>
              <w:rPr>
                <w:rFonts w:hint="eastAsia" w:ascii="黑体" w:hAnsi="黑体" w:eastAsia="黑体" w:cs="黑体"/>
                <w:sz w:val="21"/>
                <w:szCs w:val="28"/>
              </w:rPr>
            </w:pPr>
            <w:r>
              <w:rPr>
                <w:rFonts w:hint="eastAsia" w:ascii="黑体" w:hAnsi="黑体" w:eastAsia="黑体" w:cs="黑体"/>
                <w:sz w:val="21"/>
                <w:szCs w:val="28"/>
              </w:rPr>
              <w:t>数量</w:t>
            </w:r>
          </w:p>
        </w:tc>
        <w:tc>
          <w:tcPr>
            <w:tcW w:w="4760" w:type="dxa"/>
            <w:noWrap w:val="0"/>
            <w:vAlign w:val="center"/>
          </w:tcPr>
          <w:p w14:paraId="4C1D526D">
            <w:pPr>
              <w:spacing w:line="500" w:lineRule="exact"/>
              <w:jc w:val="center"/>
              <w:rPr>
                <w:rFonts w:hint="eastAsia" w:ascii="黑体" w:hAnsi="黑体" w:eastAsia="黑体" w:cs="黑体"/>
                <w:sz w:val="21"/>
                <w:szCs w:val="28"/>
              </w:rPr>
            </w:pPr>
            <w:r>
              <w:rPr>
                <w:rFonts w:hint="eastAsia" w:ascii="黑体" w:hAnsi="黑体" w:eastAsia="黑体" w:cs="黑体"/>
                <w:sz w:val="21"/>
                <w:szCs w:val="28"/>
                <w:lang w:val="en-US" w:eastAsia="zh-CN"/>
              </w:rPr>
              <w:t>投标报价</w:t>
            </w:r>
            <w:r>
              <w:rPr>
                <w:rFonts w:hint="eastAsia" w:ascii="黑体" w:hAnsi="黑体" w:eastAsia="黑体" w:cs="黑体"/>
                <w:sz w:val="21"/>
                <w:szCs w:val="28"/>
              </w:rPr>
              <w:t>（</w:t>
            </w:r>
            <w:r>
              <w:rPr>
                <w:rFonts w:hint="eastAsia" w:ascii="黑体" w:hAnsi="黑体" w:eastAsia="黑体" w:cs="黑体"/>
                <w:sz w:val="21"/>
                <w:szCs w:val="28"/>
                <w:lang w:val="en-US" w:eastAsia="zh-CN"/>
              </w:rPr>
              <w:t>元</w:t>
            </w:r>
            <w:r>
              <w:rPr>
                <w:rFonts w:hint="eastAsia" w:ascii="黑体" w:hAnsi="黑体" w:eastAsia="黑体" w:cs="黑体"/>
                <w:sz w:val="21"/>
                <w:szCs w:val="28"/>
              </w:rPr>
              <w:t>）</w:t>
            </w:r>
          </w:p>
        </w:tc>
      </w:tr>
      <w:tr w14:paraId="5975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141" w:type="dxa"/>
            <w:tcBorders>
              <w:bottom w:val="single" w:color="auto" w:sz="4" w:space="0"/>
            </w:tcBorders>
            <w:noWrap w:val="0"/>
            <w:vAlign w:val="center"/>
          </w:tcPr>
          <w:p w14:paraId="0A50AECC">
            <w:pPr>
              <w:spacing w:line="500" w:lineRule="exact"/>
              <w:jc w:val="center"/>
              <w:rPr>
                <w:rFonts w:hint="eastAsia" w:ascii="黑体" w:hAnsi="黑体" w:eastAsia="黑体" w:cs="黑体"/>
                <w:sz w:val="21"/>
                <w:szCs w:val="28"/>
              </w:rPr>
            </w:pPr>
          </w:p>
        </w:tc>
        <w:tc>
          <w:tcPr>
            <w:tcW w:w="1727" w:type="dxa"/>
            <w:tcBorders>
              <w:bottom w:val="single" w:color="auto" w:sz="4" w:space="0"/>
            </w:tcBorders>
            <w:noWrap w:val="0"/>
            <w:vAlign w:val="center"/>
          </w:tcPr>
          <w:p w14:paraId="20DC45DA">
            <w:pPr>
              <w:spacing w:line="500" w:lineRule="exact"/>
              <w:jc w:val="center"/>
              <w:rPr>
                <w:rFonts w:hint="eastAsia" w:ascii="黑体" w:hAnsi="黑体" w:eastAsia="黑体" w:cs="黑体"/>
                <w:sz w:val="21"/>
                <w:szCs w:val="28"/>
              </w:rPr>
            </w:pPr>
          </w:p>
        </w:tc>
        <w:tc>
          <w:tcPr>
            <w:tcW w:w="4760" w:type="dxa"/>
            <w:tcBorders>
              <w:bottom w:val="single" w:color="auto" w:sz="4" w:space="0"/>
            </w:tcBorders>
            <w:noWrap w:val="0"/>
            <w:vAlign w:val="center"/>
          </w:tcPr>
          <w:p w14:paraId="78143E27">
            <w:pPr>
              <w:spacing w:line="500" w:lineRule="exact"/>
              <w:jc w:val="center"/>
              <w:rPr>
                <w:rFonts w:hint="eastAsia" w:ascii="黑体" w:hAnsi="黑体" w:eastAsia="黑体" w:cs="黑体"/>
                <w:sz w:val="21"/>
                <w:szCs w:val="28"/>
              </w:rPr>
            </w:pPr>
          </w:p>
        </w:tc>
      </w:tr>
      <w:tr w14:paraId="436E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3"/>
            <w:tcBorders>
              <w:bottom w:val="single" w:color="auto" w:sz="4" w:space="0"/>
            </w:tcBorders>
            <w:noWrap w:val="0"/>
            <w:vAlign w:val="center"/>
          </w:tcPr>
          <w:p w14:paraId="00EE7493">
            <w:pPr>
              <w:spacing w:line="560" w:lineRule="exact"/>
              <w:rPr>
                <w:rFonts w:hint="eastAsia" w:ascii="黑体" w:hAnsi="黑体" w:eastAsia="黑体" w:cs="黑体"/>
                <w:sz w:val="21"/>
                <w:szCs w:val="28"/>
              </w:rPr>
            </w:pPr>
            <w:r>
              <w:rPr>
                <w:rFonts w:hint="eastAsia" w:ascii="黑体" w:hAnsi="黑体" w:eastAsia="黑体" w:cs="黑体"/>
                <w:sz w:val="21"/>
                <w:szCs w:val="28"/>
                <w:lang w:val="en-US" w:eastAsia="zh-CN"/>
              </w:rPr>
              <w:t>投标报价</w:t>
            </w:r>
            <w:r>
              <w:rPr>
                <w:rFonts w:hint="eastAsia" w:ascii="黑体" w:hAnsi="黑体" w:eastAsia="黑体" w:cs="黑体"/>
                <w:sz w:val="21"/>
                <w:szCs w:val="28"/>
              </w:rPr>
              <w:t xml:space="preserve">（大写）：                         </w:t>
            </w:r>
          </w:p>
        </w:tc>
      </w:tr>
      <w:tr w14:paraId="71D6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3"/>
            <w:noWrap w:val="0"/>
            <w:vAlign w:val="center"/>
          </w:tcPr>
          <w:p w14:paraId="1ADAB739">
            <w:pPr>
              <w:pStyle w:val="13"/>
              <w:spacing w:line="500" w:lineRule="exact"/>
              <w:rPr>
                <w:rFonts w:hint="eastAsia" w:ascii="黑体" w:hAnsi="黑体" w:eastAsia="黑体" w:cs="黑体"/>
                <w:sz w:val="21"/>
                <w:szCs w:val="28"/>
              </w:rPr>
            </w:pPr>
            <w:r>
              <w:rPr>
                <w:rFonts w:hint="eastAsia" w:ascii="黑体" w:hAnsi="黑体" w:eastAsia="黑体" w:cs="黑体"/>
                <w:sz w:val="21"/>
                <w:szCs w:val="28"/>
              </w:rPr>
              <w:t>备注：</w:t>
            </w:r>
          </w:p>
        </w:tc>
      </w:tr>
    </w:tbl>
    <w:p w14:paraId="3D09BA34">
      <w:pPr>
        <w:pStyle w:val="13"/>
        <w:spacing w:line="500" w:lineRule="exact"/>
        <w:rPr>
          <w:rFonts w:hint="eastAsia" w:ascii="黑体" w:hAnsi="黑体" w:eastAsia="黑体" w:cs="黑体"/>
          <w:sz w:val="24"/>
          <w:szCs w:val="28"/>
        </w:rPr>
      </w:pPr>
    </w:p>
    <w:p w14:paraId="06967285">
      <w:pPr>
        <w:rPr>
          <w:rFonts w:hint="eastAsia" w:ascii="黑体" w:hAnsi="黑体" w:eastAsia="黑体" w:cs="黑体"/>
        </w:rPr>
      </w:pPr>
    </w:p>
    <w:p w14:paraId="617EB89C">
      <w:pPr>
        <w:spacing w:line="500" w:lineRule="exact"/>
        <w:rPr>
          <w:rFonts w:hint="eastAsia" w:ascii="黑体" w:hAnsi="黑体" w:eastAsia="黑体" w:cs="黑体"/>
          <w:sz w:val="24"/>
          <w:szCs w:val="28"/>
        </w:rPr>
      </w:pPr>
    </w:p>
    <w:p w14:paraId="4734E52B">
      <w:pPr>
        <w:spacing w:line="500" w:lineRule="exact"/>
        <w:ind w:firstLine="480" w:firstLineChars="200"/>
        <w:rPr>
          <w:rFonts w:hint="eastAsia" w:ascii="黑体" w:hAnsi="黑体" w:eastAsia="黑体" w:cs="黑体"/>
          <w:sz w:val="24"/>
          <w:szCs w:val="28"/>
        </w:rPr>
      </w:pPr>
      <w:r>
        <w:rPr>
          <w:rFonts w:hint="eastAsia" w:ascii="黑体" w:hAnsi="黑体" w:eastAsia="黑体" w:cs="黑体"/>
          <w:sz w:val="24"/>
          <w:szCs w:val="28"/>
          <w:lang w:eastAsia="zh-CN"/>
        </w:rPr>
        <w:t>供应商</w:t>
      </w:r>
      <w:r>
        <w:rPr>
          <w:rFonts w:hint="eastAsia" w:ascii="黑体" w:hAnsi="黑体" w:eastAsia="黑体" w:cs="黑体"/>
          <w:sz w:val="24"/>
          <w:szCs w:val="28"/>
        </w:rPr>
        <w:t>：                      法定代表人（或法定代表人授权代表）或自然人：</w:t>
      </w:r>
    </w:p>
    <w:p w14:paraId="5E41D42C">
      <w:pPr>
        <w:spacing w:line="500" w:lineRule="exact"/>
        <w:rPr>
          <w:rFonts w:hint="eastAsia" w:ascii="黑体" w:hAnsi="黑体" w:eastAsia="黑体" w:cs="黑体"/>
          <w:sz w:val="24"/>
          <w:szCs w:val="28"/>
        </w:rPr>
      </w:pPr>
      <w:r>
        <w:rPr>
          <w:rFonts w:hint="eastAsia" w:ascii="黑体" w:hAnsi="黑体" w:eastAsia="黑体" w:cs="黑体"/>
          <w:sz w:val="24"/>
          <w:szCs w:val="28"/>
        </w:rPr>
        <w:t xml:space="preserve">  （</w:t>
      </w:r>
      <w:r>
        <w:rPr>
          <w:rFonts w:hint="eastAsia" w:ascii="黑体" w:hAnsi="黑体" w:eastAsia="黑体" w:cs="黑体"/>
          <w:sz w:val="24"/>
          <w:szCs w:val="28"/>
          <w:lang w:eastAsia="zh-CN"/>
        </w:rPr>
        <w:t>供应商</w:t>
      </w:r>
      <w:r>
        <w:rPr>
          <w:rFonts w:hint="eastAsia" w:ascii="黑体" w:hAnsi="黑体" w:eastAsia="黑体" w:cs="黑体"/>
          <w:sz w:val="24"/>
          <w:szCs w:val="28"/>
        </w:rPr>
        <w:t>公章）                               （签署或盖章）</w:t>
      </w:r>
    </w:p>
    <w:p w14:paraId="57589009">
      <w:pPr>
        <w:spacing w:line="500" w:lineRule="exact"/>
        <w:rPr>
          <w:rFonts w:hint="eastAsia" w:ascii="黑体" w:hAnsi="黑体" w:eastAsia="黑体" w:cs="黑体"/>
          <w:sz w:val="24"/>
          <w:szCs w:val="28"/>
        </w:rPr>
      </w:pPr>
    </w:p>
    <w:p w14:paraId="11A1A130">
      <w:pPr>
        <w:spacing w:line="500" w:lineRule="exact"/>
        <w:rPr>
          <w:rFonts w:hint="eastAsia" w:ascii="黑体" w:hAnsi="黑体" w:eastAsia="黑体" w:cs="黑体"/>
          <w:sz w:val="24"/>
          <w:szCs w:val="28"/>
        </w:rPr>
      </w:pPr>
    </w:p>
    <w:p w14:paraId="21F3F0CC">
      <w:pPr>
        <w:spacing w:line="500" w:lineRule="exact"/>
        <w:rPr>
          <w:rFonts w:hint="eastAsia" w:ascii="黑体" w:hAnsi="黑体" w:eastAsia="黑体" w:cs="黑体"/>
          <w:sz w:val="24"/>
          <w:szCs w:val="28"/>
        </w:rPr>
      </w:pPr>
      <w:r>
        <w:rPr>
          <w:rFonts w:hint="eastAsia" w:ascii="黑体" w:hAnsi="黑体" w:eastAsia="黑体" w:cs="黑体"/>
          <w:sz w:val="24"/>
          <w:szCs w:val="28"/>
        </w:rPr>
        <w:t xml:space="preserve">                                            年     月     日</w:t>
      </w:r>
    </w:p>
    <w:p w14:paraId="7D6352CA">
      <w:pPr>
        <w:snapToGrid w:val="0"/>
        <w:spacing w:line="500" w:lineRule="exact"/>
        <w:ind w:firstLine="480" w:firstLineChars="200"/>
        <w:rPr>
          <w:rFonts w:hint="eastAsia" w:ascii="黑体" w:hAnsi="黑体" w:eastAsia="黑体" w:cs="黑体"/>
          <w:sz w:val="24"/>
          <w:szCs w:val="28"/>
        </w:rPr>
      </w:pPr>
    </w:p>
    <w:p w14:paraId="0ECEC7A8">
      <w:pPr>
        <w:snapToGrid w:val="0"/>
        <w:spacing w:line="500" w:lineRule="exact"/>
        <w:ind w:firstLine="480" w:firstLineChars="200"/>
        <w:rPr>
          <w:rFonts w:hint="eastAsia" w:ascii="黑体" w:hAnsi="黑体" w:eastAsia="黑体" w:cs="黑体"/>
          <w:sz w:val="24"/>
          <w:szCs w:val="28"/>
        </w:rPr>
      </w:pPr>
    </w:p>
    <w:p w14:paraId="25CC0AD0">
      <w:pPr>
        <w:snapToGrid w:val="0"/>
        <w:spacing w:line="500" w:lineRule="exact"/>
        <w:ind w:firstLine="480" w:firstLineChars="200"/>
        <w:rPr>
          <w:rFonts w:hint="eastAsia" w:ascii="黑体" w:hAnsi="黑体" w:eastAsia="黑体" w:cs="黑体"/>
          <w:sz w:val="24"/>
          <w:szCs w:val="28"/>
        </w:rPr>
      </w:pPr>
    </w:p>
    <w:p w14:paraId="7916BF05">
      <w:pPr>
        <w:snapToGrid w:val="0"/>
        <w:spacing w:line="5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说明：</w:t>
      </w:r>
    </w:p>
    <w:p w14:paraId="576D94A8">
      <w:pPr>
        <w:snapToGrid w:val="0"/>
        <w:spacing w:line="5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1.开标一览表按格式填列；</w:t>
      </w:r>
    </w:p>
    <w:p w14:paraId="033B1DAD">
      <w:pPr>
        <w:snapToGrid w:val="0"/>
        <w:spacing w:line="500" w:lineRule="exact"/>
        <w:ind w:firstLine="480" w:firstLineChars="200"/>
        <w:rPr>
          <w:rFonts w:hint="eastAsia" w:ascii="黑体" w:hAnsi="黑体" w:eastAsia="黑体" w:cs="黑体"/>
          <w:sz w:val="24"/>
          <w:szCs w:val="28"/>
        </w:rPr>
      </w:pPr>
      <w:r>
        <w:rPr>
          <w:rFonts w:hint="eastAsia" w:ascii="黑体" w:hAnsi="黑体" w:eastAsia="黑体" w:cs="黑体"/>
          <w:sz w:val="24"/>
          <w:szCs w:val="28"/>
        </w:rPr>
        <w:t>2.开标一览表在开标大会上当众宣读，务必填写清楚，准确无误；</w:t>
      </w:r>
    </w:p>
    <w:p w14:paraId="24EA57BD">
      <w:pPr>
        <w:pStyle w:val="4"/>
        <w:pageBreakBefore w:val="0"/>
        <w:kinsoku/>
        <w:overflowPunct/>
        <w:topLinePunct w:val="0"/>
        <w:autoSpaceDE/>
        <w:autoSpaceDN/>
        <w:bidi w:val="0"/>
        <w:adjustRightInd/>
        <w:snapToGrid w:val="0"/>
        <w:spacing w:before="0" w:after="0" w:line="312" w:lineRule="auto"/>
        <w:rPr>
          <w:rFonts w:hint="eastAsia" w:ascii="黑体" w:hAnsi="黑体" w:eastAsia="黑体" w:cs="黑体"/>
          <w:szCs w:val="28"/>
        </w:rPr>
        <w:sectPr>
          <w:headerReference r:id="rId14" w:type="default"/>
          <w:footerReference r:id="rId15" w:type="default"/>
          <w:pgSz w:w="11907" w:h="16840"/>
          <w:pgMar w:top="1134" w:right="1191" w:bottom="1134" w:left="1304" w:header="851" w:footer="992" w:gutter="0"/>
          <w:pgNumType w:fmt="decimal"/>
          <w:cols w:space="720" w:num="1"/>
          <w:docGrid w:linePitch="380" w:charSpace="-5735"/>
        </w:sectPr>
      </w:pPr>
      <w:r>
        <w:rPr>
          <w:rFonts w:hint="eastAsia" w:ascii="黑体" w:hAnsi="黑体" w:eastAsia="黑体" w:cs="黑体"/>
          <w:szCs w:val="28"/>
        </w:rPr>
        <w:br w:type="page"/>
      </w:r>
    </w:p>
    <w:p w14:paraId="5B9162F0">
      <w:pPr>
        <w:snapToGrid w:val="0"/>
        <w:spacing w:line="500" w:lineRule="exact"/>
        <w:ind w:firstLine="241" w:firstLineChars="1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（二）分项报价明细表</w:t>
      </w:r>
    </w:p>
    <w:p w14:paraId="22E6B646">
      <w:pPr>
        <w:spacing w:line="500" w:lineRule="exact"/>
        <w:ind w:firstLine="240" w:firstLineChars="100"/>
        <w:rPr>
          <w:rFonts w:hint="eastAsia" w:ascii="黑体" w:hAnsi="黑体" w:eastAsia="黑体" w:cs="黑体"/>
          <w:color w:val="auto"/>
          <w:sz w:val="24"/>
          <w:highlight w:val="none"/>
        </w:rPr>
      </w:pPr>
      <w:r>
        <w:rPr>
          <w:rFonts w:hint="eastAsia" w:ascii="黑体" w:hAnsi="黑体" w:eastAsia="黑体" w:cs="黑体"/>
          <w:color w:val="auto"/>
          <w:sz w:val="24"/>
          <w:highlight w:val="none"/>
        </w:rPr>
        <w:t>项目名称：</w:t>
      </w:r>
    </w:p>
    <w:tbl>
      <w:tblPr>
        <w:tblStyle w:val="25"/>
        <w:tblW w:w="9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072"/>
        <w:gridCol w:w="1090"/>
        <w:gridCol w:w="968"/>
        <w:gridCol w:w="2127"/>
        <w:gridCol w:w="2632"/>
      </w:tblGrid>
      <w:tr w14:paraId="72B1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02" w:type="dxa"/>
            <w:vAlign w:val="center"/>
          </w:tcPr>
          <w:p w14:paraId="2A70DEE7">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序号</w:t>
            </w:r>
          </w:p>
        </w:tc>
        <w:tc>
          <w:tcPr>
            <w:tcW w:w="2072" w:type="dxa"/>
            <w:vAlign w:val="center"/>
          </w:tcPr>
          <w:p w14:paraId="3479FAC3">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名目</w:t>
            </w:r>
          </w:p>
        </w:tc>
        <w:tc>
          <w:tcPr>
            <w:tcW w:w="1090" w:type="dxa"/>
            <w:vAlign w:val="center"/>
          </w:tcPr>
          <w:p w14:paraId="0F0E326B">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量</w:t>
            </w:r>
          </w:p>
        </w:tc>
        <w:tc>
          <w:tcPr>
            <w:tcW w:w="968" w:type="dxa"/>
            <w:vAlign w:val="center"/>
          </w:tcPr>
          <w:p w14:paraId="03773FCE">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单位</w:t>
            </w:r>
          </w:p>
        </w:tc>
        <w:tc>
          <w:tcPr>
            <w:tcW w:w="2127" w:type="dxa"/>
            <w:vAlign w:val="center"/>
          </w:tcPr>
          <w:p w14:paraId="1BA3803A">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投标单价（元）</w:t>
            </w:r>
          </w:p>
        </w:tc>
        <w:tc>
          <w:tcPr>
            <w:tcW w:w="2632" w:type="dxa"/>
            <w:vAlign w:val="center"/>
          </w:tcPr>
          <w:p w14:paraId="59E0B325">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投标合价（元）</w:t>
            </w:r>
          </w:p>
        </w:tc>
      </w:tr>
      <w:tr w14:paraId="7D2F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2" w:type="dxa"/>
            <w:vAlign w:val="center"/>
          </w:tcPr>
          <w:p w14:paraId="0AA73610">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1</w:t>
            </w:r>
          </w:p>
        </w:tc>
        <w:tc>
          <w:tcPr>
            <w:tcW w:w="2072" w:type="dxa"/>
            <w:vAlign w:val="center"/>
          </w:tcPr>
          <w:p w14:paraId="0740128D">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内墙面修复</w:t>
            </w:r>
          </w:p>
        </w:tc>
        <w:tc>
          <w:tcPr>
            <w:tcW w:w="1090" w:type="dxa"/>
            <w:vAlign w:val="center"/>
          </w:tcPr>
          <w:p w14:paraId="11F2291A">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298</w:t>
            </w:r>
          </w:p>
        </w:tc>
        <w:tc>
          <w:tcPr>
            <w:tcW w:w="968" w:type="dxa"/>
            <w:vAlign w:val="center"/>
          </w:tcPr>
          <w:p w14:paraId="44A1CB53">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m2</w:t>
            </w:r>
          </w:p>
        </w:tc>
        <w:tc>
          <w:tcPr>
            <w:tcW w:w="2127" w:type="dxa"/>
            <w:vAlign w:val="center"/>
          </w:tcPr>
          <w:p w14:paraId="2CB6D762">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p>
        </w:tc>
        <w:tc>
          <w:tcPr>
            <w:tcW w:w="2632" w:type="dxa"/>
            <w:vAlign w:val="center"/>
          </w:tcPr>
          <w:p w14:paraId="59C4519C">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p>
        </w:tc>
      </w:tr>
      <w:tr w14:paraId="26DA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2" w:type="dxa"/>
            <w:vAlign w:val="center"/>
          </w:tcPr>
          <w:p w14:paraId="2811CD8A">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2</w:t>
            </w:r>
          </w:p>
        </w:tc>
        <w:tc>
          <w:tcPr>
            <w:tcW w:w="2072" w:type="dxa"/>
            <w:vAlign w:val="center"/>
          </w:tcPr>
          <w:p w14:paraId="7ABD7ED5">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外墙真石漆修补</w:t>
            </w:r>
          </w:p>
        </w:tc>
        <w:tc>
          <w:tcPr>
            <w:tcW w:w="1090" w:type="dxa"/>
            <w:vAlign w:val="center"/>
          </w:tcPr>
          <w:p w14:paraId="5A312EC1">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16</w:t>
            </w:r>
          </w:p>
        </w:tc>
        <w:tc>
          <w:tcPr>
            <w:tcW w:w="968" w:type="dxa"/>
            <w:vAlign w:val="center"/>
          </w:tcPr>
          <w:p w14:paraId="25300BD1">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m2</w:t>
            </w:r>
          </w:p>
        </w:tc>
        <w:tc>
          <w:tcPr>
            <w:tcW w:w="2127" w:type="dxa"/>
            <w:vAlign w:val="center"/>
          </w:tcPr>
          <w:p w14:paraId="2EA19365">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p>
        </w:tc>
        <w:tc>
          <w:tcPr>
            <w:tcW w:w="2632" w:type="dxa"/>
            <w:vAlign w:val="center"/>
          </w:tcPr>
          <w:p w14:paraId="4C0D3F1E">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p>
        </w:tc>
      </w:tr>
      <w:tr w14:paraId="5EBB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02" w:type="dxa"/>
            <w:vAlign w:val="center"/>
          </w:tcPr>
          <w:p w14:paraId="53407637">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3</w:t>
            </w:r>
          </w:p>
        </w:tc>
        <w:tc>
          <w:tcPr>
            <w:tcW w:w="2072" w:type="dxa"/>
            <w:vAlign w:val="center"/>
          </w:tcPr>
          <w:p w14:paraId="2FAD3AD1">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外墙铝塑板采购及安装</w:t>
            </w:r>
          </w:p>
        </w:tc>
        <w:tc>
          <w:tcPr>
            <w:tcW w:w="1090" w:type="dxa"/>
            <w:vAlign w:val="center"/>
          </w:tcPr>
          <w:p w14:paraId="3E182B51">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185</w:t>
            </w:r>
          </w:p>
        </w:tc>
        <w:tc>
          <w:tcPr>
            <w:tcW w:w="968" w:type="dxa"/>
            <w:vAlign w:val="center"/>
          </w:tcPr>
          <w:p w14:paraId="2C2F20B9">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m2</w:t>
            </w:r>
          </w:p>
        </w:tc>
        <w:tc>
          <w:tcPr>
            <w:tcW w:w="2127" w:type="dxa"/>
            <w:vAlign w:val="center"/>
          </w:tcPr>
          <w:p w14:paraId="780DB40B">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p>
        </w:tc>
        <w:tc>
          <w:tcPr>
            <w:tcW w:w="2632" w:type="dxa"/>
            <w:vAlign w:val="center"/>
          </w:tcPr>
          <w:p w14:paraId="58B3A3D4">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p>
        </w:tc>
      </w:tr>
      <w:tr w14:paraId="5498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3CFFA92F">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4</w:t>
            </w:r>
          </w:p>
        </w:tc>
        <w:tc>
          <w:tcPr>
            <w:tcW w:w="2072" w:type="dxa"/>
            <w:vAlign w:val="center"/>
          </w:tcPr>
          <w:p w14:paraId="50F4E87F">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天然大理石艺术洗手池采购及安装</w:t>
            </w:r>
          </w:p>
        </w:tc>
        <w:tc>
          <w:tcPr>
            <w:tcW w:w="1090" w:type="dxa"/>
            <w:vAlign w:val="center"/>
          </w:tcPr>
          <w:p w14:paraId="030F7121">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1</w:t>
            </w:r>
          </w:p>
        </w:tc>
        <w:tc>
          <w:tcPr>
            <w:tcW w:w="968" w:type="dxa"/>
            <w:shd w:val="clear" w:color="FFFFFF" w:fill="FFFFFF"/>
            <w:vAlign w:val="center"/>
          </w:tcPr>
          <w:p w14:paraId="3A3034AE">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组</w:t>
            </w:r>
          </w:p>
        </w:tc>
        <w:tc>
          <w:tcPr>
            <w:tcW w:w="2127" w:type="dxa"/>
            <w:shd w:val="clear" w:color="FFFFFF" w:fill="FFFFFF"/>
            <w:vAlign w:val="center"/>
          </w:tcPr>
          <w:p w14:paraId="46EF35B1">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p>
        </w:tc>
        <w:tc>
          <w:tcPr>
            <w:tcW w:w="2632" w:type="dxa"/>
            <w:shd w:val="clear" w:color="FFFFFF" w:fill="FFFFFF"/>
            <w:vAlign w:val="center"/>
          </w:tcPr>
          <w:p w14:paraId="6F4EC448">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p>
        </w:tc>
      </w:tr>
      <w:tr w14:paraId="0085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959" w:type="dxa"/>
            <w:gridSpan w:val="5"/>
            <w:vAlign w:val="center"/>
          </w:tcPr>
          <w:p w14:paraId="166B9F4F">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黑体" w:hAnsi="黑体" w:eastAsia="黑体" w:cs="黑体"/>
                <w:color w:val="auto"/>
                <w:sz w:val="22"/>
                <w:szCs w:val="22"/>
                <w:highlight w:val="none"/>
                <w:vertAlign w:val="baseline"/>
                <w:lang w:val="en-US" w:eastAsia="zh-CN"/>
              </w:rPr>
            </w:pPr>
            <w:r>
              <w:rPr>
                <w:rFonts w:hint="eastAsia" w:ascii="黑体" w:hAnsi="黑体" w:eastAsia="黑体" w:cs="黑体"/>
                <w:color w:val="auto"/>
                <w:sz w:val="22"/>
                <w:szCs w:val="22"/>
                <w:highlight w:val="none"/>
                <w:vertAlign w:val="baseline"/>
                <w:lang w:val="en-US" w:eastAsia="zh-CN"/>
              </w:rPr>
              <w:t>合计（元）</w:t>
            </w:r>
          </w:p>
        </w:tc>
        <w:tc>
          <w:tcPr>
            <w:tcW w:w="2632" w:type="dxa"/>
            <w:vAlign w:val="center"/>
          </w:tcPr>
          <w:p w14:paraId="206D779D">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auto"/>
                <w:sz w:val="22"/>
                <w:szCs w:val="22"/>
                <w:highlight w:val="none"/>
                <w:vertAlign w:val="baseline"/>
                <w:lang w:val="en-US" w:eastAsia="zh-CN"/>
              </w:rPr>
            </w:pPr>
          </w:p>
        </w:tc>
      </w:tr>
    </w:tbl>
    <w:p w14:paraId="7E4AACD0">
      <w:pPr>
        <w:snapToGrid w:val="0"/>
        <w:spacing w:line="500" w:lineRule="exact"/>
        <w:rPr>
          <w:rFonts w:hint="eastAsia" w:ascii="黑体" w:hAnsi="黑体" w:eastAsia="黑体" w:cs="黑体"/>
          <w:color w:val="auto"/>
          <w:sz w:val="24"/>
          <w:highlight w:val="none"/>
        </w:rPr>
      </w:pPr>
      <w:r>
        <w:rPr>
          <w:rFonts w:hint="eastAsia" w:ascii="黑体" w:hAnsi="黑体" w:eastAsia="黑体" w:cs="黑体"/>
          <w:color w:val="auto"/>
          <w:sz w:val="24"/>
          <w:highlight w:val="none"/>
        </w:rPr>
        <w:t>注：</w:t>
      </w:r>
    </w:p>
    <w:p w14:paraId="7E11DCA0">
      <w:pPr>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1.请供应商完整填写本表；</w:t>
      </w:r>
    </w:p>
    <w:p w14:paraId="57A42DAC">
      <w:pPr>
        <w:snapToGrid w:val="0"/>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2.该表可扩展。</w:t>
      </w:r>
    </w:p>
    <w:p w14:paraId="504801CC">
      <w:pPr>
        <w:snapToGrid w:val="0"/>
        <w:spacing w:line="500" w:lineRule="exact"/>
        <w:ind w:firstLine="480" w:firstLineChars="200"/>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3.以上全费用综合单价报价将作为结算成交单价，计算最终结算费用。</w:t>
      </w:r>
    </w:p>
    <w:p w14:paraId="33E89E5C">
      <w:pPr>
        <w:snapToGrid w:val="0"/>
        <w:spacing w:line="500" w:lineRule="exact"/>
        <w:ind w:firstLine="480" w:firstLineChars="200"/>
        <w:rPr>
          <w:rFonts w:hint="eastAsia" w:ascii="黑体" w:hAnsi="黑体" w:eastAsia="黑体" w:cs="黑体"/>
          <w:color w:val="auto"/>
          <w:sz w:val="24"/>
          <w:highlight w:val="none"/>
        </w:rPr>
      </w:pPr>
    </w:p>
    <w:p w14:paraId="1CA50B1F">
      <w:pPr>
        <w:snapToGrid w:val="0"/>
        <w:spacing w:line="500" w:lineRule="exact"/>
        <w:ind w:firstLine="480" w:firstLineChars="20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 xml:space="preserve">                                             </w:t>
      </w:r>
      <w:r>
        <w:rPr>
          <w:rFonts w:hint="eastAsia" w:ascii="黑体" w:hAnsi="黑体" w:eastAsia="黑体" w:cs="黑体"/>
          <w:color w:val="auto"/>
          <w:sz w:val="24"/>
          <w:highlight w:val="none"/>
        </w:rPr>
        <w:t xml:space="preserve">供应商：                                           </w:t>
      </w:r>
    </w:p>
    <w:p w14:paraId="36506243">
      <w:pPr>
        <w:snapToGrid w:val="0"/>
        <w:spacing w:line="500" w:lineRule="exact"/>
        <w:ind w:firstLine="480" w:firstLineChars="20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 xml:space="preserve">                                            </w:t>
      </w:r>
      <w:r>
        <w:rPr>
          <w:rFonts w:hint="eastAsia" w:ascii="黑体" w:hAnsi="黑体" w:eastAsia="黑体" w:cs="黑体"/>
          <w:color w:val="auto"/>
          <w:sz w:val="24"/>
          <w:highlight w:val="none"/>
        </w:rPr>
        <w:t xml:space="preserve"> （签署或盖章）</w:t>
      </w:r>
    </w:p>
    <w:p w14:paraId="470A311D">
      <w:pPr>
        <w:snapToGrid w:val="0"/>
        <w:spacing w:line="500" w:lineRule="exact"/>
        <w:ind w:firstLine="480" w:firstLineChars="200"/>
        <w:jc w:val="right"/>
        <w:rPr>
          <w:rFonts w:hint="eastAsia" w:ascii="黑体" w:hAnsi="黑体" w:eastAsia="黑体" w:cs="黑体"/>
          <w:color w:val="auto"/>
          <w:sz w:val="24"/>
          <w:highlight w:val="none"/>
        </w:rPr>
      </w:pPr>
      <w:r>
        <w:rPr>
          <w:rFonts w:hint="eastAsia" w:ascii="黑体" w:hAnsi="黑体" w:eastAsia="黑体" w:cs="黑体"/>
          <w:color w:val="auto"/>
          <w:sz w:val="24"/>
          <w:highlight w:val="none"/>
        </w:rPr>
        <w:t>年   月   日</w:t>
      </w:r>
    </w:p>
    <w:p w14:paraId="2A38205B">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000000"/>
          <w:sz w:val="24"/>
        </w:rPr>
        <w:sectPr>
          <w:pgSz w:w="11907" w:h="16840"/>
          <w:pgMar w:top="1134" w:right="1191" w:bottom="1134" w:left="1304" w:header="851" w:footer="992" w:gutter="0"/>
          <w:pgNumType w:fmt="decimal"/>
          <w:cols w:space="720" w:num="1"/>
          <w:docGrid w:linePitch="380" w:charSpace="-5735"/>
        </w:sectPr>
      </w:pPr>
    </w:p>
    <w:p w14:paraId="30690BDA">
      <w:pPr>
        <w:pStyle w:val="4"/>
        <w:pageBreakBefore w:val="0"/>
        <w:kinsoku/>
        <w:overflowPunct/>
        <w:topLinePunct w:val="0"/>
        <w:autoSpaceDE/>
        <w:autoSpaceDN/>
        <w:bidi w:val="0"/>
        <w:adjustRightInd/>
        <w:snapToGrid w:val="0"/>
        <w:spacing w:before="0" w:after="0" w:line="312"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二、技术部分</w:t>
      </w:r>
      <w:bookmarkEnd w:id="149"/>
      <w:bookmarkEnd w:id="150"/>
      <w:bookmarkEnd w:id="151"/>
      <w:bookmarkEnd w:id="152"/>
      <w:bookmarkEnd w:id="153"/>
    </w:p>
    <w:p w14:paraId="1F20081B">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（一）服务方案</w:t>
      </w:r>
    </w:p>
    <w:p w14:paraId="7063841B">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highlight w:val="none"/>
        </w:rPr>
      </w:pPr>
      <w:r>
        <w:rPr>
          <w:rFonts w:hint="eastAsia" w:ascii="黑体" w:hAnsi="黑体" w:eastAsia="黑体" w:cs="黑体"/>
          <w:color w:val="auto"/>
          <w:sz w:val="24"/>
          <w:szCs w:val="24"/>
          <w:highlight w:val="none"/>
        </w:rPr>
        <w:t>供应商根据采购文件“第四篇 资格审查及评标办法”中服务部分的评审标准编制服务方案，格式自拟。</w:t>
      </w:r>
    </w:p>
    <w:p w14:paraId="1026F5AC">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52A827CF">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4FF29948">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0FEE7038">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5B5E7DCA">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6306BD5F">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72CE6A95">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045600A4">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13ABD2FD">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7F1C15B4">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70E821DA">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6BAD7806">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5438F848">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5F4789E9">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32C084C0">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774A0A2D">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16A626D7">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3B97C748">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5225C532">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674B7C9B">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63ADA786">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73612956">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0046EE7E">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1D09890E">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7F6DE669">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4EE79726">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highlight w:val="none"/>
        </w:rPr>
      </w:pPr>
    </w:p>
    <w:p w14:paraId="40F9C5AB">
      <w:pPr>
        <w:pageBreakBefore w:val="0"/>
        <w:kinsoku/>
        <w:overflowPunct/>
        <w:topLinePunct w:val="0"/>
        <w:autoSpaceDE/>
        <w:autoSpaceDN/>
        <w:bidi w:val="0"/>
        <w:adjustRightInd/>
        <w:snapToGrid w:val="0"/>
        <w:spacing w:line="312" w:lineRule="auto"/>
        <w:rPr>
          <w:rFonts w:hint="eastAsia" w:ascii="黑体" w:hAnsi="黑体" w:eastAsia="黑体" w:cs="黑体"/>
          <w:color w:val="auto"/>
          <w:highlight w:val="none"/>
        </w:rPr>
      </w:pPr>
    </w:p>
    <w:p w14:paraId="2FE14B27">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（二）技术响应偏离表</w:t>
      </w:r>
    </w:p>
    <w:p w14:paraId="599B41A8">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项目名称：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6CB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72D190A">
            <w:pPr>
              <w:pageBreakBefore w:val="0"/>
              <w:tabs>
                <w:tab w:val="left" w:pos="6300"/>
              </w:tabs>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2658" w:type="dxa"/>
            <w:vAlign w:val="center"/>
          </w:tcPr>
          <w:p w14:paraId="38618574">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采购需求</w:t>
            </w:r>
          </w:p>
        </w:tc>
        <w:tc>
          <w:tcPr>
            <w:tcW w:w="2759" w:type="dxa"/>
            <w:vAlign w:val="center"/>
          </w:tcPr>
          <w:p w14:paraId="34B6DE97">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响应情况</w:t>
            </w:r>
          </w:p>
        </w:tc>
        <w:tc>
          <w:tcPr>
            <w:tcW w:w="2067" w:type="dxa"/>
            <w:vAlign w:val="center"/>
          </w:tcPr>
          <w:p w14:paraId="64E343BC">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差异说明</w:t>
            </w:r>
          </w:p>
        </w:tc>
      </w:tr>
      <w:tr w14:paraId="7929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945E469">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658" w:type="dxa"/>
            <w:vAlign w:val="center"/>
          </w:tcPr>
          <w:p w14:paraId="337EF2F7">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759" w:type="dxa"/>
            <w:vAlign w:val="center"/>
          </w:tcPr>
          <w:p w14:paraId="7B5B7E5B">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067" w:type="dxa"/>
            <w:vAlign w:val="center"/>
          </w:tcPr>
          <w:p w14:paraId="417FB347">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r>
      <w:tr w14:paraId="09A9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67434EE">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658" w:type="dxa"/>
            <w:vAlign w:val="center"/>
          </w:tcPr>
          <w:p w14:paraId="377A0FE6">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759" w:type="dxa"/>
            <w:vAlign w:val="center"/>
          </w:tcPr>
          <w:p w14:paraId="3F048810">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067" w:type="dxa"/>
            <w:vAlign w:val="center"/>
          </w:tcPr>
          <w:p w14:paraId="1D20DCE1">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r>
      <w:tr w14:paraId="4CAE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96CDBD3">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658" w:type="dxa"/>
            <w:vAlign w:val="center"/>
          </w:tcPr>
          <w:p w14:paraId="44A31189">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759" w:type="dxa"/>
            <w:vAlign w:val="center"/>
          </w:tcPr>
          <w:p w14:paraId="10010EDE">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067" w:type="dxa"/>
            <w:vAlign w:val="center"/>
          </w:tcPr>
          <w:p w14:paraId="2193DB5A">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r>
      <w:tr w14:paraId="72F9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D4E83B7">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658" w:type="dxa"/>
            <w:vAlign w:val="center"/>
          </w:tcPr>
          <w:p w14:paraId="36234EA2">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759" w:type="dxa"/>
            <w:vAlign w:val="center"/>
          </w:tcPr>
          <w:p w14:paraId="0E4EDA2B">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067" w:type="dxa"/>
            <w:vAlign w:val="center"/>
          </w:tcPr>
          <w:p w14:paraId="412D1128">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r>
      <w:tr w14:paraId="794D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BD7DF37">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658" w:type="dxa"/>
            <w:vAlign w:val="center"/>
          </w:tcPr>
          <w:p w14:paraId="07FD5DAD">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759" w:type="dxa"/>
            <w:vAlign w:val="center"/>
          </w:tcPr>
          <w:p w14:paraId="1448F1FE">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067" w:type="dxa"/>
            <w:vAlign w:val="center"/>
          </w:tcPr>
          <w:p w14:paraId="5B40DD97">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r>
      <w:tr w14:paraId="522C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23E3BB4">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658" w:type="dxa"/>
            <w:vAlign w:val="center"/>
          </w:tcPr>
          <w:p w14:paraId="46D1924A">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759" w:type="dxa"/>
            <w:vAlign w:val="center"/>
          </w:tcPr>
          <w:p w14:paraId="45FC6A45">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067" w:type="dxa"/>
            <w:vAlign w:val="center"/>
          </w:tcPr>
          <w:p w14:paraId="4FE63B68">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r>
      <w:tr w14:paraId="6059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54D84C2">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658" w:type="dxa"/>
            <w:vAlign w:val="center"/>
          </w:tcPr>
          <w:p w14:paraId="6D7EEA6B">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759" w:type="dxa"/>
            <w:vAlign w:val="center"/>
          </w:tcPr>
          <w:p w14:paraId="03CAE30F">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067" w:type="dxa"/>
            <w:vAlign w:val="center"/>
          </w:tcPr>
          <w:p w14:paraId="36E9FF27">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r>
    </w:tbl>
    <w:p w14:paraId="4450E860">
      <w:pPr>
        <w:pageBreakBefore w:val="0"/>
        <w:kinsoku/>
        <w:overflowPunct/>
        <w:topLinePunct w:val="0"/>
        <w:autoSpaceDE/>
        <w:autoSpaceDN/>
        <w:bidi w:val="0"/>
        <w:adjustRightInd/>
        <w:snapToGrid w:val="0"/>
        <w:spacing w:line="312" w:lineRule="auto"/>
        <w:ind w:firstLine="600" w:firstLineChars="2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                                  法定代表人授权代表：</w:t>
      </w:r>
    </w:p>
    <w:p w14:paraId="09B1BC17">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3AFE8781">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（供应商公章）                               （签字或盖章）</w:t>
      </w:r>
    </w:p>
    <w:p w14:paraId="68D6AB91">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年     月     日</w:t>
      </w:r>
    </w:p>
    <w:p w14:paraId="3388A3DA">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注：</w:t>
      </w:r>
    </w:p>
    <w:p w14:paraId="7690718A">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1.本表即为对本项目“第二篇  项目服务需求”中所列技术要求进行比较和响应；</w:t>
      </w:r>
    </w:p>
    <w:p w14:paraId="7AB07A79">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2.该表必须按照采购文件要求逐条如实填写，根据响应情况在“差异说明”项填写正偏离或负偏离及原因，完全符合的填写“无差异”；</w:t>
      </w:r>
    </w:p>
    <w:p w14:paraId="14A81093">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3.该表可扩展，并逐页签字或盖章；</w:t>
      </w:r>
    </w:p>
    <w:p w14:paraId="3B49D4DF">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4.可附相关技术支撑材料。（格式自定）</w:t>
      </w:r>
    </w:p>
    <w:p w14:paraId="386497EF">
      <w:pPr>
        <w:pStyle w:val="4"/>
        <w:pageBreakBefore w:val="0"/>
        <w:kinsoku/>
        <w:overflowPunct/>
        <w:topLinePunct w:val="0"/>
        <w:autoSpaceDE/>
        <w:autoSpaceDN/>
        <w:bidi w:val="0"/>
        <w:adjustRightInd/>
        <w:snapToGrid w:val="0"/>
        <w:spacing w:before="0" w:after="0" w:line="312"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br w:type="page"/>
      </w:r>
      <w:bookmarkStart w:id="154" w:name="_Toc487204799"/>
      <w:bookmarkStart w:id="155" w:name="_Toc7672"/>
      <w:bookmarkStart w:id="156" w:name="_Toc17029"/>
      <w:bookmarkStart w:id="157" w:name="_Toc486608279"/>
      <w:bookmarkStart w:id="158" w:name="_Toc486585242"/>
      <w:r>
        <w:rPr>
          <w:rFonts w:hint="eastAsia" w:ascii="黑体" w:hAnsi="黑体" w:eastAsia="黑体" w:cs="黑体"/>
          <w:color w:val="auto"/>
          <w:sz w:val="28"/>
          <w:szCs w:val="28"/>
          <w:highlight w:val="none"/>
        </w:rPr>
        <w:t>三、商务部分</w:t>
      </w:r>
      <w:bookmarkEnd w:id="154"/>
      <w:bookmarkEnd w:id="155"/>
      <w:bookmarkEnd w:id="156"/>
      <w:bookmarkEnd w:id="157"/>
      <w:bookmarkEnd w:id="158"/>
    </w:p>
    <w:p w14:paraId="49FFACEA">
      <w:pPr>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（一）商务响应偏离表</w:t>
      </w:r>
    </w:p>
    <w:p w14:paraId="461C9953">
      <w:pPr>
        <w:pageBreakBefore w:val="0"/>
        <w:kinsoku/>
        <w:overflowPunct/>
        <w:topLinePunct w:val="0"/>
        <w:autoSpaceDE/>
        <w:autoSpaceDN/>
        <w:bidi w:val="0"/>
        <w:adjustRightInd/>
        <w:snapToGrid w:val="0"/>
        <w:spacing w:line="312" w:lineRule="auto"/>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商务响应偏离表</w:t>
      </w:r>
    </w:p>
    <w:p w14:paraId="07B83C94">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对于采购文件的商务要求，如有任何偏离请如实填写下表：</w:t>
      </w:r>
    </w:p>
    <w:p w14:paraId="12FD502A">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highlight w:val="none"/>
        </w:rPr>
      </w:pPr>
      <w:r>
        <w:rPr>
          <w:rFonts w:hint="eastAsia" w:ascii="黑体" w:hAnsi="黑体" w:eastAsia="黑体" w:cs="黑体"/>
          <w:color w:val="auto"/>
          <w:sz w:val="24"/>
          <w:szCs w:val="24"/>
          <w:highlight w:val="none"/>
        </w:rPr>
        <w:t>项目名称：</w:t>
      </w:r>
    </w:p>
    <w:tbl>
      <w:tblPr>
        <w:tblStyle w:val="24"/>
        <w:tblpPr w:leftFromText="180" w:rightFromText="180" w:vertAnchor="text" w:horzAnchor="page" w:tblpX="1401" w:tblpY="2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3FE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1555EA30">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3179" w:type="dxa"/>
            <w:vAlign w:val="center"/>
          </w:tcPr>
          <w:p w14:paraId="689F7F03">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项目商务需求</w:t>
            </w:r>
          </w:p>
        </w:tc>
        <w:tc>
          <w:tcPr>
            <w:tcW w:w="2434" w:type="dxa"/>
            <w:vAlign w:val="center"/>
          </w:tcPr>
          <w:p w14:paraId="6D68DB28">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响应情况</w:t>
            </w:r>
          </w:p>
        </w:tc>
        <w:tc>
          <w:tcPr>
            <w:tcW w:w="2355" w:type="dxa"/>
            <w:vAlign w:val="center"/>
          </w:tcPr>
          <w:p w14:paraId="1F5AECBD">
            <w:pPr>
              <w:pageBreakBefore w:val="0"/>
              <w:kinsoku/>
              <w:overflowPunct/>
              <w:topLinePunct w:val="0"/>
              <w:autoSpaceDE/>
              <w:autoSpaceDN/>
              <w:bidi w:val="0"/>
              <w:adjustRightInd/>
              <w:snapToGrid w:val="0"/>
              <w:spacing w:line="312"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差异说明</w:t>
            </w:r>
          </w:p>
        </w:tc>
      </w:tr>
      <w:tr w14:paraId="3000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EF3072D">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3179" w:type="dxa"/>
            <w:vAlign w:val="center"/>
          </w:tcPr>
          <w:p w14:paraId="3CC3A525">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434" w:type="dxa"/>
            <w:vAlign w:val="center"/>
          </w:tcPr>
          <w:p w14:paraId="5006109C">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355" w:type="dxa"/>
            <w:vAlign w:val="center"/>
          </w:tcPr>
          <w:p w14:paraId="01A7FFFD">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r>
      <w:tr w14:paraId="3200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F577044">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3179" w:type="dxa"/>
            <w:vAlign w:val="center"/>
          </w:tcPr>
          <w:p w14:paraId="0A5FBC64">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434" w:type="dxa"/>
            <w:vAlign w:val="center"/>
          </w:tcPr>
          <w:p w14:paraId="148588B2">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355" w:type="dxa"/>
            <w:vAlign w:val="center"/>
          </w:tcPr>
          <w:p w14:paraId="2239E3AE">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r>
      <w:tr w14:paraId="3AF1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7926D00">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3179" w:type="dxa"/>
            <w:vAlign w:val="center"/>
          </w:tcPr>
          <w:p w14:paraId="0C0095B1">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434" w:type="dxa"/>
            <w:vAlign w:val="center"/>
          </w:tcPr>
          <w:p w14:paraId="06AA1259">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355" w:type="dxa"/>
            <w:vAlign w:val="center"/>
          </w:tcPr>
          <w:p w14:paraId="734CBEB4">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r>
      <w:tr w14:paraId="0747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EED0E18">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3179" w:type="dxa"/>
            <w:vAlign w:val="center"/>
          </w:tcPr>
          <w:p w14:paraId="74F3EB87">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434" w:type="dxa"/>
            <w:vAlign w:val="center"/>
          </w:tcPr>
          <w:p w14:paraId="016583ED">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355" w:type="dxa"/>
            <w:vAlign w:val="center"/>
          </w:tcPr>
          <w:p w14:paraId="4FD3E046">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r>
      <w:tr w14:paraId="78D0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93088B4">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3179" w:type="dxa"/>
            <w:vAlign w:val="center"/>
          </w:tcPr>
          <w:p w14:paraId="2C84EE22">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434" w:type="dxa"/>
            <w:vAlign w:val="center"/>
          </w:tcPr>
          <w:p w14:paraId="5706CE29">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355" w:type="dxa"/>
            <w:vAlign w:val="center"/>
          </w:tcPr>
          <w:p w14:paraId="51941235">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r>
      <w:tr w14:paraId="6BA4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C46FF0F">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3179" w:type="dxa"/>
            <w:vAlign w:val="center"/>
          </w:tcPr>
          <w:p w14:paraId="6AFCBC9D">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434" w:type="dxa"/>
            <w:vAlign w:val="center"/>
          </w:tcPr>
          <w:p w14:paraId="398830CD">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c>
          <w:tcPr>
            <w:tcW w:w="2355" w:type="dxa"/>
            <w:vAlign w:val="center"/>
          </w:tcPr>
          <w:p w14:paraId="63CCC7DF">
            <w:pPr>
              <w:pageBreakBefore w:val="0"/>
              <w:tabs>
                <w:tab w:val="left" w:pos="6300"/>
              </w:tabs>
              <w:kinsoku/>
              <w:overflowPunct/>
              <w:topLinePunct w:val="0"/>
              <w:autoSpaceDE/>
              <w:autoSpaceDN/>
              <w:bidi w:val="0"/>
              <w:adjustRightInd/>
              <w:snapToGrid w:val="0"/>
              <w:spacing w:line="312" w:lineRule="auto"/>
              <w:jc w:val="center"/>
              <w:outlineLvl w:val="0"/>
              <w:rPr>
                <w:rFonts w:hint="eastAsia" w:ascii="黑体" w:hAnsi="黑体" w:eastAsia="黑体" w:cs="黑体"/>
                <w:color w:val="auto"/>
                <w:sz w:val="24"/>
                <w:szCs w:val="24"/>
                <w:highlight w:val="none"/>
              </w:rPr>
            </w:pPr>
          </w:p>
        </w:tc>
      </w:tr>
    </w:tbl>
    <w:p w14:paraId="433979FB">
      <w:pPr>
        <w:pageBreakBefore w:val="0"/>
        <w:kinsoku/>
        <w:overflowPunct/>
        <w:topLinePunct w:val="0"/>
        <w:autoSpaceDE/>
        <w:autoSpaceDN/>
        <w:bidi w:val="0"/>
        <w:adjustRightInd/>
        <w:snapToGrid w:val="0"/>
        <w:spacing w:line="312" w:lineRule="auto"/>
        <w:ind w:firstLine="600" w:firstLineChars="2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                                   法定代表人授权代表：</w:t>
      </w:r>
    </w:p>
    <w:p w14:paraId="03E71022">
      <w:pPr>
        <w:pageBreakBefore w:val="0"/>
        <w:kinsoku/>
        <w:overflowPunct/>
        <w:topLinePunct w:val="0"/>
        <w:autoSpaceDE/>
        <w:autoSpaceDN/>
        <w:bidi w:val="0"/>
        <w:adjustRightInd/>
        <w:snapToGrid w:val="0"/>
        <w:spacing w:line="312" w:lineRule="auto"/>
        <w:ind w:firstLine="360" w:firstLineChars="1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（供应商公章）                                 （签字或盖章）</w:t>
      </w:r>
    </w:p>
    <w:p w14:paraId="1D122E26">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年     月     日</w:t>
      </w:r>
    </w:p>
    <w:p w14:paraId="20F3F52F">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注：</w:t>
      </w:r>
    </w:p>
    <w:p w14:paraId="14F155A9">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1.本表即为对本项目“第三篇 项目商务要求”中所列服务要求进行比较和响应；</w:t>
      </w:r>
    </w:p>
    <w:p w14:paraId="36A412ED">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2.该表必须按照采购文件要求逐条如实填写，根据响应情况在“差异说明”项填写正偏离或负偏离及原因，完全符合的填写“无差异”；</w:t>
      </w:r>
    </w:p>
    <w:p w14:paraId="6CCBA868">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3.该表可扩展，并逐页签字或盖章；</w:t>
      </w:r>
    </w:p>
    <w:p w14:paraId="3F427936">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r>
        <w:rPr>
          <w:rFonts w:hint="eastAsia" w:ascii="黑体" w:hAnsi="黑体" w:eastAsia="黑体" w:cs="黑体"/>
          <w:color w:val="auto"/>
          <w:highlight w:val="none"/>
        </w:rPr>
        <w:br w:type="page"/>
      </w:r>
      <w:r>
        <w:rPr>
          <w:rFonts w:hint="eastAsia" w:ascii="黑体" w:hAnsi="黑体" w:eastAsia="黑体" w:cs="黑体"/>
          <w:color w:val="auto"/>
          <w:highlight w:val="none"/>
        </w:rPr>
        <w:t xml:space="preserve">  </w:t>
      </w:r>
      <w:r>
        <w:rPr>
          <w:rFonts w:hint="eastAsia" w:ascii="黑体" w:hAnsi="黑体" w:eastAsia="黑体" w:cs="黑体"/>
          <w:color w:val="auto"/>
          <w:sz w:val="24"/>
          <w:szCs w:val="24"/>
          <w:highlight w:val="none"/>
        </w:rPr>
        <w:t>（二）商务部分相关证明材料</w:t>
      </w:r>
    </w:p>
    <w:p w14:paraId="10C24D10">
      <w:pPr>
        <w:pStyle w:val="7"/>
        <w:pageBreakBefore w:val="0"/>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highlight w:val="none"/>
        </w:rPr>
      </w:pPr>
      <w:r>
        <w:rPr>
          <w:rFonts w:hint="eastAsia" w:ascii="黑体" w:hAnsi="黑体" w:eastAsia="黑体" w:cs="黑体"/>
          <w:color w:val="auto"/>
          <w:sz w:val="24"/>
          <w:szCs w:val="24"/>
          <w:highlight w:val="none"/>
        </w:rPr>
        <w:t>供应商根据采购文件“第四篇 资格审查及评标办法”中商务部分的评审标准编制，格式自拟。</w:t>
      </w:r>
    </w:p>
    <w:p w14:paraId="02B968CD">
      <w:pPr>
        <w:pageBreakBefore w:val="0"/>
        <w:kinsoku/>
        <w:overflowPunct/>
        <w:topLinePunct w:val="0"/>
        <w:autoSpaceDE/>
        <w:autoSpaceDN/>
        <w:bidi w:val="0"/>
        <w:adjustRightInd/>
        <w:snapToGrid w:val="0"/>
        <w:spacing w:line="312" w:lineRule="auto"/>
        <w:ind w:firstLine="240" w:firstLineChars="100"/>
        <w:rPr>
          <w:rFonts w:hint="eastAsia" w:ascii="黑体" w:hAnsi="黑体" w:eastAsia="黑体" w:cs="黑体"/>
          <w:color w:val="auto"/>
          <w:sz w:val="24"/>
          <w:szCs w:val="24"/>
          <w:highlight w:val="none"/>
        </w:rPr>
      </w:pPr>
    </w:p>
    <w:p w14:paraId="76252376">
      <w:pPr>
        <w:pageBreakBefore w:val="0"/>
        <w:kinsoku/>
        <w:overflowPunct/>
        <w:topLinePunct w:val="0"/>
        <w:autoSpaceDE/>
        <w:autoSpaceDN/>
        <w:bidi w:val="0"/>
        <w:adjustRightInd/>
        <w:snapToGrid w:val="0"/>
        <w:spacing w:line="312" w:lineRule="auto"/>
        <w:ind w:firstLine="240" w:firstLineChars="1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（三）其它优惠承诺（格式自定）</w:t>
      </w:r>
    </w:p>
    <w:p w14:paraId="27CACD78">
      <w:pPr>
        <w:pStyle w:val="4"/>
        <w:pageBreakBefore w:val="0"/>
        <w:kinsoku/>
        <w:overflowPunct/>
        <w:topLinePunct w:val="0"/>
        <w:autoSpaceDE/>
        <w:autoSpaceDN/>
        <w:bidi w:val="0"/>
        <w:adjustRightInd/>
        <w:snapToGrid w:val="0"/>
        <w:spacing w:before="0" w:after="0" w:line="312" w:lineRule="auto"/>
        <w:rPr>
          <w:rFonts w:hint="eastAsia" w:ascii="黑体" w:hAnsi="黑体" w:eastAsia="黑体" w:cs="黑体"/>
          <w:color w:val="auto"/>
          <w:sz w:val="28"/>
          <w:szCs w:val="28"/>
          <w:highlight w:val="none"/>
        </w:rPr>
      </w:pPr>
      <w:r>
        <w:rPr>
          <w:rFonts w:hint="eastAsia" w:ascii="黑体" w:hAnsi="黑体" w:eastAsia="黑体" w:cs="黑体"/>
          <w:b w:val="0"/>
          <w:color w:val="auto"/>
          <w:sz w:val="28"/>
          <w:szCs w:val="28"/>
          <w:highlight w:val="none"/>
        </w:rPr>
        <w:br w:type="page"/>
      </w:r>
      <w:bookmarkStart w:id="159" w:name="_Toc23557"/>
      <w:bookmarkStart w:id="160" w:name="_Toc8290"/>
      <w:bookmarkStart w:id="161" w:name="_Toc486608280"/>
      <w:bookmarkStart w:id="162" w:name="_Toc21733"/>
      <w:bookmarkStart w:id="163" w:name="_Toc487204800"/>
      <w:bookmarkStart w:id="164" w:name="_Toc486585243"/>
      <w:r>
        <w:rPr>
          <w:rFonts w:hint="eastAsia" w:ascii="黑体" w:hAnsi="黑体" w:eastAsia="黑体" w:cs="黑体"/>
          <w:color w:val="auto"/>
          <w:sz w:val="28"/>
          <w:szCs w:val="28"/>
          <w:highlight w:val="none"/>
        </w:rPr>
        <w:t>四、资格条件及其他</w:t>
      </w:r>
      <w:bookmarkEnd w:id="159"/>
      <w:bookmarkEnd w:id="160"/>
      <w:bookmarkEnd w:id="161"/>
      <w:bookmarkEnd w:id="162"/>
      <w:bookmarkEnd w:id="163"/>
      <w:bookmarkEnd w:id="164"/>
    </w:p>
    <w:p w14:paraId="47D40DA2">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（一）营业执照（副本）或事业单位法人证书（副本）复印件</w:t>
      </w:r>
    </w:p>
    <w:p w14:paraId="4E00BF64">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p>
    <w:p w14:paraId="19751BE2">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（二）组织机构代码证复印件</w:t>
      </w:r>
    </w:p>
    <w:p w14:paraId="4E2A7CA3">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p>
    <w:p w14:paraId="3FC29399">
      <w:pPr>
        <w:pageBreakBefore w:val="0"/>
        <w:widowControl/>
        <w:kinsoku/>
        <w:overflowPunct/>
        <w:topLinePunct w:val="0"/>
        <w:autoSpaceDE/>
        <w:autoSpaceDN/>
        <w:bidi w:val="0"/>
        <w:adjustRightInd/>
        <w:snapToGrid w:val="0"/>
        <w:spacing w:line="312" w:lineRule="auto"/>
        <w:ind w:firstLine="56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highlight w:val="none"/>
        </w:rPr>
        <w:br w:type="page"/>
      </w:r>
      <w:r>
        <w:rPr>
          <w:rFonts w:hint="eastAsia" w:ascii="黑体" w:hAnsi="黑体" w:eastAsia="黑体" w:cs="黑体"/>
          <w:color w:val="auto"/>
          <w:sz w:val="24"/>
          <w:szCs w:val="24"/>
          <w:highlight w:val="none"/>
        </w:rPr>
        <w:t>（三）法定代表人身份证明书（格式）</w:t>
      </w:r>
    </w:p>
    <w:p w14:paraId="40AEDF67">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p>
    <w:p w14:paraId="5FE514B8">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项目名称：</w:t>
      </w:r>
    </w:p>
    <w:p w14:paraId="5605623D">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p>
    <w:p w14:paraId="1BD24E0F">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致：</w:t>
      </w:r>
      <w:r>
        <w:rPr>
          <w:rFonts w:hint="eastAsia" w:ascii="黑体" w:hAnsi="黑体" w:eastAsia="黑体" w:cs="黑体"/>
          <w:color w:val="auto"/>
          <w:sz w:val="24"/>
          <w:szCs w:val="24"/>
          <w:highlight w:val="none"/>
          <w:u w:val="single"/>
        </w:rPr>
        <w:t>（采购人名称）</w:t>
      </w:r>
      <w:r>
        <w:rPr>
          <w:rFonts w:hint="eastAsia" w:ascii="黑体" w:hAnsi="黑体" w:eastAsia="黑体" w:cs="黑体"/>
          <w:color w:val="auto"/>
          <w:sz w:val="24"/>
          <w:szCs w:val="24"/>
          <w:highlight w:val="none"/>
        </w:rPr>
        <w:t>：</w:t>
      </w:r>
    </w:p>
    <w:p w14:paraId="0F60AF08">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（法定代表人姓名）</w:t>
      </w:r>
      <w:r>
        <w:rPr>
          <w:rFonts w:hint="eastAsia" w:ascii="黑体" w:hAnsi="黑体" w:eastAsia="黑体" w:cs="黑体"/>
          <w:color w:val="auto"/>
          <w:sz w:val="24"/>
          <w:szCs w:val="24"/>
          <w:highlight w:val="none"/>
        </w:rPr>
        <w:t>在</w:t>
      </w:r>
      <w:r>
        <w:rPr>
          <w:rFonts w:hint="eastAsia" w:ascii="黑体" w:hAnsi="黑体" w:eastAsia="黑体" w:cs="黑体"/>
          <w:color w:val="auto"/>
          <w:sz w:val="24"/>
          <w:szCs w:val="24"/>
          <w:highlight w:val="none"/>
          <w:u w:val="single"/>
        </w:rPr>
        <w:t>（供应商名称）</w:t>
      </w:r>
      <w:r>
        <w:rPr>
          <w:rFonts w:hint="eastAsia" w:ascii="黑体" w:hAnsi="黑体" w:eastAsia="黑体" w:cs="黑体"/>
          <w:color w:val="auto"/>
          <w:sz w:val="24"/>
          <w:szCs w:val="24"/>
          <w:highlight w:val="none"/>
        </w:rPr>
        <w:t>任</w:t>
      </w:r>
      <w:r>
        <w:rPr>
          <w:rFonts w:hint="eastAsia" w:ascii="黑体" w:hAnsi="黑体" w:eastAsia="黑体" w:cs="黑体"/>
          <w:color w:val="auto"/>
          <w:sz w:val="24"/>
          <w:szCs w:val="24"/>
          <w:highlight w:val="none"/>
          <w:u w:val="single"/>
        </w:rPr>
        <w:t>（职务名称）</w:t>
      </w:r>
      <w:r>
        <w:rPr>
          <w:rFonts w:hint="eastAsia" w:ascii="黑体" w:hAnsi="黑体" w:eastAsia="黑体" w:cs="黑体"/>
          <w:color w:val="auto"/>
          <w:sz w:val="24"/>
          <w:szCs w:val="24"/>
          <w:highlight w:val="none"/>
        </w:rPr>
        <w:t>职务，是</w:t>
      </w:r>
      <w:r>
        <w:rPr>
          <w:rFonts w:hint="eastAsia" w:ascii="黑体" w:hAnsi="黑体" w:eastAsia="黑体" w:cs="黑体"/>
          <w:color w:val="auto"/>
          <w:sz w:val="24"/>
          <w:szCs w:val="24"/>
          <w:highlight w:val="none"/>
          <w:u w:val="single"/>
        </w:rPr>
        <w:t>（供应商名称）</w:t>
      </w:r>
      <w:r>
        <w:rPr>
          <w:rFonts w:hint="eastAsia" w:ascii="黑体" w:hAnsi="黑体" w:eastAsia="黑体" w:cs="黑体"/>
          <w:color w:val="auto"/>
          <w:sz w:val="24"/>
          <w:szCs w:val="24"/>
          <w:highlight w:val="none"/>
        </w:rPr>
        <w:t>的法定代表人。</w:t>
      </w:r>
    </w:p>
    <w:p w14:paraId="20B916AA">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p>
    <w:p w14:paraId="740BB3A6">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特此证明。</w:t>
      </w:r>
    </w:p>
    <w:p w14:paraId="307A06A5">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p>
    <w:p w14:paraId="1038D939">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p>
    <w:p w14:paraId="5AA47CA7">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p>
    <w:p w14:paraId="3E8D711C">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（供应商公章）</w:t>
      </w:r>
    </w:p>
    <w:p w14:paraId="6EBDAAED">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p>
    <w:p w14:paraId="6542228B">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年   月   日</w:t>
      </w:r>
    </w:p>
    <w:p w14:paraId="2E5E1AF9">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p>
    <w:p w14:paraId="7DEC4701">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（附：法定代表人身份证双面复印件）</w:t>
      </w:r>
    </w:p>
    <w:p w14:paraId="160BBCBB">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p>
    <w:p w14:paraId="091421C1">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highlight w:val="none"/>
        </w:rPr>
      </w:pPr>
    </w:p>
    <w:p w14:paraId="03F2B23C">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highlight w:val="none"/>
        </w:rPr>
      </w:pPr>
    </w:p>
    <w:p w14:paraId="1BA239A2">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highlight w:val="none"/>
        </w:rPr>
      </w:pPr>
    </w:p>
    <w:p w14:paraId="21EF8329">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highlight w:val="none"/>
        </w:rPr>
      </w:pPr>
    </w:p>
    <w:p w14:paraId="200825D6">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highlight w:val="none"/>
        </w:rPr>
      </w:pPr>
    </w:p>
    <w:p w14:paraId="061F21ED">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r>
        <w:rPr>
          <w:rFonts w:hint="eastAsia" w:ascii="黑体" w:hAnsi="黑体" w:eastAsia="黑体" w:cs="黑体"/>
          <w:color w:val="auto"/>
          <w:highlight w:val="none"/>
        </w:rPr>
        <w:br w:type="column"/>
      </w:r>
      <w:r>
        <w:rPr>
          <w:rFonts w:hint="eastAsia" w:ascii="黑体" w:hAnsi="黑体" w:eastAsia="黑体" w:cs="黑体"/>
          <w:color w:val="auto"/>
          <w:sz w:val="24"/>
          <w:szCs w:val="24"/>
          <w:highlight w:val="none"/>
        </w:rPr>
        <w:t>（四）法定代表人授权委托书（格式）</w:t>
      </w:r>
    </w:p>
    <w:p w14:paraId="6E347960">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p>
    <w:p w14:paraId="649B61A3">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项目名称：</w:t>
      </w:r>
    </w:p>
    <w:p w14:paraId="6EF25B80">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p>
    <w:p w14:paraId="0B47475C">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致：</w:t>
      </w:r>
      <w:r>
        <w:rPr>
          <w:rFonts w:hint="eastAsia" w:ascii="黑体" w:hAnsi="黑体" w:eastAsia="黑体" w:cs="黑体"/>
          <w:color w:val="auto"/>
          <w:sz w:val="24"/>
          <w:szCs w:val="24"/>
          <w:highlight w:val="none"/>
          <w:u w:val="single"/>
        </w:rPr>
        <w:t>（采购人名称）</w:t>
      </w:r>
      <w:r>
        <w:rPr>
          <w:rFonts w:hint="eastAsia" w:ascii="黑体" w:hAnsi="黑体" w:eastAsia="黑体" w:cs="黑体"/>
          <w:color w:val="auto"/>
          <w:sz w:val="24"/>
          <w:szCs w:val="24"/>
          <w:highlight w:val="none"/>
        </w:rPr>
        <w:t>：</w:t>
      </w:r>
    </w:p>
    <w:p w14:paraId="2503B9AB">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（供应商法定代表人名称）</w:t>
      </w:r>
      <w:r>
        <w:rPr>
          <w:rFonts w:hint="eastAsia" w:ascii="黑体" w:hAnsi="黑体" w:eastAsia="黑体" w:cs="黑体"/>
          <w:color w:val="auto"/>
          <w:sz w:val="24"/>
          <w:szCs w:val="24"/>
          <w:highlight w:val="none"/>
        </w:rPr>
        <w:t>是</w:t>
      </w:r>
      <w:r>
        <w:rPr>
          <w:rFonts w:hint="eastAsia" w:ascii="黑体" w:hAnsi="黑体" w:eastAsia="黑体" w:cs="黑体"/>
          <w:color w:val="auto"/>
          <w:sz w:val="24"/>
          <w:szCs w:val="24"/>
          <w:highlight w:val="none"/>
          <w:u w:val="single"/>
        </w:rPr>
        <w:t>（供应商名称）</w:t>
      </w:r>
      <w:r>
        <w:rPr>
          <w:rFonts w:hint="eastAsia" w:ascii="黑体" w:hAnsi="黑体" w:eastAsia="黑体" w:cs="黑体"/>
          <w:color w:val="auto"/>
          <w:sz w:val="24"/>
          <w:szCs w:val="24"/>
          <w:highlight w:val="none"/>
        </w:rPr>
        <w:t>的法定代表人，特授权</w:t>
      </w:r>
      <w:r>
        <w:rPr>
          <w:rFonts w:hint="eastAsia" w:ascii="黑体" w:hAnsi="黑体" w:eastAsia="黑体" w:cs="黑体"/>
          <w:color w:val="auto"/>
          <w:sz w:val="24"/>
          <w:szCs w:val="24"/>
          <w:highlight w:val="none"/>
          <w:u w:val="single"/>
        </w:rPr>
        <w:t>（被授权人姓名及身份证代码）</w:t>
      </w:r>
      <w:r>
        <w:rPr>
          <w:rFonts w:hint="eastAsia" w:ascii="黑体" w:hAnsi="黑体" w:eastAsia="黑体" w:cs="黑体"/>
          <w:color w:val="auto"/>
          <w:sz w:val="24"/>
          <w:szCs w:val="24"/>
          <w:highlight w:val="none"/>
        </w:rPr>
        <w:t>代表我单位全权办理上述项目的投标、签约等具体工作，并签署全部有关文件、协议及合同。</w:t>
      </w:r>
    </w:p>
    <w:p w14:paraId="7CDA7D51">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我单位对被授权人的签字负全部责任。</w:t>
      </w:r>
    </w:p>
    <w:p w14:paraId="11F617BA">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在撤消授权的书面通知以前，本授权书一直有效。被授权人在授权书有效期内签署的所有文件不因授权的撤消而失效。</w:t>
      </w:r>
    </w:p>
    <w:p w14:paraId="2D73D39E">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p>
    <w:p w14:paraId="77229D64">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p>
    <w:p w14:paraId="74BA439A">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被授权人：                                   供应商法定代表人：</w:t>
      </w:r>
    </w:p>
    <w:p w14:paraId="5336EC6A">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（签字或盖章）                              （签字或盖章）</w:t>
      </w:r>
    </w:p>
    <w:p w14:paraId="08EEF1F9">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p>
    <w:p w14:paraId="18B2782C">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p>
    <w:p w14:paraId="2C43EFFA">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（附：被授权人身份证双面复印件）</w:t>
      </w:r>
    </w:p>
    <w:p w14:paraId="2AF997E7">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p>
    <w:p w14:paraId="684D6971">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p>
    <w:p w14:paraId="6625AE7C">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p>
    <w:p w14:paraId="3D9CD4EA">
      <w:pPr>
        <w:pageBreakBefore w:val="0"/>
        <w:tabs>
          <w:tab w:val="left" w:pos="6300"/>
        </w:tabs>
        <w:kinsoku/>
        <w:overflowPunct/>
        <w:topLinePunct w:val="0"/>
        <w:autoSpaceDE/>
        <w:autoSpaceDN/>
        <w:bidi w:val="0"/>
        <w:adjustRightInd/>
        <w:snapToGrid w:val="0"/>
        <w:spacing w:line="312" w:lineRule="auto"/>
        <w:ind w:right="480" w:firstLine="570"/>
        <w:jc w:val="righ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（供应商公章）</w:t>
      </w:r>
    </w:p>
    <w:p w14:paraId="5943B6BC">
      <w:pPr>
        <w:pageBreakBefore w:val="0"/>
        <w:tabs>
          <w:tab w:val="left" w:pos="6300"/>
        </w:tabs>
        <w:kinsoku/>
        <w:overflowPunct/>
        <w:topLinePunct w:val="0"/>
        <w:autoSpaceDE/>
        <w:autoSpaceDN/>
        <w:bidi w:val="0"/>
        <w:adjustRightInd/>
        <w:snapToGrid w:val="0"/>
        <w:spacing w:line="312" w:lineRule="auto"/>
        <w:ind w:right="480" w:firstLine="570"/>
        <w:jc w:val="righ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年   月   日</w:t>
      </w:r>
    </w:p>
    <w:p w14:paraId="5A9E52A9">
      <w:pPr>
        <w:pStyle w:val="7"/>
        <w:pageBreakBefore w:val="0"/>
        <w:kinsoku/>
        <w:overflowPunct/>
        <w:topLinePunct w:val="0"/>
        <w:autoSpaceDE/>
        <w:autoSpaceDN/>
        <w:bidi w:val="0"/>
        <w:adjustRightInd/>
        <w:snapToGrid w:val="0"/>
        <w:spacing w:line="312" w:lineRule="auto"/>
        <w:rPr>
          <w:rFonts w:hint="eastAsia" w:ascii="黑体" w:hAnsi="黑体" w:eastAsia="黑体" w:cs="黑体"/>
          <w:color w:val="auto"/>
          <w:highlight w:val="none"/>
        </w:rPr>
      </w:pPr>
    </w:p>
    <w:p w14:paraId="376B6D50">
      <w:pPr>
        <w:pStyle w:val="7"/>
        <w:pageBreakBefore w:val="0"/>
        <w:kinsoku/>
        <w:overflowPunct/>
        <w:topLinePunct w:val="0"/>
        <w:autoSpaceDE/>
        <w:autoSpaceDN/>
        <w:bidi w:val="0"/>
        <w:adjustRightInd/>
        <w:snapToGrid w:val="0"/>
        <w:spacing w:line="312" w:lineRule="auto"/>
        <w:rPr>
          <w:rFonts w:hint="eastAsia" w:ascii="黑体" w:hAnsi="黑体" w:eastAsia="黑体" w:cs="黑体"/>
          <w:color w:val="auto"/>
          <w:highlight w:val="none"/>
        </w:rPr>
      </w:pPr>
    </w:p>
    <w:p w14:paraId="30563C63">
      <w:pPr>
        <w:pStyle w:val="7"/>
        <w:pageBreakBefore w:val="0"/>
        <w:kinsoku/>
        <w:overflowPunct/>
        <w:topLinePunct w:val="0"/>
        <w:autoSpaceDE/>
        <w:autoSpaceDN/>
        <w:bidi w:val="0"/>
        <w:adjustRightInd/>
        <w:snapToGrid w:val="0"/>
        <w:spacing w:line="312" w:lineRule="auto"/>
        <w:rPr>
          <w:rFonts w:hint="eastAsia" w:ascii="黑体" w:hAnsi="黑体" w:eastAsia="黑体" w:cs="黑体"/>
          <w:color w:val="auto"/>
          <w:highlight w:val="none"/>
        </w:rPr>
      </w:pPr>
    </w:p>
    <w:p w14:paraId="755A591F">
      <w:pPr>
        <w:pStyle w:val="7"/>
        <w:pageBreakBefore w:val="0"/>
        <w:kinsoku/>
        <w:overflowPunct/>
        <w:topLinePunct w:val="0"/>
        <w:autoSpaceDE/>
        <w:autoSpaceDN/>
        <w:bidi w:val="0"/>
        <w:adjustRightInd/>
        <w:snapToGrid w:val="0"/>
        <w:spacing w:line="312" w:lineRule="auto"/>
        <w:rPr>
          <w:rFonts w:hint="eastAsia" w:ascii="黑体" w:hAnsi="黑体" w:eastAsia="黑体" w:cs="黑体"/>
          <w:color w:val="auto"/>
          <w:highlight w:val="none"/>
        </w:rPr>
      </w:pPr>
    </w:p>
    <w:p w14:paraId="55DDA249">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highlight w:val="none"/>
        </w:rPr>
      </w:pPr>
    </w:p>
    <w:p w14:paraId="626DC8C5">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highlight w:val="none"/>
        </w:rPr>
      </w:pPr>
    </w:p>
    <w:p w14:paraId="0E42194A">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highlight w:val="none"/>
        </w:rPr>
      </w:pPr>
    </w:p>
    <w:p w14:paraId="581CE9C4">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highlight w:val="none"/>
        </w:rPr>
      </w:pPr>
    </w:p>
    <w:p w14:paraId="0214FF7C">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highlight w:val="none"/>
        </w:rPr>
      </w:pPr>
    </w:p>
    <w:p w14:paraId="6CC4AF12">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highlight w:val="none"/>
        </w:rPr>
      </w:pPr>
    </w:p>
    <w:p w14:paraId="6D5C7AF0">
      <w:pPr>
        <w:pStyle w:val="43"/>
        <w:pageBreakBefore w:val="0"/>
        <w:kinsoku/>
        <w:overflowPunct/>
        <w:topLinePunct w:val="0"/>
        <w:autoSpaceDE/>
        <w:autoSpaceDN/>
        <w:bidi w:val="0"/>
        <w:adjustRightInd/>
        <w:snapToGrid w:val="0"/>
        <w:spacing w:line="312" w:lineRule="auto"/>
        <w:ind w:firstLine="0" w:firstLineChars="0"/>
        <w:jc w:val="center"/>
        <w:rPr>
          <w:rFonts w:hint="eastAsia" w:ascii="黑体" w:hAnsi="黑体" w:eastAsia="黑体" w:cs="黑体"/>
          <w:color w:val="auto"/>
          <w:highlight w:val="none"/>
          <w:lang w:eastAsia="zh-CN"/>
        </w:rPr>
      </w:pPr>
      <w:r>
        <w:rPr>
          <w:rFonts w:hint="eastAsia" w:ascii="黑体" w:hAnsi="黑体" w:eastAsia="黑体" w:cs="黑体"/>
          <w:color w:val="auto"/>
          <w:highlight w:val="none"/>
        </w:rPr>
        <w:t>（五）</w:t>
      </w:r>
      <w:r>
        <w:rPr>
          <w:rFonts w:hint="eastAsia" w:ascii="黑体" w:hAnsi="黑体" w:eastAsia="黑体" w:cs="黑体"/>
          <w:color w:val="auto"/>
          <w:highlight w:val="none"/>
          <w:lang w:eastAsia="zh-CN"/>
        </w:rPr>
        <w:t>基本资格条件承诺函</w:t>
      </w:r>
    </w:p>
    <w:p w14:paraId="15071C88">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项目名称：</w:t>
      </w:r>
    </w:p>
    <w:p w14:paraId="32D1E087">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highlight w:val="none"/>
        </w:rPr>
      </w:pPr>
    </w:p>
    <w:p w14:paraId="500B232B">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（采购人名称）</w:t>
      </w:r>
    </w:p>
    <w:p w14:paraId="128C4A67">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“重大税收违法案件当事人名单”、中，也未列入中国政府采购网（www.ccgp.gov.cn）“政府采购严重违法失信行为记录名单”中，并随时接受采购人、采购代理机构的检查验证，我方对以上声明负全部法律责任。</w:t>
      </w:r>
    </w:p>
    <w:p w14:paraId="68DF49D7">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我方对以上承诺负全部法律责任。</w:t>
      </w:r>
    </w:p>
    <w:p w14:paraId="5C85B5C0">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特此承诺。</w:t>
      </w:r>
    </w:p>
    <w:p w14:paraId="1B1976B8">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highlight w:val="none"/>
        </w:rPr>
      </w:pPr>
    </w:p>
    <w:p w14:paraId="1B8A2630">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highlight w:val="none"/>
        </w:rPr>
      </w:pPr>
    </w:p>
    <w:p w14:paraId="2B2FF4A8">
      <w:pPr>
        <w:pageBreakBefore w:val="0"/>
        <w:tabs>
          <w:tab w:val="left" w:pos="6300"/>
        </w:tabs>
        <w:kinsoku/>
        <w:overflowPunct/>
        <w:topLinePunct w:val="0"/>
        <w:autoSpaceDE/>
        <w:autoSpaceDN/>
        <w:bidi w:val="0"/>
        <w:adjustRightInd/>
        <w:snapToGrid w:val="0"/>
        <w:spacing w:line="312" w:lineRule="auto"/>
        <w:ind w:right="424" w:firstLine="570"/>
        <w:jc w:val="right"/>
        <w:rPr>
          <w:rFonts w:hint="eastAsia" w:ascii="黑体" w:hAnsi="黑体" w:eastAsia="黑体" w:cs="黑体"/>
          <w:color w:val="auto"/>
          <w:sz w:val="24"/>
          <w:highlight w:val="none"/>
        </w:rPr>
      </w:pPr>
      <w:r>
        <w:rPr>
          <w:rFonts w:hint="eastAsia" w:ascii="黑体" w:hAnsi="黑体" w:eastAsia="黑体" w:cs="黑体"/>
          <w:color w:val="auto"/>
          <w:sz w:val="24"/>
          <w:highlight w:val="none"/>
        </w:rPr>
        <w:t>（供应商公章）</w:t>
      </w:r>
    </w:p>
    <w:p w14:paraId="54776A9C">
      <w:pPr>
        <w:pageBreakBefore w:val="0"/>
        <w:tabs>
          <w:tab w:val="left" w:pos="6300"/>
        </w:tabs>
        <w:kinsoku/>
        <w:overflowPunct/>
        <w:topLinePunct w:val="0"/>
        <w:autoSpaceDE/>
        <w:autoSpaceDN/>
        <w:bidi w:val="0"/>
        <w:adjustRightInd/>
        <w:snapToGrid w:val="0"/>
        <w:spacing w:line="312" w:lineRule="auto"/>
        <w:ind w:right="480" w:firstLine="570"/>
        <w:jc w:val="right"/>
        <w:rPr>
          <w:rFonts w:hint="eastAsia" w:ascii="黑体" w:hAnsi="黑体" w:eastAsia="黑体" w:cs="黑体"/>
          <w:color w:val="auto"/>
          <w:sz w:val="24"/>
          <w:highlight w:val="none"/>
        </w:rPr>
      </w:pPr>
      <w:r>
        <w:rPr>
          <w:rFonts w:hint="eastAsia" w:ascii="黑体" w:hAnsi="黑体" w:eastAsia="黑体" w:cs="黑体"/>
          <w:color w:val="auto"/>
          <w:sz w:val="24"/>
          <w:highlight w:val="none"/>
        </w:rPr>
        <w:t>年   月   日</w:t>
      </w:r>
    </w:p>
    <w:p w14:paraId="08D90C70">
      <w:pPr>
        <w:pageBreakBefore w:val="0"/>
        <w:tabs>
          <w:tab w:val="left" w:pos="6300"/>
        </w:tabs>
        <w:kinsoku/>
        <w:overflowPunct/>
        <w:topLinePunct w:val="0"/>
        <w:autoSpaceDE/>
        <w:autoSpaceDN/>
        <w:bidi w:val="0"/>
        <w:adjustRightInd/>
        <w:snapToGrid w:val="0"/>
        <w:spacing w:line="312" w:lineRule="auto"/>
        <w:rPr>
          <w:rFonts w:hint="eastAsia" w:ascii="黑体" w:hAnsi="黑体" w:eastAsia="黑体" w:cs="黑体"/>
          <w:b/>
          <w:color w:val="auto"/>
          <w:sz w:val="24"/>
          <w:szCs w:val="24"/>
          <w:highlight w:val="none"/>
        </w:rPr>
      </w:pPr>
      <w:r>
        <w:rPr>
          <w:rFonts w:hint="eastAsia" w:ascii="黑体" w:hAnsi="黑体" w:eastAsia="黑体" w:cs="黑体"/>
          <w:color w:val="auto"/>
          <w:highlight w:val="none"/>
        </w:rPr>
        <w:br w:type="page"/>
      </w:r>
    </w:p>
    <w:p w14:paraId="4AD537CE">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（六）特定资格条件证明</w:t>
      </w:r>
    </w:p>
    <w:p w14:paraId="308B7315">
      <w:pPr>
        <w:pStyle w:val="4"/>
        <w:pageBreakBefore w:val="0"/>
        <w:numPr>
          <w:ilvl w:val="0"/>
          <w:numId w:val="6"/>
        </w:numPr>
        <w:kinsoku/>
        <w:overflowPunct/>
        <w:topLinePunct w:val="0"/>
        <w:autoSpaceDE/>
        <w:autoSpaceDN/>
        <w:bidi w:val="0"/>
        <w:adjustRightInd/>
        <w:snapToGrid w:val="0"/>
        <w:spacing w:line="312" w:lineRule="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br w:type="page"/>
      </w:r>
      <w:bookmarkStart w:id="165" w:name="_Toc29032"/>
      <w:bookmarkStart w:id="166" w:name="_Toc487204801"/>
      <w:bookmarkStart w:id="167" w:name="_Toc486608281"/>
      <w:bookmarkStart w:id="168" w:name="_Toc11824"/>
      <w:bookmarkStart w:id="169" w:name="_Toc22647"/>
      <w:bookmarkStart w:id="170" w:name="_Toc486585244"/>
      <w:r>
        <w:rPr>
          <w:rFonts w:hint="eastAsia" w:ascii="黑体" w:hAnsi="黑体" w:eastAsia="黑体" w:cs="黑体"/>
          <w:color w:val="auto"/>
          <w:sz w:val="28"/>
          <w:szCs w:val="28"/>
          <w:highlight w:val="none"/>
        </w:rPr>
        <w:t>其他应提供的资料</w:t>
      </w:r>
      <w:bookmarkEnd w:id="165"/>
      <w:bookmarkEnd w:id="166"/>
      <w:bookmarkEnd w:id="167"/>
      <w:bookmarkEnd w:id="168"/>
      <w:bookmarkEnd w:id="169"/>
      <w:bookmarkEnd w:id="170"/>
    </w:p>
    <w:p w14:paraId="4289E742">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（一）其他与项目有关的资料</w:t>
      </w:r>
    </w:p>
    <w:p w14:paraId="5673C011">
      <w:pPr>
        <w:pageBreakBefore w:val="0"/>
        <w:tabs>
          <w:tab w:val="left" w:pos="6300"/>
        </w:tabs>
        <w:kinsoku/>
        <w:overflowPunct/>
        <w:topLinePunct w:val="0"/>
        <w:autoSpaceDE/>
        <w:autoSpaceDN/>
        <w:bidi w:val="0"/>
        <w:adjustRightInd/>
        <w:snapToGrid w:val="0"/>
        <w:spacing w:line="312" w:lineRule="auto"/>
        <w:ind w:firstLine="57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其他与项目有关的资料（自附）：其他与本项目有关的资料等。</w:t>
      </w:r>
    </w:p>
    <w:p w14:paraId="36995D6C">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116DCD99">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0AC0D0AC">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4B5EC5AF">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6C278617">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1DF814B2">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0C061D27">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1009FC82">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2FEF1724">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29E1183C">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506ADDD2">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4F64D459">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598C8E6A">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171393AF">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64D3D692">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462B643B">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165D9443">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1C4E9677">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23F7F14A">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3A276E29">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1DD7F6E2">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11FB8D62">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49023E02">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lang w:eastAsia="zh-CN"/>
        </w:rPr>
      </w:pPr>
    </w:p>
    <w:p w14:paraId="3ED91223">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41B30B4A">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2B70556E">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02BC5D7D">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5596B87E">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01536498">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07EB8DA5">
      <w:pPr>
        <w:pageBreakBefore w:val="0"/>
        <w:kinsoku/>
        <w:overflowPunct/>
        <w:topLinePunct w:val="0"/>
        <w:autoSpaceDE/>
        <w:autoSpaceDN/>
        <w:bidi w:val="0"/>
        <w:adjustRightInd/>
        <w:snapToGrid w:val="0"/>
        <w:spacing w:line="312" w:lineRule="auto"/>
        <w:rPr>
          <w:rFonts w:hint="eastAsia" w:ascii="黑体" w:hAnsi="黑体" w:eastAsia="黑体" w:cs="黑体"/>
          <w:color w:val="auto"/>
          <w:sz w:val="24"/>
          <w:szCs w:val="24"/>
          <w:highlight w:val="none"/>
        </w:rPr>
      </w:pPr>
    </w:p>
    <w:p w14:paraId="70F138FD">
      <w:pPr>
        <w:pageBreakBefore w:val="0"/>
        <w:kinsoku/>
        <w:overflowPunct/>
        <w:topLinePunct w:val="0"/>
        <w:autoSpaceDE/>
        <w:autoSpaceDN/>
        <w:bidi w:val="0"/>
        <w:adjustRightInd/>
        <w:spacing w:line="312" w:lineRule="auto"/>
        <w:rPr>
          <w:rFonts w:hint="eastAsia" w:ascii="黑体" w:hAnsi="黑体" w:eastAsia="黑体" w:cs="黑体"/>
          <w:color w:val="auto"/>
          <w:highlight w:val="none"/>
        </w:rPr>
      </w:pPr>
    </w:p>
    <w:sectPr>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方正黑体_GBK">
    <w:altName w:val="微软雅黑"/>
    <w:panose1 w:val="0201060001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8DE2">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C5C18">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53221">
    <w:pPr>
      <w:pStyle w:val="1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94B3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A294B3B">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FF337">
    <w:pPr>
      <w:pStyle w:val="15"/>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1638F">
                          <w:pPr>
                            <w:pStyle w:val="1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71638F">
                    <w:pPr>
                      <w:pStyle w:val="1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2F084">
    <w:pPr>
      <w:pStyle w:val="15"/>
      <w:ind w:right="360"/>
      <w:jc w:val="center"/>
      <w:rPr>
        <w:u w:val="single"/>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8F629">
                          <w:pPr>
                            <w:pStyle w:val="1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208F629">
                    <w:pPr>
                      <w:pStyle w:val="1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74131">
    <w:pPr>
      <w:pStyle w:val="15"/>
      <w:jc w:val="center"/>
      <w:rPr>
        <w:rFonts w:asci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F76DD">
                          <w:pPr>
                            <w:pStyle w:val="1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5DF76DD">
                    <w:pPr>
                      <w:pStyle w:val="1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5C97D">
    <w:pPr>
      <w:pStyle w:val="15"/>
      <w:jc w:val="center"/>
      <w:rPr>
        <w:rFonts w:asci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EB309">
                          <w:pPr>
                            <w:pStyle w:val="1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C2EB309">
                    <w:pPr>
                      <w:pStyle w:val="1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75695">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6CFC6">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42144">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55C3E">
    <w:pPr>
      <w:pStyle w:val="16"/>
      <w:pBdr>
        <w:bottom w:val="none" w:color="auto" w:sz="0" w:space="1"/>
      </w:pBd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9268">
    <w:pPr>
      <w:pStyle w:val="16"/>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98504">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91D362"/>
    <w:multiLevelType w:val="singleLevel"/>
    <w:tmpl w:val="E791D362"/>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5"/>
      <w:numFmt w:val="chineseCounting"/>
      <w:suff w:val="nothing"/>
      <w:lvlText w:val="%1、"/>
      <w:lvlJc w:val="left"/>
      <w:rPr>
        <w:rFonts w:hint="eastAsia"/>
      </w:rPr>
    </w:lvl>
  </w:abstractNum>
  <w:abstractNum w:abstractNumId="2">
    <w:nsid w:val="00000008"/>
    <w:multiLevelType w:val="multilevel"/>
    <w:tmpl w:val="00000008"/>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48"/>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6B382A4"/>
    <w:multiLevelType w:val="singleLevel"/>
    <w:tmpl w:val="16B382A4"/>
    <w:lvl w:ilvl="0" w:tentative="0">
      <w:start w:val="4"/>
      <w:numFmt w:val="chineseCounting"/>
      <w:suff w:val="space"/>
      <w:lvlText w:val="第%1篇"/>
      <w:lvlJc w:val="left"/>
      <w:rPr>
        <w:rFonts w:hint="eastAsia"/>
      </w:rPr>
    </w:lvl>
  </w:abstractNum>
  <w:abstractNum w:abstractNumId="4">
    <w:nsid w:val="247901F2"/>
    <w:multiLevelType w:val="singleLevel"/>
    <w:tmpl w:val="247901F2"/>
    <w:lvl w:ilvl="0" w:tentative="0">
      <w:start w:val="1"/>
      <w:numFmt w:val="chineseCounting"/>
      <w:suff w:val="nothing"/>
      <w:lvlText w:val="%1、"/>
      <w:lvlJc w:val="left"/>
      <w:rPr>
        <w:rFonts w:hint="eastAsia"/>
      </w:rPr>
    </w:lvl>
  </w:abstractNum>
  <w:abstractNum w:abstractNumId="5">
    <w:nsid w:val="768B796A"/>
    <w:multiLevelType w:val="singleLevel"/>
    <w:tmpl w:val="768B796A"/>
    <w:lvl w:ilvl="0" w:tentative="0">
      <w:start w:val="3"/>
      <w:numFmt w:val="decimal"/>
      <w:suff w:val="nothing"/>
      <w:lvlText w:val="%1、"/>
      <w:lvlJc w:val="left"/>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MzA3ZDNmMDZkYzU1MWUyYjczZTdhZjcxOWU3MTgifQ=="/>
  </w:docVars>
  <w:rsids>
    <w:rsidRoot w:val="15F27B3D"/>
    <w:rsid w:val="00071165"/>
    <w:rsid w:val="001B050C"/>
    <w:rsid w:val="00436CC2"/>
    <w:rsid w:val="00D34BC6"/>
    <w:rsid w:val="00E0780F"/>
    <w:rsid w:val="016D6AC7"/>
    <w:rsid w:val="020F0015"/>
    <w:rsid w:val="02581525"/>
    <w:rsid w:val="02D555FA"/>
    <w:rsid w:val="03547F3F"/>
    <w:rsid w:val="03C11353"/>
    <w:rsid w:val="05800F03"/>
    <w:rsid w:val="058A40EC"/>
    <w:rsid w:val="05C73845"/>
    <w:rsid w:val="05DA55A4"/>
    <w:rsid w:val="05EB43E8"/>
    <w:rsid w:val="060C1BDD"/>
    <w:rsid w:val="063920FF"/>
    <w:rsid w:val="06730DD9"/>
    <w:rsid w:val="0678777B"/>
    <w:rsid w:val="06B6769A"/>
    <w:rsid w:val="06C62F02"/>
    <w:rsid w:val="072C6909"/>
    <w:rsid w:val="07625F7D"/>
    <w:rsid w:val="07C57E8F"/>
    <w:rsid w:val="07D364A5"/>
    <w:rsid w:val="07E4704C"/>
    <w:rsid w:val="08217359"/>
    <w:rsid w:val="08272D5A"/>
    <w:rsid w:val="08957AB3"/>
    <w:rsid w:val="08CA7B35"/>
    <w:rsid w:val="09043DBF"/>
    <w:rsid w:val="09130588"/>
    <w:rsid w:val="09191155"/>
    <w:rsid w:val="09484BB0"/>
    <w:rsid w:val="09505614"/>
    <w:rsid w:val="098D423D"/>
    <w:rsid w:val="09DB5391"/>
    <w:rsid w:val="09E50C48"/>
    <w:rsid w:val="09ED0DD1"/>
    <w:rsid w:val="0A055623"/>
    <w:rsid w:val="0A1B5312"/>
    <w:rsid w:val="0AC52CF4"/>
    <w:rsid w:val="0ADF6D37"/>
    <w:rsid w:val="0AE62162"/>
    <w:rsid w:val="0AF618DB"/>
    <w:rsid w:val="0BD31C1D"/>
    <w:rsid w:val="0BE831B5"/>
    <w:rsid w:val="0BEC22FC"/>
    <w:rsid w:val="0C347EC5"/>
    <w:rsid w:val="0C4C3EA9"/>
    <w:rsid w:val="0C6216DF"/>
    <w:rsid w:val="0CAB6F2F"/>
    <w:rsid w:val="0CC223BD"/>
    <w:rsid w:val="0CF32BC7"/>
    <w:rsid w:val="0D1F15BD"/>
    <w:rsid w:val="0D9A4CA4"/>
    <w:rsid w:val="0DCD5FA5"/>
    <w:rsid w:val="0E14743B"/>
    <w:rsid w:val="0E3A41D5"/>
    <w:rsid w:val="0E920D39"/>
    <w:rsid w:val="0F0103B1"/>
    <w:rsid w:val="0F097B31"/>
    <w:rsid w:val="0F540685"/>
    <w:rsid w:val="0FB32491"/>
    <w:rsid w:val="0FD37C74"/>
    <w:rsid w:val="0FFE34C4"/>
    <w:rsid w:val="10032A13"/>
    <w:rsid w:val="104355C3"/>
    <w:rsid w:val="10437371"/>
    <w:rsid w:val="110012C0"/>
    <w:rsid w:val="111A06BF"/>
    <w:rsid w:val="114E32D1"/>
    <w:rsid w:val="11D65957"/>
    <w:rsid w:val="11E025C8"/>
    <w:rsid w:val="11E51EB6"/>
    <w:rsid w:val="124037F5"/>
    <w:rsid w:val="125F032C"/>
    <w:rsid w:val="129475EE"/>
    <w:rsid w:val="129515B2"/>
    <w:rsid w:val="129E6161"/>
    <w:rsid w:val="12EC0194"/>
    <w:rsid w:val="12FB2A0C"/>
    <w:rsid w:val="13AD48CA"/>
    <w:rsid w:val="14217DBC"/>
    <w:rsid w:val="14526DFF"/>
    <w:rsid w:val="14BB5C5C"/>
    <w:rsid w:val="151C4634"/>
    <w:rsid w:val="152A2022"/>
    <w:rsid w:val="15610531"/>
    <w:rsid w:val="15E16695"/>
    <w:rsid w:val="15E213DA"/>
    <w:rsid w:val="15F27379"/>
    <w:rsid w:val="15F27B3D"/>
    <w:rsid w:val="163B0AEA"/>
    <w:rsid w:val="163D3657"/>
    <w:rsid w:val="16840E60"/>
    <w:rsid w:val="16903DD9"/>
    <w:rsid w:val="16A05B2E"/>
    <w:rsid w:val="16C438DD"/>
    <w:rsid w:val="176B4DD7"/>
    <w:rsid w:val="17800047"/>
    <w:rsid w:val="17BD3500"/>
    <w:rsid w:val="18154664"/>
    <w:rsid w:val="181C187B"/>
    <w:rsid w:val="18E14C1C"/>
    <w:rsid w:val="1958006D"/>
    <w:rsid w:val="19A22A19"/>
    <w:rsid w:val="19B410FC"/>
    <w:rsid w:val="1A1A1D9C"/>
    <w:rsid w:val="1A2405D9"/>
    <w:rsid w:val="1A7D2468"/>
    <w:rsid w:val="1A853E15"/>
    <w:rsid w:val="1B6D46F4"/>
    <w:rsid w:val="1B8B16C6"/>
    <w:rsid w:val="1BA12039"/>
    <w:rsid w:val="1C882EB7"/>
    <w:rsid w:val="1CD33F1C"/>
    <w:rsid w:val="1CE30A11"/>
    <w:rsid w:val="1CF111F1"/>
    <w:rsid w:val="1D2D030B"/>
    <w:rsid w:val="1D9E5E61"/>
    <w:rsid w:val="1E091925"/>
    <w:rsid w:val="1E280430"/>
    <w:rsid w:val="1EA9518B"/>
    <w:rsid w:val="1EB22300"/>
    <w:rsid w:val="1EB4768C"/>
    <w:rsid w:val="1EC807A5"/>
    <w:rsid w:val="1EC85E57"/>
    <w:rsid w:val="1ED53E75"/>
    <w:rsid w:val="1F2F53C7"/>
    <w:rsid w:val="1F9A2D26"/>
    <w:rsid w:val="1FC9286B"/>
    <w:rsid w:val="1FF808BA"/>
    <w:rsid w:val="201E1158"/>
    <w:rsid w:val="202B2E42"/>
    <w:rsid w:val="20C04A0E"/>
    <w:rsid w:val="20EE6EC4"/>
    <w:rsid w:val="21297C20"/>
    <w:rsid w:val="212A3FEC"/>
    <w:rsid w:val="222C2718"/>
    <w:rsid w:val="2253287E"/>
    <w:rsid w:val="226B73A1"/>
    <w:rsid w:val="22C84FC9"/>
    <w:rsid w:val="2394221A"/>
    <w:rsid w:val="239D527E"/>
    <w:rsid w:val="24107A5A"/>
    <w:rsid w:val="24A61AA7"/>
    <w:rsid w:val="24E02810"/>
    <w:rsid w:val="24F904EE"/>
    <w:rsid w:val="24FB0F40"/>
    <w:rsid w:val="25111310"/>
    <w:rsid w:val="25446A2E"/>
    <w:rsid w:val="255E2348"/>
    <w:rsid w:val="2584600A"/>
    <w:rsid w:val="25900E53"/>
    <w:rsid w:val="25BF69ED"/>
    <w:rsid w:val="25FB3039"/>
    <w:rsid w:val="260838DE"/>
    <w:rsid w:val="26655168"/>
    <w:rsid w:val="26BC198A"/>
    <w:rsid w:val="26FF1804"/>
    <w:rsid w:val="27176789"/>
    <w:rsid w:val="273526AC"/>
    <w:rsid w:val="275A1718"/>
    <w:rsid w:val="27643FAE"/>
    <w:rsid w:val="27655FFA"/>
    <w:rsid w:val="277D34B8"/>
    <w:rsid w:val="27D74B17"/>
    <w:rsid w:val="283D20F4"/>
    <w:rsid w:val="28A81DDD"/>
    <w:rsid w:val="28AE2D9D"/>
    <w:rsid w:val="28C24091"/>
    <w:rsid w:val="28E4213F"/>
    <w:rsid w:val="291E06B3"/>
    <w:rsid w:val="29205067"/>
    <w:rsid w:val="2935593C"/>
    <w:rsid w:val="29650D2A"/>
    <w:rsid w:val="29E51F34"/>
    <w:rsid w:val="2A1B4394"/>
    <w:rsid w:val="2A331DAD"/>
    <w:rsid w:val="2A533CDF"/>
    <w:rsid w:val="2A685EFA"/>
    <w:rsid w:val="2A952E60"/>
    <w:rsid w:val="2AC90714"/>
    <w:rsid w:val="2BEF61A7"/>
    <w:rsid w:val="2D0651E1"/>
    <w:rsid w:val="2D5B6915"/>
    <w:rsid w:val="2DBB500D"/>
    <w:rsid w:val="2F035F6D"/>
    <w:rsid w:val="2FDE27BA"/>
    <w:rsid w:val="2FF705EB"/>
    <w:rsid w:val="302F487E"/>
    <w:rsid w:val="307D42C2"/>
    <w:rsid w:val="308A649E"/>
    <w:rsid w:val="30D64BAF"/>
    <w:rsid w:val="30DC4F4C"/>
    <w:rsid w:val="3158022B"/>
    <w:rsid w:val="31600614"/>
    <w:rsid w:val="316B29ED"/>
    <w:rsid w:val="31AF0BF7"/>
    <w:rsid w:val="31BE4EFE"/>
    <w:rsid w:val="31C51E84"/>
    <w:rsid w:val="31D10829"/>
    <w:rsid w:val="329445A5"/>
    <w:rsid w:val="33CD1B54"/>
    <w:rsid w:val="34346E4D"/>
    <w:rsid w:val="34F560B8"/>
    <w:rsid w:val="366A7AFE"/>
    <w:rsid w:val="36B974D5"/>
    <w:rsid w:val="36C721FA"/>
    <w:rsid w:val="36CB5264"/>
    <w:rsid w:val="36F32FEF"/>
    <w:rsid w:val="37021BF9"/>
    <w:rsid w:val="37066233"/>
    <w:rsid w:val="370F76FD"/>
    <w:rsid w:val="3718648E"/>
    <w:rsid w:val="377F774B"/>
    <w:rsid w:val="37C91FA2"/>
    <w:rsid w:val="38075F7D"/>
    <w:rsid w:val="381D6382"/>
    <w:rsid w:val="382D18F1"/>
    <w:rsid w:val="38634A5C"/>
    <w:rsid w:val="38931692"/>
    <w:rsid w:val="389F6EF9"/>
    <w:rsid w:val="38AE3961"/>
    <w:rsid w:val="38C60D27"/>
    <w:rsid w:val="38E579FC"/>
    <w:rsid w:val="39387606"/>
    <w:rsid w:val="39763819"/>
    <w:rsid w:val="39B625C5"/>
    <w:rsid w:val="39C1487F"/>
    <w:rsid w:val="3A5E4C24"/>
    <w:rsid w:val="3C7668C9"/>
    <w:rsid w:val="3C850B8E"/>
    <w:rsid w:val="3CCD252E"/>
    <w:rsid w:val="3D21011D"/>
    <w:rsid w:val="3D232155"/>
    <w:rsid w:val="3DD21629"/>
    <w:rsid w:val="3DD7060B"/>
    <w:rsid w:val="3E1D6235"/>
    <w:rsid w:val="3F4F7788"/>
    <w:rsid w:val="3F951006"/>
    <w:rsid w:val="3F9945F7"/>
    <w:rsid w:val="3FBB2467"/>
    <w:rsid w:val="3FDD4184"/>
    <w:rsid w:val="412F7DA3"/>
    <w:rsid w:val="41340231"/>
    <w:rsid w:val="422606A3"/>
    <w:rsid w:val="42784CF1"/>
    <w:rsid w:val="4282478B"/>
    <w:rsid w:val="42B1391B"/>
    <w:rsid w:val="42EA54D2"/>
    <w:rsid w:val="43486FC5"/>
    <w:rsid w:val="435B1BF9"/>
    <w:rsid w:val="436458AA"/>
    <w:rsid w:val="43F8380F"/>
    <w:rsid w:val="440F2B13"/>
    <w:rsid w:val="441D6FCB"/>
    <w:rsid w:val="45046555"/>
    <w:rsid w:val="4542345E"/>
    <w:rsid w:val="4544664D"/>
    <w:rsid w:val="457E261E"/>
    <w:rsid w:val="45E300B6"/>
    <w:rsid w:val="46274A64"/>
    <w:rsid w:val="46437B78"/>
    <w:rsid w:val="46EB4A02"/>
    <w:rsid w:val="46F26E20"/>
    <w:rsid w:val="46FD7C6B"/>
    <w:rsid w:val="478379D3"/>
    <w:rsid w:val="47867568"/>
    <w:rsid w:val="47A62E54"/>
    <w:rsid w:val="47FD3CCE"/>
    <w:rsid w:val="4838187B"/>
    <w:rsid w:val="4840005F"/>
    <w:rsid w:val="48417B07"/>
    <w:rsid w:val="488F326F"/>
    <w:rsid w:val="49103D93"/>
    <w:rsid w:val="494C0B34"/>
    <w:rsid w:val="49CC3FD2"/>
    <w:rsid w:val="49F936E3"/>
    <w:rsid w:val="4A217ABD"/>
    <w:rsid w:val="4A2E7EC3"/>
    <w:rsid w:val="4A2F1E5B"/>
    <w:rsid w:val="4A626023"/>
    <w:rsid w:val="4A6E65B9"/>
    <w:rsid w:val="4A7D4C52"/>
    <w:rsid w:val="4B2A0A53"/>
    <w:rsid w:val="4B720F60"/>
    <w:rsid w:val="4B9E280F"/>
    <w:rsid w:val="4BD910AC"/>
    <w:rsid w:val="4C477240"/>
    <w:rsid w:val="4C6B09FD"/>
    <w:rsid w:val="4CAE3C21"/>
    <w:rsid w:val="4CB812B3"/>
    <w:rsid w:val="4D0E2CE7"/>
    <w:rsid w:val="4D150723"/>
    <w:rsid w:val="4D2357CD"/>
    <w:rsid w:val="4D8E608C"/>
    <w:rsid w:val="4DC53742"/>
    <w:rsid w:val="4E903E4A"/>
    <w:rsid w:val="4E9C2FF1"/>
    <w:rsid w:val="4EB21BB0"/>
    <w:rsid w:val="4EC31C76"/>
    <w:rsid w:val="4F356D24"/>
    <w:rsid w:val="4F3E5DD9"/>
    <w:rsid w:val="4F5F0A3F"/>
    <w:rsid w:val="4F813436"/>
    <w:rsid w:val="4FD832A6"/>
    <w:rsid w:val="50574928"/>
    <w:rsid w:val="507A5297"/>
    <w:rsid w:val="50AC40C7"/>
    <w:rsid w:val="50CE220B"/>
    <w:rsid w:val="50DE6667"/>
    <w:rsid w:val="511E4CB5"/>
    <w:rsid w:val="513E2C61"/>
    <w:rsid w:val="51B44E19"/>
    <w:rsid w:val="52457DFE"/>
    <w:rsid w:val="52743631"/>
    <w:rsid w:val="528374C6"/>
    <w:rsid w:val="52E85C8C"/>
    <w:rsid w:val="530E74B7"/>
    <w:rsid w:val="534F73A8"/>
    <w:rsid w:val="53A86490"/>
    <w:rsid w:val="53A91F63"/>
    <w:rsid w:val="53AC5C96"/>
    <w:rsid w:val="541171A8"/>
    <w:rsid w:val="545E494A"/>
    <w:rsid w:val="54684619"/>
    <w:rsid w:val="54A3057A"/>
    <w:rsid w:val="54DA770D"/>
    <w:rsid w:val="54DB531F"/>
    <w:rsid w:val="55132EBE"/>
    <w:rsid w:val="552A1E7A"/>
    <w:rsid w:val="555710D2"/>
    <w:rsid w:val="57525FCD"/>
    <w:rsid w:val="58507F7C"/>
    <w:rsid w:val="58955E89"/>
    <w:rsid w:val="591A311E"/>
    <w:rsid w:val="599D70BF"/>
    <w:rsid w:val="59B47F65"/>
    <w:rsid w:val="59CB4D68"/>
    <w:rsid w:val="59DC3B9C"/>
    <w:rsid w:val="5ADC263D"/>
    <w:rsid w:val="5B86048A"/>
    <w:rsid w:val="5BA50883"/>
    <w:rsid w:val="5BAA5AC3"/>
    <w:rsid w:val="5C252EE1"/>
    <w:rsid w:val="5C273E95"/>
    <w:rsid w:val="5C54498E"/>
    <w:rsid w:val="5C97125A"/>
    <w:rsid w:val="5CD85D5C"/>
    <w:rsid w:val="5CF40AB4"/>
    <w:rsid w:val="5D752101"/>
    <w:rsid w:val="5D9E635D"/>
    <w:rsid w:val="5DAB5B22"/>
    <w:rsid w:val="5E1D50C3"/>
    <w:rsid w:val="5E80564D"/>
    <w:rsid w:val="5EBD78BB"/>
    <w:rsid w:val="5ED16751"/>
    <w:rsid w:val="5ED90A88"/>
    <w:rsid w:val="5F565613"/>
    <w:rsid w:val="5F5B4CF9"/>
    <w:rsid w:val="5F8473CC"/>
    <w:rsid w:val="5FE47C1B"/>
    <w:rsid w:val="6017753B"/>
    <w:rsid w:val="60454CC7"/>
    <w:rsid w:val="60505500"/>
    <w:rsid w:val="606F2B03"/>
    <w:rsid w:val="607F09AA"/>
    <w:rsid w:val="60822E96"/>
    <w:rsid w:val="60CC0D9D"/>
    <w:rsid w:val="60D17842"/>
    <w:rsid w:val="614668E5"/>
    <w:rsid w:val="61A905CB"/>
    <w:rsid w:val="62057D23"/>
    <w:rsid w:val="62265778"/>
    <w:rsid w:val="62325F8B"/>
    <w:rsid w:val="62A14300"/>
    <w:rsid w:val="62B87005"/>
    <w:rsid w:val="62D24148"/>
    <w:rsid w:val="63F45F50"/>
    <w:rsid w:val="647F6F87"/>
    <w:rsid w:val="64A55079"/>
    <w:rsid w:val="64C8479F"/>
    <w:rsid w:val="65174A38"/>
    <w:rsid w:val="651C5879"/>
    <w:rsid w:val="651E4E2C"/>
    <w:rsid w:val="65392872"/>
    <w:rsid w:val="65416FD1"/>
    <w:rsid w:val="65562818"/>
    <w:rsid w:val="657243E5"/>
    <w:rsid w:val="65BF56F0"/>
    <w:rsid w:val="66002F82"/>
    <w:rsid w:val="66135A17"/>
    <w:rsid w:val="668B5E5F"/>
    <w:rsid w:val="66E04CB7"/>
    <w:rsid w:val="67226E55"/>
    <w:rsid w:val="673A16C7"/>
    <w:rsid w:val="6764619F"/>
    <w:rsid w:val="6786252D"/>
    <w:rsid w:val="67C42D8A"/>
    <w:rsid w:val="687F79E6"/>
    <w:rsid w:val="68A6030F"/>
    <w:rsid w:val="68B11280"/>
    <w:rsid w:val="68BF7E9D"/>
    <w:rsid w:val="69BB59C2"/>
    <w:rsid w:val="6A405C13"/>
    <w:rsid w:val="6AFA069C"/>
    <w:rsid w:val="6B1B260E"/>
    <w:rsid w:val="6B3756C0"/>
    <w:rsid w:val="6B52083F"/>
    <w:rsid w:val="6BCA420C"/>
    <w:rsid w:val="6BEA22FA"/>
    <w:rsid w:val="6C6A0E12"/>
    <w:rsid w:val="6C7D4B2E"/>
    <w:rsid w:val="6CDD086B"/>
    <w:rsid w:val="6D380807"/>
    <w:rsid w:val="6D546C01"/>
    <w:rsid w:val="6D95621A"/>
    <w:rsid w:val="6DAC18D3"/>
    <w:rsid w:val="6DCA0C8F"/>
    <w:rsid w:val="6DE62C29"/>
    <w:rsid w:val="6E327302"/>
    <w:rsid w:val="6E500DAD"/>
    <w:rsid w:val="6E7F2DDF"/>
    <w:rsid w:val="6EFF7A7C"/>
    <w:rsid w:val="700E56BD"/>
    <w:rsid w:val="70365F74"/>
    <w:rsid w:val="705A56A8"/>
    <w:rsid w:val="70EB6D3D"/>
    <w:rsid w:val="717C7162"/>
    <w:rsid w:val="71AD79DA"/>
    <w:rsid w:val="71E60A7F"/>
    <w:rsid w:val="72181581"/>
    <w:rsid w:val="723839D1"/>
    <w:rsid w:val="724B3D61"/>
    <w:rsid w:val="725D3437"/>
    <w:rsid w:val="729273D1"/>
    <w:rsid w:val="729D3AAD"/>
    <w:rsid w:val="72B0447B"/>
    <w:rsid w:val="72CD250F"/>
    <w:rsid w:val="730833A3"/>
    <w:rsid w:val="732E0F33"/>
    <w:rsid w:val="73DD4830"/>
    <w:rsid w:val="73F833B2"/>
    <w:rsid w:val="742415D0"/>
    <w:rsid w:val="743401C8"/>
    <w:rsid w:val="743B379E"/>
    <w:rsid w:val="74A46C6C"/>
    <w:rsid w:val="74C07CAE"/>
    <w:rsid w:val="74D53759"/>
    <w:rsid w:val="74DD448E"/>
    <w:rsid w:val="74E94743"/>
    <w:rsid w:val="75220F16"/>
    <w:rsid w:val="755512CD"/>
    <w:rsid w:val="756D0B18"/>
    <w:rsid w:val="7637083D"/>
    <w:rsid w:val="76481D09"/>
    <w:rsid w:val="772E0EFE"/>
    <w:rsid w:val="77E141C3"/>
    <w:rsid w:val="788A2AAC"/>
    <w:rsid w:val="78EC72C3"/>
    <w:rsid w:val="7919341A"/>
    <w:rsid w:val="795C2A02"/>
    <w:rsid w:val="79A71E5B"/>
    <w:rsid w:val="79F0205C"/>
    <w:rsid w:val="7A655D7E"/>
    <w:rsid w:val="7AB756AF"/>
    <w:rsid w:val="7AC42AC2"/>
    <w:rsid w:val="7B206311"/>
    <w:rsid w:val="7B944CB6"/>
    <w:rsid w:val="7BAD61AB"/>
    <w:rsid w:val="7BEF7804"/>
    <w:rsid w:val="7C667077"/>
    <w:rsid w:val="7C841D57"/>
    <w:rsid w:val="7CA17CA0"/>
    <w:rsid w:val="7D284F50"/>
    <w:rsid w:val="7E74499D"/>
    <w:rsid w:val="7ECB6BFB"/>
    <w:rsid w:val="7ED207C5"/>
    <w:rsid w:val="7FE5735D"/>
    <w:rsid w:val="7FF95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cs="宋体"/>
    </w:rPr>
  </w:style>
  <w:style w:type="paragraph" w:styleId="3">
    <w:name w:val="heading 2"/>
    <w:basedOn w:val="1"/>
    <w:next w:val="1"/>
    <w:link w:val="38"/>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3"/>
    <w:next w:val="1"/>
    <w:qFormat/>
    <w:uiPriority w:val="0"/>
    <w:pPr>
      <w:spacing w:before="280" w:after="290" w:line="372" w:lineRule="auto"/>
      <w:outlineLvl w:val="3"/>
    </w:pPr>
    <w:rPr>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adjustRightInd w:val="0"/>
      <w:snapToGrid w:val="0"/>
      <w:spacing w:line="360" w:lineRule="auto"/>
      <w:ind w:firstLine="420"/>
    </w:pPr>
    <w:rPr>
      <w:sz w:val="24"/>
      <w:szCs w:val="20"/>
    </w:rPr>
  </w:style>
  <w:style w:type="paragraph" w:styleId="7">
    <w:name w:val="Body Text"/>
    <w:basedOn w:val="1"/>
    <w:next w:val="1"/>
    <w:qFormat/>
    <w:uiPriority w:val="0"/>
    <w:pPr>
      <w:spacing w:after="120"/>
    </w:pPr>
  </w:style>
  <w:style w:type="paragraph" w:styleId="8">
    <w:name w:val="index 5"/>
    <w:basedOn w:val="1"/>
    <w:next w:val="1"/>
    <w:qFormat/>
    <w:uiPriority w:val="0"/>
    <w:pPr>
      <w:ind w:left="800" w:leftChars="800"/>
    </w:pPr>
    <w:rPr>
      <w:rFonts w:ascii="Calibri" w:hAnsi="Calibri"/>
    </w:rPr>
  </w:style>
  <w:style w:type="paragraph" w:styleId="9">
    <w:name w:val="annotation text"/>
    <w:basedOn w:val="1"/>
    <w:qFormat/>
    <w:uiPriority w:val="0"/>
    <w:pPr>
      <w:jc w:val="left"/>
    </w:pPr>
  </w:style>
  <w:style w:type="paragraph" w:styleId="10">
    <w:name w:val="Body Text Indent"/>
    <w:basedOn w:val="1"/>
    <w:next w:val="1"/>
    <w:qFormat/>
    <w:uiPriority w:val="0"/>
    <w:pPr>
      <w:spacing w:line="700" w:lineRule="exact"/>
      <w:ind w:left="960"/>
    </w:pPr>
    <w:rPr>
      <w:sz w:val="44"/>
      <w:szCs w:val="44"/>
    </w:rPr>
  </w:style>
  <w:style w:type="paragraph" w:styleId="11">
    <w:name w:val="toc 3"/>
    <w:basedOn w:val="1"/>
    <w:next w:val="1"/>
    <w:qFormat/>
    <w:uiPriority w:val="0"/>
    <w:pPr>
      <w:tabs>
        <w:tab w:val="right" w:leader="dot" w:pos="8300"/>
      </w:tabs>
      <w:spacing w:line="540" w:lineRule="atLeast"/>
      <w:ind w:left="1120" w:leftChars="400"/>
    </w:pPr>
    <w:rPr>
      <w:rFonts w:ascii="宋体" w:hAnsi="宋体" w:cs="宋体"/>
    </w:rPr>
  </w:style>
  <w:style w:type="paragraph" w:styleId="12">
    <w:name w:val="Plain Text"/>
    <w:basedOn w:val="1"/>
    <w:qFormat/>
    <w:uiPriority w:val="0"/>
    <w:rPr>
      <w:rFonts w:ascii="宋体" w:hAnsi="Courier New" w:cs="宋体"/>
      <w:sz w:val="21"/>
      <w:szCs w:val="21"/>
    </w:rPr>
  </w:style>
  <w:style w:type="paragraph" w:styleId="13">
    <w:name w:val="Date"/>
    <w:basedOn w:val="1"/>
    <w:next w:val="1"/>
    <w:qFormat/>
    <w:uiPriority w:val="0"/>
    <w:rPr>
      <w:sz w:val="24"/>
      <w:szCs w:val="24"/>
    </w:rPr>
  </w:style>
  <w:style w:type="paragraph" w:styleId="14">
    <w:name w:val="Body Text Indent 2"/>
    <w:basedOn w:val="1"/>
    <w:qFormat/>
    <w:uiPriority w:val="0"/>
    <w:pPr>
      <w:spacing w:after="120" w:line="480" w:lineRule="auto"/>
      <w:ind w:left="420" w:leftChars="200"/>
    </w:p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tabs>
        <w:tab w:val="right" w:leader="dot" w:pos="8300"/>
      </w:tabs>
      <w:spacing w:line="300" w:lineRule="atLeast"/>
    </w:pPr>
    <w:rPr>
      <w:rFonts w:ascii="仿宋_GB2312" w:hAnsi="华文中宋" w:eastAsia="仿宋_GB2312" w:cs="仿宋_GB2312"/>
      <w:b/>
      <w:bCs/>
    </w:rPr>
  </w:style>
  <w:style w:type="paragraph" w:styleId="18">
    <w:name w:val="List"/>
    <w:basedOn w:val="1"/>
    <w:semiHidden/>
    <w:qFormat/>
    <w:uiPriority w:val="0"/>
    <w:pPr>
      <w:ind w:left="200" w:hanging="200" w:hangingChars="200"/>
    </w:pPr>
  </w:style>
  <w:style w:type="paragraph" w:styleId="19">
    <w:name w:val="index 7"/>
    <w:basedOn w:val="1"/>
    <w:next w:val="1"/>
    <w:qFormat/>
    <w:uiPriority w:val="0"/>
    <w:pPr>
      <w:ind w:left="2520"/>
    </w:pPr>
  </w:style>
  <w:style w:type="paragraph" w:styleId="20">
    <w:name w:val="toc 2"/>
    <w:basedOn w:val="1"/>
    <w:next w:val="1"/>
    <w:qFormat/>
    <w:uiPriority w:val="0"/>
    <w:pPr>
      <w:tabs>
        <w:tab w:val="right" w:leader="dot" w:pos="8300"/>
      </w:tabs>
      <w:spacing w:line="360" w:lineRule="auto"/>
      <w:ind w:left="278"/>
      <w:jc w:val="left"/>
    </w:pPr>
    <w:rPr>
      <w:rFonts w:ascii="仿宋_GB2312" w:hAnsi="华文中宋" w:eastAsia="仿宋_GB2312" w:cs="仿宋_GB2312"/>
    </w:rPr>
  </w:style>
  <w:style w:type="paragraph" w:styleId="21">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Body Text First Indent"/>
    <w:basedOn w:val="7"/>
    <w:next w:val="1"/>
    <w:qFormat/>
    <w:uiPriority w:val="0"/>
    <w:pPr>
      <w:spacing w:line="360" w:lineRule="auto"/>
      <w:ind w:firstLine="420"/>
    </w:pPr>
    <w:rPr>
      <w:rFonts w:ascii="宋体" w:hAnsi="宋体"/>
      <w:sz w:val="24"/>
      <w:szCs w:val="20"/>
    </w:rPr>
  </w:style>
  <w:style w:type="paragraph" w:styleId="23">
    <w:name w:val="Body Text First Indent 2"/>
    <w:basedOn w:val="10"/>
    <w:next w:val="1"/>
    <w:qFormat/>
    <w:uiPriority w:val="0"/>
    <w:pPr>
      <w:spacing w:after="120" w:line="240" w:lineRule="auto"/>
      <w:ind w:left="420" w:leftChars="200" w:firstLine="420" w:firstLineChars="200"/>
    </w:p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rPr>
      <w:rFonts w:ascii="Times New Roman" w:hAnsi="Times New Roman" w:eastAsia="宋体" w:cs="Times New Roman"/>
    </w:rPr>
  </w:style>
  <w:style w:type="character" w:styleId="29">
    <w:name w:val="Hyperlink"/>
    <w:basedOn w:val="26"/>
    <w:qFormat/>
    <w:uiPriority w:val="0"/>
    <w:rPr>
      <w:color w:val="0000FF"/>
      <w:u w:val="single"/>
    </w:rPr>
  </w:style>
  <w:style w:type="character" w:styleId="30">
    <w:name w:val="annotation reference"/>
    <w:qFormat/>
    <w:uiPriority w:val="0"/>
    <w:rPr>
      <w:sz w:val="21"/>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2">
    <w:name w:val="Default"/>
    <w:next w:val="1"/>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33">
    <w:name w:val="样式 正文首行缩进 + 首行缩进:  2 字符1 Char Char"/>
    <w:basedOn w:val="1"/>
    <w:qFormat/>
    <w:uiPriority w:val="99"/>
    <w:pPr>
      <w:widowControl w:val="0"/>
      <w:adjustRightInd w:val="0"/>
      <w:spacing w:line="400" w:lineRule="exact"/>
      <w:ind w:firstLine="480" w:firstLineChars="200"/>
    </w:pPr>
    <w:rPr>
      <w:rFonts w:ascii="宋体" w:hAnsi="宋体" w:eastAsia="仿宋_GB2312" w:cs="宋体"/>
      <w:color w:val="000000"/>
      <w:sz w:val="26"/>
    </w:rPr>
  </w:style>
  <w:style w:type="paragraph" w:customStyle="1" w:styleId="34">
    <w:name w:val="BodyText"/>
    <w:basedOn w:val="1"/>
    <w:next w:val="35"/>
    <w:qFormat/>
    <w:uiPriority w:val="0"/>
    <w:pPr>
      <w:textAlignment w:val="baseline"/>
    </w:pPr>
    <w:rPr>
      <w:rFonts w:ascii="仿宋_GB2312" w:eastAsia="仿宋_GB2312"/>
      <w:sz w:val="32"/>
    </w:rPr>
  </w:style>
  <w:style w:type="paragraph" w:customStyle="1" w:styleId="35">
    <w:name w:val="BodyTextIndent"/>
    <w:basedOn w:val="1"/>
    <w:qFormat/>
    <w:uiPriority w:val="0"/>
    <w:pPr>
      <w:spacing w:line="700" w:lineRule="exact"/>
      <w:ind w:left="960"/>
      <w:textAlignment w:val="baseline"/>
    </w:pPr>
    <w:rPr>
      <w:sz w:val="44"/>
    </w:rPr>
  </w:style>
  <w:style w:type="paragraph" w:customStyle="1" w:styleId="36">
    <w:name w:val="正文（缩进）"/>
    <w:basedOn w:val="1"/>
    <w:qFormat/>
    <w:uiPriority w:val="0"/>
    <w:pPr>
      <w:spacing w:beforeLines="50" w:afterLines="50"/>
      <w:ind w:firstLine="480" w:firstLineChars="200"/>
    </w:pPr>
    <w:rPr>
      <w:rFonts w:ascii="Calibri" w:hAnsi="Calibri"/>
      <w:sz w:val="21"/>
    </w:rPr>
  </w:style>
  <w:style w:type="paragraph" w:customStyle="1" w:styleId="37">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38">
    <w:name w:val="标题 2 字符"/>
    <w:link w:val="3"/>
    <w:qFormat/>
    <w:uiPriority w:val="0"/>
    <w:rPr>
      <w:rFonts w:ascii="Arial" w:hAnsi="Arial" w:eastAsia="黑体" w:cs="Arial"/>
      <w:b/>
      <w:bCs/>
      <w:sz w:val="32"/>
      <w:szCs w:val="32"/>
    </w:rPr>
  </w:style>
  <w:style w:type="paragraph" w:customStyle="1" w:styleId="39">
    <w:name w:val="1"/>
    <w:basedOn w:val="1"/>
    <w:next w:val="12"/>
    <w:qFormat/>
    <w:uiPriority w:val="0"/>
    <w:rPr>
      <w:rFonts w:ascii="宋体" w:hAnsi="Courier New" w:cs="宋体"/>
      <w:sz w:val="21"/>
      <w:szCs w:val="21"/>
    </w:rPr>
  </w:style>
  <w:style w:type="paragraph" w:customStyle="1" w:styleId="40">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3">
    <w:name w:val="样式 (中文) 仿宋_GB2312 小四 行距: 固定值 22 磅"/>
    <w:basedOn w:val="1"/>
    <w:qFormat/>
    <w:uiPriority w:val="0"/>
    <w:pPr>
      <w:spacing w:line="400" w:lineRule="exact"/>
      <w:ind w:firstLine="150" w:firstLineChars="150"/>
    </w:pPr>
    <w:rPr>
      <w:rFonts w:eastAsia="仿宋_GB2312"/>
      <w:sz w:val="24"/>
      <w:szCs w:val="20"/>
    </w:rPr>
  </w:style>
  <w:style w:type="paragraph" w:customStyle="1" w:styleId="44">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45">
    <w:name w:val="标书正文1"/>
    <w:basedOn w:val="1"/>
    <w:qFormat/>
    <w:uiPriority w:val="0"/>
    <w:pPr>
      <w:spacing w:line="520" w:lineRule="exact"/>
      <w:ind w:firstLine="640" w:firstLineChars="200"/>
    </w:pPr>
  </w:style>
  <w:style w:type="paragraph" w:customStyle="1" w:styleId="46">
    <w:name w:val="电建正文"/>
    <w:basedOn w:val="47"/>
    <w:qFormat/>
    <w:uiPriority w:val="0"/>
    <w:pPr>
      <w:tabs>
        <w:tab w:val="left" w:pos="720"/>
      </w:tabs>
      <w:spacing w:line="360" w:lineRule="auto"/>
      <w:ind w:firstLine="200" w:firstLineChars="200"/>
    </w:pPr>
    <w:rPr>
      <w:rFonts w:ascii="Tahoma" w:hAnsi="Tahoma"/>
      <w:sz w:val="24"/>
    </w:rPr>
  </w:style>
  <w:style w:type="paragraph" w:customStyle="1" w:styleId="47">
    <w:name w:val="List First"/>
    <w:basedOn w:val="18"/>
    <w:next w:val="18"/>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48">
    <w:name w:val="标题 5（有编号）（绿盟科技）"/>
    <w:basedOn w:val="1"/>
    <w:next w:val="49"/>
    <w:qFormat/>
    <w:uiPriority w:val="0"/>
    <w:pPr>
      <w:keepNext/>
      <w:keepLines/>
      <w:numPr>
        <w:ilvl w:val="4"/>
        <w:numId w:val="1"/>
      </w:numPr>
      <w:spacing w:before="280" w:after="156" w:line="377" w:lineRule="auto"/>
      <w:outlineLvl w:val="4"/>
    </w:pPr>
    <w:rPr>
      <w:rFonts w:ascii="Arial" w:hAnsi="Arial" w:eastAsia="黑体"/>
      <w:b/>
      <w:kern w:val="0"/>
    </w:rPr>
  </w:style>
  <w:style w:type="paragraph" w:customStyle="1" w:styleId="49">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50">
    <w:name w:val="NormalCharacter"/>
    <w:qFormat/>
    <w:uiPriority w:val="0"/>
  </w:style>
  <w:style w:type="paragraph" w:customStyle="1" w:styleId="51">
    <w:name w:val="正文1"/>
    <w:basedOn w:val="1"/>
    <w:next w:val="1"/>
    <w:qFormat/>
    <w:uiPriority w:val="0"/>
    <w:pPr>
      <w:spacing w:line="300" w:lineRule="auto"/>
      <w:ind w:firstLine="200" w:firstLineChars="200"/>
    </w:pPr>
    <w:rPr>
      <w:sz w:val="24"/>
    </w:rPr>
  </w:style>
  <w:style w:type="paragraph" w:styleId="52">
    <w:name w:val="List Paragraph"/>
    <w:basedOn w:val="1"/>
    <w:unhideWhenUsed/>
    <w:qFormat/>
    <w:uiPriority w:val="99"/>
    <w:pPr>
      <w:ind w:firstLine="420" w:firstLineChars="200"/>
    </w:pPr>
  </w:style>
  <w:style w:type="character" w:customStyle="1" w:styleId="53">
    <w:name w:val="font21"/>
    <w:basedOn w:val="26"/>
    <w:autoRedefine/>
    <w:qFormat/>
    <w:uiPriority w:val="0"/>
    <w:rPr>
      <w:rFonts w:ascii="Arial" w:hAnsi="Arial" w:cs="Arial"/>
      <w:color w:val="000000"/>
      <w:sz w:val="18"/>
      <w:szCs w:val="18"/>
      <w:u w:val="none"/>
    </w:rPr>
  </w:style>
  <w:style w:type="character" w:customStyle="1" w:styleId="54">
    <w:name w:val="font31"/>
    <w:basedOn w:val="26"/>
    <w:autoRedefine/>
    <w:qFormat/>
    <w:uiPriority w:val="0"/>
    <w:rPr>
      <w:rFonts w:hint="eastAsia" w:ascii="宋体" w:hAnsi="宋体" w:eastAsia="宋体" w:cs="宋体"/>
      <w:b/>
      <w:color w:val="000000"/>
      <w:sz w:val="20"/>
      <w:szCs w:val="20"/>
      <w:u w:val="none"/>
    </w:rPr>
  </w:style>
  <w:style w:type="character" w:customStyle="1" w:styleId="55">
    <w:name w:val="font41"/>
    <w:basedOn w:val="26"/>
    <w:autoRedefine/>
    <w:qFormat/>
    <w:uiPriority w:val="0"/>
    <w:rPr>
      <w:rFonts w:hint="eastAsia" w:ascii="宋体" w:hAnsi="宋体" w:eastAsia="宋体" w:cs="宋体"/>
      <w:color w:val="000000"/>
      <w:sz w:val="20"/>
      <w:szCs w:val="20"/>
      <w:u w:val="none"/>
    </w:rPr>
  </w:style>
  <w:style w:type="paragraph" w:customStyle="1" w:styleId="56">
    <w:name w:val="图例"/>
    <w:basedOn w:val="1"/>
    <w:qFormat/>
    <w:uiPriority w:val="0"/>
    <w:pPr>
      <w:spacing w:before="120" w:after="120" w:line="360" w:lineRule="auto"/>
      <w:jc w:val="center"/>
    </w:pPr>
    <w:rPr>
      <w:rFonts w:eastAsia="仿宋_GB2312"/>
      <w:b/>
      <w:sz w:val="24"/>
    </w:rPr>
  </w:style>
  <w:style w:type="paragraph" w:customStyle="1" w:styleId="57">
    <w:name w:val="列表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11288</Words>
  <Characters>11799</Characters>
  <Lines>110</Lines>
  <Paragraphs>31</Paragraphs>
  <TotalTime>1</TotalTime>
  <ScaleCrop>false</ScaleCrop>
  <LinksUpToDate>false</LinksUpToDate>
  <CharactersWithSpaces>11947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2022-03-07T07:07:00Z</dcterms:created>
  <dc:creator>小小小朋友o∩_∩o</dc:creator>
  <cp:lastModifiedBy>一颗逗子</cp:lastModifiedBy>
  <cp:lastPrinted>2025-03-31T02:23:00Z</cp:lastPrinted>
  <dcterms:modified xsi:type="dcterms:W3CDTF">2025-08-09T04:59:04Z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95E988A5CEEC4A6AA53947E14543580C_13</vt:lpwstr>
  </property>
  <property fmtid="{D5CDD505-2E9C-101B-9397-08002B2CF9AE}" pid="4" name="KSOTemplateDocerSaveRecord">
    <vt:lpwstr>eyJoZGlkIjoiMzYwNDIzMzNkMjdlZTgzNWIzMzRlNGYxYmQ1NGYwNjYiLCJ1c2VySWQiOiIyODI1MzMwMSJ9</vt:lpwstr>
  </property>
</Properties>
</file>