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BE905">
      <w:pPr>
        <w:pStyle w:val="4"/>
        <w:tabs>
          <w:tab w:val="right" w:leader="dot" w:pos="9402"/>
        </w:tabs>
        <w:spacing w:line="480" w:lineRule="exact"/>
        <w:ind w:left="560"/>
        <w:jc w:val="center"/>
        <w:outlineLvl w:val="0"/>
        <w:rPr>
          <w:rFonts w:hint="eastAsia" w:ascii="宋体" w:hAnsi="宋体" w:cs="宋体"/>
          <w:szCs w:val="30"/>
        </w:rPr>
      </w:pPr>
      <w:r>
        <w:rPr>
          <w:rFonts w:hint="eastAsia" w:ascii="宋体" w:hAnsi="宋体" w:cs="宋体"/>
          <w:sz w:val="36"/>
          <w:szCs w:val="30"/>
        </w:rPr>
        <w:t>采购公告</w:t>
      </w:r>
    </w:p>
    <w:p w14:paraId="3E6739B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重庆星佩企业管理咨询有限公司（以下简称：采购代理机构）接受荣昌银科大厦电梯更换筹备组委托，对其“荣昌银科大厦电梯更换”项目进行询比采购。欢迎有资格的供应商前来参与询比。</w:t>
      </w:r>
    </w:p>
    <w:p w14:paraId="191DCD3E">
      <w:pPr>
        <w:pStyle w:val="2"/>
        <w:spacing w:line="400" w:lineRule="exact"/>
        <w:rPr>
          <w:rFonts w:hint="eastAsia" w:ascii="宋体" w:hAnsi="宋体" w:cs="宋体"/>
          <w:sz w:val="24"/>
          <w:szCs w:val="24"/>
        </w:rPr>
      </w:pPr>
      <w:bookmarkStart w:id="0" w:name="_Toc5786"/>
      <w:bookmarkStart w:id="1" w:name="_Toc317775175"/>
      <w:bookmarkStart w:id="2" w:name="_Toc47094760"/>
      <w:bookmarkStart w:id="3" w:name="_Toc313893526"/>
      <w:bookmarkStart w:id="4" w:name="_Toc10001"/>
      <w:bookmarkStart w:id="5" w:name="_Toc28114"/>
      <w:bookmarkStart w:id="6" w:name="_Toc22789"/>
      <w:r>
        <w:rPr>
          <w:rFonts w:hint="eastAsia" w:ascii="宋体" w:hAnsi="宋体" w:cs="宋体"/>
          <w:sz w:val="24"/>
          <w:szCs w:val="24"/>
        </w:rPr>
        <w:t>一、询比内容</w:t>
      </w:r>
      <w:bookmarkEnd w:id="0"/>
      <w:bookmarkEnd w:id="1"/>
      <w:bookmarkEnd w:id="2"/>
      <w:bookmarkEnd w:id="3"/>
      <w:bookmarkEnd w:id="4"/>
      <w:bookmarkEnd w:id="5"/>
      <w:bookmarkEnd w:id="6"/>
    </w:p>
    <w:tbl>
      <w:tblPr>
        <w:tblStyle w:val="5"/>
        <w:tblpPr w:leftFromText="180" w:rightFromText="180" w:vertAnchor="text" w:horzAnchor="page" w:tblpX="1404" w:tblpY="412"/>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387"/>
        <w:gridCol w:w="2813"/>
        <w:gridCol w:w="1397"/>
        <w:gridCol w:w="1925"/>
      </w:tblGrid>
      <w:tr w14:paraId="224B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11" w:type="dxa"/>
            <w:tcBorders>
              <w:top w:val="single" w:color="auto" w:sz="4" w:space="0"/>
              <w:left w:val="single" w:color="auto" w:sz="4" w:space="0"/>
              <w:right w:val="single" w:color="auto" w:sz="4" w:space="0"/>
            </w:tcBorders>
            <w:vAlign w:val="center"/>
          </w:tcPr>
          <w:p w14:paraId="27577A00">
            <w:pPr>
              <w:widowControl/>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项目名称</w:t>
            </w:r>
          </w:p>
        </w:tc>
        <w:tc>
          <w:tcPr>
            <w:tcW w:w="1387" w:type="dxa"/>
            <w:tcBorders>
              <w:top w:val="single" w:color="auto" w:sz="4" w:space="0"/>
              <w:left w:val="single" w:color="auto" w:sz="4" w:space="0"/>
              <w:right w:val="single" w:color="auto" w:sz="4" w:space="0"/>
            </w:tcBorders>
            <w:vAlign w:val="center"/>
          </w:tcPr>
          <w:p w14:paraId="61F0077F">
            <w:pPr>
              <w:widowControl/>
              <w:spacing w:line="500" w:lineRule="exact"/>
              <w:jc w:val="center"/>
              <w:rPr>
                <w:rFonts w:hint="eastAsia" w:ascii="宋体" w:hAnsi="宋体" w:cs="宋体"/>
              </w:rPr>
            </w:pPr>
            <w:r>
              <w:rPr>
                <w:rFonts w:hint="eastAsia" w:ascii="宋体" w:hAnsi="宋体" w:cs="宋体"/>
                <w:b/>
                <w:bCs/>
                <w:kern w:val="0"/>
                <w:sz w:val="21"/>
                <w:szCs w:val="24"/>
              </w:rPr>
              <w:t>采购数量</w:t>
            </w:r>
          </w:p>
        </w:tc>
        <w:tc>
          <w:tcPr>
            <w:tcW w:w="2813" w:type="dxa"/>
            <w:tcBorders>
              <w:top w:val="single" w:color="auto" w:sz="4" w:space="0"/>
              <w:left w:val="single" w:color="auto" w:sz="4" w:space="0"/>
              <w:right w:val="single" w:color="auto" w:sz="4" w:space="0"/>
            </w:tcBorders>
            <w:vAlign w:val="center"/>
          </w:tcPr>
          <w:p w14:paraId="505C8780">
            <w:pPr>
              <w:widowControl/>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最高限价</w:t>
            </w:r>
          </w:p>
        </w:tc>
        <w:tc>
          <w:tcPr>
            <w:tcW w:w="1397" w:type="dxa"/>
            <w:tcBorders>
              <w:top w:val="single" w:color="auto" w:sz="4" w:space="0"/>
              <w:left w:val="single" w:color="auto" w:sz="4" w:space="0"/>
              <w:right w:val="single" w:color="auto" w:sz="4" w:space="0"/>
            </w:tcBorders>
            <w:vAlign w:val="center"/>
          </w:tcPr>
          <w:p w14:paraId="08C716B7">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成交供应商</w:t>
            </w:r>
          </w:p>
          <w:p w14:paraId="58BF1C75">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数量</w:t>
            </w:r>
          </w:p>
        </w:tc>
        <w:tc>
          <w:tcPr>
            <w:tcW w:w="1925" w:type="dxa"/>
            <w:tcBorders>
              <w:top w:val="single" w:color="auto" w:sz="4" w:space="0"/>
              <w:left w:val="single" w:color="auto" w:sz="4" w:space="0"/>
              <w:right w:val="single" w:color="auto" w:sz="4" w:space="0"/>
            </w:tcBorders>
            <w:vAlign w:val="center"/>
          </w:tcPr>
          <w:p w14:paraId="36B39443">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说明</w:t>
            </w:r>
          </w:p>
        </w:tc>
      </w:tr>
      <w:tr w14:paraId="2D6E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911" w:type="dxa"/>
            <w:tcBorders>
              <w:top w:val="single" w:color="auto" w:sz="4" w:space="0"/>
              <w:left w:val="single" w:color="auto" w:sz="4" w:space="0"/>
              <w:bottom w:val="single" w:color="auto" w:sz="4" w:space="0"/>
              <w:right w:val="single" w:color="auto" w:sz="4" w:space="0"/>
            </w:tcBorders>
            <w:vAlign w:val="center"/>
          </w:tcPr>
          <w:p w14:paraId="4C48F554">
            <w:pPr>
              <w:spacing w:line="400" w:lineRule="exact"/>
              <w:jc w:val="center"/>
              <w:rPr>
                <w:rFonts w:hint="eastAsia" w:ascii="宋体" w:hAnsi="宋体" w:cs="宋体"/>
                <w:sz w:val="21"/>
                <w:szCs w:val="21"/>
              </w:rPr>
            </w:pPr>
            <w:bookmarkStart w:id="7" w:name="_Hlk344477914"/>
            <w:r>
              <w:rPr>
                <w:rFonts w:hint="eastAsia" w:ascii="宋体" w:hAnsi="宋体" w:cs="宋体"/>
                <w:sz w:val="24"/>
                <w:szCs w:val="24"/>
              </w:rPr>
              <w:t>荣昌银科大厦电梯更换</w:t>
            </w:r>
            <w:r>
              <w:rPr>
                <w:rFonts w:hint="eastAsia" w:ascii="宋体" w:hAnsi="宋体" w:cs="宋体"/>
                <w:sz w:val="21"/>
                <w:szCs w:val="21"/>
              </w:rPr>
              <w:t>项目</w:t>
            </w:r>
          </w:p>
        </w:tc>
        <w:tc>
          <w:tcPr>
            <w:tcW w:w="1387" w:type="dxa"/>
            <w:tcBorders>
              <w:top w:val="single" w:color="auto" w:sz="4" w:space="0"/>
              <w:left w:val="single" w:color="auto" w:sz="4" w:space="0"/>
              <w:bottom w:val="single" w:color="auto" w:sz="4" w:space="0"/>
              <w:right w:val="single" w:color="auto" w:sz="4" w:space="0"/>
            </w:tcBorders>
            <w:vAlign w:val="center"/>
          </w:tcPr>
          <w:p w14:paraId="25F88357">
            <w:pPr>
              <w:jc w:val="center"/>
              <w:rPr>
                <w:rFonts w:hint="eastAsia" w:ascii="宋体" w:hAnsi="宋体" w:cs="宋体"/>
                <w:kern w:val="0"/>
                <w:sz w:val="21"/>
                <w:szCs w:val="21"/>
              </w:rPr>
            </w:pPr>
            <w:r>
              <w:rPr>
                <w:rFonts w:hint="eastAsia" w:ascii="宋体" w:hAnsi="宋体" w:cs="宋体"/>
                <w:kern w:val="0"/>
                <w:sz w:val="21"/>
                <w:szCs w:val="21"/>
              </w:rPr>
              <w:t>1台</w:t>
            </w:r>
          </w:p>
        </w:tc>
        <w:tc>
          <w:tcPr>
            <w:tcW w:w="2813" w:type="dxa"/>
            <w:tcBorders>
              <w:top w:val="single" w:color="auto" w:sz="4" w:space="0"/>
              <w:left w:val="single" w:color="auto" w:sz="4" w:space="0"/>
              <w:bottom w:val="single" w:color="auto" w:sz="4" w:space="0"/>
              <w:right w:val="single" w:color="auto" w:sz="4" w:space="0"/>
            </w:tcBorders>
            <w:vAlign w:val="center"/>
          </w:tcPr>
          <w:p w14:paraId="49D362B1">
            <w:pPr>
              <w:jc w:val="center"/>
              <w:rPr>
                <w:rFonts w:hint="eastAsia" w:ascii="宋体" w:hAnsi="宋体" w:cs="宋体"/>
                <w:kern w:val="0"/>
                <w:sz w:val="21"/>
                <w:szCs w:val="21"/>
              </w:rPr>
            </w:pPr>
            <w:r>
              <w:rPr>
                <w:rFonts w:hint="eastAsia" w:ascii="宋体" w:hAnsi="宋体" w:cs="宋体"/>
                <w:kern w:val="0"/>
                <w:sz w:val="21"/>
                <w:szCs w:val="21"/>
              </w:rPr>
              <w:t>190000元/台</w:t>
            </w:r>
          </w:p>
        </w:tc>
        <w:tc>
          <w:tcPr>
            <w:tcW w:w="1397" w:type="dxa"/>
            <w:tcBorders>
              <w:top w:val="single" w:color="auto" w:sz="4" w:space="0"/>
              <w:left w:val="single" w:color="auto" w:sz="4" w:space="0"/>
              <w:bottom w:val="single" w:color="auto" w:sz="4" w:space="0"/>
              <w:right w:val="single" w:color="auto" w:sz="4" w:space="0"/>
            </w:tcBorders>
            <w:vAlign w:val="center"/>
          </w:tcPr>
          <w:p w14:paraId="4D7E0215">
            <w:pPr>
              <w:jc w:val="center"/>
              <w:rPr>
                <w:rFonts w:hint="eastAsia" w:ascii="宋体" w:hAnsi="宋体" w:cs="宋体"/>
                <w:sz w:val="21"/>
                <w:szCs w:val="21"/>
              </w:rPr>
            </w:pPr>
            <w:r>
              <w:rPr>
                <w:rFonts w:hint="eastAsia" w:ascii="宋体" w:hAnsi="宋体" w:cs="宋体"/>
                <w:sz w:val="21"/>
                <w:szCs w:val="21"/>
              </w:rPr>
              <w:t>1名</w:t>
            </w:r>
          </w:p>
        </w:tc>
        <w:tc>
          <w:tcPr>
            <w:tcW w:w="1925" w:type="dxa"/>
            <w:tcBorders>
              <w:top w:val="single" w:color="auto" w:sz="4" w:space="0"/>
              <w:left w:val="single" w:color="auto" w:sz="4" w:space="0"/>
              <w:bottom w:val="single" w:color="auto" w:sz="4" w:space="0"/>
              <w:right w:val="single" w:color="auto" w:sz="4" w:space="0"/>
            </w:tcBorders>
            <w:vAlign w:val="center"/>
          </w:tcPr>
          <w:p w14:paraId="7622BB0A">
            <w:pPr>
              <w:spacing w:line="500" w:lineRule="exact"/>
              <w:jc w:val="left"/>
              <w:rPr>
                <w:rFonts w:hint="eastAsia" w:ascii="宋体" w:hAnsi="宋体" w:cs="宋体"/>
                <w:sz w:val="21"/>
                <w:szCs w:val="21"/>
              </w:rPr>
            </w:pPr>
            <w:r>
              <w:rPr>
                <w:rFonts w:hint="eastAsia" w:ascii="宋体" w:hAnsi="宋体" w:cs="宋体"/>
                <w:sz w:val="21"/>
                <w:szCs w:val="21"/>
              </w:rPr>
              <w:t>最高限价为原有电梯残值抵扣后的限价。其中国债补贴15万元/台。</w:t>
            </w:r>
          </w:p>
        </w:tc>
      </w:tr>
      <w:bookmarkEnd w:id="7"/>
    </w:tbl>
    <w:p w14:paraId="7E5473DE">
      <w:pPr>
        <w:pStyle w:val="3"/>
        <w:spacing w:line="500" w:lineRule="exact"/>
        <w:rPr>
          <w:rFonts w:hint="eastAsia" w:ascii="宋体" w:hAnsi="宋体" w:eastAsia="宋体" w:cs="宋体"/>
          <w:sz w:val="24"/>
          <w:szCs w:val="24"/>
        </w:rPr>
      </w:pPr>
      <w:bookmarkStart w:id="8" w:name="_Toc22157"/>
      <w:bookmarkStart w:id="9" w:name="_Toc47094762"/>
      <w:bookmarkStart w:id="10" w:name="_Toc11135"/>
      <w:bookmarkStart w:id="11" w:name="_Toc25320"/>
      <w:bookmarkStart w:id="12" w:name="_Toc373860293"/>
      <w:bookmarkStart w:id="13" w:name="_Toc317775178"/>
    </w:p>
    <w:p w14:paraId="08EE0F14">
      <w:pPr>
        <w:pStyle w:val="2"/>
        <w:spacing w:line="400" w:lineRule="exact"/>
        <w:rPr>
          <w:rFonts w:hint="eastAsia" w:ascii="宋体" w:hAnsi="宋体" w:cs="宋体"/>
          <w:sz w:val="24"/>
          <w:szCs w:val="24"/>
        </w:rPr>
      </w:pPr>
      <w:bookmarkStart w:id="14" w:name="_Toc26489"/>
      <w:bookmarkStart w:id="15" w:name="_Toc2876"/>
      <w:bookmarkStart w:id="16" w:name="_Toc969"/>
      <w:bookmarkStart w:id="17" w:name="_Toc47094761"/>
      <w:bookmarkStart w:id="18" w:name="_Toc20739"/>
      <w:bookmarkStart w:id="19" w:name="_Toc20640"/>
      <w:r>
        <w:rPr>
          <w:rFonts w:hint="eastAsia" w:ascii="宋体" w:hAnsi="宋体" w:cs="宋体"/>
          <w:sz w:val="24"/>
          <w:szCs w:val="24"/>
        </w:rPr>
        <w:t>二、资金来源</w:t>
      </w:r>
      <w:bookmarkEnd w:id="14"/>
      <w:bookmarkEnd w:id="15"/>
      <w:bookmarkEnd w:id="16"/>
      <w:bookmarkEnd w:id="17"/>
      <w:bookmarkEnd w:id="18"/>
      <w:bookmarkEnd w:id="19"/>
    </w:p>
    <w:p w14:paraId="2FC51675">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自有资金</w:t>
      </w:r>
      <w:r>
        <w:rPr>
          <w:rFonts w:hint="eastAsia" w:ascii="宋体" w:hAnsi="宋体" w:cs="宋体"/>
          <w:sz w:val="24"/>
          <w:szCs w:val="24"/>
        </w:rPr>
        <w:t>+超长国债补贴</w:t>
      </w:r>
    </w:p>
    <w:p w14:paraId="36FB5614">
      <w:pPr>
        <w:pStyle w:val="2"/>
        <w:spacing w:line="400" w:lineRule="exact"/>
        <w:rPr>
          <w:rFonts w:hint="eastAsia" w:ascii="宋体" w:hAnsi="宋体" w:cs="宋体"/>
          <w:sz w:val="24"/>
          <w:szCs w:val="24"/>
        </w:rPr>
      </w:pPr>
      <w:bookmarkStart w:id="20" w:name="_Toc25656"/>
      <w:r>
        <w:rPr>
          <w:rFonts w:hint="eastAsia" w:ascii="宋体" w:hAnsi="宋体" w:cs="宋体"/>
          <w:sz w:val="24"/>
          <w:szCs w:val="24"/>
        </w:rPr>
        <w:t>三、供应商资格条件</w:t>
      </w:r>
      <w:bookmarkEnd w:id="8"/>
      <w:bookmarkEnd w:id="9"/>
      <w:bookmarkEnd w:id="10"/>
      <w:bookmarkEnd w:id="11"/>
      <w:bookmarkEnd w:id="20"/>
    </w:p>
    <w:p w14:paraId="6322135B">
      <w:pPr>
        <w:snapToGrid w:val="0"/>
        <w:spacing w:line="400" w:lineRule="exact"/>
        <w:ind w:firstLine="480" w:firstLineChars="200"/>
        <w:outlineLvl w:val="9"/>
        <w:rPr>
          <w:rFonts w:hint="eastAsia" w:ascii="宋体" w:hAnsi="宋体" w:cs="宋体"/>
          <w:sz w:val="24"/>
          <w:szCs w:val="24"/>
        </w:rPr>
      </w:pPr>
      <w:bookmarkStart w:id="21" w:name="_Toc9086"/>
      <w:bookmarkStart w:id="22" w:name="_Toc16272"/>
      <w:bookmarkStart w:id="23" w:name="_Toc20379"/>
      <w:bookmarkStart w:id="24" w:name="_Toc19434"/>
      <w:bookmarkStart w:id="25" w:name="_Toc9115"/>
      <w:bookmarkStart w:id="26" w:name="_Toc47094763"/>
      <w:r>
        <w:rPr>
          <w:rFonts w:hint="eastAsia" w:ascii="宋体" w:hAnsi="宋体" w:cs="宋体"/>
          <w:sz w:val="24"/>
          <w:szCs w:val="24"/>
        </w:rPr>
        <w:t>（一）基本资格条件</w:t>
      </w:r>
      <w:bookmarkEnd w:id="21"/>
      <w:bookmarkEnd w:id="22"/>
      <w:bookmarkEnd w:id="23"/>
      <w:bookmarkEnd w:id="24"/>
    </w:p>
    <w:p w14:paraId="2D4D7EF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 具有独立承担民事责任的能力；</w:t>
      </w:r>
    </w:p>
    <w:p w14:paraId="110BF18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 具有良好的商业信誉和健全的财务会计制度；</w:t>
      </w:r>
    </w:p>
    <w:p w14:paraId="123E1CF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 具有履行合同所必需的设备和专业技术能力；</w:t>
      </w:r>
    </w:p>
    <w:p w14:paraId="73EAF84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4. 有依法缴纳税收和社会保障资金的良好记录；</w:t>
      </w:r>
    </w:p>
    <w:p w14:paraId="18441BA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5. 参加本项目采购活动前三年内，在经营活动中没有重大违法记录；</w:t>
      </w:r>
    </w:p>
    <w:p w14:paraId="07E6B22A">
      <w:pPr>
        <w:snapToGrid w:val="0"/>
        <w:spacing w:line="400" w:lineRule="exact"/>
        <w:ind w:firstLine="480" w:firstLineChars="200"/>
        <w:rPr>
          <w:rFonts w:hint="eastAsia" w:ascii="宋体" w:hAnsi="宋体" w:cs="宋体"/>
          <w:sz w:val="24"/>
          <w:szCs w:val="24"/>
        </w:rPr>
      </w:pPr>
      <w:bookmarkStart w:id="27" w:name="OLE_LINK7"/>
      <w:r>
        <w:rPr>
          <w:rFonts w:hint="eastAsia" w:ascii="宋体" w:hAnsi="宋体" w:cs="宋体"/>
          <w:sz w:val="24"/>
          <w:szCs w:val="24"/>
        </w:rPr>
        <w:t>6. 法律、行政法规规定的其他条件。</w:t>
      </w:r>
    </w:p>
    <w:bookmarkEnd w:id="27"/>
    <w:p w14:paraId="384DA177">
      <w:pPr>
        <w:snapToGrid w:val="0"/>
        <w:spacing w:line="400" w:lineRule="exact"/>
        <w:ind w:firstLine="480" w:firstLineChars="200"/>
        <w:outlineLvl w:val="9"/>
        <w:rPr>
          <w:rFonts w:hint="eastAsia" w:ascii="宋体" w:hAnsi="宋体" w:cs="宋体"/>
          <w:sz w:val="24"/>
          <w:szCs w:val="24"/>
        </w:rPr>
      </w:pPr>
      <w:bookmarkStart w:id="28" w:name="_Toc10828"/>
      <w:bookmarkStart w:id="29" w:name="_Toc31900"/>
      <w:bookmarkStart w:id="30" w:name="_Toc12446"/>
      <w:bookmarkStart w:id="31" w:name="_Toc22654"/>
      <w:r>
        <w:rPr>
          <w:rFonts w:hint="eastAsia" w:ascii="宋体" w:hAnsi="宋体" w:cs="宋体"/>
          <w:sz w:val="24"/>
          <w:szCs w:val="24"/>
        </w:rPr>
        <w:t>（二）特定资格条件</w:t>
      </w:r>
      <w:bookmarkEnd w:id="28"/>
      <w:bookmarkEnd w:id="29"/>
      <w:bookmarkEnd w:id="30"/>
      <w:bookmarkEnd w:id="31"/>
    </w:p>
    <w:p w14:paraId="15383284">
      <w:pPr>
        <w:snapToGrid w:val="0"/>
        <w:spacing w:line="400" w:lineRule="exact"/>
        <w:ind w:firstLine="480" w:firstLineChars="200"/>
        <w:rPr>
          <w:rFonts w:hint="eastAsia" w:ascii="宋体" w:hAnsi="宋体" w:cs="宋体"/>
          <w:sz w:val="24"/>
          <w:szCs w:val="24"/>
        </w:rPr>
      </w:pPr>
      <w:bookmarkStart w:id="32" w:name="_Toc51057733"/>
      <w:bookmarkStart w:id="33" w:name="_Toc51057643"/>
      <w:bookmarkStart w:id="34" w:name="_Toc51056416"/>
      <w:bookmarkStart w:id="35" w:name="_Toc19849"/>
      <w:bookmarkStart w:id="36" w:name="_Toc21744"/>
      <w:bookmarkStart w:id="37" w:name="_Toc16314"/>
      <w:r>
        <w:rPr>
          <w:rFonts w:hint="eastAsia" w:ascii="宋体" w:hAnsi="宋体" w:cs="宋体"/>
          <w:sz w:val="24"/>
          <w:szCs w:val="24"/>
        </w:rPr>
        <w:t>1、电梯生产制造商参加比选的必须具备以下资格：</w:t>
      </w:r>
      <w:bookmarkEnd w:id="32"/>
      <w:bookmarkEnd w:id="33"/>
      <w:bookmarkEnd w:id="34"/>
    </w:p>
    <w:p w14:paraId="27F6B517">
      <w:pPr>
        <w:snapToGrid w:val="0"/>
        <w:spacing w:line="400" w:lineRule="exact"/>
        <w:ind w:firstLine="480" w:firstLineChars="200"/>
        <w:rPr>
          <w:rFonts w:hint="eastAsia" w:ascii="宋体" w:hAnsi="宋体" w:cs="宋体"/>
          <w:sz w:val="24"/>
          <w:szCs w:val="24"/>
        </w:rPr>
      </w:pPr>
      <w:bookmarkStart w:id="38" w:name="_Toc51056417"/>
      <w:bookmarkStart w:id="39" w:name="_Toc51057644"/>
      <w:bookmarkStart w:id="40" w:name="_Toc51057734"/>
      <w:r>
        <w:rPr>
          <w:rFonts w:hint="eastAsia" w:ascii="宋体" w:hAnsi="宋体" w:cs="宋体"/>
          <w:sz w:val="24"/>
          <w:szCs w:val="24"/>
        </w:rPr>
        <w:t>（1）须在中华人民共和国境内合法注册的电梯制造商（经营范围包含电梯生产或制造），具有工商行政主管部门颁发的有效营业执照的电梯生产企业；</w:t>
      </w:r>
      <w:bookmarkEnd w:id="38"/>
      <w:bookmarkEnd w:id="39"/>
      <w:bookmarkEnd w:id="40"/>
    </w:p>
    <w:p w14:paraId="3E8E039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（须提供有效的法人营业执照副本复印件并加盖电梯生产制造商公章）</w:t>
      </w:r>
    </w:p>
    <w:p w14:paraId="692D1963">
      <w:pPr>
        <w:snapToGrid w:val="0"/>
        <w:spacing w:line="400" w:lineRule="exact"/>
        <w:ind w:firstLine="480" w:firstLineChars="200"/>
        <w:rPr>
          <w:rFonts w:hint="eastAsia" w:ascii="宋体" w:hAnsi="宋体" w:cs="宋体"/>
          <w:sz w:val="24"/>
          <w:szCs w:val="24"/>
        </w:rPr>
      </w:pPr>
      <w:bookmarkStart w:id="41" w:name="_Toc51057645"/>
      <w:bookmarkStart w:id="42" w:name="_Toc51056418"/>
      <w:bookmarkStart w:id="43" w:name="_Toc51057735"/>
      <w:r>
        <w:rPr>
          <w:rFonts w:hint="eastAsia" w:ascii="宋体" w:hAnsi="宋体" w:cs="宋体"/>
          <w:sz w:val="24"/>
          <w:szCs w:val="24"/>
        </w:rPr>
        <w:t>(2)</w:t>
      </w:r>
      <w:bookmarkEnd w:id="41"/>
      <w:bookmarkEnd w:id="42"/>
      <w:bookmarkEnd w:id="43"/>
      <w:r>
        <w:rPr>
          <w:rFonts w:hint="eastAsia" w:ascii="宋体" w:hAnsi="宋体" w:cs="宋体"/>
          <w:sz w:val="24"/>
          <w:szCs w:val="24"/>
        </w:rPr>
        <w:t xml:space="preserve"> 具有中华人民共和国国家质量监督检验检疫总局颁发的且在有效期的《中华人民共和国特种设备制造许可证》(电梯)（乘客电梯A级资质）或具有市场监督管理部门颁发且在有效期的《中华人民共和国特种设备生产许可证》｛许可项目：电梯制造〔含安装、修理、改造〕｝。</w:t>
      </w:r>
    </w:p>
    <w:p w14:paraId="0233E121">
      <w:pPr>
        <w:snapToGrid w:val="0"/>
        <w:spacing w:line="400" w:lineRule="exact"/>
        <w:ind w:firstLine="480" w:firstLineChars="200"/>
        <w:rPr>
          <w:rFonts w:hint="eastAsia" w:ascii="宋体" w:hAnsi="宋体" w:cs="宋体"/>
        </w:rPr>
      </w:pPr>
      <w:r>
        <w:rPr>
          <w:rFonts w:hint="eastAsia" w:ascii="宋体" w:hAnsi="宋体" w:cs="宋体"/>
          <w:sz w:val="24"/>
          <w:szCs w:val="24"/>
        </w:rPr>
        <w:t>(3) 具有有关质量监督检验部门颁发的且在有效期的《中华人民共和国特种设备安装改造修理（或维修）许可证》〔（电梯）安装、改造、修理（或维修）〕（乘客电梯A级及以上资质）或具有市场监督管理部门颁发且在有效期的《中华人民共和国特种设备生产许可证》｛许可项目：电梯制造〔含安装、修理、改造〕｝。（须提供有效的证书复印件并加盖供应商公章）</w:t>
      </w:r>
    </w:p>
    <w:p w14:paraId="1B5073A0">
      <w:pPr>
        <w:snapToGrid w:val="0"/>
        <w:spacing w:line="400" w:lineRule="exact"/>
        <w:ind w:firstLine="480" w:firstLineChars="200"/>
        <w:rPr>
          <w:rFonts w:hint="eastAsia" w:ascii="宋体" w:hAnsi="宋体" w:cs="宋体"/>
          <w:sz w:val="24"/>
          <w:szCs w:val="24"/>
        </w:rPr>
      </w:pPr>
      <w:bookmarkStart w:id="44" w:name="_Toc51057646"/>
      <w:bookmarkStart w:id="45" w:name="_Toc51056419"/>
      <w:bookmarkStart w:id="46" w:name="_Toc51057736"/>
      <w:r>
        <w:rPr>
          <w:rFonts w:hint="eastAsia" w:ascii="宋体" w:hAnsi="宋体" w:cs="宋体"/>
          <w:sz w:val="24"/>
          <w:szCs w:val="24"/>
        </w:rPr>
        <w:t>2、代理供应商参加比选的必须具备以下资格：</w:t>
      </w:r>
      <w:bookmarkEnd w:id="44"/>
      <w:bookmarkEnd w:id="45"/>
      <w:bookmarkEnd w:id="46"/>
    </w:p>
    <w:p w14:paraId="7870834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（1）须在中华人民共和国境内合法注册的电梯安装企业，具有工商行政主管部门颁发的有效营业执照的电梯安装企业；</w:t>
      </w:r>
    </w:p>
    <w:p w14:paraId="0F69874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（须提供有效的法人营业执照副本复印件并加盖供应商公章，原件备查。）</w:t>
      </w:r>
    </w:p>
    <w:p w14:paraId="5E7756BA">
      <w:pPr>
        <w:snapToGrid w:val="0"/>
        <w:spacing w:line="400" w:lineRule="exact"/>
        <w:ind w:firstLine="480" w:firstLineChars="200"/>
        <w:rPr>
          <w:rFonts w:hint="eastAsia" w:ascii="宋体" w:hAnsi="宋体" w:cs="宋体"/>
          <w:sz w:val="24"/>
          <w:szCs w:val="24"/>
        </w:rPr>
      </w:pPr>
      <w:bookmarkStart w:id="47" w:name="_Toc51057737"/>
      <w:bookmarkStart w:id="48" w:name="_Toc51056420"/>
      <w:bookmarkStart w:id="49" w:name="_Toc51057647"/>
      <w:r>
        <w:rPr>
          <w:rFonts w:hint="eastAsia" w:ascii="宋体" w:hAnsi="宋体" w:cs="宋体"/>
          <w:sz w:val="24"/>
          <w:szCs w:val="24"/>
        </w:rPr>
        <w:t>（2）取得电梯生产制造商针对本项目所投产品的唯一授权，对其授权的生产制造商必须满足生产制造商独立投标的资格条件（即特定资格条件第１条）；</w:t>
      </w:r>
      <w:bookmarkEnd w:id="47"/>
      <w:bookmarkEnd w:id="48"/>
      <w:bookmarkEnd w:id="49"/>
    </w:p>
    <w:p w14:paraId="234716A8">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rPr>
        <w:t>〔须提供生产制造商针对本项目授权资料的复印件，原件备查；须提供供应商品牌生产制造商独立比选所需的全部资格审查资料的复印件（即特定资格条件</w:t>
      </w:r>
      <w:r>
        <w:rPr>
          <w:rFonts w:hint="eastAsia" w:ascii="宋体" w:hAnsi="宋体" w:cs="宋体"/>
          <w:sz w:val="24"/>
          <w:szCs w:val="24"/>
          <w:highlight w:val="none"/>
        </w:rPr>
        <w:t>第１条）。上述复印件均需同时加盖生产制造商公章和代理供应商公章。〕</w:t>
      </w:r>
    </w:p>
    <w:p w14:paraId="323ECFB9">
      <w:pPr>
        <w:numPr>
          <w:ilvl w:val="0"/>
          <w:numId w:val="1"/>
        </w:num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具有有关质量监督检验部门颁发的且在有效期的《中华人民共和国特种设备安装改造修理（或维修）许可证》〔（电梯）安装、改造、修理（或维修）〕（乘客电梯</w:t>
      </w:r>
      <w:r>
        <w:rPr>
          <w:rFonts w:hint="eastAsia" w:ascii="宋体" w:hAnsi="宋体" w:cs="宋体"/>
          <w:sz w:val="24"/>
          <w:szCs w:val="24"/>
          <w:highlight w:val="none"/>
          <w:lang w:val="en-US" w:eastAsia="zh-CN"/>
        </w:rPr>
        <w:t>B</w:t>
      </w:r>
      <w:r>
        <w:rPr>
          <w:rFonts w:hint="eastAsia" w:ascii="宋体" w:hAnsi="宋体" w:cs="宋体"/>
          <w:sz w:val="24"/>
          <w:szCs w:val="24"/>
          <w:highlight w:val="none"/>
        </w:rPr>
        <w:t>级及以上资质）或具有市场监督管理部门颁发且在有效期的《中华人民共和国特种设备生产许可证》｛许可项目：电梯安装（含修理）｝。</w:t>
      </w:r>
    </w:p>
    <w:p w14:paraId="2EB3BD5B">
      <w:pPr>
        <w:numPr>
          <w:ilvl w:val="0"/>
          <w:numId w:val="2"/>
        </w:numPr>
        <w:snapToGrid w:val="0"/>
        <w:spacing w:line="400" w:lineRule="exact"/>
        <w:outlineLvl w:val="2"/>
        <w:rPr>
          <w:rFonts w:hint="eastAsia" w:ascii="宋体" w:hAnsi="宋体" w:cs="宋体"/>
          <w:b/>
          <w:bCs/>
          <w:sz w:val="24"/>
          <w:szCs w:val="24"/>
        </w:rPr>
      </w:pPr>
      <w:r>
        <w:rPr>
          <w:rFonts w:hint="eastAsia" w:ascii="宋体" w:hAnsi="宋体" w:cs="宋体"/>
          <w:b/>
          <w:bCs/>
          <w:sz w:val="24"/>
          <w:szCs w:val="24"/>
        </w:rPr>
        <w:t>询比有关说明</w:t>
      </w:r>
      <w:bookmarkEnd w:id="12"/>
      <w:bookmarkEnd w:id="25"/>
      <w:bookmarkEnd w:id="26"/>
      <w:bookmarkEnd w:id="35"/>
      <w:bookmarkEnd w:id="36"/>
      <w:bookmarkEnd w:id="37"/>
      <w:bookmarkStart w:id="50" w:name="_Toc31116"/>
      <w:bookmarkStart w:id="51" w:name="_Toc1411"/>
      <w:bookmarkStart w:id="52" w:name="_Toc88830797"/>
      <w:bookmarkStart w:id="53" w:name="_Toc373860294"/>
      <w:bookmarkStart w:id="54" w:name="_Toc47094764"/>
      <w:bookmarkStart w:id="55" w:name="_Toc19890"/>
    </w:p>
    <w:p w14:paraId="40741B09">
      <w:pPr>
        <w:numPr>
          <w:ilvl w:val="0"/>
          <w:numId w:val="3"/>
        </w:numPr>
        <w:snapToGrid w:val="0"/>
        <w:spacing w:line="400" w:lineRule="exact"/>
        <w:ind w:firstLine="240" w:firstLineChars="100"/>
        <w:rPr>
          <w:rFonts w:hint="eastAsia" w:ascii="宋体" w:hAnsi="宋体" w:eastAsia="宋体" w:cs="宋体"/>
          <w:sz w:val="24"/>
          <w:szCs w:val="24"/>
          <w:highlight w:val="none"/>
        </w:rPr>
      </w:pPr>
      <w:r>
        <w:rPr>
          <w:rFonts w:hint="eastAsia" w:ascii="宋体" w:hAnsi="宋体" w:cs="宋体"/>
          <w:sz w:val="24"/>
          <w:szCs w:val="24"/>
        </w:rPr>
        <w:t>报名</w:t>
      </w:r>
      <w:bookmarkEnd w:id="50"/>
      <w:bookmarkEnd w:id="51"/>
      <w:bookmarkEnd w:id="52"/>
      <w:r>
        <w:rPr>
          <w:rFonts w:hint="eastAsia" w:ascii="宋体" w:hAnsi="宋体" w:cs="宋体"/>
          <w:sz w:val="24"/>
          <w:szCs w:val="24"/>
        </w:rPr>
        <w:t>：请满足资格条件的供应商在询比公告</w:t>
      </w:r>
      <w:r>
        <w:rPr>
          <w:rFonts w:hint="eastAsia" w:ascii="宋体" w:hAnsi="宋体" w:cs="宋体"/>
          <w:sz w:val="24"/>
          <w:szCs w:val="24"/>
          <w:highlight w:val="none"/>
        </w:rPr>
        <w:t>发布之日（2025年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cs="宋体"/>
          <w:sz w:val="24"/>
          <w:szCs w:val="24"/>
          <w:highlight w:val="none"/>
        </w:rPr>
        <w:t>日）起</w:t>
      </w:r>
      <w:r>
        <w:rPr>
          <w:rFonts w:hint="eastAsia" w:ascii="宋体" w:hAnsi="宋体" w:cs="宋体"/>
          <w:sz w:val="24"/>
          <w:szCs w:val="24"/>
          <w:highlight w:val="none"/>
          <w:lang w:val="en-US" w:eastAsia="zh-CN"/>
        </w:rPr>
        <w:t>4</w:t>
      </w:r>
      <w:bookmarkStart w:id="85" w:name="_GoBack"/>
      <w:bookmarkEnd w:id="85"/>
      <w:r>
        <w:rPr>
          <w:rFonts w:hint="eastAsia" w:ascii="宋体" w:hAnsi="宋体" w:cs="宋体"/>
          <w:sz w:val="24"/>
          <w:szCs w:val="24"/>
          <w:highlight w:val="none"/>
        </w:rPr>
        <w:t>个工作日内，每日上午09:00至12:00，下午14:00至17:00（北京时间），持单位营业执照（复印件加盖公章）、电梯生产制造商针对本项目所投产品的唯一授权书（复印件加盖公章）、介绍信（或授权委托书原件）、身份证原件及复印件和文件发售登记表（加盖公章），</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重庆栖庭置业顾问</w:t>
      </w:r>
      <w:r>
        <w:rPr>
          <w:rFonts w:hint="eastAsia" w:ascii="宋体" w:hAnsi="宋体" w:eastAsia="宋体" w:cs="宋体"/>
          <w:sz w:val="24"/>
          <w:szCs w:val="24"/>
          <w:highlight w:val="none"/>
        </w:rPr>
        <w:t>有限公司（地址：重庆市巴南区渝南大道123号附41号2-58）报名及获取询比资料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联系人：卢娜，电话：</w:t>
      </w:r>
      <w:r>
        <w:rPr>
          <w:rFonts w:hint="eastAsia" w:ascii="宋体" w:hAnsi="宋体" w:eastAsia="宋体" w:cs="宋体"/>
          <w:sz w:val="24"/>
          <w:szCs w:val="24"/>
          <w:highlight w:val="none"/>
        </w:rPr>
        <w:t>18375875858。</w:t>
      </w:r>
    </w:p>
    <w:p w14:paraId="413DECFB">
      <w:pPr>
        <w:snapToGrid w:val="0"/>
        <w:spacing w:line="4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注:未按上述要求报名的供应商不能参与本项目询比。</w:t>
      </w:r>
    </w:p>
    <w:p w14:paraId="7FB9224F">
      <w:pPr>
        <w:spacing w:line="38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（二）询比公告期限：自询比公告发布之日（2025年12月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25</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日）起7个日历日。（发布媒体：行采家www.gec123.com）</w:t>
      </w:r>
    </w:p>
    <w:p w14:paraId="7C663BB0">
      <w:pPr>
        <w:spacing w:line="38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（三）询比文件售价：人民币500元/份（报名及获取询比资料时现金或银行转账缴纳，售后不退）。 </w:t>
      </w:r>
    </w:p>
    <w:p w14:paraId="790CCD0A">
      <w:pPr>
        <w:spacing w:line="380" w:lineRule="exact"/>
        <w:ind w:firstLine="240" w:firstLineChars="100"/>
        <w:rPr>
          <w:rFonts w:hint="eastAsia" w:ascii="宋体" w:hAnsi="宋体" w:cs="宋体"/>
          <w:sz w:val="22"/>
          <w:szCs w:val="22"/>
          <w:highlight w:val="none"/>
        </w:rPr>
      </w:pPr>
      <w:bookmarkStart w:id="56" w:name="_Toc9920"/>
      <w:bookmarkStart w:id="57" w:name="_Toc88830798"/>
      <w:bookmarkStart w:id="58" w:name="_Toc29760"/>
      <w:r>
        <w:rPr>
          <w:rFonts w:hint="eastAsia" w:ascii="宋体" w:hAnsi="宋体" w:cs="宋体"/>
          <w:sz w:val="24"/>
          <w:szCs w:val="24"/>
          <w:highlight w:val="none"/>
        </w:rPr>
        <w:t>（四）</w:t>
      </w:r>
      <w:bookmarkEnd w:id="56"/>
      <w:bookmarkEnd w:id="57"/>
      <w:bookmarkEnd w:id="58"/>
      <w:r>
        <w:rPr>
          <w:rFonts w:hint="eastAsia" w:ascii="宋体" w:hAnsi="宋体" w:cs="宋体"/>
          <w:sz w:val="24"/>
          <w:szCs w:val="24"/>
          <w:highlight w:val="none"/>
        </w:rPr>
        <w:t>询比响应文件递交时间202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:00-</w:t>
      </w:r>
      <w:r>
        <w:rPr>
          <w:rFonts w:hint="eastAsia" w:ascii="宋体" w:hAnsi="宋体" w:cs="宋体"/>
          <w:sz w:val="24"/>
          <w:szCs w:val="24"/>
          <w:highlight w:val="none"/>
          <w:lang w:val="en-US" w:eastAsia="zh-CN"/>
        </w:rPr>
        <w:t>14</w:t>
      </w:r>
      <w:r>
        <w:rPr>
          <w:rFonts w:hint="eastAsia" w:ascii="宋体" w:hAnsi="宋体" w:cs="宋体"/>
          <w:sz w:val="24"/>
          <w:szCs w:val="24"/>
          <w:highlight w:val="none"/>
        </w:rPr>
        <w:t>:30，递交地点为：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荣昌昌元街道白象社区委员会会议室</w:t>
      </w:r>
      <w:r>
        <w:rPr>
          <w:rFonts w:hint="eastAsia" w:ascii="宋体" w:hAnsi="宋体" w:cs="宋体"/>
          <w:sz w:val="24"/>
          <w:szCs w:val="24"/>
          <w:highlight w:val="none"/>
          <w:u w:val="single"/>
        </w:rPr>
        <w:t xml:space="preserve">  </w:t>
      </w:r>
      <w:r>
        <w:rPr>
          <w:rFonts w:hint="eastAsia" w:ascii="宋体" w:hAnsi="宋体" w:cs="宋体"/>
          <w:sz w:val="22"/>
          <w:szCs w:val="22"/>
          <w:highlight w:val="none"/>
        </w:rPr>
        <w:t>。</w:t>
      </w:r>
    </w:p>
    <w:p w14:paraId="7B22ED71">
      <w:pPr>
        <w:spacing w:line="380" w:lineRule="exact"/>
        <w:ind w:firstLine="482" w:firstLineChars="200"/>
        <w:rPr>
          <w:rFonts w:hint="eastAsia" w:ascii="宋体" w:hAnsi="宋体" w:cs="宋体"/>
          <w:b/>
          <w:bCs/>
          <w:sz w:val="24"/>
          <w:szCs w:val="24"/>
        </w:rPr>
      </w:pPr>
      <w:r>
        <w:rPr>
          <w:rFonts w:hint="eastAsia" w:ascii="宋体" w:hAnsi="宋体" w:cs="宋体"/>
          <w:b/>
          <w:bCs/>
          <w:sz w:val="24"/>
          <w:szCs w:val="24"/>
        </w:rPr>
        <w:t>注:逾期送达或者未送达指定地点的询比申请文件，不予受理。</w:t>
      </w:r>
    </w:p>
    <w:p w14:paraId="05FC0F26">
      <w:pPr>
        <w:spacing w:line="380" w:lineRule="exact"/>
        <w:ind w:left="238" w:leftChars="85"/>
        <w:rPr>
          <w:rFonts w:hint="eastAsia" w:ascii="宋体" w:hAnsi="宋体" w:cs="宋体"/>
          <w:sz w:val="24"/>
          <w:szCs w:val="24"/>
          <w:highlight w:val="none"/>
        </w:rPr>
      </w:pPr>
      <w:r>
        <w:rPr>
          <w:rFonts w:hint="eastAsia" w:ascii="宋体" w:hAnsi="宋体" w:cs="宋体"/>
          <w:sz w:val="24"/>
          <w:szCs w:val="24"/>
        </w:rPr>
        <w:t>（五）询比开始时</w:t>
      </w:r>
      <w:r>
        <w:rPr>
          <w:rFonts w:hint="eastAsia" w:ascii="宋体" w:hAnsi="宋体" w:cs="宋体"/>
          <w:sz w:val="24"/>
          <w:szCs w:val="24"/>
          <w:highlight w:val="none"/>
        </w:rPr>
        <w:t>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lang w:val="en-US" w:eastAsia="zh-CN"/>
        </w:rPr>
        <w:t>4</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:30,询比地点：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荣昌昌元街道白象社区委员会会议室</w:t>
      </w:r>
      <w:r>
        <w:rPr>
          <w:rFonts w:hint="eastAsia" w:ascii="宋体" w:hAnsi="宋体" w:cs="宋体"/>
          <w:sz w:val="24"/>
          <w:szCs w:val="24"/>
          <w:highlight w:val="none"/>
          <w:u w:val="single"/>
        </w:rPr>
        <w:t>。</w:t>
      </w:r>
    </w:p>
    <w:p w14:paraId="31DDEB77">
      <w:pPr>
        <w:pStyle w:val="2"/>
        <w:spacing w:line="380" w:lineRule="exact"/>
        <w:rPr>
          <w:rFonts w:hint="eastAsia" w:ascii="宋体" w:hAnsi="宋体" w:cs="宋体"/>
          <w:sz w:val="24"/>
          <w:szCs w:val="24"/>
          <w:highlight w:val="none"/>
        </w:rPr>
      </w:pPr>
      <w:bookmarkStart w:id="59" w:name="_Toc13712"/>
      <w:bookmarkStart w:id="60" w:name="_Toc14398"/>
      <w:bookmarkStart w:id="61" w:name="_Toc8865"/>
      <w:r>
        <w:rPr>
          <w:rFonts w:hint="eastAsia" w:ascii="宋体" w:hAnsi="宋体" w:cs="宋体"/>
          <w:sz w:val="24"/>
          <w:szCs w:val="24"/>
          <w:highlight w:val="none"/>
        </w:rPr>
        <w:t>五、询比保证金</w:t>
      </w:r>
      <w:bookmarkEnd w:id="53"/>
      <w:bookmarkEnd w:id="54"/>
      <w:bookmarkEnd w:id="55"/>
      <w:bookmarkEnd w:id="59"/>
      <w:bookmarkEnd w:id="60"/>
      <w:bookmarkEnd w:id="61"/>
    </w:p>
    <w:p w14:paraId="299EF2B9">
      <w:pPr>
        <w:spacing w:line="380" w:lineRule="exact"/>
        <w:ind w:firstLine="480" w:firstLineChars="200"/>
        <w:rPr>
          <w:rFonts w:hint="eastAsia" w:ascii="宋体" w:hAnsi="宋体" w:cs="宋体"/>
          <w:sz w:val="24"/>
          <w:szCs w:val="24"/>
          <w:highlight w:val="none"/>
        </w:rPr>
      </w:pPr>
      <w:bookmarkStart w:id="62" w:name="_Toc23972"/>
      <w:bookmarkStart w:id="63" w:name="_Toc47094766"/>
      <w:r>
        <w:rPr>
          <w:rFonts w:hint="eastAsia" w:ascii="宋体" w:hAnsi="宋体" w:cs="宋体"/>
          <w:sz w:val="24"/>
          <w:szCs w:val="24"/>
          <w:highlight w:val="none"/>
        </w:rPr>
        <w:t>1、供应商应足额交纳询比保证金人民币</w:t>
      </w:r>
      <w:r>
        <w:rPr>
          <w:rFonts w:ascii="宋体" w:hAnsi="宋体" w:cs="宋体"/>
          <w:sz w:val="24"/>
          <w:szCs w:val="24"/>
          <w:highlight w:val="none"/>
        </w:rPr>
        <w:t>：</w:t>
      </w:r>
      <w:r>
        <w:rPr>
          <w:rFonts w:hint="eastAsia" w:ascii="宋体" w:hAnsi="宋体" w:cs="宋体"/>
          <w:sz w:val="24"/>
          <w:szCs w:val="24"/>
          <w:highlight w:val="none"/>
        </w:rPr>
        <w:t>3600元（大写</w:t>
      </w:r>
      <w:r>
        <w:rPr>
          <w:rFonts w:ascii="宋体" w:hAnsi="宋体" w:cs="宋体"/>
          <w:sz w:val="24"/>
          <w:szCs w:val="24"/>
          <w:highlight w:val="none"/>
        </w:rPr>
        <w:t>：</w:t>
      </w:r>
      <w:r>
        <w:rPr>
          <w:rFonts w:hint="eastAsia" w:ascii="宋体" w:hAnsi="宋体" w:cs="宋体"/>
          <w:sz w:val="24"/>
          <w:szCs w:val="24"/>
          <w:highlight w:val="none"/>
        </w:rPr>
        <w:t>叁仟陆佰</w:t>
      </w:r>
      <w:r>
        <w:rPr>
          <w:rFonts w:ascii="宋体" w:hAnsi="宋体" w:cs="宋体"/>
          <w:sz w:val="24"/>
          <w:szCs w:val="24"/>
          <w:highlight w:val="none"/>
        </w:rPr>
        <w:t>元</w:t>
      </w:r>
      <w:r>
        <w:rPr>
          <w:rFonts w:hint="eastAsia" w:ascii="宋体" w:hAnsi="宋体" w:cs="宋体"/>
          <w:sz w:val="24"/>
          <w:szCs w:val="24"/>
          <w:highlight w:val="none"/>
        </w:rPr>
        <w:t>整），缴纳方式：银行转帐。缴纳截止时间：2025年12月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31</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日17时00分。</w:t>
      </w:r>
    </w:p>
    <w:p w14:paraId="51D2696A">
      <w:pPr>
        <w:spacing w:line="380" w:lineRule="exact"/>
        <w:ind w:firstLine="480" w:firstLineChars="200"/>
        <w:rPr>
          <w:rFonts w:hint="eastAsia" w:ascii="宋体" w:hAnsi="宋体" w:cs="宋体"/>
          <w:sz w:val="24"/>
          <w:szCs w:val="24"/>
        </w:rPr>
      </w:pPr>
      <w:r>
        <w:rPr>
          <w:rFonts w:hint="eastAsia" w:ascii="宋体" w:hAnsi="宋体" w:cs="宋体"/>
          <w:sz w:val="24"/>
          <w:szCs w:val="24"/>
          <w:highlight w:val="none"/>
        </w:rPr>
        <w:t>2、供应商自行将询比保证金单据同询比申请文件一并提交，供应商未按</w:t>
      </w:r>
      <w:r>
        <w:rPr>
          <w:rFonts w:hint="eastAsia" w:ascii="宋体" w:hAnsi="宋体" w:cs="宋体"/>
          <w:sz w:val="24"/>
          <w:szCs w:val="24"/>
        </w:rPr>
        <w:t>时足额提交招询比保证金，视为自动放弃询比。</w:t>
      </w:r>
    </w:p>
    <w:p w14:paraId="1022E8EB">
      <w:pPr>
        <w:spacing w:line="380" w:lineRule="exact"/>
        <w:ind w:firstLine="480" w:firstLineChars="200"/>
        <w:outlineLvl w:val="9"/>
        <w:rPr>
          <w:rFonts w:hint="eastAsia" w:ascii="宋体" w:hAnsi="宋体" w:cs="宋体"/>
          <w:sz w:val="24"/>
          <w:szCs w:val="24"/>
        </w:rPr>
      </w:pPr>
      <w:bookmarkStart w:id="64" w:name="_Toc22777"/>
      <w:bookmarkStart w:id="65" w:name="_Toc18482"/>
      <w:bookmarkStart w:id="66" w:name="_Toc1648"/>
      <w:bookmarkStart w:id="67" w:name="_Toc7338"/>
      <w:r>
        <w:rPr>
          <w:rFonts w:hint="eastAsia" w:ascii="宋体" w:hAnsi="宋体" w:cs="宋体"/>
          <w:sz w:val="24"/>
          <w:szCs w:val="24"/>
        </w:rPr>
        <w:t>3、询比保证金退还（不计息）：</w:t>
      </w:r>
      <w:bookmarkEnd w:id="64"/>
      <w:bookmarkEnd w:id="65"/>
      <w:bookmarkEnd w:id="66"/>
      <w:bookmarkEnd w:id="67"/>
    </w:p>
    <w:p w14:paraId="264E37F2">
      <w:pPr>
        <w:spacing w:line="400" w:lineRule="exact"/>
        <w:ind w:firstLine="480" w:firstLineChars="200"/>
        <w:rPr>
          <w:rFonts w:hint="eastAsia" w:ascii="宋体" w:hAnsi="宋体" w:cs="宋体"/>
          <w:sz w:val="24"/>
          <w:szCs w:val="24"/>
        </w:rPr>
      </w:pPr>
      <w:r>
        <w:rPr>
          <w:rFonts w:hint="eastAsia" w:ascii="宋体" w:hAnsi="宋体" w:cs="宋体"/>
          <w:sz w:val="24"/>
          <w:szCs w:val="24"/>
        </w:rPr>
        <w:t>（1）未成交单位的询比保证金，在成交通知书发放后，代理机构5个工作日内按来款渠道直接退还。</w:t>
      </w:r>
    </w:p>
    <w:bookmarkEnd w:id="13"/>
    <w:bookmarkEnd w:id="62"/>
    <w:bookmarkEnd w:id="63"/>
    <w:p w14:paraId="21C4F7B6">
      <w:pPr>
        <w:spacing w:line="400" w:lineRule="exact"/>
        <w:ind w:firstLine="480" w:firstLineChars="200"/>
        <w:rPr>
          <w:rFonts w:hint="eastAsia" w:ascii="宋体" w:hAnsi="宋体" w:cs="宋体"/>
          <w:sz w:val="24"/>
          <w:szCs w:val="24"/>
        </w:rPr>
      </w:pPr>
      <w:bookmarkStart w:id="68" w:name="_Toc19057"/>
      <w:bookmarkStart w:id="69" w:name="_Toc11942"/>
      <w:bookmarkStart w:id="70" w:name="_Toc10769"/>
      <w:bookmarkStart w:id="71" w:name="_Toc26922"/>
      <w:bookmarkStart w:id="72" w:name="_Toc47094767"/>
      <w:r>
        <w:rPr>
          <w:rFonts w:hint="eastAsia" w:ascii="宋体" w:hAnsi="宋体" w:cs="宋体"/>
          <w:sz w:val="24"/>
          <w:szCs w:val="24"/>
        </w:rPr>
        <w:t>（2）成交供应商的询比保证金，在成交供应商与采购人签订合同后，代理机构10日内按资金来款渠道直接退还。</w:t>
      </w:r>
    </w:p>
    <w:p w14:paraId="1C5FCED2">
      <w:pPr>
        <w:pStyle w:val="2"/>
        <w:spacing w:line="380" w:lineRule="exact"/>
        <w:rPr>
          <w:rFonts w:hint="eastAsia" w:ascii="宋体" w:hAnsi="宋体" w:cs="宋体"/>
          <w:sz w:val="24"/>
          <w:szCs w:val="24"/>
        </w:rPr>
      </w:pPr>
      <w:bookmarkStart w:id="73" w:name="_Toc4043"/>
      <w:r>
        <w:rPr>
          <w:rFonts w:hint="eastAsia" w:ascii="宋体" w:hAnsi="宋体" w:cs="宋体"/>
          <w:sz w:val="24"/>
          <w:szCs w:val="24"/>
        </w:rPr>
        <w:t>六、</w:t>
      </w:r>
      <w:bookmarkEnd w:id="68"/>
      <w:bookmarkEnd w:id="69"/>
      <w:bookmarkEnd w:id="70"/>
      <w:bookmarkEnd w:id="73"/>
      <w:r>
        <w:rPr>
          <w:rFonts w:hint="eastAsia" w:ascii="宋体" w:hAnsi="宋体" w:cs="宋体"/>
          <w:sz w:val="24"/>
          <w:szCs w:val="24"/>
        </w:rPr>
        <w:t>采购代理服务费</w:t>
      </w:r>
    </w:p>
    <w:p w14:paraId="228E0FA1">
      <w:pPr>
        <w:spacing w:line="380" w:lineRule="exact"/>
        <w:ind w:firstLine="480" w:firstLineChars="200"/>
        <w:rPr>
          <w:rFonts w:hint="eastAsia" w:ascii="宋体" w:hAnsi="宋体" w:cs="宋体"/>
          <w:sz w:val="24"/>
          <w:szCs w:val="24"/>
        </w:rPr>
      </w:pPr>
      <w:r>
        <w:rPr>
          <w:rFonts w:hint="eastAsia" w:ascii="宋体" w:hAnsi="宋体" w:cs="宋体"/>
          <w:sz w:val="24"/>
          <w:szCs w:val="24"/>
        </w:rPr>
        <w:t>固定金额收取，金额3500元。由成交供应商领取成交通知书时一次性支付给代理机构。</w:t>
      </w:r>
    </w:p>
    <w:p w14:paraId="3EFA55F3">
      <w:pPr>
        <w:spacing w:line="380" w:lineRule="exact"/>
        <w:ind w:firstLine="480" w:firstLineChars="200"/>
        <w:rPr>
          <w:rFonts w:hint="eastAsia" w:ascii="宋体" w:hAnsi="宋体" w:cs="宋体"/>
          <w:sz w:val="24"/>
          <w:szCs w:val="24"/>
        </w:rPr>
      </w:pPr>
      <w:r>
        <w:rPr>
          <w:rFonts w:hint="eastAsia" w:ascii="宋体" w:hAnsi="宋体" w:cs="宋体"/>
          <w:sz w:val="24"/>
          <w:szCs w:val="24"/>
        </w:rPr>
        <w:t>询比保证金、采购文件购买费及采购相关费用缴纳账户：</w:t>
      </w:r>
    </w:p>
    <w:p w14:paraId="24C0298A">
      <w:pPr>
        <w:spacing w:line="400" w:lineRule="exact"/>
        <w:ind w:firstLine="480" w:firstLineChars="200"/>
        <w:rPr>
          <w:rFonts w:hint="eastAsia" w:ascii="宋体" w:hAnsi="宋体" w:cs="宋体"/>
          <w:sz w:val="24"/>
        </w:rPr>
      </w:pPr>
      <w:r>
        <w:rPr>
          <w:rFonts w:hint="eastAsia" w:ascii="宋体" w:hAnsi="宋体" w:cs="宋体"/>
          <w:sz w:val="24"/>
        </w:rPr>
        <w:t>开户名称：重庆星佩企业管理咨询有限公司</w:t>
      </w:r>
    </w:p>
    <w:p w14:paraId="7B0659F0">
      <w:pPr>
        <w:spacing w:line="400" w:lineRule="exact"/>
        <w:ind w:firstLine="480" w:firstLineChars="200"/>
        <w:rPr>
          <w:rFonts w:hint="eastAsia" w:ascii="宋体" w:hAnsi="宋体" w:cs="宋体"/>
          <w:sz w:val="24"/>
        </w:rPr>
      </w:pPr>
      <w:r>
        <w:rPr>
          <w:rFonts w:hint="eastAsia" w:ascii="宋体" w:hAnsi="宋体" w:cs="宋体"/>
          <w:sz w:val="24"/>
        </w:rPr>
        <w:t>开户行：中国银行股份有限公司重庆洋河支行</w:t>
      </w:r>
    </w:p>
    <w:p w14:paraId="3DB53EFA">
      <w:pPr>
        <w:spacing w:line="380" w:lineRule="exact"/>
        <w:ind w:firstLine="480" w:firstLineChars="200"/>
        <w:rPr>
          <w:rFonts w:hint="eastAsia" w:ascii="宋体" w:hAnsi="宋体" w:cs="宋体"/>
          <w:sz w:val="24"/>
          <w:szCs w:val="24"/>
        </w:rPr>
      </w:pPr>
      <w:r>
        <w:rPr>
          <w:rFonts w:hint="eastAsia" w:ascii="宋体" w:hAnsi="宋体" w:cs="宋体"/>
          <w:sz w:val="24"/>
        </w:rPr>
        <w:t>账号：110273473234</w:t>
      </w:r>
    </w:p>
    <w:p w14:paraId="6D3DE126">
      <w:pPr>
        <w:pStyle w:val="2"/>
        <w:spacing w:line="380" w:lineRule="exact"/>
        <w:rPr>
          <w:rFonts w:hint="eastAsia" w:ascii="宋体" w:hAnsi="宋体" w:cs="宋体"/>
          <w:sz w:val="24"/>
          <w:szCs w:val="24"/>
        </w:rPr>
      </w:pPr>
      <w:bookmarkStart w:id="74" w:name="_Toc27432"/>
      <w:bookmarkStart w:id="75" w:name="_Toc9019"/>
      <w:bookmarkStart w:id="76" w:name="_Toc30964"/>
      <w:r>
        <w:rPr>
          <w:rFonts w:hint="eastAsia" w:ascii="宋体" w:hAnsi="宋体" w:cs="宋体"/>
          <w:sz w:val="24"/>
          <w:szCs w:val="24"/>
        </w:rPr>
        <w:t>七、联系方式</w:t>
      </w:r>
      <w:bookmarkEnd w:id="71"/>
      <w:bookmarkEnd w:id="72"/>
      <w:bookmarkEnd w:id="74"/>
      <w:bookmarkEnd w:id="75"/>
      <w:bookmarkEnd w:id="76"/>
    </w:p>
    <w:p w14:paraId="79F350F5">
      <w:pPr>
        <w:snapToGrid w:val="0"/>
        <w:spacing w:line="380" w:lineRule="exact"/>
        <w:ind w:firstLine="480" w:firstLineChars="200"/>
        <w:rPr>
          <w:rFonts w:hint="eastAsia" w:ascii="宋体" w:hAnsi="宋体" w:cs="宋体"/>
          <w:sz w:val="24"/>
          <w:szCs w:val="24"/>
        </w:rPr>
      </w:pPr>
      <w:bookmarkStart w:id="77" w:name="_Toc29063"/>
      <w:bookmarkStart w:id="78" w:name="_Toc4894"/>
      <w:bookmarkStart w:id="79" w:name="_Toc6584"/>
      <w:bookmarkStart w:id="80" w:name="_Toc22296"/>
      <w:r>
        <w:rPr>
          <w:rFonts w:hint="eastAsia" w:ascii="宋体" w:hAnsi="宋体" w:cs="宋体"/>
          <w:sz w:val="24"/>
          <w:szCs w:val="24"/>
        </w:rPr>
        <w:t>（一）</w:t>
      </w:r>
      <w:bookmarkEnd w:id="77"/>
      <w:bookmarkEnd w:id="78"/>
      <w:bookmarkEnd w:id="79"/>
      <w:bookmarkEnd w:id="80"/>
      <w:r>
        <w:rPr>
          <w:rFonts w:hint="eastAsia" w:ascii="宋体" w:hAnsi="宋体" w:cs="宋体"/>
          <w:sz w:val="24"/>
          <w:szCs w:val="24"/>
        </w:rPr>
        <w:t>采购人：荣昌银科大厦电梯更换筹备组</w:t>
      </w:r>
      <w:r>
        <w:rPr>
          <w:rFonts w:hint="eastAsia" w:ascii="宋体" w:hAnsi="宋体" w:cs="宋体"/>
          <w:sz w:val="24"/>
          <w:szCs w:val="24"/>
        </w:rPr>
        <w:tab/>
      </w:r>
    </w:p>
    <w:p w14:paraId="0675C569">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联系人：吕老师</w:t>
      </w:r>
    </w:p>
    <w:p w14:paraId="6F23111A">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电  话：13896096522</w:t>
      </w:r>
    </w:p>
    <w:p w14:paraId="2F5408FC">
      <w:pPr>
        <w:snapToGrid w:val="0"/>
        <w:spacing w:line="380" w:lineRule="exact"/>
        <w:ind w:firstLine="480" w:firstLineChars="200"/>
        <w:outlineLvl w:val="9"/>
        <w:rPr>
          <w:rFonts w:hint="eastAsia" w:ascii="宋体" w:hAnsi="宋体" w:cs="宋体"/>
          <w:sz w:val="24"/>
          <w:szCs w:val="24"/>
        </w:rPr>
      </w:pPr>
      <w:bookmarkStart w:id="81" w:name="_Toc28511"/>
      <w:bookmarkStart w:id="82" w:name="_Toc21457"/>
      <w:bookmarkStart w:id="83" w:name="_Toc31665"/>
      <w:bookmarkStart w:id="84" w:name="_Toc12533"/>
      <w:r>
        <w:rPr>
          <w:rFonts w:hint="eastAsia" w:ascii="宋体" w:hAnsi="宋体" w:cs="宋体"/>
          <w:sz w:val="24"/>
          <w:szCs w:val="24"/>
        </w:rPr>
        <w:t>（二）采购代理机构：</w:t>
      </w:r>
      <w:bookmarkEnd w:id="81"/>
      <w:bookmarkEnd w:id="82"/>
      <w:bookmarkEnd w:id="83"/>
      <w:bookmarkEnd w:id="84"/>
      <w:r>
        <w:rPr>
          <w:rFonts w:hint="eastAsia" w:ascii="宋体" w:hAnsi="宋体" w:cs="宋体"/>
          <w:sz w:val="24"/>
          <w:szCs w:val="24"/>
        </w:rPr>
        <w:t>重庆星佩企业管理咨询有限公司</w:t>
      </w:r>
    </w:p>
    <w:p w14:paraId="45E96CCF">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联系人：杨老师</w:t>
      </w:r>
    </w:p>
    <w:p w14:paraId="2700230F">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电  话：15923301437</w:t>
      </w:r>
    </w:p>
    <w:p w14:paraId="5A683143">
      <w:r>
        <w:rPr>
          <w:rFonts w:hint="eastAsia" w:ascii="宋体" w:hAnsi="宋体" w:cs="宋体"/>
          <w:sz w:val="24"/>
          <w:szCs w:val="24"/>
        </w:rPr>
        <w:t>地  址：重庆市渝中区双钢路3号19楼1901号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4"/>
    <w:multiLevelType w:val="singleLevel"/>
    <w:tmpl w:val="00000004"/>
    <w:lvl w:ilvl="0" w:tentative="0">
      <w:start w:val="3"/>
      <w:numFmt w:val="decimal"/>
      <w:suff w:val="nothing"/>
      <w:lvlText w:val="（%1）"/>
      <w:lvlJc w:val="left"/>
    </w:lvl>
  </w:abstractNum>
  <w:abstractNum w:abstractNumId="2">
    <w:nsid w:val="22C64E3F"/>
    <w:multiLevelType w:val="singleLevel"/>
    <w:tmpl w:val="22C64E3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200DC"/>
    <w:rsid w:val="7392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3"/>
    <w:basedOn w:val="1"/>
    <w:next w:val="1"/>
    <w:qFormat/>
    <w:uiPriority w:val="0"/>
    <w:pPr>
      <w:keepNext/>
      <w:keepLines/>
      <w:spacing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paragraph" w:styleId="4">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2016</Words>
  <Characters>2159</Characters>
  <Lines>0</Lines>
  <Paragraphs>0</Paragraphs>
  <TotalTime>0</TotalTime>
  <ScaleCrop>false</ScaleCrop>
  <LinksUpToDate>false</LinksUpToDate>
  <CharactersWithSpaces>2186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2025-12-25T13:27:00Z</dcterms:created>
  <dc:creator>Lenovo</dc:creator>
  <cp:lastModifiedBy>小燕子</cp:lastModifiedBy>
  <dcterms:modified xsi:type="dcterms:W3CDTF">2025-12-25T13:43:52Z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eyJoZGlkIjoiMGM5OGI4OWE5NjkxNzMwNzRlMTUwZjRjMTBjOWVmMmEiLCJ1c2VySWQiOiI0NDcxNzc4ODYifQ==</vt:lpwstr>
  </property>
  <property fmtid="{D5CDD505-2E9C-101B-9397-08002B2CF9AE}" pid="4" name="ICV">
    <vt:lpwstr>79A5898194774570854573E910AED0A6_12</vt:lpwstr>
  </property>
</Properties>
</file>