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489FB">
      <w:pPr>
        <w:pStyle w:val="23"/>
        <w:spacing w:line="240" w:lineRule="auto"/>
        <w:ind w:left="0"/>
        <w:jc w:val="center"/>
        <w:rPr>
          <w:rFonts w:hint="eastAsia" w:ascii="宋体" w:hAnsi="宋体" w:eastAsia="宋体" w:cs="宋体"/>
          <w:color w:val="auto"/>
          <w:sz w:val="60"/>
          <w:szCs w:val="60"/>
          <w:highlight w:val="none"/>
        </w:rPr>
      </w:pPr>
      <w:bookmarkStart w:id="0" w:name="_Toc1828"/>
      <w:bookmarkStart w:id="1" w:name="_Toc21122"/>
      <w:bookmarkStart w:id="2" w:name="_Toc136879793"/>
      <w:bookmarkStart w:id="3" w:name="_Toc136879882"/>
      <w:bookmarkStart w:id="4" w:name="_Toc16015"/>
      <w:bookmarkStart w:id="5" w:name="_Toc23648"/>
      <w:bookmarkStart w:id="6" w:name="_Toc31915"/>
      <w:bookmarkStart w:id="7" w:name="_Toc3073"/>
      <w:bookmarkStart w:id="8" w:name="_Toc20816"/>
      <w:bookmarkStart w:id="9" w:name="_Toc21750"/>
      <w:bookmarkStart w:id="10" w:name="_Toc30901"/>
      <w:bookmarkStart w:id="11" w:name="_Toc12923"/>
      <w:bookmarkStart w:id="12" w:name="_Toc136880102"/>
      <w:bookmarkStart w:id="13" w:name="_Toc136879634"/>
      <w:bookmarkStart w:id="14" w:name="_Toc1514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30DB34C">
      <w:pPr>
        <w:pStyle w:val="23"/>
        <w:spacing w:line="240" w:lineRule="auto"/>
        <w:ind w:left="0"/>
        <w:jc w:val="center"/>
        <w:rPr>
          <w:rFonts w:hint="eastAsia" w:ascii="宋体" w:hAnsi="宋体" w:eastAsia="宋体" w:cs="宋体"/>
          <w:color w:val="auto"/>
          <w:sz w:val="60"/>
          <w:szCs w:val="60"/>
          <w:highlight w:val="none"/>
        </w:rPr>
      </w:pPr>
      <w:r>
        <w:rPr>
          <w:rFonts w:hint="eastAsia" w:ascii="宋体" w:hAnsi="宋体" w:eastAsia="宋体" w:cs="宋体"/>
          <w:color w:val="auto"/>
          <w:sz w:val="60"/>
          <w:szCs w:val="60"/>
          <w:highlight w:val="none"/>
          <w:lang w:eastAsia="zh-CN"/>
        </w:rPr>
        <w:t>小额交易平台</w:t>
      </w:r>
      <w:bookmarkStart w:id="15" w:name="_Toc5958"/>
      <w:bookmarkStart w:id="16" w:name="_Toc16319"/>
      <w:bookmarkStart w:id="17" w:name="_Toc25539"/>
      <w:bookmarkStart w:id="18" w:name="_Toc136880103"/>
      <w:bookmarkStart w:id="19" w:name="_Toc136879794"/>
      <w:bookmarkStart w:id="20" w:name="_Toc31652"/>
      <w:bookmarkStart w:id="21" w:name="_Toc136879635"/>
      <w:bookmarkStart w:id="22" w:name="_Toc28014"/>
      <w:bookmarkStart w:id="23" w:name="_Toc156"/>
      <w:bookmarkStart w:id="24" w:name="_Toc5521"/>
      <w:bookmarkStart w:id="25" w:name="_Toc21695"/>
      <w:bookmarkStart w:id="26" w:name="_Toc6223"/>
      <w:bookmarkStart w:id="27" w:name="_Toc12859"/>
      <w:bookmarkStart w:id="28" w:name="_Toc7828"/>
      <w:bookmarkStart w:id="29" w:name="_Toc136879883"/>
      <w:r>
        <w:rPr>
          <w:rFonts w:hint="eastAsia" w:ascii="宋体" w:hAnsi="宋体" w:cs="宋体"/>
          <w:color w:val="auto"/>
          <w:sz w:val="60"/>
          <w:szCs w:val="60"/>
          <w:highlight w:val="none"/>
          <w:lang w:val="en-US" w:eastAsia="zh-CN"/>
        </w:rPr>
        <w:t>竞争性</w:t>
      </w:r>
      <w:r>
        <w:rPr>
          <w:rFonts w:hint="eastAsia" w:ascii="宋体" w:hAnsi="宋体" w:cs="宋体"/>
          <w:color w:val="auto"/>
          <w:sz w:val="60"/>
          <w:szCs w:val="60"/>
          <w:highlight w:val="none"/>
          <w:lang w:eastAsia="zh-CN"/>
        </w:rPr>
        <w:t>谈判</w:t>
      </w:r>
      <w:r>
        <w:rPr>
          <w:rFonts w:hint="eastAsia" w:ascii="宋体" w:hAnsi="宋体" w:eastAsia="宋体" w:cs="宋体"/>
          <w:color w:val="auto"/>
          <w:sz w:val="60"/>
          <w:szCs w:val="60"/>
          <w:highlight w:val="none"/>
        </w:rPr>
        <w:t>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BC67EC6">
      <w:pPr>
        <w:pStyle w:val="23"/>
        <w:spacing w:line="240" w:lineRule="auto"/>
        <w:ind w:left="0"/>
        <w:jc w:val="center"/>
        <w:rPr>
          <w:rFonts w:hint="eastAsia" w:ascii="宋体" w:hAnsi="宋体" w:eastAsia="宋体" w:cs="宋体"/>
          <w:color w:val="auto"/>
          <w:sz w:val="80"/>
          <w:szCs w:val="80"/>
          <w:highlight w:val="none"/>
        </w:rPr>
      </w:pPr>
    </w:p>
    <w:p w14:paraId="579DA3B7">
      <w:pPr>
        <w:pStyle w:val="23"/>
        <w:spacing w:line="500" w:lineRule="exact"/>
        <w:ind w:left="0"/>
        <w:rPr>
          <w:rFonts w:hint="eastAsia" w:ascii="宋体" w:hAnsi="宋体" w:eastAsia="宋体" w:cs="宋体"/>
          <w:color w:val="auto"/>
          <w:sz w:val="32"/>
          <w:highlight w:val="none"/>
        </w:rPr>
      </w:pPr>
    </w:p>
    <w:p w14:paraId="6A431E99">
      <w:pPr>
        <w:pStyle w:val="23"/>
        <w:spacing w:line="500" w:lineRule="exact"/>
        <w:ind w:left="0"/>
        <w:rPr>
          <w:rFonts w:hint="eastAsia" w:ascii="宋体" w:hAnsi="宋体" w:eastAsia="宋体" w:cs="宋体"/>
          <w:color w:val="auto"/>
          <w:sz w:val="52"/>
          <w:szCs w:val="52"/>
          <w:highlight w:val="none"/>
        </w:rPr>
      </w:pPr>
    </w:p>
    <w:p w14:paraId="202D6055">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393A0B45">
      <w:pPr>
        <w:pStyle w:val="23"/>
        <w:spacing w:line="500" w:lineRule="exact"/>
        <w:ind w:left="0"/>
        <w:rPr>
          <w:rFonts w:hint="eastAsia" w:ascii="宋体" w:hAnsi="宋体" w:eastAsia="宋体" w:cs="宋体"/>
          <w:color w:val="auto"/>
          <w:sz w:val="32"/>
          <w:highlight w:val="none"/>
        </w:rPr>
      </w:pPr>
    </w:p>
    <w:p w14:paraId="6024C4F5">
      <w:pPr>
        <w:pStyle w:val="23"/>
        <w:spacing w:line="500" w:lineRule="exact"/>
        <w:ind w:left="0"/>
        <w:jc w:val="center"/>
        <w:rPr>
          <w:rFonts w:hint="eastAsia" w:ascii="宋体" w:hAnsi="宋体" w:eastAsia="宋体" w:cs="宋体"/>
          <w:color w:val="auto"/>
          <w:sz w:val="32"/>
          <w:highlight w:val="none"/>
        </w:rPr>
      </w:pPr>
    </w:p>
    <w:p w14:paraId="7B9D2F8D">
      <w:pPr>
        <w:spacing w:line="500" w:lineRule="exact"/>
        <w:jc w:val="center"/>
        <w:outlineLvl w:val="0"/>
        <w:rPr>
          <w:rFonts w:hint="eastAsia" w:ascii="宋体" w:hAnsi="宋体" w:eastAsia="宋体" w:cs="宋体"/>
          <w:color w:val="auto"/>
          <w:sz w:val="3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秀山土家族苗族自治县人民医院</w:t>
      </w:r>
      <w:r>
        <w:rPr>
          <w:rFonts w:hint="eastAsia" w:ascii="宋体" w:hAnsi="宋体" w:eastAsia="宋体" w:cs="宋体"/>
          <w:color w:val="auto"/>
          <w:sz w:val="32"/>
          <w:highlight w:val="none"/>
          <w:lang w:val="en-US" w:eastAsia="zh-CN"/>
        </w:rPr>
        <w:t>服装采购</w:t>
      </w:r>
    </w:p>
    <w:p w14:paraId="1AC0B155">
      <w:pPr>
        <w:pStyle w:val="23"/>
        <w:spacing w:line="500" w:lineRule="exact"/>
        <w:ind w:left="0"/>
        <w:jc w:val="center"/>
        <w:rPr>
          <w:rFonts w:hint="eastAsia" w:ascii="宋体" w:hAnsi="宋体" w:eastAsia="宋体" w:cs="宋体"/>
          <w:color w:val="auto"/>
          <w:sz w:val="32"/>
          <w:highlight w:val="none"/>
        </w:rPr>
      </w:pPr>
    </w:p>
    <w:p w14:paraId="08E82CDD">
      <w:pPr>
        <w:pStyle w:val="23"/>
        <w:spacing w:line="500" w:lineRule="exact"/>
        <w:ind w:left="0"/>
        <w:jc w:val="center"/>
        <w:rPr>
          <w:rFonts w:hint="eastAsia" w:ascii="宋体" w:hAnsi="宋体" w:eastAsia="宋体" w:cs="宋体"/>
          <w:color w:val="auto"/>
          <w:sz w:val="32"/>
          <w:highlight w:val="none"/>
        </w:rPr>
      </w:pPr>
    </w:p>
    <w:p w14:paraId="2F707D56">
      <w:pPr>
        <w:pStyle w:val="4"/>
        <w:rPr>
          <w:rFonts w:hint="eastAsia" w:ascii="宋体" w:hAnsi="宋体" w:eastAsia="宋体" w:cs="宋体"/>
          <w:color w:val="auto"/>
          <w:highlight w:val="none"/>
        </w:rPr>
      </w:pPr>
    </w:p>
    <w:p w14:paraId="31478E40">
      <w:pPr>
        <w:rPr>
          <w:rFonts w:hint="eastAsia" w:ascii="宋体" w:hAnsi="宋体" w:eastAsia="宋体" w:cs="宋体"/>
          <w:color w:val="auto"/>
          <w:highlight w:val="none"/>
        </w:rPr>
      </w:pPr>
    </w:p>
    <w:p w14:paraId="5DAD0B34">
      <w:pPr>
        <w:rPr>
          <w:rFonts w:hint="eastAsia" w:ascii="宋体" w:hAnsi="宋体" w:eastAsia="宋体" w:cs="宋体"/>
          <w:color w:val="auto"/>
          <w:highlight w:val="none"/>
        </w:rPr>
      </w:pPr>
    </w:p>
    <w:p w14:paraId="6C1FBD79">
      <w:pPr>
        <w:rPr>
          <w:rFonts w:hint="eastAsia" w:ascii="宋体" w:hAnsi="宋体" w:eastAsia="宋体" w:cs="宋体"/>
          <w:color w:val="auto"/>
          <w:highlight w:val="none"/>
        </w:rPr>
      </w:pPr>
    </w:p>
    <w:p w14:paraId="187B64A4">
      <w:pPr>
        <w:rPr>
          <w:rFonts w:hint="eastAsia" w:ascii="宋体" w:hAnsi="宋体" w:eastAsia="宋体" w:cs="宋体"/>
          <w:color w:val="auto"/>
          <w:highlight w:val="none"/>
        </w:rPr>
      </w:pPr>
    </w:p>
    <w:p w14:paraId="66B8A83C">
      <w:pPr>
        <w:rPr>
          <w:rFonts w:hint="eastAsia" w:ascii="宋体" w:hAnsi="宋体" w:eastAsia="宋体" w:cs="宋体"/>
          <w:color w:val="auto"/>
          <w:highlight w:val="none"/>
        </w:rPr>
      </w:pPr>
    </w:p>
    <w:p w14:paraId="6006DED3">
      <w:pPr>
        <w:pStyle w:val="23"/>
        <w:spacing w:line="500" w:lineRule="exact"/>
        <w:ind w:left="0" w:firstLine="1280" w:firstLineChars="400"/>
        <w:jc w:val="left"/>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秀山土家族苗族自治县人民医院</w:t>
      </w:r>
    </w:p>
    <w:p w14:paraId="32044AF6">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eastAsia="宋体" w:cs="宋体"/>
          <w:color w:val="auto"/>
          <w:sz w:val="32"/>
          <w:highlight w:val="none"/>
          <w:lang w:eastAsia="zh-CN"/>
        </w:rPr>
        <w:t>重庆千诺工程项目管理有限公司</w:t>
      </w:r>
    </w:p>
    <w:p w14:paraId="3E81C83C">
      <w:pPr>
        <w:pStyle w:val="22"/>
        <w:rPr>
          <w:rFonts w:hint="eastAsia" w:ascii="宋体" w:hAnsi="宋体" w:eastAsia="宋体" w:cs="宋体"/>
          <w:color w:val="auto"/>
          <w:highlight w:val="none"/>
        </w:rPr>
      </w:pPr>
    </w:p>
    <w:p w14:paraId="33A9C097">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月</w:t>
      </w:r>
    </w:p>
    <w:p w14:paraId="2614F5DE">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56BF87EC">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0E3D517A">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第一篇竞争性谈判邀请书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10DBF1">
      <w:pPr>
        <w:pStyle w:val="30"/>
        <w:tabs>
          <w:tab w:val="right" w:leader="dot" w:pos="9412"/>
        </w:tabs>
        <w:ind w:left="1120"/>
        <w:rPr>
          <w:rFonts w:hint="eastAsia" w:ascii="宋体" w:hAnsi="宋体" w:eastAsia="宋体" w:cs="宋体"/>
          <w:color w:val="auto"/>
          <w:highlight w:val="none"/>
        </w:rPr>
      </w:pPr>
    </w:p>
    <w:p w14:paraId="3045E26E">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w:t>
      </w:r>
      <w:r>
        <w:rPr>
          <w:rFonts w:hint="eastAsia" w:ascii="宋体" w:hAnsi="宋体" w:cs="宋体"/>
          <w:bCs/>
          <w:color w:val="auto"/>
          <w:szCs w:val="30"/>
          <w:highlight w:val="none"/>
          <w:lang w:val="en-US" w:eastAsia="zh-CN"/>
        </w:rPr>
        <w:t>谈判</w:t>
      </w:r>
      <w:r>
        <w:rPr>
          <w:rFonts w:hint="eastAsia" w:ascii="宋体" w:hAnsi="宋体" w:eastAsia="宋体" w:cs="宋体"/>
          <w:bCs/>
          <w:color w:val="auto"/>
          <w:szCs w:val="30"/>
          <w:highlight w:val="none"/>
        </w:rPr>
        <w:t>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CD37D2">
      <w:pPr>
        <w:pStyle w:val="48"/>
        <w:tabs>
          <w:tab w:val="right" w:leader="dot" w:pos="9412"/>
        </w:tabs>
        <w:ind w:left="560"/>
        <w:rPr>
          <w:rFonts w:hint="eastAsia" w:ascii="宋体" w:hAnsi="宋体" w:eastAsia="宋体" w:cs="宋体"/>
          <w:color w:val="auto"/>
          <w:highlight w:val="none"/>
        </w:rPr>
      </w:pPr>
    </w:p>
    <w:p w14:paraId="54CE6FC4">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w:t>
      </w:r>
      <w:r>
        <w:rPr>
          <w:rFonts w:hint="eastAsia" w:ascii="宋体" w:hAnsi="宋体" w:cs="宋体"/>
          <w:color w:val="auto"/>
          <w:szCs w:val="30"/>
          <w:highlight w:val="none"/>
          <w:lang w:val="en-US" w:eastAsia="zh-CN"/>
        </w:rPr>
        <w:t>谈判</w:t>
      </w:r>
      <w:r>
        <w:rPr>
          <w:rFonts w:hint="eastAsia" w:ascii="宋体" w:hAnsi="宋体" w:eastAsia="宋体" w:cs="宋体"/>
          <w:color w:val="auto"/>
          <w:szCs w:val="30"/>
          <w:highlight w:val="none"/>
        </w:rPr>
        <w:t>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1191CAC">
      <w:pPr>
        <w:pStyle w:val="48"/>
        <w:tabs>
          <w:tab w:val="right" w:leader="dot" w:pos="9412"/>
        </w:tabs>
        <w:ind w:left="560"/>
        <w:rPr>
          <w:rFonts w:hint="eastAsia" w:ascii="宋体" w:hAnsi="宋体" w:eastAsia="宋体" w:cs="宋体"/>
          <w:color w:val="auto"/>
          <w:highlight w:val="none"/>
        </w:rPr>
      </w:pPr>
    </w:p>
    <w:p w14:paraId="405D1A0B">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w:t>
      </w:r>
      <w:r>
        <w:rPr>
          <w:rFonts w:hint="eastAsia" w:ascii="宋体" w:hAnsi="宋体" w:cs="宋体"/>
          <w:bCs/>
          <w:color w:val="auto"/>
          <w:spacing w:val="-11"/>
          <w:szCs w:val="30"/>
          <w:highlight w:val="none"/>
          <w:lang w:eastAsia="zh-CN"/>
        </w:rPr>
        <w:t>谈判</w:t>
      </w:r>
      <w:r>
        <w:rPr>
          <w:rFonts w:hint="eastAsia" w:ascii="宋体" w:hAnsi="宋体" w:eastAsia="宋体" w:cs="宋体"/>
          <w:bCs/>
          <w:color w:val="auto"/>
          <w:spacing w:val="-11"/>
          <w:szCs w:val="30"/>
          <w:highlight w:val="none"/>
        </w:rPr>
        <w:t>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B4731E">
      <w:pPr>
        <w:pStyle w:val="30"/>
        <w:tabs>
          <w:tab w:val="right" w:leader="dot" w:pos="9412"/>
        </w:tabs>
        <w:ind w:left="1120"/>
        <w:rPr>
          <w:rFonts w:hint="eastAsia" w:ascii="宋体" w:hAnsi="宋体" w:eastAsia="宋体" w:cs="宋体"/>
          <w:color w:val="auto"/>
          <w:highlight w:val="none"/>
        </w:rPr>
      </w:pPr>
    </w:p>
    <w:p w14:paraId="666D06D7">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1C5C0A">
      <w:pPr>
        <w:pStyle w:val="30"/>
        <w:tabs>
          <w:tab w:val="right" w:leader="dot" w:pos="9412"/>
        </w:tabs>
        <w:ind w:left="1120"/>
        <w:rPr>
          <w:rFonts w:hint="eastAsia" w:ascii="宋体" w:hAnsi="宋体" w:eastAsia="宋体" w:cs="宋体"/>
          <w:color w:val="auto"/>
          <w:highlight w:val="none"/>
        </w:rPr>
      </w:pPr>
    </w:p>
    <w:p w14:paraId="5922ECE0">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9E665C">
      <w:pPr>
        <w:rPr>
          <w:rFonts w:hint="eastAsia" w:ascii="宋体" w:hAnsi="宋体" w:eastAsia="宋体" w:cs="宋体"/>
          <w:highlight w:val="none"/>
        </w:rPr>
      </w:pPr>
    </w:p>
    <w:p w14:paraId="144DCF33">
      <w:pPr>
        <w:ind w:firstLine="560" w:firstLineChars="200"/>
        <w:rPr>
          <w:rFonts w:hint="eastAsia" w:ascii="宋体" w:hAnsi="宋体" w:eastAsia="宋体" w:cs="宋体"/>
          <w:color w:val="auto"/>
          <w:kern w:val="2"/>
          <w:sz w:val="28"/>
          <w:szCs w:val="30"/>
          <w:highlight w:val="none"/>
          <w:lang w:val="en-US" w:eastAsia="zh-CN" w:bidi="ar-SA"/>
        </w:rPr>
      </w:pPr>
      <w:r>
        <w:rPr>
          <w:rFonts w:hint="eastAsia" w:ascii="宋体" w:hAnsi="宋体" w:eastAsia="宋体" w:cs="宋体"/>
          <w:color w:val="auto"/>
          <w:kern w:val="2"/>
          <w:sz w:val="28"/>
          <w:szCs w:val="30"/>
          <w:highlight w:val="none"/>
          <w:lang w:val="en-US" w:eastAsia="zh-CN" w:bidi="ar-SA"/>
        </w:rPr>
        <w:t>第七篇响应文件编制要求.......................................48</w:t>
      </w:r>
    </w:p>
    <w:p w14:paraId="4E649E4B">
      <w:pPr>
        <w:rPr>
          <w:rFonts w:hint="eastAsia" w:ascii="宋体" w:hAnsi="宋体" w:eastAsia="宋体" w:cs="宋体"/>
          <w:highlight w:val="none"/>
        </w:rPr>
      </w:pPr>
    </w:p>
    <w:p w14:paraId="45B6DA62">
      <w:pPr>
        <w:pStyle w:val="30"/>
        <w:tabs>
          <w:tab w:val="right" w:leader="dot" w:pos="9412"/>
        </w:tabs>
        <w:ind w:left="1120"/>
        <w:rPr>
          <w:rFonts w:hint="eastAsia" w:ascii="宋体" w:hAnsi="宋体" w:eastAsia="宋体" w:cs="宋体"/>
          <w:color w:val="auto"/>
          <w:highlight w:val="none"/>
        </w:rPr>
      </w:pPr>
    </w:p>
    <w:p w14:paraId="25FCD9AB">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148D8934">
      <w:pPr>
        <w:pStyle w:val="3"/>
        <w:spacing w:line="360" w:lineRule="auto"/>
        <w:jc w:val="center"/>
        <w:rPr>
          <w:rFonts w:hint="eastAsia" w:ascii="宋体" w:hAnsi="宋体" w:eastAsia="宋体" w:cs="宋体"/>
          <w:bCs/>
          <w:color w:val="auto"/>
          <w:szCs w:val="30"/>
          <w:highlight w:val="none"/>
        </w:rPr>
      </w:pPr>
      <w:bookmarkStart w:id="30" w:name="_Toc11641050"/>
      <w:bookmarkStart w:id="31" w:name="_Toc12789052"/>
      <w:bookmarkStart w:id="32" w:name="_Toc21521"/>
      <w:r>
        <w:rPr>
          <w:rFonts w:hint="eastAsia" w:ascii="宋体" w:hAnsi="宋体" w:eastAsia="宋体" w:cs="宋体"/>
          <w:bCs/>
          <w:color w:val="auto"/>
          <w:sz w:val="36"/>
          <w:szCs w:val="30"/>
          <w:highlight w:val="none"/>
        </w:rPr>
        <w:t>第一篇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竞争性</w:t>
      </w:r>
      <w:r>
        <w:rPr>
          <w:rFonts w:hint="eastAsia" w:ascii="宋体" w:hAnsi="宋体" w:eastAsia="宋体" w:cs="宋体"/>
          <w:bCs/>
          <w:color w:val="auto"/>
          <w:sz w:val="36"/>
          <w:szCs w:val="30"/>
          <w:highlight w:val="none"/>
          <w:lang w:val="en-US" w:eastAsia="zh-CN"/>
        </w:rPr>
        <w:t>谈判</w:t>
      </w:r>
      <w:r>
        <w:rPr>
          <w:rFonts w:hint="eastAsia" w:ascii="宋体" w:hAnsi="宋体" w:eastAsia="宋体" w:cs="宋体"/>
          <w:bCs/>
          <w:color w:val="auto"/>
          <w:sz w:val="36"/>
          <w:szCs w:val="30"/>
          <w:highlight w:val="none"/>
        </w:rPr>
        <w:t>邀请书</w:t>
      </w:r>
      <w:bookmarkEnd w:id="30"/>
      <w:bookmarkEnd w:id="31"/>
      <w:bookmarkEnd w:id="32"/>
    </w:p>
    <w:p w14:paraId="5D45ECE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秀山土家族苗族自治县人民医院</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秀山土家族苗族自治县人民医院</w:t>
      </w:r>
      <w:r>
        <w:rPr>
          <w:rFonts w:hint="eastAsia" w:ascii="宋体" w:hAnsi="宋体" w:eastAsia="宋体" w:cs="宋体"/>
          <w:color w:val="auto"/>
          <w:sz w:val="24"/>
          <w:szCs w:val="24"/>
          <w:highlight w:val="none"/>
          <w:u w:val="single"/>
          <w:lang w:eastAsia="zh-CN"/>
        </w:rPr>
        <w:t>服装采购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。欢迎有资格的供应商前来参与</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35C6EC5C">
      <w:pPr>
        <w:pStyle w:val="4"/>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317775175"/>
      <w:bookmarkStart w:id="34" w:name="_Toc2406"/>
      <w:bookmarkStart w:id="35" w:name="_Toc5721"/>
      <w:bookmarkStart w:id="36" w:name="_Toc313893526"/>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1"/>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652"/>
        <w:gridCol w:w="1704"/>
        <w:gridCol w:w="1014"/>
      </w:tblGrid>
      <w:tr w14:paraId="4043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673" w:type="dxa"/>
            <w:tcBorders>
              <w:top w:val="single" w:color="auto" w:sz="4" w:space="0"/>
              <w:left w:val="single" w:color="auto" w:sz="4" w:space="0"/>
              <w:right w:val="single" w:color="auto" w:sz="4" w:space="0"/>
            </w:tcBorders>
            <w:vAlign w:val="center"/>
          </w:tcPr>
          <w:p w14:paraId="62F7588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9" w:name="_Toc1752"/>
            <w:bookmarkStart w:id="40" w:name="_Toc25538"/>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652" w:type="dxa"/>
            <w:tcBorders>
              <w:top w:val="single" w:color="auto" w:sz="4" w:space="0"/>
              <w:left w:val="single" w:color="auto" w:sz="4" w:space="0"/>
              <w:right w:val="single" w:color="auto" w:sz="4" w:space="0"/>
            </w:tcBorders>
            <w:vAlign w:val="center"/>
          </w:tcPr>
          <w:p w14:paraId="679823F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最高限价</w:t>
            </w:r>
          </w:p>
          <w:p w14:paraId="4EC51E0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（元）</w:t>
            </w:r>
          </w:p>
        </w:tc>
        <w:tc>
          <w:tcPr>
            <w:tcW w:w="1704" w:type="dxa"/>
            <w:tcBorders>
              <w:top w:val="single" w:color="auto" w:sz="4" w:space="0"/>
              <w:left w:val="single" w:color="auto" w:sz="4" w:space="0"/>
              <w:right w:val="single" w:color="auto" w:sz="4" w:space="0"/>
            </w:tcBorders>
            <w:vAlign w:val="center"/>
          </w:tcPr>
          <w:p w14:paraId="11CDB5C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中标人</w:t>
            </w:r>
            <w:r>
              <w:rPr>
                <w:rFonts w:hint="eastAsia" w:ascii="宋体" w:hAnsi="宋体" w:eastAsia="宋体" w:cs="宋体"/>
                <w:b/>
                <w:bCs/>
                <w:color w:val="000000" w:themeColor="text1"/>
                <w:kern w:val="0"/>
                <w:sz w:val="24"/>
                <w:szCs w:val="24"/>
                <w:highlight w:val="none"/>
                <w14:textFill>
                  <w14:solidFill>
                    <w14:schemeClr w14:val="tx1"/>
                  </w14:solidFill>
                </w14:textFill>
              </w:rPr>
              <w:t>数量（名）</w:t>
            </w:r>
          </w:p>
        </w:tc>
        <w:tc>
          <w:tcPr>
            <w:tcW w:w="1014" w:type="dxa"/>
            <w:tcBorders>
              <w:top w:val="single" w:color="auto" w:sz="4" w:space="0"/>
              <w:left w:val="single" w:color="auto" w:sz="4" w:space="0"/>
              <w:right w:val="single" w:color="auto" w:sz="4" w:space="0"/>
            </w:tcBorders>
            <w:vAlign w:val="center"/>
          </w:tcPr>
          <w:p w14:paraId="1ABC6E43">
            <w:pPr>
              <w:widowControl/>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备注</w:t>
            </w:r>
          </w:p>
        </w:tc>
      </w:tr>
      <w:tr w14:paraId="2759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673" w:type="dxa"/>
            <w:tcBorders>
              <w:top w:val="single" w:color="auto" w:sz="4" w:space="0"/>
              <w:left w:val="single" w:color="auto" w:sz="4" w:space="0"/>
              <w:right w:val="single" w:color="auto" w:sz="4" w:space="0"/>
            </w:tcBorders>
            <w:vAlign w:val="center"/>
          </w:tcPr>
          <w:p w14:paraId="3C25AE6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41" w:name="_Hlk344477914"/>
            <w:r>
              <w:rPr>
                <w:rFonts w:hint="eastAsia" w:ascii="宋体" w:hAnsi="宋体" w:cs="宋体"/>
                <w:color w:val="000000" w:themeColor="text1"/>
                <w:sz w:val="24"/>
                <w:szCs w:val="24"/>
                <w:highlight w:val="none"/>
                <w:lang w:eastAsia="zh-CN"/>
                <w14:textFill>
                  <w14:solidFill>
                    <w14:schemeClr w14:val="tx1"/>
                  </w14:solidFill>
                </w14:textFill>
              </w:rPr>
              <w:t>秀山土家族苗族自治县人民医院</w:t>
            </w:r>
            <w:r>
              <w:rPr>
                <w:rFonts w:hint="eastAsia" w:ascii="宋体" w:hAnsi="宋体" w:eastAsia="宋体" w:cs="宋体"/>
                <w:color w:val="000000" w:themeColor="text1"/>
                <w:sz w:val="24"/>
                <w:szCs w:val="24"/>
                <w:highlight w:val="none"/>
                <w:lang w:eastAsia="zh-CN"/>
                <w14:textFill>
                  <w14:solidFill>
                    <w14:schemeClr w14:val="tx1"/>
                  </w14:solidFill>
                </w14:textFill>
              </w:rPr>
              <w:t>服装采购</w:t>
            </w:r>
          </w:p>
        </w:tc>
        <w:tc>
          <w:tcPr>
            <w:tcW w:w="1652" w:type="dxa"/>
            <w:tcBorders>
              <w:top w:val="single" w:color="auto" w:sz="4" w:space="0"/>
              <w:left w:val="single" w:color="auto" w:sz="4" w:space="0"/>
              <w:right w:val="single" w:color="auto" w:sz="4" w:space="0"/>
            </w:tcBorders>
            <w:vAlign w:val="center"/>
          </w:tcPr>
          <w:p w14:paraId="206D5CD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1000000.00</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 xml:space="preserve">   </w:t>
            </w:r>
          </w:p>
        </w:tc>
        <w:tc>
          <w:tcPr>
            <w:tcW w:w="1704" w:type="dxa"/>
            <w:tcBorders>
              <w:top w:val="single" w:color="auto" w:sz="4" w:space="0"/>
              <w:left w:val="single" w:color="auto" w:sz="4" w:space="0"/>
              <w:right w:val="single" w:color="auto" w:sz="4" w:space="0"/>
            </w:tcBorders>
            <w:vAlign w:val="center"/>
          </w:tcPr>
          <w:p w14:paraId="52EFBE4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014" w:type="dxa"/>
            <w:tcBorders>
              <w:top w:val="single" w:color="auto" w:sz="4" w:space="0"/>
              <w:left w:val="single" w:color="auto" w:sz="4" w:space="0"/>
              <w:right w:val="single" w:color="auto" w:sz="4" w:space="0"/>
            </w:tcBorders>
            <w:vAlign w:val="center"/>
          </w:tcPr>
          <w:p w14:paraId="3F12C87E">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bookmarkEnd w:id="41"/>
    </w:tbl>
    <w:p w14:paraId="00A3F56D">
      <w:pPr>
        <w:pStyle w:val="4"/>
        <w:spacing w:before="240" w:beforeLines="10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39"/>
      <w:bookmarkEnd w:id="40"/>
    </w:p>
    <w:p w14:paraId="16998AC0">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26791"/>
      <w:r>
        <w:rPr>
          <w:rFonts w:hint="eastAsia" w:ascii="宋体" w:hAnsi="宋体" w:cs="宋体"/>
          <w:bCs/>
          <w:color w:val="auto"/>
          <w:sz w:val="24"/>
          <w:szCs w:val="24"/>
          <w:highlight w:val="none"/>
          <w:lang w:val="en-US" w:eastAsia="zh-CN"/>
        </w:rPr>
        <w:t>本次采购为秀山土家族苗族自治县人民医院工会委员会需求项目，资金来源为工会资金</w:t>
      </w:r>
      <w:r>
        <w:rPr>
          <w:rFonts w:hint="eastAsia" w:ascii="宋体" w:hAnsi="宋体" w:eastAsia="宋体" w:cs="宋体"/>
          <w:bCs/>
          <w:color w:val="auto"/>
          <w:sz w:val="24"/>
          <w:szCs w:val="24"/>
          <w:highlight w:val="none"/>
        </w:rPr>
        <w:t>。</w:t>
      </w:r>
      <w:bookmarkEnd w:id="42"/>
    </w:p>
    <w:p w14:paraId="129D167B">
      <w:pPr>
        <w:pStyle w:val="4"/>
        <w:spacing w:before="240" w:beforeLines="100" w:after="0" w:line="360" w:lineRule="auto"/>
        <w:rPr>
          <w:rFonts w:hint="eastAsia" w:ascii="宋体" w:hAnsi="宋体" w:eastAsia="宋体" w:cs="宋体"/>
          <w:color w:val="auto"/>
          <w:sz w:val="24"/>
          <w:szCs w:val="24"/>
          <w:highlight w:val="none"/>
        </w:rPr>
      </w:pPr>
      <w:bookmarkStart w:id="43" w:name="_Toc18111"/>
      <w:bookmarkStart w:id="44" w:name="_Toc27448"/>
      <w:r>
        <w:rPr>
          <w:rFonts w:hint="eastAsia" w:ascii="宋体" w:hAnsi="宋体" w:eastAsia="宋体" w:cs="宋体"/>
          <w:color w:val="auto"/>
          <w:sz w:val="24"/>
          <w:szCs w:val="24"/>
          <w:highlight w:val="none"/>
        </w:rPr>
        <w:t>三、供应商资格条件</w:t>
      </w:r>
      <w:bookmarkEnd w:id="43"/>
      <w:bookmarkEnd w:id="44"/>
    </w:p>
    <w:p w14:paraId="06446854">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供应商是指向采购人提供服务或者货物的法人、其他组织或者自然人。合格的供应商应符合政府采购法第二十二条规定的基本资格条件</w:t>
      </w:r>
      <w:r>
        <w:rPr>
          <w:rFonts w:hint="eastAsia" w:ascii="宋体" w:hAnsi="宋体" w:eastAsia="宋体" w:cs="宋体"/>
          <w:color w:val="auto"/>
          <w:sz w:val="24"/>
          <w:szCs w:val="24"/>
          <w:highlight w:val="none"/>
          <w:lang w:eastAsia="zh-CN"/>
        </w:rPr>
        <w:t>。</w:t>
      </w:r>
    </w:p>
    <w:p w14:paraId="7E7DEE7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1A5DE544">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251D9A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2F02F7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37D6FCF3">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2DB731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0C96DC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B8205A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bookmarkStart w:id="45" w:name="_Toc16506"/>
      <w:r>
        <w:rPr>
          <w:rFonts w:hint="eastAsia" w:ascii="宋体" w:hAnsi="宋体" w:eastAsia="宋体" w:cs="宋体"/>
          <w:color w:val="auto"/>
          <w:sz w:val="24"/>
          <w:szCs w:val="24"/>
          <w:highlight w:val="none"/>
          <w:lang w:val="en-US" w:eastAsia="zh-CN"/>
        </w:rPr>
        <w:t>供应商须具备有效的营业执照（提供营业执照副本复印件并加盖公章）。</w:t>
      </w:r>
    </w:p>
    <w:p w14:paraId="1FDE5ED1">
      <w:pPr>
        <w:pStyle w:val="4"/>
        <w:pageBreakBefore w:val="0"/>
        <w:widowControl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5"/>
    </w:p>
    <w:bookmarkEnd w:id="38"/>
    <w:p w14:paraId="56E5E141">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6" w:name="_Toc373860294"/>
      <w:bookmarkStart w:id="47" w:name="_Toc20247"/>
      <w:bookmarkStart w:id="48" w:name="_Toc480466699"/>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”服务平台注册，成为正式供应商。</w:t>
      </w:r>
    </w:p>
    <w:p w14:paraId="66EEC0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以及补遗等采购前公布的所有项目资料，无论</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7215A0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148CF4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:00北京时间。</w:t>
      </w:r>
    </w:p>
    <w:p w14:paraId="6726D993">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5A6204A5">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发售：本项目免收</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费。</w:t>
      </w:r>
    </w:p>
    <w:p w14:paraId="0B7A6F02">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须满足以下三种要件，其响应文件才被接受：</w:t>
      </w:r>
    </w:p>
    <w:p w14:paraId="6B34A798">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0E6675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2.按时递交响应文件。</w:t>
      </w:r>
    </w:p>
    <w:p w14:paraId="540766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3.按时签到报名。</w:t>
      </w:r>
    </w:p>
    <w:p w14:paraId="13388FB2">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注：线上及线下响应文件须一致，如不一致，响应文件作废。</w:t>
      </w:r>
    </w:p>
    <w:p w14:paraId="0FCFA4CD">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线下响应文件</w:t>
      </w:r>
      <w:r>
        <w:rPr>
          <w:rFonts w:hint="eastAsia" w:ascii="宋体" w:hAnsi="宋体" w:cs="宋体"/>
          <w:color w:val="000000" w:themeColor="text1"/>
          <w:sz w:val="24"/>
          <w:szCs w:val="24"/>
          <w:highlight w:val="none"/>
          <w:lang w:val="en-US" w:eastAsia="zh-CN"/>
          <w14:textFill>
            <w14:solidFill>
              <w14:schemeClr w14:val="tx1"/>
            </w14:solidFill>
          </w14:textFill>
        </w:rPr>
        <w:t>以及样品</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现场递交：</w:t>
      </w:r>
    </w:p>
    <w:p w14:paraId="6615BCD0">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现场递交地址地点：</w:t>
      </w:r>
      <w:r>
        <w:rPr>
          <w:rFonts w:hint="eastAsia" w:ascii="宋体" w:hAnsi="宋体" w:cs="宋体"/>
          <w:color w:val="000000" w:themeColor="text1"/>
          <w:sz w:val="24"/>
          <w:szCs w:val="24"/>
          <w:highlight w:val="none"/>
          <w:lang w:eastAsia="zh-CN"/>
          <w14:textFill>
            <w14:solidFill>
              <w14:schemeClr w14:val="tx1"/>
            </w14:solidFill>
          </w14:textFill>
        </w:rPr>
        <w:t>秀山土家族苗族自治县人民医院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eastAsia="zh-CN"/>
          <w14:textFill>
            <w14:solidFill>
              <w14:schemeClr w14:val="tx1"/>
            </w14:solidFill>
          </w14:textFill>
        </w:rPr>
        <w:t>重庆市重庆秀山县花灯街迎春二巷30号。</w:t>
      </w:r>
    </w:p>
    <w:p w14:paraId="090C6D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（七）响应文件现场递交开始时间：202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10:00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11E43A9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（八）响应文件现场递交截止时间：202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10:30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0C86A7A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（九）线下开标开始时间：202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10:30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46"/>
    </w:p>
    <w:p w14:paraId="751B0262">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47"/>
      <w:bookmarkEnd w:id="48"/>
      <w:bookmarkStart w:id="188" w:name="_GoBack"/>
      <w:bookmarkEnd w:id="188"/>
    </w:p>
    <w:p w14:paraId="02BE0AF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28B6601A">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2E51C22A">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，以其中通过资格审查、符合性审查且报价最低的参加评标；报价相同的，由采购人或者采购人委托评审委员会按照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规定的方式确定一个参加评标的投标人，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未规定的采取随机抽取方式确定，其他投标无效。</w:t>
      </w:r>
    </w:p>
    <w:p w14:paraId="2A731AF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（四）本项目的补遗文件（如果有）一律在重庆市政府采购云平台.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中心（https://xj.ccgp-chongqing.gov.cn/ge/）上发布，请各供应商注意下载；无论供应商下载与否，均视同供应商已知晓本项目补遗文件（如果有）的内容。</w:t>
      </w:r>
    </w:p>
    <w:p w14:paraId="790FA679">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6BF9722C">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的所有费用均应由供应商自行承担。</w:t>
      </w:r>
    </w:p>
    <w:p w14:paraId="3670B445">
      <w:pPr>
        <w:snapToGrid w:val="0"/>
        <w:spacing w:line="360" w:lineRule="auto"/>
        <w:ind w:firstLine="361" w:firstLineChars="150"/>
        <w:rPr>
          <w:rFonts w:hint="eastAsia" w:ascii="宋体" w:hAnsi="宋体" w:eastAsia="宋体" w:cs="宋体"/>
          <w:b/>
          <w:bCs/>
          <w:color w:val="auto"/>
          <w:sz w:val="24"/>
          <w:szCs w:val="24"/>
          <w:highlight w:val="none"/>
        </w:rPr>
      </w:pPr>
      <w:bookmarkStart w:id="49" w:name="_Toc480466700"/>
      <w:r>
        <w:rPr>
          <w:rFonts w:hint="eastAsia" w:ascii="宋体" w:hAnsi="宋体" w:eastAsia="宋体" w:cs="宋体"/>
          <w:b/>
          <w:bCs/>
          <w:color w:val="auto"/>
          <w:sz w:val="24"/>
          <w:szCs w:val="24"/>
          <w:highlight w:val="none"/>
        </w:rPr>
        <w:t>（七）本项目不接受联合体参与</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w:t>
      </w:r>
    </w:p>
    <w:p w14:paraId="4C27A9B4">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020FAEF2">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66654E1">
      <w:pPr>
        <w:pStyle w:val="4"/>
        <w:spacing w:before="0" w:after="0" w:line="360" w:lineRule="auto"/>
        <w:rPr>
          <w:rFonts w:hint="eastAsia" w:ascii="宋体" w:hAnsi="宋体" w:eastAsia="宋体" w:cs="宋体"/>
          <w:color w:val="auto"/>
          <w:sz w:val="24"/>
          <w:szCs w:val="24"/>
          <w:highlight w:val="none"/>
        </w:rPr>
      </w:pPr>
      <w:bookmarkStart w:id="50" w:name="_Toc7960"/>
      <w:r>
        <w:rPr>
          <w:rFonts w:hint="eastAsia" w:ascii="宋体" w:hAnsi="宋体" w:eastAsia="宋体" w:cs="宋体"/>
          <w:color w:val="auto"/>
          <w:sz w:val="24"/>
          <w:szCs w:val="24"/>
          <w:highlight w:val="none"/>
        </w:rPr>
        <w:t>七、联系方式</w:t>
      </w:r>
      <w:bookmarkEnd w:id="49"/>
      <w:bookmarkEnd w:id="50"/>
    </w:p>
    <w:p w14:paraId="5E9195DF">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秀山土家族苗族自治县人民医院</w:t>
      </w:r>
    </w:p>
    <w:p w14:paraId="106412B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 系 人：敖老师  </w:t>
      </w:r>
    </w:p>
    <w:p w14:paraId="72EAE587">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话：13996988975</w:t>
      </w:r>
    </w:p>
    <w:p w14:paraId="33CAA37D">
      <w:pPr>
        <w:pStyle w:val="60"/>
        <w:ind w:left="0" w:leftChars="0" w:firstLine="240" w:firstLineChars="100"/>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地    址：秀山县中和街道迎凤路205号</w:t>
      </w:r>
    </w:p>
    <w:p w14:paraId="03FA8E4F">
      <w:pPr>
        <w:snapToGrid w:val="0"/>
        <w:spacing w:line="360" w:lineRule="auto"/>
        <w:rPr>
          <w:rFonts w:hint="eastAsia" w:ascii="宋体" w:hAnsi="宋体" w:eastAsia="宋体" w:cs="宋体"/>
          <w:color w:val="auto"/>
          <w:sz w:val="24"/>
          <w:szCs w:val="24"/>
          <w:highlight w:val="none"/>
        </w:rPr>
      </w:pPr>
    </w:p>
    <w:p w14:paraId="0E6C0A2F">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40ADE06E">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陈老师</w:t>
      </w:r>
      <w:r>
        <w:rPr>
          <w:rFonts w:hint="eastAsia" w:ascii="宋体" w:hAnsi="宋体" w:eastAsia="宋体" w:cs="宋体"/>
          <w:color w:val="auto"/>
          <w:sz w:val="24"/>
          <w:szCs w:val="24"/>
          <w:highlight w:val="none"/>
        </w:rPr>
        <w:t xml:space="preserve"> </w:t>
      </w:r>
    </w:p>
    <w:p w14:paraId="2453D775">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话：18716969222</w:t>
      </w:r>
    </w:p>
    <w:p w14:paraId="130DF43B">
      <w:pPr>
        <w:snapToGrid w:val="0"/>
        <w:spacing w:line="360" w:lineRule="auto"/>
        <w:ind w:firstLine="240" w:firstLineChars="100"/>
        <w:rPr>
          <w:rFonts w:hint="eastAsia" w:ascii="宋体" w:hAnsi="宋体" w:eastAsia="宋体" w:cs="宋体"/>
          <w:color w:val="auto"/>
          <w:sz w:val="24"/>
          <w:szCs w:val="24"/>
          <w:highlight w:val="none"/>
          <w:lang w:val="en-US" w:eastAsia="zh-CN"/>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重庆秀山县花灯街迎春二巷30号</w:t>
      </w:r>
    </w:p>
    <w:p w14:paraId="4EF68F8F">
      <w:pPr>
        <w:pStyle w:val="3"/>
        <w:spacing w:before="0" w:after="0" w:line="360" w:lineRule="auto"/>
        <w:jc w:val="center"/>
        <w:rPr>
          <w:rFonts w:hint="eastAsia" w:ascii="宋体" w:hAnsi="宋体" w:eastAsia="宋体" w:cs="宋体"/>
          <w:bCs/>
          <w:color w:val="auto"/>
          <w:sz w:val="36"/>
          <w:szCs w:val="30"/>
          <w:highlight w:val="none"/>
        </w:rPr>
      </w:pPr>
      <w:bookmarkStart w:id="51" w:name="_Toc18586"/>
      <w:bookmarkStart w:id="52" w:name="_Toc1145"/>
      <w:bookmarkStart w:id="53"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谈判</w:t>
      </w:r>
      <w:r>
        <w:rPr>
          <w:rFonts w:hint="eastAsia" w:ascii="宋体" w:hAnsi="宋体" w:eastAsia="宋体" w:cs="宋体"/>
          <w:bCs/>
          <w:color w:val="auto"/>
          <w:sz w:val="36"/>
          <w:szCs w:val="30"/>
          <w:highlight w:val="none"/>
        </w:rPr>
        <w:t>项目技术需求</w:t>
      </w:r>
      <w:bookmarkEnd w:id="51"/>
      <w:bookmarkEnd w:id="52"/>
    </w:p>
    <w:bookmarkEnd w:id="53"/>
    <w:p w14:paraId="5A127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bookmarkStart w:id="54" w:name="_Toc309809728"/>
      <w:bookmarkStart w:id="55" w:name="_Toc314671318"/>
      <w:bookmarkStart w:id="56" w:name="_Toc217446095"/>
      <w:bookmarkStart w:id="57" w:name="_Toc309747502"/>
      <w:bookmarkStart w:id="58" w:name="_Toc309804710"/>
      <w:bookmarkStart w:id="59" w:name="_Toc312676822"/>
      <w:r>
        <w:rPr>
          <w:rFonts w:hint="eastAsia" w:ascii="宋体" w:hAnsi="宋体" w:eastAsia="宋体" w:cs="宋体"/>
          <w:b/>
          <w:color w:val="auto"/>
          <w:kern w:val="2"/>
          <w:sz w:val="24"/>
          <w:highlight w:val="none"/>
          <w:lang w:val="en-US" w:eastAsia="zh-CN" w:bidi="ar-SA"/>
        </w:rPr>
        <w:t>一、项目技术要求</w:t>
      </w:r>
    </w:p>
    <w:bookmarkEnd w:id="54"/>
    <w:bookmarkEnd w:id="55"/>
    <w:bookmarkEnd w:id="56"/>
    <w:bookmarkEnd w:id="57"/>
    <w:bookmarkEnd w:id="58"/>
    <w:bookmarkEnd w:id="59"/>
    <w:p w14:paraId="474DD7BB">
      <w:pPr>
        <w:jc w:val="left"/>
        <w:rPr>
          <w:rFonts w:hint="default" w:ascii="宋体" w:hAnsi="宋体" w:eastAsia="宋体" w:cs="宋体"/>
          <w:b/>
          <w:bCs w:val="0"/>
          <w:color w:val="auto"/>
          <w:kern w:val="0"/>
          <w:sz w:val="18"/>
          <w:szCs w:val="18"/>
          <w:lang w:val="en-US"/>
        </w:rPr>
      </w:pPr>
      <w:r>
        <w:rPr>
          <w:rFonts w:hint="eastAsia" w:asciiTheme="minorEastAsia" w:hAnsiTheme="minorEastAsia" w:eastAsiaTheme="minorEastAsia" w:cstheme="minorEastAsia"/>
          <w:color w:val="auto"/>
          <w:sz w:val="18"/>
          <w:szCs w:val="18"/>
          <w:highlight w:val="none"/>
          <w:lang w:val="en-US" w:eastAsia="zh-CN"/>
        </w:rPr>
        <w:t>带“★”</w:t>
      </w:r>
      <w:r>
        <w:rPr>
          <w:rFonts w:ascii="宋体" w:hAnsi="宋体" w:eastAsia="宋体" w:cs="宋体"/>
          <w:sz w:val="18"/>
          <w:szCs w:val="18"/>
        </w:rPr>
        <w:t>技术参数需提供国家认可的检测机构出具面料检验报告为佐证</w:t>
      </w:r>
      <w:r>
        <w:rPr>
          <w:rFonts w:hint="eastAsia" w:ascii="宋体" w:hAnsi="宋体" w:cs="宋体"/>
          <w:sz w:val="18"/>
          <w:szCs w:val="18"/>
          <w:lang w:eastAsia="zh-CN"/>
        </w:rPr>
        <w:t>，</w:t>
      </w:r>
      <w:r>
        <w:rPr>
          <w:rFonts w:ascii="宋体" w:hAnsi="宋体" w:eastAsia="宋体" w:cs="宋体"/>
          <w:sz w:val="18"/>
          <w:szCs w:val="18"/>
        </w:rPr>
        <w:t>不提供作无效投标处理。</w:t>
      </w:r>
    </w:p>
    <w:tbl>
      <w:tblPr>
        <w:tblStyle w:val="61"/>
        <w:tblW w:w="5403" w:type="pct"/>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
        <w:gridCol w:w="568"/>
        <w:gridCol w:w="6299"/>
        <w:gridCol w:w="494"/>
        <w:gridCol w:w="466"/>
        <w:gridCol w:w="2092"/>
      </w:tblGrid>
      <w:tr w14:paraId="2972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67B832E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31AAFBAB">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3026" w:type="pct"/>
            <w:tcBorders>
              <w:top w:val="single" w:color="000000" w:sz="4" w:space="0"/>
              <w:left w:val="single" w:color="000000" w:sz="4" w:space="0"/>
              <w:bottom w:val="single" w:color="000000" w:sz="4" w:space="0"/>
              <w:right w:val="single" w:color="000000" w:sz="4" w:space="0"/>
            </w:tcBorders>
            <w:noWrap/>
            <w:vAlign w:val="center"/>
          </w:tcPr>
          <w:p w14:paraId="4AE1236D">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技术参数及款式要求</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935AEE6">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数量</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A5C361B">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8FAC">
            <w:pPr>
              <w:keepNext w:val="0"/>
              <w:keepLines w:val="0"/>
              <w:pageBreakBefore w:val="0"/>
              <w:widowControl/>
              <w:suppressLineNumbers w:val="0"/>
              <w:wordWrap/>
              <w:overflowPunct/>
              <w:topLinePunct w:val="0"/>
              <w:bidi w:val="0"/>
              <w:spacing w:line="24" w:lineRule="atLeast"/>
              <w:jc w:val="center"/>
              <w:textAlignment w:val="center"/>
              <w:rPr>
                <w:rFonts w:hint="default" w:ascii="宋体" w:hAnsi="宋体" w:eastAsia="宋体" w:cs="宋体"/>
                <w:b/>
                <w:bCs/>
                <w:i w:val="0"/>
                <w:iCs w:val="0"/>
                <w:snapToGrid w:val="0"/>
                <w:color w:val="auto"/>
                <w:kern w:val="0"/>
                <w:sz w:val="21"/>
                <w:szCs w:val="21"/>
                <w:u w:val="none"/>
                <w:lang w:val="en-US" w:eastAsia="zh-CN" w:bidi="ar"/>
              </w:rPr>
            </w:pPr>
            <w:r>
              <w:rPr>
                <w:rFonts w:hint="eastAsia" w:ascii="宋体" w:hAnsi="宋体" w:cs="宋体"/>
                <w:b/>
                <w:bCs/>
                <w:i w:val="0"/>
                <w:iCs w:val="0"/>
                <w:snapToGrid w:val="0"/>
                <w:color w:val="auto"/>
                <w:kern w:val="0"/>
                <w:sz w:val="21"/>
                <w:szCs w:val="21"/>
                <w:u w:val="none"/>
                <w:lang w:val="en-US" w:eastAsia="zh-CN" w:bidi="ar"/>
              </w:rPr>
              <w:t>款式参考图</w:t>
            </w:r>
          </w:p>
        </w:tc>
      </w:tr>
      <w:tr w14:paraId="5EA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1AB6F14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1</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49F108A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女</w:t>
            </w:r>
          </w:p>
          <w:p w14:paraId="12A6CB1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士</w:t>
            </w:r>
          </w:p>
          <w:p w14:paraId="11BBE1A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西</w:t>
            </w:r>
          </w:p>
          <w:p w14:paraId="0A3303D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服</w:t>
            </w:r>
          </w:p>
          <w:p w14:paraId="156EE5C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套</w:t>
            </w:r>
          </w:p>
          <w:p w14:paraId="4079467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装</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3816C44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面料及成衣参数要求：</w:t>
            </w:r>
          </w:p>
          <w:p w14:paraId="5C584A5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★1.产品应符合强制标准GB 18401-2010 B类全项目要求；</w:t>
            </w:r>
          </w:p>
          <w:p w14:paraId="4EFCEC3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★2.纤维含量（%）：面料：羊毛70±5，聚酯纤维30±5（含微量其它纤维）；里料100%聚酯纤维；</w:t>
            </w:r>
          </w:p>
          <w:p w14:paraId="5FEB524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★3.面料单位面积质量（g/m²）：≥170；</w:t>
            </w:r>
          </w:p>
          <w:p w14:paraId="7CEF859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★4.面料纱线线密度（公制支数）（km/kg）：经向90/2（允差±5%），纬向58（允差±5%）；</w:t>
            </w:r>
          </w:p>
          <w:p w14:paraId="67008A2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★5.面料机织物密度（根/10cm）：经向420（允差±5%），纬向410（允差±5%）；</w:t>
            </w:r>
          </w:p>
          <w:p w14:paraId="585F7D1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★6.面料起毛起球（级）：≥4；</w:t>
            </w:r>
          </w:p>
          <w:p w14:paraId="5EAE7B8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★7.面料耐汗渍色牢度（级）：变色、沾色≥4；</w:t>
            </w:r>
          </w:p>
          <w:p w14:paraId="1D439E1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★8.面料耐摩擦色牢度（级）：干摩擦≥4，湿摩擦≥3-4；</w:t>
            </w:r>
          </w:p>
          <w:p w14:paraId="48205F5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★9.面料耐光色牢度：≥4；</w:t>
            </w:r>
          </w:p>
          <w:p w14:paraId="0A28244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★10.干洗尺寸变化率（%）：胸围-0.8～+0.8，衣长-1.0～+1.0，裤长-1.0～+1.0，腰围-0.8～+0.8；</w:t>
            </w:r>
          </w:p>
          <w:p w14:paraId="6C40958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11.干洗后外观：西服上衣水洗后起皱级差＞4级；面料不允许出现破洞；粘合、复合部位面料不允许起泡、脱落裂开。里料不允许外露。包缝线不可脱落、缝纫线不可开线；钮扣、饰品等附件不允许破损、脱落和锈蚀等；</w:t>
            </w:r>
          </w:p>
          <w:p w14:paraId="03401D6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★12.缝子纰裂程度：面料、里料≤0.6cm，纰裂测试过程不得出现纱线滑脱、织物撕破或缝线断裂现象；</w:t>
            </w:r>
          </w:p>
          <w:p w14:paraId="36FE7F8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★13.裤后裆缝接缝强力：面料≥140N、里料≥80N；</w:t>
            </w:r>
          </w:p>
          <w:p w14:paraId="52B0BDF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★14.外观质量：应符合GB/T 2664-2017、GB/T 2665-2017、GB/T 2666-2017优等品要求。</w:t>
            </w:r>
          </w:p>
          <w:p w14:paraId="785797E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auto"/>
                <w:kern w:val="0"/>
                <w:sz w:val="18"/>
                <w:szCs w:val="18"/>
                <w:highlight w:val="none"/>
                <w:u w:val="none"/>
                <w:lang w:val="en-US" w:eastAsia="zh-CN" w:bidi="ar"/>
              </w:rPr>
            </w:pPr>
            <w:r>
              <w:rPr>
                <w:rFonts w:hint="eastAsia" w:ascii="宋体" w:hAnsi="宋体" w:eastAsia="宋体" w:cs="宋体"/>
                <w:b/>
                <w:bCs/>
                <w:i w:val="0"/>
                <w:iCs w:val="0"/>
                <w:snapToGrid w:val="0"/>
                <w:color w:val="auto"/>
                <w:kern w:val="0"/>
                <w:sz w:val="18"/>
                <w:szCs w:val="18"/>
                <w:highlight w:val="none"/>
                <w:u w:val="none"/>
                <w:lang w:val="en-US" w:eastAsia="zh-CN" w:bidi="ar"/>
              </w:rPr>
              <w:t>款式要求：</w:t>
            </w:r>
          </w:p>
          <w:p w14:paraId="393B0A2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宋体" w:hAnsi="宋体" w:eastAsia="宋体" w:cs="宋体"/>
                <w:b/>
                <w:bCs/>
                <w:i w:val="0"/>
                <w:iCs w:val="0"/>
                <w:snapToGrid w:val="0"/>
                <w:color w:val="auto"/>
                <w:kern w:val="0"/>
                <w:sz w:val="18"/>
                <w:szCs w:val="18"/>
                <w:highlight w:val="none"/>
                <w:u w:val="none"/>
                <w:lang w:val="en-US" w:eastAsia="zh-CN" w:bidi="ar"/>
              </w:rPr>
            </w:pPr>
            <w:r>
              <w:rPr>
                <w:rFonts w:hint="eastAsia" w:ascii="宋体" w:hAnsi="宋体" w:cs="宋体"/>
                <w:b/>
                <w:bCs/>
                <w:i w:val="0"/>
                <w:iCs w:val="0"/>
                <w:snapToGrid w:val="0"/>
                <w:color w:val="auto"/>
                <w:kern w:val="0"/>
                <w:sz w:val="18"/>
                <w:szCs w:val="18"/>
                <w:highlight w:val="none"/>
                <w:u w:val="none"/>
                <w:lang w:val="en-US" w:eastAsia="zh-CN" w:bidi="ar"/>
              </w:rPr>
              <w:t>西服：</w:t>
            </w:r>
          </w:p>
          <w:p w14:paraId="43CFA268">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snapToGrid w:val="0"/>
                <w:color w:val="auto"/>
                <w:kern w:val="0"/>
                <w:sz w:val="18"/>
                <w:szCs w:val="18"/>
                <w:highlight w:val="none"/>
                <w:u w:val="none"/>
                <w:lang w:val="en-US" w:eastAsia="zh-CN" w:bidi="ar"/>
              </w:rPr>
              <w:t>藏青色</w:t>
            </w:r>
            <w:r>
              <w:rPr>
                <w:rFonts w:hint="eastAsia" w:ascii="宋体" w:hAnsi="宋体" w:eastAsia="宋体" w:cs="宋体"/>
                <w:sz w:val="18"/>
                <w:szCs w:val="18"/>
                <w:highlight w:val="none"/>
                <w:lang w:val="en-US" w:eastAsia="zh-CN"/>
              </w:rPr>
              <w:t>；</w:t>
            </w:r>
            <w:r>
              <w:rPr>
                <w:rFonts w:hint="eastAsia" w:ascii="宋体" w:hAnsi="宋体" w:cs="宋体"/>
                <w:sz w:val="18"/>
                <w:szCs w:val="18"/>
                <w:highlight w:val="none"/>
                <w:lang w:val="en-US" w:eastAsia="zh-CN"/>
              </w:rPr>
              <w:t>标准160尺码：胸围92cm，腰围78cm，肩宽39cm，袖长56cm；</w:t>
            </w:r>
          </w:p>
          <w:p w14:paraId="429F09E9">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sz w:val="18"/>
                <w:szCs w:val="18"/>
                <w:highlight w:val="none"/>
                <w:lang w:val="en-US" w:eastAsia="zh-CN"/>
              </w:rPr>
              <w:t>平驳</w:t>
            </w:r>
            <w:r>
              <w:rPr>
                <w:rFonts w:hint="eastAsia" w:ascii="宋体" w:hAnsi="宋体" w:eastAsia="宋体" w:cs="宋体"/>
                <w:sz w:val="18"/>
                <w:szCs w:val="18"/>
                <w:highlight w:val="none"/>
                <w:lang w:val="en-US" w:eastAsia="zh-CN"/>
              </w:rPr>
              <w:t>领</w:t>
            </w:r>
            <w:r>
              <w:rPr>
                <w:rFonts w:hint="eastAsia" w:ascii="宋体" w:hAnsi="宋体" w:cs="宋体"/>
                <w:sz w:val="18"/>
                <w:szCs w:val="18"/>
                <w:highlight w:val="none"/>
                <w:lang w:val="en-US" w:eastAsia="zh-CN"/>
              </w:rPr>
              <w:t>标准</w:t>
            </w:r>
            <w:r>
              <w:rPr>
                <w:rFonts w:hint="eastAsia" w:ascii="宋体" w:hAnsi="宋体" w:cs="宋体"/>
                <w:color w:val="000000" w:themeColor="text1"/>
                <w:sz w:val="18"/>
                <w:szCs w:val="18"/>
                <w:highlight w:val="none"/>
                <w:lang w:val="en-US" w:eastAsia="zh-CN"/>
                <w14:textFill>
                  <w14:solidFill>
                    <w14:schemeClr w14:val="tx1"/>
                  </w14:solidFill>
                </w14:textFill>
              </w:rPr>
              <w:t>领宽7cm，简约大方，配色驳头眼</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3AE539C4">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单排一粒扣，时装纽扣，时尚美观</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4C16ED77">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左胸口袋巾定制设计（带本单位定制标识）；</w:t>
            </w:r>
          </w:p>
          <w:p w14:paraId="7FE19CCE">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大身袋盖设计，袋盖长11.5cm；</w:t>
            </w:r>
          </w:p>
          <w:p w14:paraId="540819F6">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前后公主缝剪裁，三维贴合，拉长身形</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5FB4C239">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前衣长66cm，后中长62cm,略微盖住臀部，包容度高</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3FAE702E">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p w14:paraId="64C83C1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jc w:val="left"/>
              <w:textAlignment w:val="center"/>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西裤：</w:t>
            </w:r>
          </w:p>
          <w:p w14:paraId="0BE4592A">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标准160尺码：腰围72cm,臀围95cm，裤长90cm；</w:t>
            </w:r>
          </w:p>
          <w:p w14:paraId="77767014">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经典职业装裤型，大腿围58cm，脚口33cm，膝围41cm，修饰腿型；</w:t>
            </w:r>
          </w:p>
          <w:p w14:paraId="7CBFD87E">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斜插袋，袋口两端套结，贴合手部自然插入角度；</w:t>
            </w:r>
          </w:p>
          <w:p w14:paraId="7C6B1D59">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弧形腰宽3.5cm,前后收省，腰部本布耳仔6个；</w:t>
            </w:r>
          </w:p>
          <w:p w14:paraId="15FDFCB0">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使用YKK品牌拉链，拉感顺滑，稳定耐用</w:t>
            </w:r>
            <w:r>
              <w:rPr>
                <w:rFonts w:hint="eastAsia" w:ascii="宋体" w:hAnsi="宋体" w:cs="宋体"/>
                <w:color w:val="000000" w:themeColor="text1"/>
                <w:sz w:val="18"/>
                <w:szCs w:val="18"/>
                <w:highlight w:val="none"/>
                <w:lang w:val="en-US" w:eastAsia="zh-CN"/>
                <w14:textFill>
                  <w14:solidFill>
                    <w14:schemeClr w14:val="tx1"/>
                  </w14:solidFill>
                </w14:textFill>
              </w:rPr>
              <w:t>；</w:t>
            </w:r>
          </w:p>
          <w:p w14:paraId="73282256">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西裤前半里添加里布工艺；</w:t>
            </w:r>
          </w:p>
          <w:p w14:paraId="3DE72570">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auto"/>
                <w:kern w:val="0"/>
                <w:sz w:val="18"/>
                <w:szCs w:val="18"/>
                <w:highlight w:val="none"/>
                <w:u w:val="none"/>
                <w:lang w:val="en-US" w:eastAsia="zh-CN" w:bidi="ar"/>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w:t>
            </w:r>
            <w:r>
              <w:rPr>
                <w:rFonts w:hint="eastAsia" w:ascii="宋体" w:hAnsi="宋体" w:cs="宋体"/>
                <w:b w:val="0"/>
                <w:bCs w:val="0"/>
                <w:i w:val="0"/>
                <w:iCs w:val="0"/>
                <w:snapToGrid w:val="0"/>
                <w:color w:val="auto"/>
                <w:kern w:val="0"/>
                <w:sz w:val="18"/>
                <w:szCs w:val="18"/>
                <w:highlight w:val="none"/>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DAC63C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3295C4E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套</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FE2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101725" cy="351028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101725" cy="3510280"/>
                          </a:xfrm>
                          <a:prstGeom prst="rect">
                            <a:avLst/>
                          </a:prstGeom>
                          <a:noFill/>
                          <a:ln>
                            <a:noFill/>
                          </a:ln>
                        </pic:spPr>
                      </pic:pic>
                    </a:graphicData>
                  </a:graphic>
                </wp:inline>
              </w:drawing>
            </w:r>
          </w:p>
        </w:tc>
      </w:tr>
      <w:tr w14:paraId="2DF8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6A4A96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2</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407DE6EF">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女</w:t>
            </w:r>
          </w:p>
          <w:p w14:paraId="568484ED">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7541E73B">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长</w:t>
            </w:r>
          </w:p>
          <w:p w14:paraId="720FF1A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0E21F842">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5ACFF14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359DEC3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面料及成衣参数要求：</w:t>
            </w:r>
          </w:p>
          <w:p w14:paraId="1624598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1.产品应符合强制标准GB 18401-2010 B类全项目要求；</w:t>
            </w:r>
          </w:p>
          <w:p w14:paraId="06D91BF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2.纤维含量（%）：棉100；</w:t>
            </w:r>
          </w:p>
          <w:p w14:paraId="2BA534F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3.面料单位面积质量（g/m²）：≥115；</w:t>
            </w:r>
          </w:p>
          <w:p w14:paraId="442DE1A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4.面料纱线线密度（tex）：经、纬向（5.3±0.5）×2（允差±5%）；</w:t>
            </w:r>
          </w:p>
          <w:p w14:paraId="76F130A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5.面料机织物密度（根/10cm）：经向660（允差±5%），纬向350（允差±5%）；</w:t>
            </w:r>
          </w:p>
          <w:p w14:paraId="60FC078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6.面料耐摩擦色牢度（级）：≥4；</w:t>
            </w:r>
          </w:p>
          <w:p w14:paraId="51AAD81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7.面料耐汗渍色牢度（级）：变色、沾色≥4；</w:t>
            </w:r>
          </w:p>
          <w:p w14:paraId="08EC604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8.面料耐光色牢度（级）：变色≥4；</w:t>
            </w:r>
          </w:p>
          <w:p w14:paraId="59B9811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9.面料耐皂洗色牢度（级）：变色、沾色≥4；</w:t>
            </w:r>
          </w:p>
          <w:p w14:paraId="6EFAE91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10.成衣免烫性能（液氨免烫整理）（洗涤-干燥5次循环）：洗涤干燥后外观平整度（级）≥3.5，洗涤干燥后接缝外观（级）≥3.0，洗涤干燥后褶裥外观（级）≥3.0；</w:t>
            </w:r>
          </w:p>
          <w:p w14:paraId="6CCB7C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11.水洗尺寸变化率（%）：领大≥-1.0，胸围≥-1.5，衣长≥-2.0；</w:t>
            </w:r>
          </w:p>
          <w:p w14:paraId="5321F97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12.洗涤后外观（水洗）：洗涤干燥后，粘合衬部位不允许出现脱胶、起泡。其他部位不允许出现破损、脱落、变形、明显扭曲和严重变色，缝口不允许脱散；</w:t>
            </w:r>
          </w:p>
          <w:p w14:paraId="03F14C2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13.缝子纰裂程度：缝子纰裂程度≤0.6cm，纰裂测试过程不得出现滑脱、织物断裂、缝线断裂；</w:t>
            </w:r>
          </w:p>
          <w:p w14:paraId="43E3C4B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14.外观质量：应符合GB/T 2660-2017优等品要求。</w:t>
            </w:r>
          </w:p>
          <w:p w14:paraId="29B9263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p>
          <w:p w14:paraId="6BC8610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款式要求：</w:t>
            </w:r>
          </w:p>
          <w:p w14:paraId="7A2D5E2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白色，标准160尺码：领围36cm,前衣长63cm,胸围94cm,腰围82cm,肩宽39cm,袖长56c；</w:t>
            </w:r>
          </w:p>
          <w:p w14:paraId="4212B58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领口或袖口处加撞色防脏条；</w:t>
            </w:r>
          </w:p>
          <w:p w14:paraId="5E6FB70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经典标准领6cm宽,领边压线0.1cm，简约精致；</w:t>
            </w:r>
          </w:p>
          <w:p w14:paraId="68B541C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略修身女版，胸腰省设计，省道通至弧形下摆，穿着修身不紧绷；</w:t>
            </w:r>
          </w:p>
          <w:p w14:paraId="60E4CFB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暗门襟2.5cm宽，前胸处纽扣加密设计，</w:t>
            </w:r>
            <w: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t>安全平整防走光</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p>
          <w:p w14:paraId="3116D18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衬衫侧缝与袖窿做埋夹工艺，平整耐用，提升品质感；</w:t>
            </w:r>
          </w:p>
          <w:p w14:paraId="7F6F129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default"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弧形下摆设计，线条流畅自然，下摆0.5 cm 单针卷边压线，线迹平整均匀；</w:t>
            </w:r>
          </w:p>
          <w:p w14:paraId="647AFDD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袖口/领口体现本单位相关元素刺绣，刺绣不过底面，体现品质感</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p>
          <w:p w14:paraId="583B11A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sz w:val="18"/>
                <w:szCs w:val="18"/>
                <w:highlight w:val="none"/>
                <w:lang w:val="en-US" w:eastAsia="zh-CN"/>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包条袖衩，衩高8cm。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4E9293D">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2E30919">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A0C9">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44270" cy="3196590"/>
                  <wp:effectExtent l="0" t="0" r="17780" b="38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1144270" cy="3196590"/>
                          </a:xfrm>
                          <a:prstGeom prst="rect">
                            <a:avLst/>
                          </a:prstGeom>
                          <a:noFill/>
                          <a:ln>
                            <a:noFill/>
                          </a:ln>
                        </pic:spPr>
                      </pic:pic>
                    </a:graphicData>
                  </a:graphic>
                </wp:inline>
              </w:drawing>
            </w:r>
          </w:p>
        </w:tc>
      </w:tr>
      <w:tr w14:paraId="5836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DB2E8A5">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3</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26A8639C">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女</w:t>
            </w:r>
          </w:p>
          <w:p w14:paraId="1B2BB9C7">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3D85961A">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短</w:t>
            </w:r>
          </w:p>
          <w:p w14:paraId="31DB4FE5">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1B0EF11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52FECC4A">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7278A09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面料及成衣参数要求：</w:t>
            </w:r>
          </w:p>
          <w:p w14:paraId="20E7809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1.产品应符合强制标准GB 18401-2010 B类全项目要求；</w:t>
            </w:r>
          </w:p>
          <w:p w14:paraId="572EA9C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2.纤维含量（%）：粘胶纤维50±5，聚酯纤维50±5；</w:t>
            </w:r>
          </w:p>
          <w:p w14:paraId="4D8C04E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3.面料单位面积质量（g/m²）：≥160；</w:t>
            </w:r>
          </w:p>
          <w:p w14:paraId="624BC03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4.面料纱线线密度（tex）：经、纬向（7.5±0.5）×2（允差±5%）；</w:t>
            </w:r>
          </w:p>
          <w:p w14:paraId="14945FA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5.面料机织物密度（根/10cm）：经向620（允差±5%），纬向400（允差±5%）；</w:t>
            </w:r>
          </w:p>
          <w:p w14:paraId="5D12439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6.面料耐摩擦色牢度（级）：≥4；</w:t>
            </w:r>
          </w:p>
          <w:p w14:paraId="327E348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7.面料耐汗渍色牢度（级）：变色、沾色≥4；</w:t>
            </w:r>
          </w:p>
          <w:p w14:paraId="77982C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8.面料耐光色牢度（级）：变色≥4；</w:t>
            </w:r>
          </w:p>
          <w:p w14:paraId="6C1A1AC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9.面料耐皂洗色牢度（级）：变色、沾色≥4；</w:t>
            </w:r>
          </w:p>
          <w:p w14:paraId="4E74DB2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10.水洗尺寸变化率（%）：领大≥-1.0，胸围≥-1.5，衣长≥-2.0；</w:t>
            </w:r>
          </w:p>
          <w:p w14:paraId="7650E35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11.洗涤后外观（水洗）：洗涤干燥后，粘合衬部位不允许出现脱胶、起泡。其他部位不允许出现破损、脱落、变形、明显扭曲和严重变色，缝口不允许脱散；</w:t>
            </w:r>
          </w:p>
          <w:p w14:paraId="76F00B4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12.缝子纰裂程度：缝子纰裂程度≤0.6cm，纰裂测试过程不得出现滑脱、织物断裂、缝线断裂；</w:t>
            </w:r>
          </w:p>
          <w:p w14:paraId="0215FAF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13.外观质量：应符合GB/T 2660-2017优等品要求。</w:t>
            </w:r>
          </w:p>
          <w:p w14:paraId="64B50B7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p>
          <w:p w14:paraId="2E2977B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款式要求：</w:t>
            </w:r>
          </w:p>
          <w:p w14:paraId="5EDA21AB">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蓝色；</w:t>
            </w:r>
          </w:p>
          <w:p w14:paraId="56A914ED">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标准160尺码：前衣长63cm,胸围94cm,腰围82cm,肩宽39cm,袖长20cm；</w:t>
            </w:r>
          </w:p>
          <w:p w14:paraId="70A70A32">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小方领，标准领5cm宽,领边压线0.1cm；</w:t>
            </w:r>
          </w:p>
          <w:p w14:paraId="1D19DEDE">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略修身女版，胸腰省设计，省道通至弧形下摆，穿着修身不紧绷；</w:t>
            </w:r>
          </w:p>
          <w:p w14:paraId="65055112">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暗门襟2-2.5cm宽，前胸处纽扣加密，安全平整防走光；</w:t>
            </w:r>
          </w:p>
          <w:p w14:paraId="7F881C74">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圆弧下摆设计，下摆0.5 cm 单针卷边压线，线迹平整均匀；</w:t>
            </w:r>
          </w:p>
          <w:p w14:paraId="0889F4AA">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袖口/领口体现本单位相关元素刺绣，刺绣不过底面，体现品质感</w:t>
            </w: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w:t>
            </w:r>
          </w:p>
          <w:p w14:paraId="7082F558">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袖口宽度2-2.5cm宽，简洁大方。</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DE9A757">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6841A511">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3A26">
            <w:pPr>
              <w:keepNext w:val="0"/>
              <w:keepLines w:val="0"/>
              <w:pageBreakBefore w:val="0"/>
              <w:widowControl/>
              <w:suppressLineNumbers w:val="0"/>
              <w:wordWrap/>
              <w:overflowPunct/>
              <w:topLinePunct w:val="0"/>
              <w:bidi w:val="0"/>
              <w:spacing w:line="240" w:lineRule="auto"/>
              <w:jc w:val="both"/>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41095" cy="2962910"/>
                  <wp:effectExtent l="0" t="0" r="1905"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1141095" cy="2962910"/>
                          </a:xfrm>
                          <a:prstGeom prst="rect">
                            <a:avLst/>
                          </a:prstGeom>
                          <a:noFill/>
                          <a:ln>
                            <a:noFill/>
                          </a:ln>
                        </pic:spPr>
                      </pic:pic>
                    </a:graphicData>
                  </a:graphic>
                </wp:inline>
              </w:drawing>
            </w:r>
          </w:p>
        </w:tc>
      </w:tr>
      <w:tr w14:paraId="62A2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258BA13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cs="宋体"/>
                <w:b/>
                <w:bCs/>
                <w:i w:val="0"/>
                <w:iCs w:val="0"/>
                <w:snapToGrid w:val="0"/>
                <w:color w:val="auto"/>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14D8FF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男</w:t>
            </w:r>
          </w:p>
          <w:p w14:paraId="67AF5D9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士</w:t>
            </w:r>
          </w:p>
          <w:p w14:paraId="368C492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西</w:t>
            </w:r>
          </w:p>
          <w:p w14:paraId="0B80977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服</w:t>
            </w:r>
          </w:p>
          <w:p w14:paraId="42B19EC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套</w:t>
            </w:r>
          </w:p>
          <w:p w14:paraId="31A1CF2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装</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2A33E79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面料及成衣参数要求：</w:t>
            </w:r>
          </w:p>
          <w:p w14:paraId="299C481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★1.产品应符合强制标准GB 18401-2010 B类全项目要求；</w:t>
            </w:r>
          </w:p>
          <w:p w14:paraId="4B35F18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★2.纤维含量（%）：面料：羊毛70±5，聚酯纤维30±5（含微量其它纤维）；里料100%聚酯纤维；</w:t>
            </w:r>
          </w:p>
          <w:p w14:paraId="68A9F11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★3.面料单位面积质量（g/m²）：≥170；</w:t>
            </w:r>
          </w:p>
          <w:p w14:paraId="32F7782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★4.面料纱线线密度（公制支数）（km/kg）：经向90/2（允差±5%），纬向58（允差±5%）；</w:t>
            </w:r>
          </w:p>
          <w:p w14:paraId="4C141F8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★5.面料机织物密度（根/10cm）：经向420（允差±5%），纬向410（允差±5%）；</w:t>
            </w:r>
          </w:p>
          <w:p w14:paraId="0417E52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★6.面料起毛起球（级）：≥4；</w:t>
            </w:r>
          </w:p>
          <w:p w14:paraId="6ABD864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★7.面料耐汗渍色牢度（级）：变色、沾色≥4；</w:t>
            </w:r>
          </w:p>
          <w:p w14:paraId="536FB15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★8.面料耐摩擦色牢度（级）：干摩擦≥4，湿摩擦≥3-4；</w:t>
            </w:r>
          </w:p>
          <w:p w14:paraId="37C8AC6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★9.面料耐光色牢度：≥4；</w:t>
            </w:r>
          </w:p>
          <w:p w14:paraId="793AF5D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★10.干洗尺寸变化率（%）：胸围-0.8～+0.8，衣长-1.0～+1.0，裤长-1.0～+1.0，腰围-0.8～+0.8；</w:t>
            </w:r>
          </w:p>
          <w:p w14:paraId="413C57A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11.干洗后外观：西服上衣水洗后起皱级差＞4级；面料不允许出现破洞；粘合、复合部位面料不允许起泡、脱落裂开。里料不允许外露。包缝线不可脱落、缝纫线不可开线；钮扣、饰品等附件不允许破损、脱落和锈蚀等；</w:t>
            </w:r>
          </w:p>
          <w:p w14:paraId="6C64090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★12.缝子纰裂程度：面料、里料≤0.6cm，纰裂测试过程不得出现纱线滑脱、织物撕破或缝线断裂现象；</w:t>
            </w:r>
          </w:p>
          <w:p w14:paraId="3F86ADF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★13.裤后裆缝接缝强力：面料≥140N、里料≥80N；</w:t>
            </w:r>
          </w:p>
          <w:p w14:paraId="3F818E5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★14.外观质量：应符合GB/T 2664-2017、GB/T 2665-2017、GB/T 2666-2017优等品要求。</w:t>
            </w:r>
          </w:p>
          <w:p w14:paraId="6D40E70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p>
          <w:p w14:paraId="2CE4F91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款式要求：</w:t>
            </w:r>
          </w:p>
          <w:p w14:paraId="422E459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西服：</w:t>
            </w:r>
          </w:p>
          <w:p w14:paraId="70292D0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1.</w:t>
            </w: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w:t>
            </w:r>
            <w:r>
              <w:rPr>
                <w:rFonts w:hint="default" w:ascii="宋体" w:hAnsi="宋体" w:cs="宋体"/>
                <w:color w:val="000000" w:themeColor="text1"/>
                <w:sz w:val="18"/>
                <w:szCs w:val="18"/>
                <w:highlight w:val="none"/>
                <w:lang w:val="en-US" w:eastAsia="zh-CN"/>
                <w14:textFill>
                  <w14:solidFill>
                    <w14:schemeClr w14:val="tx1"/>
                  </w14:solidFill>
                </w14:textFill>
              </w:rPr>
              <w:t>175</w:t>
            </w:r>
            <w:r>
              <w:rPr>
                <w:rFonts w:hint="eastAsia" w:ascii="宋体" w:hAnsi="宋体" w:cs="宋体"/>
                <w:color w:val="000000" w:themeColor="text1"/>
                <w:sz w:val="18"/>
                <w:szCs w:val="18"/>
                <w:highlight w:val="none"/>
                <w:lang w:val="en-US" w:eastAsia="zh-CN"/>
                <w14:textFill>
                  <w14:solidFill>
                    <w14:schemeClr w14:val="tx1"/>
                  </w14:solidFill>
                </w14:textFill>
              </w:rPr>
              <w:t>尺码：前</w:t>
            </w:r>
            <w:r>
              <w:rPr>
                <w:rFonts w:hint="default" w:ascii="宋体" w:hAnsi="宋体" w:cs="宋体"/>
                <w:color w:val="000000" w:themeColor="text1"/>
                <w:sz w:val="18"/>
                <w:szCs w:val="18"/>
                <w:highlight w:val="none"/>
                <w:lang w:val="en-US" w:eastAsia="zh-CN"/>
                <w14:textFill>
                  <w14:solidFill>
                    <w14:schemeClr w14:val="tx1"/>
                  </w14:solidFill>
                </w14:textFill>
              </w:rPr>
              <w:t>衣长76</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胸围112</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中腰100</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肩宽48</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袖长62</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 xml:space="preserve">  </w:t>
            </w:r>
          </w:p>
          <w:p w14:paraId="2C0306B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2.</w:t>
            </w:r>
            <w:r>
              <w:rPr>
                <w:rFonts w:hint="eastAsia" w:ascii="宋体" w:hAnsi="宋体" w:cs="宋体"/>
                <w:color w:val="000000" w:themeColor="text1"/>
                <w:sz w:val="18"/>
                <w:szCs w:val="18"/>
                <w:highlight w:val="none"/>
                <w:lang w:val="en-US" w:eastAsia="zh-CN"/>
                <w14:textFill>
                  <w14:solidFill>
                    <w14:schemeClr w14:val="tx1"/>
                  </w14:solidFill>
                </w14:textFill>
              </w:rPr>
              <w:t>平驳</w:t>
            </w:r>
            <w:r>
              <w:rPr>
                <w:rFonts w:hint="eastAsia" w:ascii="宋体" w:hAnsi="宋体" w:eastAsia="宋体" w:cs="宋体"/>
                <w:color w:val="000000" w:themeColor="text1"/>
                <w:sz w:val="18"/>
                <w:szCs w:val="18"/>
                <w:highlight w:val="none"/>
                <w:lang w:val="en-US" w:eastAsia="zh-CN"/>
                <w14:textFill>
                  <w14:solidFill>
                    <w14:schemeClr w14:val="tx1"/>
                  </w14:solidFill>
                </w14:textFill>
              </w:rPr>
              <w:t>领</w:t>
            </w:r>
            <w:r>
              <w:rPr>
                <w:rFonts w:hint="eastAsia" w:ascii="宋体" w:hAnsi="宋体" w:cs="宋体"/>
                <w:color w:val="000000" w:themeColor="text1"/>
                <w:sz w:val="18"/>
                <w:szCs w:val="18"/>
                <w:highlight w:val="none"/>
                <w:lang w:val="en-US" w:eastAsia="zh-CN"/>
                <w14:textFill>
                  <w14:solidFill>
                    <w14:schemeClr w14:val="tx1"/>
                  </w14:solidFill>
                </w14:textFill>
              </w:rPr>
              <w:t>7.5cm宽,领底采用双面呢衬,八字针固定，领边珠边；</w:t>
            </w:r>
          </w:p>
          <w:p w14:paraId="2694DB5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3.</w:t>
            </w:r>
            <w:r>
              <w:rPr>
                <w:rFonts w:hint="eastAsia" w:ascii="宋体" w:hAnsi="宋体" w:cs="宋体"/>
                <w:color w:val="000000" w:themeColor="text1"/>
                <w:sz w:val="18"/>
                <w:szCs w:val="18"/>
                <w:highlight w:val="none"/>
                <w:lang w:val="en-US" w:eastAsia="zh-CN"/>
                <w14:textFill>
                  <w14:solidFill>
                    <w14:schemeClr w14:val="tx1"/>
                  </w14:solidFill>
                </w14:textFill>
              </w:rPr>
              <w:t>单排两粒扣，纽扣直径1.8cm,扣位间距11cm</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5430C6B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4.</w:t>
            </w:r>
            <w:r>
              <w:rPr>
                <w:rFonts w:hint="eastAsia" w:ascii="宋体" w:hAnsi="宋体" w:cs="宋体"/>
                <w:color w:val="000000" w:themeColor="text1"/>
                <w:sz w:val="18"/>
                <w:szCs w:val="18"/>
                <w:highlight w:val="none"/>
                <w:lang w:val="en-US" w:eastAsia="zh-CN"/>
                <w14:textFill>
                  <w14:solidFill>
                    <w14:schemeClr w14:val="tx1"/>
                  </w14:solidFill>
                </w14:textFill>
              </w:rPr>
              <w:t>左胸口袋巾定制设计（带本单位定制标识）；</w:t>
            </w:r>
          </w:p>
          <w:p w14:paraId="2F205FC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5.</w:t>
            </w:r>
            <w:r>
              <w:rPr>
                <w:rFonts w:hint="eastAsia" w:ascii="宋体" w:hAnsi="宋体" w:cs="宋体"/>
                <w:color w:val="000000" w:themeColor="text1"/>
                <w:sz w:val="18"/>
                <w:szCs w:val="18"/>
                <w:highlight w:val="none"/>
                <w:lang w:val="en-US" w:eastAsia="zh-CN"/>
                <w14:textFill>
                  <w14:solidFill>
                    <w14:schemeClr w14:val="tx1"/>
                  </w14:solidFill>
                </w14:textFill>
              </w:rPr>
              <w:t>大身袋盖设计，袋盖珠边；</w:t>
            </w:r>
          </w:p>
          <w:p w14:paraId="1DD5350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6.</w:t>
            </w:r>
            <w:r>
              <w:rPr>
                <w:rFonts w:hint="eastAsia" w:ascii="宋体" w:hAnsi="宋体" w:cs="宋体"/>
                <w:color w:val="000000" w:themeColor="text1"/>
                <w:sz w:val="18"/>
                <w:szCs w:val="18"/>
                <w:highlight w:val="none"/>
                <w:lang w:val="en-US" w:eastAsia="zh-CN"/>
                <w14:textFill>
                  <w14:solidFill>
                    <w14:schemeClr w14:val="tx1"/>
                  </w14:solidFill>
                </w14:textFill>
              </w:rPr>
              <w:t>版型微收腰，标准衣长（盖住臀部），适用于传统商务场景；</w:t>
            </w:r>
          </w:p>
          <w:p w14:paraId="432AB7E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7.</w:t>
            </w: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p w14:paraId="1B74ABA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西裤：</w:t>
            </w:r>
          </w:p>
          <w:p w14:paraId="2E93AE04">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w:t>
            </w:r>
            <w:r>
              <w:rPr>
                <w:rFonts w:hint="default" w:ascii="宋体" w:hAnsi="宋体" w:cs="宋体"/>
                <w:color w:val="000000" w:themeColor="text1"/>
                <w:sz w:val="18"/>
                <w:szCs w:val="18"/>
                <w:highlight w:val="none"/>
                <w:lang w:val="en-US" w:eastAsia="zh-CN"/>
                <w14:textFill>
                  <w14:solidFill>
                    <w14:schemeClr w14:val="tx1"/>
                  </w14:solidFill>
                </w14:textFill>
              </w:rPr>
              <w:t>175</w:t>
            </w:r>
            <w:r>
              <w:rPr>
                <w:rFonts w:hint="eastAsia" w:ascii="宋体" w:hAnsi="宋体" w:cs="宋体"/>
                <w:color w:val="000000" w:themeColor="text1"/>
                <w:sz w:val="18"/>
                <w:szCs w:val="18"/>
                <w:highlight w:val="none"/>
                <w:lang w:val="en-US" w:eastAsia="zh-CN"/>
                <w14:textFill>
                  <w14:solidFill>
                    <w14:schemeClr w14:val="tx1"/>
                  </w14:solidFill>
                </w14:textFill>
              </w:rPr>
              <w:t>尺码：</w:t>
            </w:r>
            <w:r>
              <w:rPr>
                <w:rFonts w:hint="default" w:ascii="宋体" w:hAnsi="宋体" w:cs="宋体"/>
                <w:color w:val="000000" w:themeColor="text1"/>
                <w:sz w:val="18"/>
                <w:szCs w:val="18"/>
                <w:highlight w:val="none"/>
                <w:lang w:val="en-US" w:eastAsia="zh-CN"/>
                <w14:textFill>
                  <w14:solidFill>
                    <w14:schemeClr w14:val="tx1"/>
                  </w14:solidFill>
                </w14:textFill>
              </w:rPr>
              <w:t>腰围86</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臀围104</w:t>
            </w:r>
            <w:r>
              <w:rPr>
                <w:rFonts w:hint="eastAsia" w:ascii="宋体" w:hAnsi="宋体" w:cs="宋体"/>
                <w:color w:val="000000" w:themeColor="text1"/>
                <w:sz w:val="18"/>
                <w:szCs w:val="18"/>
                <w:highlight w:val="none"/>
                <w:lang w:val="en-US" w:eastAsia="zh-CN"/>
                <w14:textFill>
                  <w14:solidFill>
                    <w14:schemeClr w14:val="tx1"/>
                  </w14:solidFill>
                </w14:textFill>
              </w:rPr>
              <w:t>cm,长裤挑边</w:t>
            </w:r>
            <w:r>
              <w:rPr>
                <w:rFonts w:hint="default" w:ascii="宋体" w:hAnsi="宋体" w:cs="宋体"/>
                <w:color w:val="000000" w:themeColor="text1"/>
                <w:sz w:val="18"/>
                <w:szCs w:val="18"/>
                <w:highlight w:val="none"/>
                <w:lang w:val="en-US" w:eastAsia="zh-CN"/>
                <w14:textFill>
                  <w14:solidFill>
                    <w14:schemeClr w14:val="tx1"/>
                  </w14:solidFill>
                </w14:textFill>
              </w:rPr>
              <w:t>100</w:t>
            </w:r>
            <w:r>
              <w:rPr>
                <w:rFonts w:hint="eastAsia" w:ascii="宋体" w:hAnsi="宋体" w:cs="宋体"/>
                <w:color w:val="000000" w:themeColor="text1"/>
                <w:sz w:val="18"/>
                <w:szCs w:val="18"/>
                <w:highlight w:val="none"/>
                <w:lang w:val="en-US" w:eastAsia="zh-CN"/>
                <w14:textFill>
                  <w14:solidFill>
                    <w14:schemeClr w14:val="tx1"/>
                  </w14:solidFill>
                </w14:textFill>
              </w:rPr>
              <w:t>cm；</w:t>
            </w:r>
          </w:p>
          <w:p w14:paraId="6C4449C7">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无褶西裤，线条流畅，修饰腿型；</w:t>
            </w:r>
          </w:p>
          <w:p w14:paraId="6F8BBBB7">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斜插袋，贴合手部自然插入角度；</w:t>
            </w:r>
          </w:p>
          <w:p w14:paraId="6A37B92E">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腰宽3.5cm，后腰左右双省，后双开线包订一粒纽扣，袋口两端D型套结，腰部本布耳仔6个；</w:t>
            </w:r>
          </w:p>
          <w:p w14:paraId="1E0C0099">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使用YKK品牌拉链，拉感顺滑，稳定耐用；</w:t>
            </w:r>
          </w:p>
          <w:p w14:paraId="17F1C4E4">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西裤前半里添加里布工艺；</w:t>
            </w:r>
          </w:p>
          <w:p w14:paraId="5BB2F2A1">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防滑腰里工艺，穿着舒适实用；</w:t>
            </w:r>
          </w:p>
          <w:p w14:paraId="58529B56">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37A294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6A0C420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套</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6E5">
            <w:pPr>
              <w:keepNext w:val="0"/>
              <w:keepLines w:val="0"/>
              <w:pageBreakBefore w:val="0"/>
              <w:widowControl/>
              <w:suppressLineNumbers w:val="0"/>
              <w:wordWrap/>
              <w:overflowPunct/>
              <w:topLinePunct w:val="0"/>
              <w:bidi w:val="0"/>
              <w:spacing w:line="240" w:lineRule="auto"/>
              <w:jc w:val="center"/>
              <w:textAlignment w:val="center"/>
            </w:pPr>
          </w:p>
          <w:p w14:paraId="594092B9">
            <w:pPr>
              <w:keepNext w:val="0"/>
              <w:keepLines w:val="0"/>
              <w:pageBreakBefore w:val="0"/>
              <w:widowControl/>
              <w:suppressLineNumbers w:val="0"/>
              <w:wordWrap/>
              <w:overflowPunct/>
              <w:topLinePunct w:val="0"/>
              <w:bidi w:val="0"/>
              <w:spacing w:line="240" w:lineRule="auto"/>
              <w:jc w:val="center"/>
              <w:textAlignment w:val="center"/>
            </w:pPr>
          </w:p>
          <w:p w14:paraId="4EDBC3C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059815" cy="3756025"/>
                  <wp:effectExtent l="0" t="0" r="698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1059815" cy="3756025"/>
                          </a:xfrm>
                          <a:prstGeom prst="rect">
                            <a:avLst/>
                          </a:prstGeom>
                          <a:noFill/>
                          <a:ln>
                            <a:noFill/>
                          </a:ln>
                        </pic:spPr>
                      </pic:pic>
                    </a:graphicData>
                  </a:graphic>
                </wp:inline>
              </w:drawing>
            </w:r>
          </w:p>
        </w:tc>
      </w:tr>
      <w:tr w14:paraId="7208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BABD47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5</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750E907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男</w:t>
            </w:r>
          </w:p>
          <w:p w14:paraId="6E550A5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士</w:t>
            </w:r>
          </w:p>
          <w:p w14:paraId="2B7B83A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长</w:t>
            </w:r>
          </w:p>
          <w:p w14:paraId="3A167A2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袖</w:t>
            </w:r>
          </w:p>
          <w:p w14:paraId="2B1C8B0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衬</w:t>
            </w:r>
          </w:p>
          <w:p w14:paraId="2CD9A1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16C4A94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t>面料及成衣参数要求：</w:t>
            </w:r>
          </w:p>
          <w:p w14:paraId="1B41208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1.产品应符合强制标准GB 18401-2010 B类全项目要求；</w:t>
            </w:r>
          </w:p>
          <w:p w14:paraId="675C49A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2.纤维含量（%）：棉100；</w:t>
            </w:r>
          </w:p>
          <w:p w14:paraId="7B98050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3.面料单位面积质量（g/m²）：≥115；</w:t>
            </w:r>
          </w:p>
          <w:p w14:paraId="0EC1E2B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4.面料纱线线密度（tex）：经、纬向（5.3±0.5）×2（允差±5%）；</w:t>
            </w:r>
          </w:p>
          <w:p w14:paraId="115C4F3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5.面料机织物密度（根/10cm）：经向660（允差±5%），纬向350（允差±5%）；</w:t>
            </w:r>
          </w:p>
          <w:p w14:paraId="2A8EA46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6.面料耐摩擦色牢度（级）：≥4；</w:t>
            </w:r>
          </w:p>
          <w:p w14:paraId="6A8C8E0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7.面料耐汗渍色牢度（级）：变色、沾色≥4；</w:t>
            </w:r>
          </w:p>
          <w:p w14:paraId="65252A2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8.面料耐光色牢度（级）：变色≥4；</w:t>
            </w:r>
          </w:p>
          <w:p w14:paraId="48E9D8B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9.面料耐皂洗色牢度（级）：变色、沾色≥4；</w:t>
            </w:r>
          </w:p>
          <w:p w14:paraId="3084AEA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10.成衣免烫性能（液氨免烫整理）（洗涤-干燥5次循环）：洗涤干燥后外观平整度（级）≥3.5，洗涤干燥后接缝外观（级）≥3.0，洗涤干燥后褶裥外观（级）≥3.0；</w:t>
            </w:r>
          </w:p>
          <w:p w14:paraId="500F734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11.水洗尺寸变化率（%）：领大≥-1.0，胸围≥-1.5，衣长≥-2.0；</w:t>
            </w:r>
          </w:p>
          <w:p w14:paraId="4665FF3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12.洗涤后外观（水洗）：洗涤干燥后，粘合衬部位不允许出现脱胶、起泡。其他部位不允许出现破损、脱落、变形、明显扭曲和严重变色，缝口不允许脱散；</w:t>
            </w:r>
          </w:p>
          <w:p w14:paraId="46FACB5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13.缝子纰裂程度：缝子纰裂程度≤0.6cm，纰裂测试过程不得出现滑脱、织物断裂、缝线断裂；</w:t>
            </w:r>
          </w:p>
          <w:p w14:paraId="50C72B2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14.外观质量：应符合GB/T 2660-2017优等品要求。</w:t>
            </w:r>
          </w:p>
          <w:p w14:paraId="2B6914B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pPr>
          </w:p>
          <w:p w14:paraId="105F9B6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款式要求：</w:t>
            </w:r>
          </w:p>
          <w:p w14:paraId="51BD402C">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白色</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标准175尺码，领围40cm,肩宽48cm,胸围110cm,腰围104cm，袖长61.5cm,后衣长76cm;</w:t>
            </w:r>
          </w:p>
          <w:p w14:paraId="5F7003FF">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领口或袖口处加撞色防脏条</w:t>
            </w:r>
            <w:r>
              <w:rPr>
                <w:rFonts w:hint="eastAsia" w:ascii="宋体" w:hAnsi="宋体" w:eastAsia="宋体" w:cs="宋体"/>
                <w:color w:val="000000" w:themeColor="text1"/>
                <w:sz w:val="18"/>
                <w:szCs w:val="18"/>
                <w:lang w:val="en-US" w:eastAsia="zh-CN"/>
                <w14:textFill>
                  <w14:solidFill>
                    <w14:schemeClr w14:val="tx1"/>
                  </w14:solidFill>
                </w14:textFill>
              </w:rPr>
              <w:t>；</w:t>
            </w:r>
          </w:p>
          <w:p w14:paraId="37C26AE0">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标准小方领5.5cm宽,领边压线0.5cm，</w:t>
            </w:r>
            <w:r>
              <w:rPr>
                <w:rFonts w:hint="eastAsia" w:ascii="宋体" w:hAnsi="宋体" w:cs="宋体"/>
                <w:color w:val="000000" w:themeColor="text1"/>
                <w:sz w:val="18"/>
                <w:szCs w:val="18"/>
                <w:lang w:val="en-US" w:eastAsia="zh-CN"/>
                <w14:textFill>
                  <w14:solidFill>
                    <w14:schemeClr w14:val="tx1"/>
                  </w14:solidFill>
                </w14:textFill>
              </w:rPr>
              <w:t>固定式领尖内插片</w:t>
            </w:r>
            <w:r>
              <w:rPr>
                <w:rFonts w:hint="eastAsia" w:ascii="宋体" w:hAnsi="宋体" w:eastAsia="宋体" w:cs="宋体"/>
                <w:color w:val="000000" w:themeColor="text1"/>
                <w:sz w:val="18"/>
                <w:szCs w:val="18"/>
                <w:lang w:val="en-US" w:eastAsia="zh-CN"/>
                <w14:textFill>
                  <w14:solidFill>
                    <w14:schemeClr w14:val="tx1"/>
                  </w14:solidFill>
                </w14:textFill>
              </w:rPr>
              <w:t>；</w:t>
            </w:r>
          </w:p>
          <w:p w14:paraId="41F83AA5">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后背领下9cm处复司设计，后无腰省，前胸无贴袋，干净清爽；</w:t>
            </w:r>
          </w:p>
          <w:p w14:paraId="6372D2FE">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明门襟3cm宽并7粒明扣，左右各0.5 cm 对称压线；</w:t>
            </w:r>
          </w:p>
          <w:p w14:paraId="2CA7FC55">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衬衫侧缝与袖窿做埋夹工艺，平整耐用；</w:t>
            </w:r>
          </w:p>
          <w:p w14:paraId="44F392F1">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弧形下摆设计，下摆0.5 cm 单针卷边压线，线迹平整均匀；</w:t>
            </w:r>
          </w:p>
          <w:p w14:paraId="7ED6DE1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9.袖口/领口体现本单位相关元素刺绣，刺绣不过底面，体现品质感</w:t>
            </w:r>
            <w:r>
              <w:rPr>
                <w:rFonts w:hint="eastAsia" w:ascii="宋体" w:hAnsi="宋体" w:eastAsia="宋体" w:cs="宋体"/>
                <w:color w:val="000000" w:themeColor="text1"/>
                <w:sz w:val="18"/>
                <w:szCs w:val="18"/>
                <w:lang w:val="en-US" w:eastAsia="zh-CN"/>
                <w14:textFill>
                  <w14:solidFill>
                    <w14:schemeClr w14:val="tx1"/>
                  </w14:solidFill>
                </w14:textFill>
              </w:rPr>
              <w:t>；</w:t>
            </w:r>
          </w:p>
          <w:p w14:paraId="70546D7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宝剑头袖衩15cm高</w:t>
            </w:r>
            <w:r>
              <w:rPr>
                <w:rFonts w:hint="eastAsia" w:ascii="宋体" w:hAnsi="宋体" w:cs="宋体"/>
                <w:color w:val="000000" w:themeColor="text1"/>
                <w:sz w:val="18"/>
                <w:szCs w:val="18"/>
                <w:lang w:val="en-US" w:eastAsia="zh-CN"/>
                <w14:textFill>
                  <w14:solidFill>
                    <w14:schemeClr w14:val="tx1"/>
                  </w14:solidFill>
                </w14:textFill>
              </w:rPr>
              <w:t>，方便穿着。</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B2869F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244CD27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C2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141730" cy="2613025"/>
                  <wp:effectExtent l="0" t="0" r="1270" b="1587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4"/>
                          <a:stretch>
                            <a:fillRect/>
                          </a:stretch>
                        </pic:blipFill>
                        <pic:spPr>
                          <a:xfrm>
                            <a:off x="0" y="0"/>
                            <a:ext cx="1141730" cy="2613025"/>
                          </a:xfrm>
                          <a:prstGeom prst="rect">
                            <a:avLst/>
                          </a:prstGeom>
                          <a:noFill/>
                          <a:ln>
                            <a:noFill/>
                          </a:ln>
                        </pic:spPr>
                      </pic:pic>
                    </a:graphicData>
                  </a:graphic>
                </wp:inline>
              </w:drawing>
            </w:r>
          </w:p>
        </w:tc>
      </w:tr>
      <w:tr w14:paraId="7A20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4D00E39D">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6</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33DC62D1">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男</w:t>
            </w:r>
          </w:p>
          <w:p w14:paraId="6AEE3608">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6A0C99F0">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短</w:t>
            </w:r>
          </w:p>
          <w:p w14:paraId="70DC975B">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0730E6BA">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097656AC">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1B85414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t>面料及成衣参数要求：</w:t>
            </w:r>
          </w:p>
          <w:p w14:paraId="17BBB37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1.产品应符合强制标准GB 18401-2010 B类全项目要求；</w:t>
            </w:r>
          </w:p>
          <w:p w14:paraId="57B16ED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2.纤维含量（%）：粘胶纤维50±5，聚酯纤维50±5；</w:t>
            </w:r>
          </w:p>
          <w:p w14:paraId="4E8A4FE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3.面料单位面积质量（g/m²）：≥160；</w:t>
            </w:r>
          </w:p>
          <w:p w14:paraId="2F40EA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4.面料纱线线密度（tex）：经、纬向（7.5±0.5）×2（允差±5%）；</w:t>
            </w:r>
          </w:p>
          <w:p w14:paraId="4F0A0FD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5.面料机织物密度（根/10cm）：经向620（允差±5%），纬向400（允差±5%）；</w:t>
            </w:r>
          </w:p>
          <w:p w14:paraId="6D5C316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6.面料耐摩擦色牢度（级）：≥4；</w:t>
            </w:r>
          </w:p>
          <w:p w14:paraId="528ECC7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7.面料耐汗渍色牢度（级）：变色、沾色≥4；</w:t>
            </w:r>
          </w:p>
          <w:p w14:paraId="62A0D13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8.面料耐光色牢度（级）：变色≥4；</w:t>
            </w:r>
          </w:p>
          <w:p w14:paraId="3F9B468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9.面料耐皂洗色牢度（级）：变色、沾色≥4；</w:t>
            </w:r>
          </w:p>
          <w:p w14:paraId="125A188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10.水洗尺寸变化率（%）：领大≥-1.0，胸围≥-1.5，衣长≥-2.0；</w:t>
            </w:r>
          </w:p>
          <w:p w14:paraId="630A568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11.洗涤后外观（水洗）：洗涤干燥后，粘合衬部位不允许出现脱胶、起泡。其他部位不允许出现破损、脱落、变形、明显扭曲和严重变色，缝口不允许脱散；</w:t>
            </w:r>
          </w:p>
          <w:p w14:paraId="146EF93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12.缝子纰裂程度：缝子纰裂程度≤0.6cm，纰裂测试过程不得出现滑脱、织物断裂、缝线断裂；</w:t>
            </w:r>
          </w:p>
          <w:p w14:paraId="69B97E6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13.外观质量：应符合GB/T 2660-2017优等品要求。</w:t>
            </w:r>
          </w:p>
          <w:p w14:paraId="48E5118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u w:val="none"/>
                <w:lang w:val="en-US" w:eastAsia="zh-CN" w:bidi="ar"/>
                <w14:textFill>
                  <w14:solidFill>
                    <w14:schemeClr w14:val="tx1"/>
                  </w14:solidFill>
                </w14:textFill>
              </w:rPr>
            </w:pPr>
          </w:p>
          <w:p w14:paraId="07F0DD5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u w:val="none"/>
                <w:lang w:val="en-US" w:eastAsia="zh-CN" w:bidi="ar"/>
                <w14:textFill>
                  <w14:solidFill>
                    <w14:schemeClr w14:val="tx1"/>
                  </w14:solidFill>
                </w14:textFill>
              </w:rPr>
              <w:t>款式要求：</w:t>
            </w:r>
          </w:p>
          <w:p w14:paraId="1117469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蓝色；</w:t>
            </w:r>
          </w:p>
          <w:p w14:paraId="1B2EB2D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标准175尺码</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后衣长76cm</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肩宽48cm,胸围110cm,腰围104cm，袖长</w:t>
            </w:r>
            <w:r>
              <w:rPr>
                <w:rFonts w:hint="eastAsia" w:ascii="宋体" w:hAnsi="宋体" w:cs="宋体"/>
                <w:color w:val="000000" w:themeColor="text1"/>
                <w:sz w:val="18"/>
                <w:szCs w:val="18"/>
                <w:lang w:val="en-US" w:eastAsia="zh-CN"/>
                <w14:textFill>
                  <w14:solidFill>
                    <w14:schemeClr w14:val="tx1"/>
                  </w14:solidFill>
                </w14:textFill>
              </w:rPr>
              <w:t>22</w:t>
            </w:r>
            <w:r>
              <w:rPr>
                <w:rFonts w:hint="eastAsia" w:ascii="宋体" w:hAnsi="宋体" w:eastAsia="宋体" w:cs="宋体"/>
                <w:color w:val="000000" w:themeColor="text1"/>
                <w:sz w:val="18"/>
                <w:szCs w:val="18"/>
                <w:lang w:val="en-US" w:eastAsia="zh-CN"/>
                <w14:textFill>
                  <w14:solidFill>
                    <w14:schemeClr w14:val="tx1"/>
                  </w14:solidFill>
                </w14:textFill>
              </w:rPr>
              <w:t>cm,</w:t>
            </w:r>
          </w:p>
          <w:p w14:paraId="32FF88D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经典小方领5.5cm宽,领边压线0.5cm，</w:t>
            </w: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t>领尖固定暗插片工艺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p>
          <w:p w14:paraId="798A9FB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4</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前胸无贴袋，后片收腰省，干净清爽；</w:t>
            </w:r>
          </w:p>
          <w:p w14:paraId="43DDBA2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5</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明门襟3cm宽并7粒明扣，左右各0.5 cm 对称压线；</w:t>
            </w:r>
          </w:p>
          <w:p w14:paraId="1394E4C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r>
              <w:rPr>
                <w:rFonts w:hint="eastAsia" w:ascii="宋体" w:hAnsi="宋体" w:eastAsia="宋体" w:cs="宋体"/>
                <w:color w:val="000000" w:themeColor="text1"/>
                <w:sz w:val="18"/>
                <w:szCs w:val="18"/>
                <w:lang w:val="en-US" w:eastAsia="zh-CN"/>
                <w14:textFill>
                  <w14:solidFill>
                    <w14:schemeClr w14:val="tx1"/>
                  </w14:solidFill>
                </w14:textFill>
              </w:rPr>
              <w:t>后背领下9cm处复司设计，前胸无贴袋，干净清爽；</w:t>
            </w:r>
          </w:p>
          <w:p w14:paraId="63EFD33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7</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圆弧下摆设计，线条流畅自然，下摆0.5 cm 单针卷边压线；</w:t>
            </w:r>
          </w:p>
          <w:p w14:paraId="3993A70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8</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袖口宽度2.5cm，简洁大方，袖口/领口体现本单位相关元素刺绣，刺绣不过底面，体现品质感。</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59A4302">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DC5381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2207">
            <w:pPr>
              <w:keepNext w:val="0"/>
              <w:keepLines w:val="0"/>
              <w:pageBreakBefore w:val="0"/>
              <w:widowControl/>
              <w:suppressLineNumbers w:val="0"/>
              <w:wordWrap/>
              <w:overflowPunct/>
              <w:topLinePunct w:val="0"/>
              <w:bidi w:val="0"/>
              <w:spacing w:line="240" w:lineRule="auto"/>
              <w:jc w:val="center"/>
              <w:textAlignment w:val="center"/>
            </w:pPr>
          </w:p>
          <w:p w14:paraId="0E4FF36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25220" cy="3004820"/>
                  <wp:effectExtent l="0" t="0" r="1778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tretch>
                            <a:fillRect/>
                          </a:stretch>
                        </pic:blipFill>
                        <pic:spPr>
                          <a:xfrm>
                            <a:off x="0" y="0"/>
                            <a:ext cx="1125220" cy="3004820"/>
                          </a:xfrm>
                          <a:prstGeom prst="rect">
                            <a:avLst/>
                          </a:prstGeom>
                          <a:noFill/>
                          <a:ln>
                            <a:noFill/>
                          </a:ln>
                        </pic:spPr>
                      </pic:pic>
                    </a:graphicData>
                  </a:graphic>
                </wp:inline>
              </w:drawing>
            </w:r>
          </w:p>
        </w:tc>
      </w:tr>
    </w:tbl>
    <w:p w14:paraId="5A714C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2"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时应提供以上参数的带CMA标志的检验报告，检验报告应真实有效，提供检验报告发票，报告具有二维码可查，国家市场监督管理总局政务服务平台或全国认证认可信息公共服务平台可查并提供相应的查询结果截图；检验报告内容应符合样品实际情况，须包含样品应检的所有项目和部位，无须检验的可以出具不适用或不考核；对于需要多个试样结果取平均值、中位值或极值的项目，为了节约样品，此类项目可以只检测一个试样，单个试样的结果满足要求即可，并且力学性能项目可以使用水（干）洗后的样品进行检测。不符合以上要求的检验报告作无效投标处理。</w:t>
      </w:r>
    </w:p>
    <w:p w14:paraId="0D21DB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both"/>
        <w:textAlignment w:val="auto"/>
        <w:outlineLvl w:val="9"/>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zh-CN" w:eastAsia="zh-CN"/>
          <w14:textFill>
            <w14:solidFill>
              <w14:schemeClr w14:val="tx1"/>
            </w14:solidFill>
          </w14:textFill>
        </w:rPr>
        <w:t>送样</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67E16816">
      <w:pPr>
        <w:widowControl/>
        <w:spacing w:line="560" w:lineRule="exact"/>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1.样品接收：款式及样衣尺寸要求不符合的，投标资格作废（关键控制部位尺寸允许偏差值，应严格符合GB/T [对应国标号，如：2664-2017《西服》、2666-2017《西裤》、2660-2017《衬衫》等] 规定的公差范围。）</w:t>
      </w:r>
    </w:p>
    <w:p w14:paraId="40484773">
      <w:pPr>
        <w:widowControl/>
        <w:spacing w:line="5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1.1样品制作、搬运、安装、拆除等相关费用由投标人承担。投标人须</w:t>
      </w:r>
      <w:r>
        <w:rPr>
          <w:rFonts w:hint="eastAsia" w:ascii="宋体" w:hAnsi="宋体" w:eastAsia="宋体" w:cs="宋体"/>
          <w:bCs/>
          <w:color w:val="000000" w:themeColor="text1"/>
          <w:sz w:val="24"/>
          <w14:textFill>
            <w14:solidFill>
              <w14:schemeClr w14:val="tx1"/>
            </w14:solidFill>
          </w14:textFill>
        </w:rPr>
        <w:t>提交单个自行封样样品，不允许所有样品一起封样。</w:t>
      </w:r>
    </w:p>
    <w:p w14:paraId="5D6532F2">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1.2样品作为投标文件的组成部分，若无特殊要求，于投标截止时间前送达开标地点，逾期不再接收。</w:t>
      </w:r>
    </w:p>
    <w:p w14:paraId="6927DA0D">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1.3送达样品时，应附带提供样品清单。清单注明样品一至样品</w:t>
      </w:r>
      <w:r>
        <w:rPr>
          <w:rFonts w:hint="eastAsia" w:ascii="宋体" w:hAnsi="宋体" w:eastAsia="宋体" w:cs="宋体"/>
          <w:bCs/>
          <w:color w:val="000000" w:themeColor="text1"/>
          <w:sz w:val="24"/>
          <w:lang w:eastAsia="zh-CN"/>
          <w14:textFill>
            <w14:solidFill>
              <w14:schemeClr w14:val="tx1"/>
            </w14:solidFill>
          </w14:textFill>
        </w:rPr>
        <w:t>二</w:t>
      </w:r>
      <w:r>
        <w:rPr>
          <w:rFonts w:hint="eastAsia" w:ascii="宋体" w:hAnsi="宋体" w:eastAsia="宋体" w:cs="宋体"/>
          <w:bCs/>
          <w:color w:val="000000" w:themeColor="text1"/>
          <w:sz w:val="24"/>
          <w14:textFill>
            <w14:solidFill>
              <w14:schemeClr w14:val="tx1"/>
            </w14:solidFill>
          </w14:textFill>
        </w:rPr>
        <w:t>名称数量</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分包号（如有）、投标人名称，与投标样品摆放在一起。</w:t>
      </w:r>
    </w:p>
    <w:p w14:paraId="6BE5174D">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1.4样品接收时，代理机构编制序号代替供应商名称以便下一步编制评审号。</w:t>
      </w:r>
    </w:p>
    <w:p w14:paraId="02DD7C6F">
      <w:pPr>
        <w:pStyle w:val="15"/>
        <w:spacing w:line="360" w:lineRule="auto"/>
        <w:ind w:firstLine="48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2.样品封存、接收及退还</w:t>
      </w:r>
    </w:p>
    <w:p w14:paraId="60A83660">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2.1评审结束后，由本项目监督人员现场监督进行封样，代理机构予以协助。</w:t>
      </w:r>
    </w:p>
    <w:p w14:paraId="21095039">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2.2样品封样结束后，由代理机构保管。</w:t>
      </w:r>
    </w:p>
    <w:p w14:paraId="693ADEC8">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2.3中标结果公告后，中标供应商的封样样品移交采购人保管，用于验收比对；未中标供应商收到代理机构工作人员移交通知后，三个工作日内办理移交手续并自行保管，未在规定时间内办理移交手续的，代理机构有权自行处理，投标人不得有异议；</w:t>
      </w:r>
    </w:p>
    <w:p w14:paraId="40A2811C">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2.4本项目验收完成后，中标供应商收到采购人或代理机构工作人员退还通知后，三个工作日内到指定地点办理退还，移交后可自行处理样品。</w:t>
      </w:r>
    </w:p>
    <w:p w14:paraId="6EBA3B0E">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2.5样品移交、退还时，投标人按代理机构工作人员指定的时间、地点办理，因样品逾期未撤离而产生的场地占用等费用，由投标人承担。投标人拒不承担相应费用又不按期撤离样品的，代理机构将作废品处置。</w:t>
      </w:r>
    </w:p>
    <w:p w14:paraId="5BBAAC1C">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3.特殊要求：</w:t>
      </w:r>
    </w:p>
    <w:p w14:paraId="389C6DF6">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3.1本项目样品评审采用盲样，所有样品须密封提交，样品表面只能按要求张贴样品名称，不得看见可以识别投标人的任何标志与标识。样品未按照要求提供的，作无效投标处理。</w:t>
      </w:r>
    </w:p>
    <w:p w14:paraId="6BAE3795">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3.2盲样评审前由</w:t>
      </w:r>
      <w:r>
        <w:rPr>
          <w:rFonts w:hint="eastAsia" w:ascii="宋体" w:hAnsi="宋体" w:eastAsia="宋体" w:cs="宋体"/>
          <w:bCs/>
          <w:color w:val="000000" w:themeColor="text1"/>
          <w:sz w:val="24"/>
          <w:lang w:eastAsia="zh-CN"/>
          <w14:textFill>
            <w14:solidFill>
              <w14:schemeClr w14:val="tx1"/>
            </w14:solidFill>
          </w14:textFill>
        </w:rPr>
        <w:t>代理公司</w:t>
      </w:r>
      <w:r>
        <w:rPr>
          <w:rFonts w:hint="eastAsia" w:ascii="宋体" w:hAnsi="宋体" w:eastAsia="宋体" w:cs="宋体"/>
          <w:bCs/>
          <w:color w:val="000000" w:themeColor="text1"/>
          <w:sz w:val="24"/>
          <w14:textFill>
            <w14:solidFill>
              <w14:schemeClr w14:val="tx1"/>
            </w14:solidFill>
          </w14:textFill>
        </w:rPr>
        <w:t>进行随机编制评审号后进入评审。</w:t>
      </w:r>
    </w:p>
    <w:p w14:paraId="068CC6ED">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注：样品包装由投标人自行准备，须在包装袋上注明项目名称、投标人名称。</w:t>
      </w:r>
    </w:p>
    <w:p w14:paraId="35A60AB8">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三、其他要求</w:t>
      </w:r>
    </w:p>
    <w:p w14:paraId="7A668D2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组织集中踏勘，由供应商自行进行踏勘，无论踏勘与否，采购人均视为对现场条件和项目情况有充分的了解。供应商自行考虑各种风险，不得因此申请调价或索赔。踏勘过程中的费用和涉及到的风险损失等均由供应商自行承担。供应商须在投标响应文件中提供已自行踏勘现场的承诺函（格式自拟）。</w:t>
      </w:r>
    </w:p>
    <w:p w14:paraId="4F6514C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9CD9BD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30D22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3D6E89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57BB6B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A76A69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E640FB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46E0C0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89702E8">
      <w:pPr>
        <w:pStyle w:val="3"/>
        <w:spacing w:line="360" w:lineRule="auto"/>
        <w:jc w:val="center"/>
        <w:rPr>
          <w:rFonts w:hint="eastAsia" w:ascii="宋体" w:hAnsi="宋体" w:eastAsia="宋体" w:cs="宋体"/>
          <w:color w:val="auto"/>
          <w:sz w:val="24"/>
          <w:szCs w:val="24"/>
          <w:highlight w:val="none"/>
        </w:rPr>
      </w:pPr>
      <w:bookmarkStart w:id="60" w:name="_Toc24341"/>
      <w:r>
        <w:rPr>
          <w:rFonts w:hint="eastAsia" w:ascii="宋体" w:hAnsi="宋体" w:eastAsia="宋体" w:cs="宋体"/>
          <w:color w:val="auto"/>
          <w:sz w:val="36"/>
          <w:szCs w:val="30"/>
          <w:highlight w:val="none"/>
        </w:rPr>
        <w:t>第三篇</w:t>
      </w:r>
      <w:r>
        <w:rPr>
          <w:rFonts w:hint="eastAsia" w:ascii="宋体" w:hAnsi="宋体" w:eastAsia="宋体" w:cs="宋体"/>
          <w:color w:val="auto"/>
          <w:sz w:val="36"/>
          <w:szCs w:val="30"/>
          <w:highlight w:val="none"/>
          <w:lang w:val="en-US" w:eastAsia="zh-CN"/>
        </w:rPr>
        <w:t xml:space="preserve"> 谈判</w:t>
      </w:r>
      <w:r>
        <w:rPr>
          <w:rFonts w:hint="eastAsia" w:ascii="宋体" w:hAnsi="宋体" w:eastAsia="宋体" w:cs="宋体"/>
          <w:color w:val="auto"/>
          <w:sz w:val="36"/>
          <w:szCs w:val="30"/>
          <w:highlight w:val="none"/>
        </w:rPr>
        <w:t>项目商务需求</w:t>
      </w:r>
      <w:bookmarkEnd w:id="60"/>
      <w:bookmarkStart w:id="61" w:name="_Toc76462328"/>
      <w:bookmarkStart w:id="62" w:name="_Toc344475120"/>
    </w:p>
    <w:p w14:paraId="1E69CE3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63" w:name="_Toc27928"/>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交货期</w:t>
      </w:r>
      <w:r>
        <w:rPr>
          <w:rFonts w:hint="eastAsia" w:ascii="宋体" w:hAnsi="宋体" w:eastAsia="宋体" w:cs="宋体"/>
          <w:color w:val="auto"/>
          <w:sz w:val="24"/>
          <w:highlight w:val="none"/>
        </w:rPr>
        <w:t>、地点及验收方式</w:t>
      </w:r>
      <w:bookmarkEnd w:id="61"/>
      <w:bookmarkEnd w:id="62"/>
      <w:bookmarkEnd w:id="63"/>
    </w:p>
    <w:p w14:paraId="6E59CB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（一）交货期：合同签订后10个日历日。</w:t>
      </w:r>
    </w:p>
    <w:p w14:paraId="2ED888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（二）交货地点：采购人指定地点。</w:t>
      </w:r>
    </w:p>
    <w:p w14:paraId="066891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（三）验收方式：由采购人自行组织验收。成品到货后，采购人将从中随机抽选2样成品进行质量检验，并对检验报告进行核验，</w:t>
      </w:r>
      <w:r>
        <w:rPr>
          <w:rFonts w:hint="eastAsia" w:ascii="宋体" w:hAnsi="宋体" w:cs="宋体"/>
          <w:color w:val="000000" w:themeColor="text1"/>
          <w:sz w:val="24"/>
          <w:szCs w:val="24"/>
          <w:highlight w:val="none"/>
          <w:lang w:val="en-US" w:eastAsia="zh-CN"/>
          <w14:textFill>
            <w14:solidFill>
              <w14:schemeClr w14:val="tx1"/>
            </w14:solidFill>
          </w14:textFill>
        </w:rPr>
        <w:t>无论检验合格与否，</w:t>
      </w:r>
      <w:r>
        <w:rPr>
          <w:rFonts w:hint="eastAsia" w:ascii="宋体" w:hAnsi="宋体" w:eastAsia="宋体" w:cs="宋体"/>
          <w:color w:val="000000" w:themeColor="text1"/>
          <w:sz w:val="24"/>
          <w:szCs w:val="24"/>
          <w:highlight w:val="none"/>
          <w:lang w:val="en-US" w:eastAsia="zh-CN"/>
          <w14:textFill>
            <w14:solidFill>
              <w14:schemeClr w14:val="tx1"/>
            </w14:solidFill>
          </w14:textFill>
        </w:rPr>
        <w:t>2样成品</w:t>
      </w:r>
      <w:r>
        <w:rPr>
          <w:rFonts w:hint="eastAsia" w:ascii="宋体" w:hAnsi="宋体" w:cs="宋体"/>
          <w:color w:val="000000" w:themeColor="text1"/>
          <w:sz w:val="24"/>
          <w:szCs w:val="24"/>
          <w:highlight w:val="none"/>
          <w:lang w:val="en-US" w:eastAsia="zh-CN"/>
          <w14:textFill>
            <w14:solidFill>
              <w14:schemeClr w14:val="tx1"/>
            </w14:solidFill>
          </w14:textFill>
        </w:rPr>
        <w:t>及一切费用均由成交供应商承担，检验合格成交供应商应重新提供2样成品，</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若核验不合格采购人拒绝收货，视成交供应商违约，没收履约保证金，按合同约定对采购人进行赔偿，并承担相关法律责任。</w:t>
      </w:r>
    </w:p>
    <w:p w14:paraId="4E86E7CD">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4" w:name="_Toc23903"/>
      <w:bookmarkStart w:id="65" w:name="_Toc32313"/>
      <w:bookmarkStart w:id="66" w:name="_Toc156895491"/>
      <w:bookmarkStart w:id="67" w:name="_Toc20887"/>
      <w:bookmarkStart w:id="68" w:name="_Toc267320050"/>
      <w:bookmarkStart w:id="69" w:name="_Toc15677"/>
      <w:bookmarkStart w:id="70" w:name="_Toc14177"/>
      <w:bookmarkStart w:id="71" w:name="_Toc4252"/>
      <w:bookmarkStart w:id="72" w:name="_Toc119949879"/>
      <w:bookmarkStart w:id="73" w:name="_Toc15096"/>
      <w:bookmarkStart w:id="74" w:name="_Toc1450"/>
      <w:bookmarkStart w:id="75" w:name="_Toc2244"/>
      <w:bookmarkStart w:id="76" w:name="_Toc16693"/>
      <w:bookmarkStart w:id="77" w:name="_Toc4774"/>
      <w:bookmarkStart w:id="78" w:name="_Toc27382"/>
      <w:bookmarkStart w:id="79" w:name="_Toc2821"/>
      <w:bookmarkStart w:id="80" w:name="_Toc3465"/>
      <w:bookmarkStart w:id="81" w:name="_Toc119579780"/>
      <w:bookmarkStart w:id="82" w:name="_Toc75793511"/>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3" w:name="_Toc27144"/>
      <w:bookmarkStart w:id="84" w:name="_Toc267320052"/>
      <w:bookmarkStart w:id="85" w:name="_Toc9213"/>
      <w:bookmarkStart w:id="86" w:name="_Toc20369"/>
      <w:bookmarkStart w:id="87" w:name="_Toc10105"/>
      <w:bookmarkStart w:id="88" w:name="_Toc119949881"/>
      <w:bookmarkStart w:id="89" w:name="_Toc3311"/>
      <w:bookmarkStart w:id="90" w:name="_Toc18959"/>
      <w:bookmarkStart w:id="91" w:name="_Toc4897"/>
      <w:bookmarkStart w:id="92" w:name="_Toc119579782"/>
      <w:bookmarkStart w:id="93" w:name="_Toc28056"/>
      <w:bookmarkStart w:id="94" w:name="_Toc75793513"/>
      <w:bookmarkStart w:id="95" w:name="_Toc11060"/>
      <w:bookmarkStart w:id="96" w:name="_Toc22431"/>
      <w:bookmarkStart w:id="97" w:name="_Toc3565"/>
      <w:bookmarkStart w:id="98" w:name="_Toc11399"/>
      <w:bookmarkStart w:id="99" w:name="_Toc156895493"/>
      <w:bookmarkStart w:id="100" w:name="_Toc25410"/>
      <w:bookmarkStart w:id="101" w:name="_Toc4339"/>
      <w:r>
        <w:rPr>
          <w:rFonts w:hint="eastAsia" w:ascii="宋体" w:hAnsi="宋体" w:eastAsia="宋体" w:cs="宋体"/>
          <w:b/>
          <w:bCs/>
          <w:color w:val="000000" w:themeColor="text1"/>
          <w:kern w:val="0"/>
          <w:sz w:val="24"/>
          <w:szCs w:val="24"/>
          <w:highlight w:val="none"/>
          <w14:textFill>
            <w14:solidFill>
              <w14:schemeClr w14:val="tx1"/>
            </w14:solidFill>
          </w14:textFill>
        </w:rPr>
        <w:t>报价要求</w:t>
      </w:r>
    </w:p>
    <w:p w14:paraId="13FA47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报价为人民币报价，包括实施和完成本项目所需的人工费、材料费、机械费、管理费、利润、规费、税金以及一定范围的风险费用等一切费用（即日常中所谓材料、安装人工、运费、税金、质保等一切费用），采购人不再支付其他任何费用。因成交供应商自身原因造成漏报、少报皆由其自行承担责任，采购人不再补偿。</w:t>
      </w:r>
    </w:p>
    <w:p w14:paraId="2775B340">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三、履约担保及付款方式 </w:t>
      </w:r>
    </w:p>
    <w:p w14:paraId="3B013B43">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担保形式：履约保证金通过对公账户以现金转账或履约保函的形式提交，履约保函包括银行保函、保证保险和担保保函。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磋商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6A9DE3F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2.担保的金额：签约合同价的5% 。</w:t>
      </w:r>
    </w:p>
    <w:p w14:paraId="6F9A1E35">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提交时间：由项目成交人在成交通知书发出后5个工作日内现金转账缴纳至采购人指定账户或保函递交给采购人。若成交人不能按时、足额向采购人提交履约保证金的，视其为自动放弃中标资格，并将按采购法规及本采购文件相关规定进行处理。</w:t>
      </w:r>
    </w:p>
    <w:p w14:paraId="7AF91E22">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4.退还时间：项目验收合格后退还（不计息）。</w:t>
      </w:r>
    </w:p>
    <w:p w14:paraId="5CBA5CD0">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highlight w:val="none"/>
          <w:lang w:val="en-US" w:eastAsia="zh-CN"/>
        </w:rPr>
        <w:t>2、付款方式：</w:t>
      </w:r>
      <w:r>
        <w:rPr>
          <w:rFonts w:hint="eastAsia" w:ascii="宋体" w:hAnsi="宋体" w:eastAsia="宋体" w:cs="宋体"/>
          <w:sz w:val="24"/>
          <w:highlight w:val="none"/>
        </w:rPr>
        <w:t>项目验收合格后</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成交供应商提供对等合同的发票，采购人收到发票后10个工作日内支付</w:t>
      </w:r>
      <w:r>
        <w:rPr>
          <w:rFonts w:hint="eastAsia" w:ascii="宋体" w:hAnsi="宋体" w:eastAsia="宋体" w:cs="宋体"/>
          <w:sz w:val="24"/>
          <w:highlight w:val="none"/>
        </w:rPr>
        <w:t>合同金额</w:t>
      </w:r>
      <w:r>
        <w:rPr>
          <w:rFonts w:hint="eastAsia" w:ascii="宋体" w:hAnsi="宋体" w:eastAsia="宋体" w:cs="宋体"/>
          <w:sz w:val="24"/>
          <w:highlight w:val="none"/>
          <w:lang w:val="en-US" w:eastAsia="zh-CN"/>
        </w:rPr>
        <w:t>的10</w:t>
      </w:r>
      <w:r>
        <w:rPr>
          <w:rFonts w:hint="eastAsia" w:ascii="宋体" w:hAnsi="宋体" w:eastAsia="宋体" w:cs="宋体"/>
          <w:sz w:val="24"/>
          <w:highlight w:val="none"/>
        </w:rPr>
        <w:t>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35A83819">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14:textFill>
            <w14:solidFill>
              <w14:schemeClr w14:val="tx1"/>
            </w14:solidFill>
          </w14:textFill>
        </w:rPr>
        <w:t>、知识产权</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C8D01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508C732">
      <w:pPr>
        <w:keepNext/>
        <w:keepLines/>
        <w:pageBreakBefore w:val="0"/>
        <w:widowControl w:val="0"/>
        <w:kinsoku/>
        <w:wordWrap/>
        <w:overflowPunct/>
        <w:topLinePunct w:val="0"/>
        <w:autoSpaceDE/>
        <w:autoSpaceDN/>
        <w:bidi w:val="0"/>
        <w:adjustRightInd w:val="0"/>
        <w:snapToGrid w:val="0"/>
        <w:spacing w:line="400" w:lineRule="exact"/>
        <w:ind w:firstLine="569" w:firstLineChars="236"/>
        <w:textAlignment w:val="auto"/>
        <w:outlineLvl w:val="1"/>
        <w:rPr>
          <w:rFonts w:hint="eastAsia" w:ascii="宋体" w:hAnsi="宋体" w:eastAsia="宋体" w:cs="宋体"/>
          <w:b/>
          <w:color w:val="000000" w:themeColor="text1"/>
          <w:sz w:val="24"/>
          <w14:textFill>
            <w14:solidFill>
              <w14:schemeClr w14:val="tx1"/>
            </w14:solidFill>
          </w14:textFill>
        </w:rPr>
      </w:pPr>
      <w:bookmarkStart w:id="102" w:name="_Toc11068"/>
      <w:bookmarkStart w:id="103" w:name="_Toc267320054"/>
      <w:r>
        <w:rPr>
          <w:rFonts w:hint="eastAsia" w:ascii="宋体" w:hAnsi="宋体" w:eastAsia="宋体" w:cs="宋体"/>
          <w:b/>
          <w:color w:val="000000" w:themeColor="text1"/>
          <w:sz w:val="24"/>
          <w:lang w:val="en-US" w:eastAsia="zh-CN"/>
          <w14:textFill>
            <w14:solidFill>
              <w14:schemeClr w14:val="tx1"/>
            </w14:solidFill>
          </w14:textFill>
        </w:rPr>
        <w:t>五</w:t>
      </w:r>
      <w:r>
        <w:rPr>
          <w:rFonts w:hint="eastAsia" w:ascii="宋体" w:hAnsi="宋体" w:eastAsia="宋体" w:cs="宋体"/>
          <w:b/>
          <w:color w:val="000000" w:themeColor="text1"/>
          <w:sz w:val="24"/>
          <w14:textFill>
            <w14:solidFill>
              <w14:schemeClr w14:val="tx1"/>
            </w14:solidFill>
          </w14:textFill>
        </w:rPr>
        <w:t>、其他</w:t>
      </w:r>
      <w:bookmarkEnd w:id="102"/>
      <w:bookmarkEnd w:id="103"/>
    </w:p>
    <w:p w14:paraId="1D5CFAD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）其他未尽事宜由供需双方在采购合同中详细约定。</w:t>
      </w:r>
    </w:p>
    <w:p w14:paraId="6037191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auto"/>
          <w:sz w:val="24"/>
          <w:szCs w:val="24"/>
          <w:highlight w:val="none"/>
          <w:lang w:val="en-US" w:eastAsia="zh-CN"/>
        </w:rPr>
        <w:t>供应商须在响应文件中对以上条款和服务承诺明确列出，承诺内容必须达到本篇及采购文件其他条款的要求。响应文件中所有承诺须法定代表人签字并加盖供应商公章。</w:t>
      </w:r>
    </w:p>
    <w:p w14:paraId="1B3A3EAF">
      <w:pPr>
        <w:pStyle w:val="3"/>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bookmarkStart w:id="104" w:name="_Toc102227313"/>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lang w:eastAsia="zh-CN"/>
          <w14:textFill>
            <w14:solidFill>
              <w14:schemeClr w14:val="tx1"/>
            </w14:solidFill>
          </w14:textFill>
        </w:rPr>
        <w:t>谈判</w:t>
      </w:r>
      <w:r>
        <w:rPr>
          <w:rFonts w:hint="eastAsia" w:ascii="宋体" w:hAnsi="宋体" w:eastAsia="宋体" w:cs="宋体"/>
          <w:bCs/>
          <w:color w:val="000000" w:themeColor="text1"/>
          <w:spacing w:val="-11"/>
          <w:sz w:val="24"/>
          <w:szCs w:val="24"/>
          <w:highlight w:val="none"/>
          <w14:textFill>
            <w14:solidFill>
              <w14:schemeClr w14:val="tx1"/>
            </w14:solidFill>
          </w14:textFill>
        </w:rPr>
        <w:t>程序及方法、评审</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依据</w:t>
      </w:r>
      <w:r>
        <w:rPr>
          <w:rFonts w:hint="eastAsia" w:ascii="宋体" w:hAnsi="宋体" w:eastAsia="宋体" w:cs="宋体"/>
          <w:bCs/>
          <w:color w:val="000000" w:themeColor="text1"/>
          <w:spacing w:val="-11"/>
          <w:sz w:val="24"/>
          <w:szCs w:val="24"/>
          <w:highlight w:val="none"/>
          <w14:textFill>
            <w14:solidFill>
              <w14:schemeClr w14:val="tx1"/>
            </w14:solidFill>
          </w14:textFill>
        </w:rPr>
        <w:t>、</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成交原则、</w:t>
      </w:r>
      <w:r>
        <w:rPr>
          <w:rFonts w:hint="eastAsia" w:ascii="宋体" w:hAnsi="宋体" w:eastAsia="宋体" w:cs="宋体"/>
          <w:bCs/>
          <w:color w:val="000000" w:themeColor="text1"/>
          <w:spacing w:val="-11"/>
          <w:sz w:val="24"/>
          <w:szCs w:val="24"/>
          <w:highlight w:val="none"/>
          <w14:textFill>
            <w14:solidFill>
              <w14:schemeClr w14:val="tx1"/>
            </w14:solidFill>
          </w14:textFill>
        </w:rPr>
        <w:t>响应无效和采购终止</w:t>
      </w:r>
    </w:p>
    <w:p w14:paraId="44819661">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rPr>
      </w:pPr>
      <w:bookmarkStart w:id="105" w:name="_Toc18690"/>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程序及方法</w:t>
      </w:r>
      <w:bookmarkEnd w:id="105"/>
    </w:p>
    <w:p w14:paraId="56DBDBDA">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（一）谈判按竞争性谈判文件规定的时间和地点进行。供应商须有法定代表人或其授权代表参加并签到。</w:t>
      </w:r>
    </w:p>
    <w:p w14:paraId="4234C58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14:paraId="087A25CD">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1.资格性检查。依据法律法规和竞争性谈判文件的规定，对响应文件中的资格证明、保证金等进行审查，以确定供应商是否具备谈判资格。资格性检查资料表如下：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ECB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EC75D4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394" w:type="dxa"/>
            <w:gridSpan w:val="2"/>
            <w:vAlign w:val="center"/>
          </w:tcPr>
          <w:p w14:paraId="3C5EDC2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4D750E62">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A4C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5155FC08">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1860AE8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zh-CN"/>
              </w:rPr>
              <w:t>应符合的基本资格条件</w:t>
            </w:r>
          </w:p>
        </w:tc>
        <w:tc>
          <w:tcPr>
            <w:tcW w:w="3685" w:type="dxa"/>
            <w:vAlign w:val="center"/>
          </w:tcPr>
          <w:p w14:paraId="0C0FD111">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3FA7A70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法人营业执照（副本）或事业单位法人证书（副本）或个体工商户营业执照或有效的自然人身份证明、组织机构代码证复印件（注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E25C21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7E4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6CF04075">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0E22810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43972B7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的财务会计制度</w:t>
            </w:r>
          </w:p>
        </w:tc>
        <w:tc>
          <w:tcPr>
            <w:tcW w:w="4558" w:type="dxa"/>
            <w:vMerge w:val="restart"/>
            <w:vAlign w:val="center"/>
          </w:tcPr>
          <w:p w14:paraId="0B32FFE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提供基本资格条件承诺函。（格式详见第七篇）</w:t>
            </w:r>
          </w:p>
        </w:tc>
      </w:tr>
      <w:tr w14:paraId="016F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59FC22B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3984ED5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B329B6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0648DA0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2017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4D42680">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6F8522C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6956EA8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7D9458F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D9D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017FFB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1CC6716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D5505A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558" w:type="dxa"/>
            <w:vMerge w:val="continue"/>
            <w:vAlign w:val="center"/>
          </w:tcPr>
          <w:p w14:paraId="1910F0EE">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8EC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4F0CB63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7FCB13E3">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855A1D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Align w:val="center"/>
          </w:tcPr>
          <w:p w14:paraId="2E2550C8">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A29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6D73937A">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39A457F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558" w:type="dxa"/>
            <w:vAlign w:val="center"/>
          </w:tcPr>
          <w:p w14:paraId="3643166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资格条件（二）落实政府采购政策需满足的资格要求”的要求提交（如果有）。</w:t>
            </w:r>
          </w:p>
        </w:tc>
      </w:tr>
      <w:tr w14:paraId="3D40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39F15EA7">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94" w:type="dxa"/>
            <w:gridSpan w:val="2"/>
            <w:vAlign w:val="center"/>
          </w:tcPr>
          <w:p w14:paraId="1E37569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7581513E">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资格条件（三）特定资格条件”的要求提交（如果有）。</w:t>
            </w:r>
          </w:p>
        </w:tc>
      </w:tr>
      <w:tr w14:paraId="7387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6" w:type="dxa"/>
            <w:vAlign w:val="center"/>
          </w:tcPr>
          <w:p w14:paraId="411BDA55">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94" w:type="dxa"/>
            <w:gridSpan w:val="2"/>
            <w:vAlign w:val="center"/>
          </w:tcPr>
          <w:p w14:paraId="13EA058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558" w:type="dxa"/>
            <w:vAlign w:val="center"/>
          </w:tcPr>
          <w:p w14:paraId="6584153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竞采文件</w:t>
            </w:r>
            <w:r>
              <w:rPr>
                <w:rFonts w:hint="eastAsia" w:ascii="宋体" w:hAnsi="宋体" w:eastAsia="宋体" w:cs="宋体"/>
                <w:color w:val="auto"/>
                <w:sz w:val="24"/>
                <w:szCs w:val="24"/>
                <w:highlight w:val="none"/>
              </w:rPr>
              <w:t>要求足额交纳所投包的投标保证金。</w:t>
            </w:r>
          </w:p>
        </w:tc>
      </w:tr>
    </w:tbl>
    <w:p w14:paraId="7BC27A3A">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72A53D8">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2</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按“多证合一”登记制度办理营业执照的，组织机构代码证、税务登记证（副本）和社会保险登记证以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所提供的营业执照（副本）复印件为准。</w:t>
      </w:r>
    </w:p>
    <w:p w14:paraId="0F39BA9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3</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80812F5">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2.符合性检查。依据竞争性谈判文件的规定，从响应文件的有效性、完整性和对竞争性谈判文件的响应程度进行审查，以确定是否对竞争性谈判文件的实质性要求作出响应。符合性检查资料表如下：</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30B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0C9A012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0832435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74BA28FF">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70A0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5204E2DE">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5FFBEB26">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62167CC7">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17BA86A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38CB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5E7BB11D">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68F5E8C">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7C05F89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7A34F95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规定的格式，签字或盖章齐全。</w:t>
            </w:r>
          </w:p>
        </w:tc>
      </w:tr>
      <w:tr w14:paraId="0C64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245C3196">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5B33E98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669D3B5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529C322C">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53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54481514">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8708FB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40F7352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65D50CD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009B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78A204A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5A09D79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63424417">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105DC521">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lang w:val="zh-CN"/>
              </w:rPr>
              <w:t>要求。</w:t>
            </w:r>
          </w:p>
        </w:tc>
      </w:tr>
      <w:tr w14:paraId="145A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7ACA0FC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3450E1B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的响应程度审查</w:t>
            </w:r>
          </w:p>
        </w:tc>
        <w:tc>
          <w:tcPr>
            <w:tcW w:w="1984" w:type="dxa"/>
            <w:vAlign w:val="center"/>
          </w:tcPr>
          <w:p w14:paraId="2F7291C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17D98552">
            <w:pPr>
              <w:pStyle w:val="33"/>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第二篇、第三篇规定的</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内容作出响应。</w:t>
            </w:r>
          </w:p>
        </w:tc>
      </w:tr>
      <w:tr w14:paraId="4EF1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1CE6DA39">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9A8C45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1984" w:type="dxa"/>
            <w:vAlign w:val="center"/>
          </w:tcPr>
          <w:p w14:paraId="13931D0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w:t>
            </w:r>
          </w:p>
        </w:tc>
        <w:tc>
          <w:tcPr>
            <w:tcW w:w="5409" w:type="dxa"/>
            <w:vAlign w:val="center"/>
          </w:tcPr>
          <w:p w14:paraId="7E84DFE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sz w:val="24"/>
                <w:szCs w:val="24"/>
                <w:highlight w:val="none"/>
                <w:lang w:val="zh-CN"/>
              </w:rPr>
              <w:t>规定。</w:t>
            </w:r>
          </w:p>
        </w:tc>
      </w:tr>
    </w:tbl>
    <w:p w14:paraId="226C2577">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FD05EE">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74D37F7">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（五）在谈判过程中谈判的任何一方不得向他人透露与谈判有关的技术资料、价格或其他信息。</w:t>
      </w:r>
    </w:p>
    <w:p w14:paraId="4195E0C0">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70E6C7E4">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（七）供应商在谈判时作出的所有书面承诺须由法定代表人或其授权代表签字。</w:t>
      </w:r>
    </w:p>
    <w:p w14:paraId="42A94D11">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14:paraId="12FF2497">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lang w:eastAsia="zh-CN"/>
        </w:rPr>
      </w:pPr>
      <w:bookmarkStart w:id="106" w:name="_Toc18411"/>
      <w:r>
        <w:rPr>
          <w:rFonts w:hint="eastAsia" w:ascii="宋体" w:hAnsi="宋体" w:eastAsia="宋体" w:cs="宋体"/>
          <w:color w:val="auto"/>
          <w:sz w:val="24"/>
          <w:szCs w:val="24"/>
          <w:highlight w:val="none"/>
        </w:rPr>
        <w:t>二、评审</w:t>
      </w:r>
      <w:bookmarkEnd w:id="106"/>
      <w:bookmarkStart w:id="107" w:name="_Toc342913394"/>
      <w:bookmarkStart w:id="108" w:name="_Toc102227320"/>
      <w:r>
        <w:rPr>
          <w:rFonts w:hint="eastAsia" w:ascii="宋体" w:hAnsi="宋体" w:cs="宋体"/>
          <w:color w:val="auto"/>
          <w:sz w:val="24"/>
          <w:szCs w:val="24"/>
          <w:highlight w:val="none"/>
          <w:lang w:val="en-US" w:eastAsia="zh-CN"/>
        </w:rPr>
        <w:t>依据</w:t>
      </w:r>
    </w:p>
    <w:p w14:paraId="02B8B1AF">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评审的依据为竞争性谈判文件和响应文件（含有效的补充文件）。谈判小组判断响应文件对竞争性谈判文件的响应，仅基于响应文件本身而不靠外部证据。</w:t>
      </w:r>
    </w:p>
    <w:p w14:paraId="4561CA70">
      <w:pPr>
        <w:pStyle w:val="4"/>
        <w:pageBreakBefore w:val="0"/>
        <w:widowControl w:val="0"/>
        <w:kinsoku/>
        <w:wordWrap/>
        <w:overflowPunct/>
        <w:topLinePunct w:val="0"/>
        <w:autoSpaceDE/>
        <w:autoSpaceDN/>
        <w:bidi w:val="0"/>
        <w:adjustRightInd/>
        <w:spacing w:before="0" w:after="0" w:line="4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三、成交原则</w:t>
      </w:r>
    </w:p>
    <w:p w14:paraId="7E2BF4D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1、评审办法</w:t>
      </w:r>
    </w:p>
    <w:p w14:paraId="5AE94E3D">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1.1谈判小组将依照本竞争性谈判文件相关规定对质量和服务均能满足竞争性谈判实质性响应要求的供应商所提交的最后报价进行审核，并依据最后报价价格按照由低到高的顺序提出3名以上成交候选人，并编写评审报告。</w:t>
      </w:r>
    </w:p>
    <w:p w14:paraId="1547E6B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1.2若供应商的最后报价价格相同，按技术参数（条款）的优劣顺序排列；以上都相同的，按服务条款的优劣顺序排列。</w:t>
      </w:r>
    </w:p>
    <w:p w14:paraId="3F0B4A5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val="0"/>
          <w:color w:val="auto"/>
          <w:kern w:val="0"/>
          <w:sz w:val="24"/>
          <w:szCs w:val="24"/>
          <w:highlight w:val="none"/>
          <w:lang w:val="en-US" w:eastAsia="zh-CN" w:bidi="ar-SA"/>
        </w:rPr>
        <w:t>1.3成交价格=成交供应商的最后报价</w:t>
      </w:r>
    </w:p>
    <w:p w14:paraId="027D1090">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2.3成交供应商的确定：</w:t>
      </w:r>
    </w:p>
    <w:p w14:paraId="20B6EAC9">
      <w:pPr>
        <w:pStyle w:val="4"/>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2.3.1“第</w:t>
      </w:r>
      <w:r>
        <w:rPr>
          <w:rFonts w:hint="eastAsia" w:ascii="宋体" w:hAnsi="宋体" w:cs="宋体"/>
          <w:b w:val="0"/>
          <w:color w:val="auto"/>
          <w:kern w:val="0"/>
          <w:sz w:val="24"/>
          <w:szCs w:val="24"/>
          <w:highlight w:val="none"/>
          <w:lang w:val="en-US" w:eastAsia="zh-CN" w:bidi="ar-SA"/>
        </w:rPr>
        <w:t>二</w:t>
      </w:r>
      <w:r>
        <w:rPr>
          <w:rFonts w:hint="eastAsia" w:ascii="宋体" w:hAnsi="宋体" w:eastAsia="宋体" w:cs="宋体"/>
          <w:b w:val="0"/>
          <w:color w:val="auto"/>
          <w:kern w:val="0"/>
          <w:sz w:val="24"/>
          <w:szCs w:val="24"/>
          <w:highlight w:val="none"/>
          <w:lang w:val="en-US" w:eastAsia="zh-CN" w:bidi="ar-SA"/>
        </w:rPr>
        <w:t>篇谈判项目技术需求”有一条及以上不能满足竞争性谈判文件要求的供应商将失去成为成交供应商的资格；</w:t>
      </w:r>
    </w:p>
    <w:p w14:paraId="0B66586D">
      <w:pPr>
        <w:pageBreakBefore w:val="0"/>
        <w:widowControl w:val="0"/>
        <w:kinsoku/>
        <w:wordWrap/>
        <w:overflowPunct/>
        <w:topLinePunct w:val="0"/>
        <w:autoSpaceDE/>
        <w:autoSpaceDN/>
        <w:bidi w:val="0"/>
        <w:adjustRightInd/>
        <w:snapToGrid/>
        <w:spacing w:line="420" w:lineRule="exact"/>
        <w:textAlignment w:val="auto"/>
        <w:rPr>
          <w:rFonts w:hint="eastAsia" w:ascii="Calibri" w:hAnsi="Calibri" w:eastAsia="宋体" w:cs="Times New Roman"/>
          <w:kern w:val="2"/>
          <w:sz w:val="28"/>
          <w:lang w:val="en-US" w:eastAsia="zh-CN" w:bidi="ar-SA"/>
        </w:rPr>
      </w:pPr>
      <w:r>
        <w:rPr>
          <w:rFonts w:hint="eastAsia" w:ascii="宋体" w:hAnsi="宋体" w:eastAsia="宋体" w:cs="宋体"/>
          <w:b w:val="0"/>
          <w:color w:val="auto"/>
          <w:kern w:val="0"/>
          <w:sz w:val="24"/>
          <w:szCs w:val="24"/>
          <w:highlight w:val="none"/>
          <w:lang w:val="en-US" w:eastAsia="zh-CN" w:bidi="ar-SA"/>
        </w:rPr>
        <w:t>2.3.2“第</w:t>
      </w:r>
      <w:r>
        <w:rPr>
          <w:rFonts w:hint="eastAsia" w:ascii="宋体" w:hAnsi="宋体" w:cs="宋体"/>
          <w:b w:val="0"/>
          <w:color w:val="auto"/>
          <w:kern w:val="0"/>
          <w:sz w:val="24"/>
          <w:szCs w:val="24"/>
          <w:highlight w:val="none"/>
          <w:lang w:val="en-US" w:eastAsia="zh-CN" w:bidi="ar-SA"/>
        </w:rPr>
        <w:t>三</w:t>
      </w:r>
      <w:r>
        <w:rPr>
          <w:rFonts w:hint="eastAsia" w:ascii="宋体" w:hAnsi="宋体" w:eastAsia="宋体" w:cs="宋体"/>
          <w:b w:val="0"/>
          <w:color w:val="auto"/>
          <w:kern w:val="0"/>
          <w:sz w:val="24"/>
          <w:szCs w:val="24"/>
          <w:highlight w:val="none"/>
          <w:lang w:val="en-US" w:eastAsia="zh-CN" w:bidi="ar-SA"/>
        </w:rPr>
        <w:t>篇谈判项目服务需求”有一条及以上不能满足竞争性谈判文件要求的供应商将失去成为成交供应商的资格。</w:t>
      </w:r>
    </w:p>
    <w:p w14:paraId="6409126B">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bookmarkStart w:id="109" w:name="_Toc25094"/>
      <w:r>
        <w:rPr>
          <w:rFonts w:hint="eastAsia" w:ascii="宋体" w:hAnsi="宋体" w:eastAsia="宋体" w:cs="宋体"/>
          <w:b w:val="0"/>
          <w:color w:val="auto"/>
          <w:kern w:val="0"/>
          <w:sz w:val="24"/>
          <w:szCs w:val="24"/>
          <w:highlight w:val="none"/>
          <w:lang w:val="en-US" w:eastAsia="zh-CN" w:bidi="ar-SA"/>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0AC306DC">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2.3.4谈判小组将依照评审办法提出成交候选人。</w:t>
      </w:r>
    </w:p>
    <w:p w14:paraId="519D423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2.3.5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5A02893">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2.4成交供应商的变更</w:t>
      </w:r>
    </w:p>
    <w:p w14:paraId="0FE9D79C">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2.4.1若为下列情况之一的，成交供应商因不可抗力或者自身原因不能履行合同的，采购人可以确定排名其后一位的成交候选人为成交供应商：</w:t>
      </w:r>
    </w:p>
    <w:p w14:paraId="47ADB145">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2.4.1.1拟成交金额在100万以下的，报价不超过前一名报价5%的成交候选人；</w:t>
      </w:r>
    </w:p>
    <w:p w14:paraId="4EB0E6E2">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2.4.1.2拟成交金额在100～200万的，报价不超过前一名报价4%的成交候选人；</w:t>
      </w:r>
    </w:p>
    <w:p w14:paraId="7F666DFB">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2.4.1.3拟成交金额在200万及以上的，报价不超过前一名报价3%的成交候选人；</w:t>
      </w:r>
    </w:p>
    <w:p w14:paraId="72C7818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2.4.1.4采购人须按以上程序确认成交供应商，否则应重新组织采购。</w:t>
      </w:r>
    </w:p>
    <w:p w14:paraId="21DE078A">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2.4.2成交供应商无充分理由放弃成交的，采购人将把相关情况报财政部门，财政部门将根据财政部十八号令第七十五条的规定对违规供应商进行处罚。</w:t>
      </w:r>
    </w:p>
    <w:p w14:paraId="6AA7044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2.5出现下列情形之一的，采购人应当终止竞争性谈判采购活动，发布项目终止公告并说明原因，重新开展采购活动：</w:t>
      </w:r>
    </w:p>
    <w:p w14:paraId="6B3C104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2.5.1因情况变化，不再符合规定的竞争性谈判采购方式适用情形的；</w:t>
      </w:r>
    </w:p>
    <w:p w14:paraId="1B73DB7D">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2.5.2出现影响采购公正的违法、违规行为的；</w:t>
      </w:r>
    </w:p>
    <w:p w14:paraId="41BF0680">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2.5.3在采购过程中符合竞争要求的供应商或者报价未超过采购预算的供应商不足3家的，但《政府采购非招标采购方式管理办法》第二十七条第二款规定的情形除外。</w:t>
      </w:r>
    </w:p>
    <w:p w14:paraId="74FAA0A9">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、响应无效</w:t>
      </w:r>
      <w:bookmarkEnd w:id="109"/>
    </w:p>
    <w:bookmarkEnd w:id="107"/>
    <w:bookmarkEnd w:id="108"/>
    <w:p w14:paraId="4A07500E">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发生以下条款情况之一者，视为响应无效，其响应文件将被拒绝：</w:t>
      </w:r>
    </w:p>
    <w:p w14:paraId="098DBCB3">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不符合规定的基本资格条件或特定资格条件的；</w:t>
      </w:r>
    </w:p>
    <w:p w14:paraId="139E2A6B">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所提交的响应文件不按第七篇“响应文件编制要求”规定签字、盖章；</w:t>
      </w:r>
    </w:p>
    <w:p w14:paraId="62CBD9AC">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的报价超过采购预算或总价最高限价或单价最高限价的；</w:t>
      </w:r>
    </w:p>
    <w:p w14:paraId="52C362A1">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75641535">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的平台报价与上传的网上电子响应文件报价函中的报价不一致的；</w:t>
      </w:r>
    </w:p>
    <w:p w14:paraId="4F03F339">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，参加同一合同项下的采购活动的；</w:t>
      </w:r>
    </w:p>
    <w:p w14:paraId="6AE179AC">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w:t>
      </w:r>
    </w:p>
    <w:p w14:paraId="3B537905">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的服务期、质量保证期及</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有效期不满足</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要求的；</w:t>
      </w:r>
    </w:p>
    <w:p w14:paraId="6DD9903A">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响应文件内容有与国家现行法律法规相违背的内容，或附有采购人无法接受的条件。</w:t>
      </w:r>
    </w:p>
    <w:p w14:paraId="2680EF62">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被列入失信被执行人、税收违法黑名单、政府采购严重违法失信行为记录名单及其他不符合《中华人民共和国政府采购法》第二十二条规定条件的。</w:t>
      </w:r>
    </w:p>
    <w:p w14:paraId="13955EE6">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信用记录，对列入失信被执行人、税收违法黑名单、政府采购严重违法失信行为记录名单及其他不符合《中华人民共和国政府采购法》第二十二条规定条件的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，应当拒绝其参与政府采购活动。</w:t>
      </w:r>
    </w:p>
    <w:p w14:paraId="5C3FDF09">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rPr>
      </w:pPr>
      <w:bookmarkStart w:id="110" w:name="_Toc18403"/>
      <w:bookmarkStart w:id="111" w:name="_Toc27425"/>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、采购终止</w:t>
      </w:r>
      <w:bookmarkEnd w:id="110"/>
      <w:bookmarkEnd w:id="111"/>
    </w:p>
    <w:p w14:paraId="4E0858FE">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活动，发布项目终止公告并说明原因，重新开展采购活动：</w:t>
      </w:r>
    </w:p>
    <w:p w14:paraId="77666CC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采购方式适用情形的；</w:t>
      </w:r>
    </w:p>
    <w:p w14:paraId="7D983627">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B224AE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（三）通过资格性审查及符合性审查的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家的，终止本次采购活动，并发布终止采购活动公告。</w:t>
      </w:r>
    </w:p>
    <w:p w14:paraId="444CAA30">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112" w:name="_Toc13753"/>
      <w:r>
        <w:rPr>
          <w:rFonts w:hint="eastAsia" w:ascii="宋体" w:hAnsi="宋体" w:eastAsia="宋体" w:cs="宋体"/>
          <w:bCs/>
          <w:color w:val="auto"/>
          <w:spacing w:val="-11"/>
          <w:sz w:val="36"/>
          <w:szCs w:val="30"/>
          <w:highlight w:val="none"/>
        </w:rPr>
        <w:t>第五篇供应商须知</w:t>
      </w:r>
      <w:bookmarkEnd w:id="104"/>
      <w:bookmarkEnd w:id="112"/>
    </w:p>
    <w:p w14:paraId="16EA3D7D">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13" w:name="_Toc26510"/>
      <w:bookmarkStart w:id="114" w:name="_Toc342913389"/>
      <w:bookmarkStart w:id="115" w:name="_Toc8105"/>
      <w:bookmarkStart w:id="116" w:name="_Toc11641055"/>
      <w:bookmarkStart w:id="117" w:name="_Toc12789059"/>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费用</w:t>
      </w:r>
      <w:bookmarkEnd w:id="113"/>
      <w:bookmarkEnd w:id="114"/>
      <w:bookmarkEnd w:id="115"/>
    </w:p>
    <w:p w14:paraId="1C937AC2">
      <w:pPr>
        <w:pStyle w:val="266"/>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的投标供应商应承担其编制响应文件与递交响应文件所涉及的一切费用，不论</w:t>
      </w:r>
      <w:r>
        <w:rPr>
          <w:rFonts w:hint="eastAsia"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结果如何，采购人和采购代理机构在任何情况下无义务也无责任承担这些费用。</w:t>
      </w:r>
    </w:p>
    <w:p w14:paraId="3340EB53">
      <w:pPr>
        <w:pStyle w:val="4"/>
        <w:pageBreakBefore w:val="0"/>
        <w:widowControl w:val="0"/>
        <w:tabs>
          <w:tab w:val="left" w:pos="2640"/>
        </w:tabs>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lang w:eastAsia="zh-CN"/>
        </w:rPr>
      </w:pPr>
      <w:bookmarkStart w:id="118" w:name="_Toc342913391"/>
      <w:bookmarkStart w:id="119" w:name="_Toc21089"/>
      <w:bookmarkStart w:id="120" w:name="_Toc4870"/>
      <w:r>
        <w:rPr>
          <w:rFonts w:hint="eastAsia" w:ascii="宋体" w:hAnsi="宋体" w:eastAsia="宋体" w:cs="宋体"/>
          <w:color w:val="auto"/>
          <w:sz w:val="24"/>
          <w:szCs w:val="24"/>
          <w:highlight w:val="none"/>
        </w:rPr>
        <w:t>二、</w:t>
      </w:r>
      <w:bookmarkEnd w:id="118"/>
      <w:bookmarkEnd w:id="119"/>
      <w:bookmarkEnd w:id="120"/>
      <w:r>
        <w:rPr>
          <w:rFonts w:hint="eastAsia" w:ascii="宋体" w:hAnsi="宋体" w:cs="宋体"/>
          <w:color w:val="auto"/>
          <w:sz w:val="24"/>
          <w:szCs w:val="24"/>
          <w:highlight w:val="none"/>
          <w:lang w:eastAsia="zh-CN"/>
        </w:rPr>
        <w:t>竞争性谈判文件</w:t>
      </w:r>
    </w:p>
    <w:p w14:paraId="4907A6D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由采购邀请书、采购项目技术需求、采购项目商务需求、</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1681164E">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不可分割的部分。</w:t>
      </w:r>
    </w:p>
    <w:p w14:paraId="6B094D7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的解释</w:t>
      </w:r>
    </w:p>
    <w:p w14:paraId="0B7F703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有疑问，必须以书面形式在提交响应文件截止时间2个工作日前向采购人（或采购代理机构）要求澄清，采购人（或采购代理机构）可视具体情况做出处理或答复。如投标供应商未提出疑问，视为完全理解并同意本</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程序，即视为投标供应商已详细阅读全部文件资料，完全理解</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所有条款内容并同意放弃对这方面有不明白及误解的权利。</w:t>
      </w:r>
      <w:bookmarkStart w:id="121" w:name="_Toc318159160"/>
      <w:bookmarkStart w:id="122" w:name="_Toc318159780"/>
      <w:bookmarkStart w:id="123" w:name="_Toc318159349"/>
      <w:bookmarkStart w:id="124" w:name="_Toc318166429"/>
    </w:p>
    <w:p w14:paraId="6949037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小组根据与投标供应商进行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可能实质性变动的内容为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第二、三、四篇全部内容。</w:t>
      </w:r>
    </w:p>
    <w:p w14:paraId="0D96C24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和响应文件（含有效的书面承诺）。评审小组判断响应文件对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的响应，仅基于响应文件本身而不靠外部证据。</w:t>
      </w:r>
    </w:p>
    <w:bookmarkEnd w:id="121"/>
    <w:bookmarkEnd w:id="122"/>
    <w:bookmarkEnd w:id="123"/>
    <w:bookmarkEnd w:id="124"/>
    <w:p w14:paraId="0977500A">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5" w:name="_Toc16269"/>
      <w:bookmarkStart w:id="126" w:name="_Toc342913392"/>
      <w:bookmarkStart w:id="127" w:name="_Toc29912"/>
      <w:bookmarkStart w:id="128" w:name="_Toc102227318"/>
      <w:bookmarkStart w:id="129" w:name="_Toc179714297"/>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要求</w:t>
      </w:r>
      <w:bookmarkEnd w:id="125"/>
      <w:bookmarkEnd w:id="126"/>
      <w:bookmarkEnd w:id="127"/>
      <w:bookmarkEnd w:id="128"/>
      <w:bookmarkEnd w:id="129"/>
    </w:p>
    <w:p w14:paraId="327C263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CDBC49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提出的要求和条件作出实质性响应，同时应编制完整的页码、目录。</w:t>
      </w:r>
    </w:p>
    <w:p w14:paraId="6820842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25F18D6C">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5383906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59B83AE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62B2E736">
      <w:pPr>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15D2DF1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有效期：响应文件及有关承诺文件有效期为提交响应文件截止时间起90天。</w:t>
      </w:r>
    </w:p>
    <w:p w14:paraId="5BE3317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624B1F9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7B3D32B5">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65C93132">
      <w:pPr>
        <w:pageBreakBefore w:val="0"/>
        <w:widowControl w:val="0"/>
        <w:numPr>
          <w:ilvl w:val="0"/>
          <w:numId w:val="20"/>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第七篇响应文件编制要求中规定签字、盖章的地方必须按其规定签字、盖章。</w:t>
      </w:r>
    </w:p>
    <w:p w14:paraId="2A76FFD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5B80D4D8">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供应商须在规定时间内完成线上和线下的响应文件提交，否则视为无效响应。</w:t>
      </w:r>
    </w:p>
    <w:p w14:paraId="3F4AAE14">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0" w:name="_Toc7456"/>
      <w:bookmarkStart w:id="131" w:name="_Toc9018"/>
      <w:r>
        <w:rPr>
          <w:rFonts w:hint="eastAsia" w:ascii="宋体" w:hAnsi="宋体" w:eastAsia="宋体" w:cs="宋体"/>
          <w:color w:val="auto"/>
          <w:sz w:val="24"/>
          <w:szCs w:val="24"/>
          <w:highlight w:val="none"/>
        </w:rPr>
        <w:t>四、成交供应商的确认和变更</w:t>
      </w:r>
      <w:bookmarkEnd w:id="130"/>
      <w:bookmarkEnd w:id="131"/>
    </w:p>
    <w:p w14:paraId="0FB89B2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27F34F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657A0EB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2886975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541D2E89">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2" w:name="_Toc342913395"/>
      <w:bookmarkStart w:id="133" w:name="_Toc3011"/>
      <w:bookmarkStart w:id="134" w:name="_Toc102227321"/>
      <w:bookmarkStart w:id="135" w:name="_Toc1297"/>
      <w:r>
        <w:rPr>
          <w:rFonts w:hint="eastAsia" w:ascii="宋体" w:hAnsi="宋体" w:eastAsia="宋体" w:cs="宋体"/>
          <w:color w:val="auto"/>
          <w:sz w:val="24"/>
          <w:szCs w:val="24"/>
          <w:highlight w:val="none"/>
        </w:rPr>
        <w:t>五、成交通知</w:t>
      </w:r>
      <w:bookmarkEnd w:id="132"/>
      <w:bookmarkEnd w:id="133"/>
      <w:bookmarkEnd w:id="134"/>
      <w:bookmarkEnd w:id="135"/>
    </w:p>
    <w:p w14:paraId="7B92B50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（一）成交供应商确定后，采购人或采购代理机构将在重庆市政府采购云平台.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中心（https://xj.ccgp-chongqing.gov.cn/ge/）上发布成交结果公告。</w:t>
      </w:r>
    </w:p>
    <w:p w14:paraId="482E972F">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54C2A5B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01404C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0EF24004">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6" w:name="_Toc19876"/>
      <w:bookmarkStart w:id="137" w:name="_Toc22361"/>
      <w:r>
        <w:rPr>
          <w:rFonts w:hint="eastAsia" w:ascii="宋体" w:hAnsi="宋体" w:eastAsia="宋体" w:cs="宋体"/>
          <w:color w:val="auto"/>
          <w:sz w:val="24"/>
          <w:szCs w:val="24"/>
          <w:highlight w:val="none"/>
        </w:rPr>
        <w:t>六、采购代理服务费</w:t>
      </w:r>
      <w:bookmarkEnd w:id="136"/>
      <w:bookmarkEnd w:id="137"/>
    </w:p>
    <w:p w14:paraId="790BD05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由代理机构委托实施，</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val="en-US" w:eastAsia="zh-CN"/>
        </w:rPr>
        <w:t>为人民币</w:t>
      </w:r>
      <w:r>
        <w:rPr>
          <w:rFonts w:hint="eastAsia" w:ascii="宋体" w:hAnsi="宋体" w:eastAsia="宋体" w:cs="宋体"/>
          <w:color w:val="auto"/>
          <w:sz w:val="24"/>
          <w:highlight w:val="none"/>
          <w:u w:val="single"/>
          <w:lang w:val="en-US" w:eastAsia="zh-CN"/>
        </w:rPr>
        <w:t>：</w:t>
      </w:r>
      <w:r>
        <w:rPr>
          <w:rFonts w:hint="eastAsia" w:ascii="宋体" w:hAnsi="宋体" w:cs="宋体"/>
          <w:color w:val="auto"/>
          <w:sz w:val="24"/>
          <w:highlight w:val="none"/>
          <w:u w:val="single"/>
          <w:lang w:val="en-US" w:eastAsia="zh-CN"/>
        </w:rPr>
        <w:t>15000</w:t>
      </w:r>
      <w:r>
        <w:rPr>
          <w:rFonts w:hint="eastAsia" w:ascii="宋体" w:hAnsi="宋体" w:eastAsia="宋体" w:cs="宋体"/>
          <w:color w:val="auto"/>
          <w:sz w:val="24"/>
          <w:highlight w:val="none"/>
          <w:u w:val="single"/>
          <w:lang w:val="en-US" w:eastAsia="zh-CN"/>
        </w:rPr>
        <w:t>元整</w:t>
      </w:r>
      <w:r>
        <w:rPr>
          <w:rFonts w:hint="eastAsia" w:ascii="宋体" w:hAnsi="宋体" w:eastAsia="宋体" w:cs="宋体"/>
          <w:color w:val="auto"/>
          <w:sz w:val="24"/>
          <w:szCs w:val="24"/>
          <w:highlight w:val="none"/>
        </w:rPr>
        <w:t>，由成交供应商在领取成交通知书时一次性向代理机构缴纳。</w:t>
      </w:r>
    </w:p>
    <w:p w14:paraId="5ACF141E">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lang w:val="en-US" w:eastAsia="zh-CN"/>
        </w:rPr>
      </w:pPr>
      <w:bookmarkStart w:id="138" w:name="_Toc1096"/>
      <w:bookmarkStart w:id="139" w:name="_Toc11155"/>
      <w:r>
        <w:rPr>
          <w:rFonts w:hint="eastAsia" w:ascii="宋体" w:hAnsi="宋体" w:eastAsia="宋体" w:cs="宋体"/>
          <w:color w:val="auto"/>
          <w:sz w:val="24"/>
          <w:szCs w:val="24"/>
          <w:highlight w:val="none"/>
          <w:lang w:val="en-US" w:eastAsia="zh-CN"/>
        </w:rPr>
        <w:t>七、履约担保：</w:t>
      </w:r>
    </w:p>
    <w:p w14:paraId="59714B88">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担保形式：履约保证金通过对公账户以现金转账或履约保函的形式提交，履约保函包括银行保函、保证保险和担保保函。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磋商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361C6FC9">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2.担保的金额：签约合同价的</w:t>
      </w:r>
      <w:r>
        <w:rPr>
          <w:rFonts w:hint="eastAsia" w:ascii="宋体" w:hAnsi="宋体" w:cs="宋体"/>
          <w:b w:val="0"/>
          <w:color w:val="auto"/>
          <w:kern w:val="2"/>
          <w:sz w:val="24"/>
          <w:szCs w:val="24"/>
          <w:highlight w:val="none"/>
          <w:lang w:val="en-US" w:eastAsia="zh-CN" w:bidi="ar-SA"/>
        </w:rPr>
        <w:t>10</w:t>
      </w:r>
      <w:r>
        <w:rPr>
          <w:rFonts w:hint="eastAsia" w:ascii="宋体" w:hAnsi="宋体" w:eastAsia="宋体" w:cs="宋体"/>
          <w:b w:val="0"/>
          <w:color w:val="auto"/>
          <w:kern w:val="2"/>
          <w:sz w:val="24"/>
          <w:szCs w:val="24"/>
          <w:highlight w:val="none"/>
          <w:lang w:val="en-US" w:eastAsia="zh-CN" w:bidi="ar-SA"/>
        </w:rPr>
        <w:t>% 。</w:t>
      </w:r>
    </w:p>
    <w:p w14:paraId="16A02B43">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提交时间：由项目成交人在成交通知书发出后5个工作日内现金转账缴纳至采购人指定账户或保函递交给采购人。若成交人不能按时、足额向采购人提交履约保证金的，视其为自动放弃中标资格，并将按采购法规及本采购文件相关规定进行处理。</w:t>
      </w:r>
    </w:p>
    <w:p w14:paraId="5A3B3703">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4.退还时间：项目验收合格后退还（不计息）。</w:t>
      </w:r>
    </w:p>
    <w:p w14:paraId="3D07C8BC">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5.履约保证金账号信息：</w:t>
      </w:r>
    </w:p>
    <w:p w14:paraId="5E093A81">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开户单位：</w:t>
      </w:r>
      <w:r>
        <w:rPr>
          <w:rFonts w:hint="eastAsia" w:ascii="宋体" w:hAnsi="宋体" w:cs="宋体"/>
          <w:b w:val="0"/>
          <w:color w:val="auto"/>
          <w:kern w:val="2"/>
          <w:sz w:val="24"/>
          <w:szCs w:val="24"/>
          <w:highlight w:val="none"/>
          <w:lang w:val="en-US" w:eastAsia="zh-CN" w:bidi="ar-SA"/>
        </w:rPr>
        <w:t>秀山土家族苗族自治县人民医院</w:t>
      </w:r>
    </w:p>
    <w:p w14:paraId="00CBDE09">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开户银行：工商银行重庆秀山支行</w:t>
      </w:r>
    </w:p>
    <w:p w14:paraId="398F44BE">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银行账号：3100019709219005376</w:t>
      </w:r>
    </w:p>
    <w:p w14:paraId="4C18493F">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、关于质疑和投诉</w:t>
      </w:r>
      <w:bookmarkEnd w:id="138"/>
      <w:bookmarkEnd w:id="139"/>
    </w:p>
    <w:p w14:paraId="6FCCBBD0">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10169DE9">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50FF570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6C95992E">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7526AA43">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288DA7B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44911654">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64C4957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5CC92E96">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5D56E0D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056844D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74EEF11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0BA59580">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517C509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0508AB4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04287F2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5231C84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24B3C49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30B9AC40">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4ABB9245">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70EFB33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72446B23">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46630E31">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471D2C4C">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bookmarkStart w:id="140" w:name="_Toc102227322"/>
      <w:bookmarkStart w:id="141" w:name="_Toc342913396"/>
      <w:bookmarkStart w:id="142" w:name="_Toc3031"/>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7F8C183B">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01DD8776">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26AC88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D080340">
      <w:pPr>
        <w:pStyle w:val="4"/>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auto"/>
          <w:sz w:val="24"/>
          <w:szCs w:val="24"/>
          <w:highlight w:val="none"/>
        </w:rPr>
      </w:pPr>
      <w:bookmarkStart w:id="143" w:name="_Toc9469"/>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、签订</w:t>
      </w:r>
      <w:bookmarkEnd w:id="140"/>
      <w:r>
        <w:rPr>
          <w:rFonts w:hint="eastAsia" w:ascii="宋体" w:hAnsi="宋体" w:eastAsia="宋体" w:cs="宋体"/>
          <w:color w:val="auto"/>
          <w:sz w:val="24"/>
          <w:szCs w:val="24"/>
          <w:highlight w:val="none"/>
        </w:rPr>
        <w:t>合同</w:t>
      </w:r>
      <w:bookmarkEnd w:id="141"/>
      <w:bookmarkEnd w:id="142"/>
      <w:bookmarkEnd w:id="143"/>
    </w:p>
    <w:p w14:paraId="4609CA32">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和成交供应商响应文件的约定，与成交供应商签订书面合同。所签订的合同不得对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和投标供应商的响应文件作实质性修改。</w:t>
      </w:r>
    </w:p>
    <w:p w14:paraId="15AA0AA0">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、投标供应商的响应文件及澄清文件等，均为签订采购合同的依据。</w:t>
      </w:r>
    </w:p>
    <w:p w14:paraId="1EBE1AE1">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265B609">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eastAsia="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要求适用合同通用格式版本的，应按其要求另行签订其他合同。</w:t>
      </w:r>
    </w:p>
    <w:p w14:paraId="06E42DFF">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中予以约定。成交供应商履约完毕后，采购人应于五日内无息退还其履约保证金。</w:t>
      </w:r>
    </w:p>
    <w:p w14:paraId="7DA7F18D">
      <w:pPr>
        <w:spacing w:line="360" w:lineRule="auto"/>
        <w:ind w:firstLine="360" w:firstLineChars="150"/>
        <w:rPr>
          <w:rFonts w:hint="eastAsia" w:ascii="宋体" w:hAnsi="宋体" w:eastAsia="宋体" w:cs="宋体"/>
          <w:color w:val="auto"/>
          <w:sz w:val="24"/>
          <w:szCs w:val="24"/>
          <w:highlight w:val="none"/>
        </w:rPr>
      </w:pPr>
    </w:p>
    <w:bookmarkEnd w:id="116"/>
    <w:bookmarkEnd w:id="117"/>
    <w:p w14:paraId="7DE446CD">
      <w:pPr>
        <w:jc w:val="center"/>
        <w:rPr>
          <w:rFonts w:hint="eastAsia" w:ascii="宋体" w:hAnsi="宋体" w:eastAsia="宋体" w:cs="宋体"/>
          <w:color w:val="auto"/>
          <w:sz w:val="36"/>
          <w:szCs w:val="30"/>
          <w:highlight w:val="none"/>
        </w:rPr>
      </w:pPr>
      <w:bookmarkStart w:id="144" w:name="_Toc4239"/>
      <w:bookmarkStart w:id="145" w:name="_Toc27139866"/>
    </w:p>
    <w:p w14:paraId="74F11B2C">
      <w:pPr>
        <w:jc w:val="center"/>
        <w:rPr>
          <w:rFonts w:hint="eastAsia" w:ascii="宋体" w:hAnsi="宋体" w:eastAsia="宋体" w:cs="宋体"/>
          <w:color w:val="auto"/>
          <w:sz w:val="36"/>
          <w:szCs w:val="30"/>
          <w:highlight w:val="none"/>
        </w:rPr>
      </w:pPr>
    </w:p>
    <w:p w14:paraId="530209E8">
      <w:pPr>
        <w:jc w:val="center"/>
        <w:rPr>
          <w:rFonts w:hint="eastAsia" w:ascii="宋体" w:hAnsi="宋体" w:eastAsia="宋体" w:cs="宋体"/>
          <w:color w:val="auto"/>
          <w:sz w:val="36"/>
          <w:szCs w:val="30"/>
          <w:highlight w:val="none"/>
        </w:rPr>
      </w:pPr>
    </w:p>
    <w:p w14:paraId="4B13DBB8">
      <w:pPr>
        <w:jc w:val="center"/>
        <w:rPr>
          <w:rFonts w:hint="eastAsia" w:ascii="宋体" w:hAnsi="宋体" w:eastAsia="宋体" w:cs="宋体"/>
          <w:color w:val="auto"/>
          <w:sz w:val="36"/>
          <w:szCs w:val="30"/>
          <w:highlight w:val="none"/>
        </w:rPr>
      </w:pPr>
    </w:p>
    <w:p w14:paraId="2FF7AB0F">
      <w:pPr>
        <w:jc w:val="center"/>
        <w:rPr>
          <w:rFonts w:hint="eastAsia" w:ascii="宋体" w:hAnsi="宋体" w:eastAsia="宋体" w:cs="宋体"/>
          <w:color w:val="auto"/>
          <w:sz w:val="36"/>
          <w:szCs w:val="30"/>
          <w:highlight w:val="none"/>
        </w:rPr>
      </w:pPr>
    </w:p>
    <w:p w14:paraId="1636EFF3">
      <w:pPr>
        <w:jc w:val="center"/>
        <w:rPr>
          <w:rFonts w:hint="eastAsia" w:ascii="宋体" w:hAnsi="宋体" w:eastAsia="宋体" w:cs="宋体"/>
          <w:color w:val="auto"/>
          <w:sz w:val="36"/>
          <w:szCs w:val="30"/>
          <w:highlight w:val="none"/>
        </w:rPr>
      </w:pPr>
    </w:p>
    <w:p w14:paraId="01D1C4F1">
      <w:pPr>
        <w:jc w:val="center"/>
        <w:rPr>
          <w:rFonts w:hint="eastAsia" w:ascii="宋体" w:hAnsi="宋体" w:eastAsia="宋体" w:cs="宋体"/>
          <w:color w:val="auto"/>
          <w:sz w:val="36"/>
          <w:szCs w:val="30"/>
          <w:highlight w:val="none"/>
        </w:rPr>
      </w:pPr>
    </w:p>
    <w:p w14:paraId="612506E2">
      <w:pPr>
        <w:jc w:val="center"/>
        <w:rPr>
          <w:rFonts w:hint="eastAsia" w:ascii="宋体" w:hAnsi="宋体" w:eastAsia="宋体" w:cs="宋体"/>
          <w:color w:val="auto"/>
          <w:sz w:val="36"/>
          <w:szCs w:val="30"/>
          <w:highlight w:val="none"/>
        </w:rPr>
      </w:pPr>
    </w:p>
    <w:p w14:paraId="040F36D7">
      <w:pPr>
        <w:jc w:val="center"/>
        <w:rPr>
          <w:rFonts w:hint="eastAsia" w:ascii="宋体" w:hAnsi="宋体" w:eastAsia="宋体" w:cs="宋体"/>
          <w:color w:val="auto"/>
          <w:sz w:val="36"/>
          <w:szCs w:val="30"/>
          <w:highlight w:val="none"/>
        </w:rPr>
      </w:pPr>
    </w:p>
    <w:p w14:paraId="215CF6F0">
      <w:pPr>
        <w:jc w:val="center"/>
        <w:rPr>
          <w:rFonts w:hint="eastAsia" w:ascii="宋体" w:hAnsi="宋体" w:eastAsia="宋体" w:cs="宋体"/>
          <w:color w:val="auto"/>
          <w:sz w:val="36"/>
          <w:szCs w:val="30"/>
          <w:highlight w:val="none"/>
        </w:rPr>
      </w:pPr>
    </w:p>
    <w:p w14:paraId="28C4D505">
      <w:pPr>
        <w:jc w:val="center"/>
        <w:rPr>
          <w:rFonts w:hint="eastAsia" w:ascii="宋体" w:hAnsi="宋体" w:eastAsia="宋体" w:cs="宋体"/>
          <w:color w:val="auto"/>
          <w:sz w:val="36"/>
          <w:szCs w:val="30"/>
          <w:highlight w:val="none"/>
        </w:rPr>
      </w:pPr>
    </w:p>
    <w:p w14:paraId="6E7C3154">
      <w:pPr>
        <w:jc w:val="center"/>
        <w:rPr>
          <w:rFonts w:hint="eastAsia" w:ascii="宋体" w:hAnsi="宋体" w:eastAsia="宋体" w:cs="宋体"/>
          <w:color w:val="auto"/>
          <w:sz w:val="36"/>
          <w:szCs w:val="30"/>
          <w:highlight w:val="none"/>
        </w:rPr>
      </w:pPr>
    </w:p>
    <w:p w14:paraId="554D8274">
      <w:pPr>
        <w:jc w:val="center"/>
        <w:rPr>
          <w:rFonts w:hint="eastAsia" w:ascii="宋体" w:hAnsi="宋体" w:eastAsia="宋体" w:cs="宋体"/>
          <w:b/>
          <w:highlight w:val="none"/>
        </w:rPr>
      </w:pPr>
      <w:r>
        <w:rPr>
          <w:rFonts w:hint="eastAsia" w:ascii="宋体" w:hAnsi="宋体" w:eastAsia="宋体" w:cs="宋体"/>
          <w:color w:val="auto"/>
          <w:sz w:val="36"/>
          <w:szCs w:val="30"/>
          <w:highlight w:val="none"/>
        </w:rPr>
        <w:t>第六篇</w:t>
      </w:r>
      <w:bookmarkEnd w:id="144"/>
      <w:bookmarkEnd w:id="145"/>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b/>
          <w:sz w:val="36"/>
          <w:szCs w:val="22"/>
          <w:highlight w:val="none"/>
        </w:rPr>
        <w:t>合同主要条款和格式合同（样本）</w:t>
      </w:r>
    </w:p>
    <w:p w14:paraId="12B394AE">
      <w:pPr>
        <w:spacing w:line="50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、政府采购合同（样本）</w:t>
      </w:r>
    </w:p>
    <w:p w14:paraId="779FB703">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w:t>
      </w:r>
    </w:p>
    <w:p w14:paraId="186DEBFD">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475288C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1822726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23441C9E">
      <w:pPr>
        <w:spacing w:line="500" w:lineRule="exact"/>
        <w:rPr>
          <w:rFonts w:hint="eastAsia" w:ascii="宋体" w:hAnsi="宋体" w:eastAsia="宋体" w:cs="宋体"/>
          <w:color w:val="auto"/>
          <w:sz w:val="24"/>
          <w:highlight w:val="none"/>
        </w:rPr>
      </w:pPr>
    </w:p>
    <w:p w14:paraId="4D840C2B">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EA7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DA548B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14:paraId="397552CD">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0BC28B43">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641E5F5E">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5FF8D915">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403306A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1E33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10AA9B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5ABA505">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4AF996CE">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77C01E4E">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7F53A3FA">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49D06624">
            <w:pPr>
              <w:spacing w:line="240" w:lineRule="atLeast"/>
              <w:jc w:val="center"/>
              <w:rPr>
                <w:rFonts w:hint="eastAsia" w:ascii="宋体" w:hAnsi="宋体" w:eastAsia="宋体" w:cs="宋体"/>
                <w:color w:val="auto"/>
                <w:sz w:val="21"/>
                <w:szCs w:val="21"/>
                <w:highlight w:val="none"/>
              </w:rPr>
            </w:pPr>
          </w:p>
        </w:tc>
      </w:tr>
      <w:tr w14:paraId="32CA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A226FDD">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76AE6FC9">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106C5821">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200444D9">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0EBEC241">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3ACA2152">
            <w:pPr>
              <w:spacing w:line="240" w:lineRule="atLeast"/>
              <w:jc w:val="center"/>
              <w:rPr>
                <w:rFonts w:hint="eastAsia" w:ascii="宋体" w:hAnsi="宋体" w:eastAsia="宋体" w:cs="宋体"/>
                <w:color w:val="auto"/>
                <w:sz w:val="21"/>
                <w:szCs w:val="21"/>
                <w:highlight w:val="none"/>
              </w:rPr>
            </w:pPr>
          </w:p>
        </w:tc>
      </w:tr>
      <w:tr w14:paraId="4591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59B2D0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5F75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B1E69B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7244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4142FE3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6EA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40A412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2DCB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5CCDF10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0B95EB9">
            <w:pPr>
              <w:rPr>
                <w:rFonts w:hint="eastAsia" w:ascii="宋体" w:hAnsi="宋体" w:eastAsia="宋体" w:cs="宋体"/>
                <w:color w:val="auto"/>
                <w:highlight w:val="none"/>
              </w:rPr>
            </w:pPr>
          </w:p>
        </w:tc>
      </w:tr>
      <w:tr w14:paraId="4E53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7AF66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3E8CD1A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13C0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BAD7D8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2074E32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1.采购文件及其澄清文件、响应文件和承诺是本合同不可分割的部分。</w:t>
            </w:r>
          </w:p>
          <w:p w14:paraId="460BD52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562CD6C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657007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2988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94D1D1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BE9BE5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E717ED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63B820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4C96DFE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499DE3E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273A133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0828BB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42D75D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3E319EF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32A84CE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5D4741DF">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1EF2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27D918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DF459BE">
            <w:pPr>
              <w:spacing w:line="240" w:lineRule="atLeast"/>
              <w:rPr>
                <w:rFonts w:hint="eastAsia" w:ascii="宋体" w:hAnsi="宋体" w:eastAsia="宋体" w:cs="宋体"/>
                <w:color w:val="auto"/>
                <w:sz w:val="21"/>
                <w:szCs w:val="21"/>
                <w:highlight w:val="none"/>
              </w:rPr>
            </w:pPr>
          </w:p>
          <w:p w14:paraId="1BA9F029">
            <w:pPr>
              <w:spacing w:line="240" w:lineRule="atLeast"/>
              <w:rPr>
                <w:rFonts w:hint="eastAsia" w:ascii="宋体" w:hAnsi="宋体" w:eastAsia="宋体" w:cs="宋体"/>
                <w:color w:val="auto"/>
                <w:sz w:val="21"/>
                <w:szCs w:val="21"/>
                <w:highlight w:val="none"/>
              </w:rPr>
            </w:pPr>
          </w:p>
        </w:tc>
      </w:tr>
    </w:tbl>
    <w:p w14:paraId="793D4F82">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229322EF">
      <w:pPr>
        <w:jc w:val="center"/>
        <w:rPr>
          <w:rFonts w:hint="eastAsia" w:ascii="宋体" w:hAnsi="宋体" w:eastAsia="宋体" w:cs="宋体"/>
          <w:b/>
          <w:bCs/>
          <w:color w:val="auto"/>
          <w:sz w:val="36"/>
          <w:szCs w:val="30"/>
          <w:highlight w:val="none"/>
        </w:rPr>
      </w:pPr>
    </w:p>
    <w:p w14:paraId="6AC1F631">
      <w:pPr>
        <w:jc w:val="center"/>
        <w:rPr>
          <w:rFonts w:hint="eastAsia" w:ascii="宋体" w:hAnsi="宋体" w:eastAsia="宋体" w:cs="宋体"/>
          <w:b/>
          <w:bCs/>
          <w:color w:val="auto"/>
          <w:sz w:val="36"/>
          <w:szCs w:val="30"/>
          <w:highlight w:val="none"/>
        </w:rPr>
      </w:pPr>
    </w:p>
    <w:p w14:paraId="040D675A">
      <w:pPr>
        <w:jc w:val="center"/>
        <w:rPr>
          <w:rFonts w:hint="eastAsia" w:ascii="宋体" w:hAnsi="宋体" w:eastAsia="宋体" w:cs="宋体"/>
          <w:b/>
          <w:bCs/>
          <w:color w:val="auto"/>
          <w:sz w:val="36"/>
          <w:szCs w:val="30"/>
          <w:highlight w:val="none"/>
        </w:rPr>
      </w:pPr>
    </w:p>
    <w:p w14:paraId="7C211EDC">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450AF70A">
      <w:pPr>
        <w:spacing w:line="440" w:lineRule="exact"/>
        <w:ind w:firstLine="480" w:firstLineChars="200"/>
        <w:rPr>
          <w:rFonts w:hint="eastAsia" w:ascii="宋体" w:hAnsi="宋体" w:eastAsia="宋体" w:cs="宋体"/>
          <w:color w:val="auto"/>
          <w:sz w:val="24"/>
          <w:szCs w:val="24"/>
          <w:highlight w:val="none"/>
        </w:rPr>
      </w:pPr>
      <w:bookmarkStart w:id="146" w:name="_Toc342913419"/>
      <w:bookmarkStart w:id="147" w:name="_Toc12789073"/>
      <w:bookmarkStart w:id="148" w:name="_Toc283382454"/>
      <w:bookmarkStart w:id="149" w:name="_Toc313008356"/>
      <w:bookmarkStart w:id="150" w:name="_Toc313888360"/>
      <w:r>
        <w:rPr>
          <w:rFonts w:hint="eastAsia" w:ascii="宋体" w:hAnsi="宋体" w:eastAsia="宋体" w:cs="宋体"/>
          <w:color w:val="auto"/>
          <w:sz w:val="24"/>
          <w:szCs w:val="24"/>
          <w:highlight w:val="none"/>
        </w:rPr>
        <w:t>一、经济部分</w:t>
      </w:r>
    </w:p>
    <w:p w14:paraId="69C784A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报价函</w:t>
      </w:r>
    </w:p>
    <w:p w14:paraId="0203DFC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二、技术部分</w:t>
      </w:r>
    </w:p>
    <w:p w14:paraId="0FF350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（一）技术响应偏</w:t>
      </w:r>
      <w:r>
        <w:rPr>
          <w:rFonts w:hint="eastAsia" w:ascii="宋体" w:hAnsi="宋体" w:eastAsia="宋体" w:cs="宋体"/>
          <w:color w:val="auto"/>
          <w:sz w:val="24"/>
          <w:szCs w:val="24"/>
          <w:highlight w:val="none"/>
        </w:rPr>
        <w:t>离表</w:t>
      </w:r>
    </w:p>
    <w:p w14:paraId="7F00EC5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）技术部分其他资料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14:paraId="6071279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46CBD30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F68DD0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p>
    <w:p w14:paraId="2CEB1C6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2DF8C3A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2A7A466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109A55E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141C616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0FA3AF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6AACF0A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4C4C01A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p>
    <w:p w14:paraId="79246462">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46"/>
    <w:bookmarkEnd w:id="147"/>
    <w:bookmarkEnd w:id="148"/>
    <w:bookmarkEnd w:id="149"/>
    <w:bookmarkEnd w:id="150"/>
    <w:p w14:paraId="3B49DEDB">
      <w:pPr>
        <w:pStyle w:val="4"/>
        <w:spacing w:before="0" w:after="0" w:line="360" w:lineRule="auto"/>
        <w:rPr>
          <w:rFonts w:hint="eastAsia" w:ascii="宋体" w:hAnsi="宋体" w:eastAsia="宋体" w:cs="宋体"/>
          <w:color w:val="auto"/>
          <w:sz w:val="24"/>
          <w:szCs w:val="24"/>
          <w:highlight w:val="none"/>
        </w:rPr>
      </w:pPr>
      <w:bookmarkStart w:id="151" w:name="_Toc21017"/>
      <w:bookmarkStart w:id="152" w:name="_Toc103679699"/>
      <w:bookmarkStart w:id="153" w:name="_Toc23161"/>
      <w:r>
        <w:rPr>
          <w:rFonts w:hint="eastAsia" w:ascii="宋体" w:hAnsi="宋体" w:eastAsia="宋体" w:cs="宋体"/>
          <w:color w:val="auto"/>
          <w:sz w:val="24"/>
          <w:szCs w:val="24"/>
          <w:highlight w:val="none"/>
        </w:rPr>
        <w:t>一、经济部分</w:t>
      </w:r>
      <w:bookmarkEnd w:id="151"/>
      <w:bookmarkEnd w:id="152"/>
      <w:bookmarkEnd w:id="153"/>
    </w:p>
    <w:p w14:paraId="075FB59A">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（一）竞争性报价函</w:t>
      </w:r>
    </w:p>
    <w:p w14:paraId="7EE05639">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竞争性报价函</w:t>
      </w:r>
    </w:p>
    <w:p w14:paraId="1382E3F2">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6790C7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，经详细研究，决定参加该项目的竞争性</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63CD9F4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sz w:val="24"/>
          <w:szCs w:val="24"/>
          <w:highlight w:val="none"/>
        </w:rPr>
        <w:t>愿意按照竞争性谈判文件中的一切要求，提供本项目的技术服务，</w:t>
      </w:r>
      <w:r>
        <w:rPr>
          <w:rFonts w:hint="eastAsia" w:ascii="宋体" w:hAnsi="宋体" w:eastAsia="宋体" w:cs="宋体"/>
          <w:sz w:val="24"/>
          <w:szCs w:val="24"/>
          <w:highlight w:val="none"/>
          <w:lang w:val="en-US" w:eastAsia="zh-CN"/>
        </w:rPr>
        <w:t>暂定</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6D652C8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645543E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的有效期为90天。</w:t>
      </w:r>
    </w:p>
    <w:p w14:paraId="4190C15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的一切规定和要求及评审办法。</w:t>
      </w:r>
    </w:p>
    <w:p w14:paraId="56DF9CE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》之规定给予惩罚。</w:t>
      </w:r>
    </w:p>
    <w:p w14:paraId="4ECA1F2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636EDBF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规定。如果我方成为成交供应商，保证在接到成交通知书前，向采购代理机构缴纳</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规定的采购代理服务费。</w:t>
      </w:r>
    </w:p>
    <w:p w14:paraId="03EF2ED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3394ACCA">
      <w:pPr>
        <w:tabs>
          <w:tab w:val="left" w:pos="6300"/>
        </w:tabs>
        <w:snapToGrid w:val="0"/>
        <w:spacing w:line="312" w:lineRule="auto"/>
        <w:ind w:firstLine="570"/>
        <w:rPr>
          <w:rFonts w:hint="eastAsia" w:ascii="宋体" w:hAnsi="宋体" w:eastAsia="宋体" w:cs="宋体"/>
          <w:color w:val="auto"/>
          <w:sz w:val="24"/>
          <w:szCs w:val="24"/>
          <w:highlight w:val="none"/>
        </w:rPr>
      </w:pPr>
    </w:p>
    <w:p w14:paraId="092DB1F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0E955D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B68CD8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2DB745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41DC59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3CD66BE">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FC81634">
      <w:pPr>
        <w:pStyle w:val="126"/>
        <w:rPr>
          <w:rFonts w:hint="eastAsia" w:ascii="宋体" w:hAnsi="宋体" w:eastAsia="宋体" w:cs="宋体"/>
          <w:color w:val="auto"/>
          <w:highlight w:val="none"/>
        </w:rPr>
      </w:pPr>
    </w:p>
    <w:p w14:paraId="3E2904F2">
      <w:pPr>
        <w:pStyle w:val="126"/>
        <w:rPr>
          <w:rFonts w:hint="eastAsia" w:ascii="宋体" w:hAnsi="宋体" w:eastAsia="宋体" w:cs="宋体"/>
          <w:color w:val="auto"/>
          <w:highlight w:val="none"/>
        </w:rPr>
      </w:pPr>
    </w:p>
    <w:p w14:paraId="0FC9368E">
      <w:pPr>
        <w:pStyle w:val="126"/>
        <w:rPr>
          <w:rFonts w:hint="eastAsia" w:ascii="宋体" w:hAnsi="宋体" w:eastAsia="宋体" w:cs="宋体"/>
          <w:color w:val="auto"/>
          <w:highlight w:val="none"/>
        </w:rPr>
      </w:pPr>
    </w:p>
    <w:p w14:paraId="36BC55EF">
      <w:pPr>
        <w:pStyle w:val="126"/>
        <w:rPr>
          <w:rFonts w:hint="eastAsia" w:ascii="宋体" w:hAnsi="宋体" w:eastAsia="宋体" w:cs="宋体"/>
          <w:color w:val="auto"/>
          <w:highlight w:val="none"/>
        </w:rPr>
      </w:pPr>
    </w:p>
    <w:p w14:paraId="307F16CF">
      <w:pPr>
        <w:pStyle w:val="126"/>
        <w:rPr>
          <w:rFonts w:hint="eastAsia" w:ascii="宋体" w:hAnsi="宋体" w:eastAsia="宋体" w:cs="宋体"/>
          <w:color w:val="auto"/>
          <w:highlight w:val="none"/>
        </w:rPr>
      </w:pPr>
    </w:p>
    <w:p w14:paraId="1DE6701D">
      <w:pPr>
        <w:pStyle w:val="126"/>
        <w:rPr>
          <w:rFonts w:hint="eastAsia" w:ascii="宋体" w:hAnsi="宋体" w:eastAsia="宋体" w:cs="宋体"/>
          <w:color w:val="auto"/>
          <w:highlight w:val="none"/>
        </w:rPr>
      </w:pPr>
    </w:p>
    <w:p w14:paraId="4E7667C9">
      <w:pPr>
        <w:pStyle w:val="126"/>
        <w:rPr>
          <w:rFonts w:hint="eastAsia" w:ascii="宋体" w:hAnsi="宋体" w:eastAsia="宋体" w:cs="宋体"/>
          <w:color w:val="auto"/>
          <w:highlight w:val="none"/>
        </w:rPr>
      </w:pPr>
    </w:p>
    <w:p w14:paraId="44711B84">
      <w:pPr>
        <w:pStyle w:val="126"/>
        <w:rPr>
          <w:rFonts w:hint="eastAsia" w:ascii="宋体" w:hAnsi="宋体" w:eastAsia="宋体" w:cs="宋体"/>
          <w:color w:val="auto"/>
          <w:highlight w:val="none"/>
        </w:rPr>
      </w:pPr>
    </w:p>
    <w:p w14:paraId="40CE77A9">
      <w:pPr>
        <w:pStyle w:val="126"/>
        <w:rPr>
          <w:rFonts w:hint="eastAsia" w:ascii="宋体" w:hAnsi="宋体" w:eastAsia="宋体" w:cs="宋体"/>
          <w:color w:val="auto"/>
          <w:highlight w:val="none"/>
        </w:rPr>
      </w:pPr>
    </w:p>
    <w:p w14:paraId="0E28F9DC">
      <w:pPr>
        <w:pStyle w:val="126"/>
        <w:rPr>
          <w:rFonts w:hint="eastAsia" w:ascii="宋体" w:hAnsi="宋体" w:eastAsia="宋体" w:cs="宋体"/>
          <w:color w:val="auto"/>
          <w:highlight w:val="none"/>
        </w:rPr>
      </w:pPr>
    </w:p>
    <w:p w14:paraId="6130AE36">
      <w:pPr>
        <w:pStyle w:val="126"/>
        <w:rPr>
          <w:rFonts w:hint="eastAsia" w:ascii="宋体" w:hAnsi="宋体" w:eastAsia="宋体" w:cs="宋体"/>
          <w:color w:val="auto"/>
          <w:highlight w:val="none"/>
        </w:rPr>
      </w:pPr>
    </w:p>
    <w:p w14:paraId="05082C0E">
      <w:pPr>
        <w:pStyle w:val="126"/>
        <w:rPr>
          <w:rFonts w:hint="eastAsia" w:ascii="宋体" w:hAnsi="宋体" w:eastAsia="宋体" w:cs="宋体"/>
          <w:color w:val="auto"/>
          <w:highlight w:val="none"/>
        </w:rPr>
      </w:pPr>
    </w:p>
    <w:p w14:paraId="0E459644">
      <w:pPr>
        <w:pStyle w:val="126"/>
        <w:rPr>
          <w:rFonts w:hint="eastAsia" w:ascii="宋体" w:hAnsi="宋体" w:eastAsia="宋体" w:cs="宋体"/>
          <w:color w:val="auto"/>
          <w:highlight w:val="none"/>
        </w:rPr>
      </w:pPr>
    </w:p>
    <w:p w14:paraId="150C1637">
      <w:pPr>
        <w:pStyle w:val="126"/>
        <w:rPr>
          <w:rFonts w:hint="eastAsia" w:ascii="宋体" w:hAnsi="宋体" w:eastAsia="宋体" w:cs="宋体"/>
          <w:color w:val="auto"/>
          <w:highlight w:val="none"/>
        </w:rPr>
      </w:pPr>
    </w:p>
    <w:p w14:paraId="25630A6D">
      <w:pPr>
        <w:rPr>
          <w:rFonts w:hint="eastAsia" w:ascii="宋体" w:hAnsi="宋体" w:eastAsia="宋体" w:cs="宋体"/>
        </w:rPr>
      </w:pPr>
      <w:bookmarkStart w:id="154" w:name="_Toc21048"/>
      <w:bookmarkStart w:id="155" w:name="_Toc7588"/>
      <w:bookmarkStart w:id="156" w:name="_Toc11802"/>
      <w:bookmarkStart w:id="157" w:name="_Toc31257"/>
      <w:bookmarkStart w:id="158" w:name="_Toc342913420"/>
      <w:bookmarkStart w:id="159" w:name="_Toc313888361"/>
      <w:bookmarkStart w:id="160" w:name="_Toc103679700"/>
      <w:bookmarkStart w:id="161" w:name="_Toc313008357"/>
    </w:p>
    <w:p w14:paraId="26DEBC4D">
      <w:pPr>
        <w:pStyle w:val="4"/>
        <w:numPr>
          <w:ilvl w:val="0"/>
          <w:numId w:val="0"/>
        </w:numPr>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bookmarkEnd w:id="154"/>
      <w:bookmarkEnd w:id="155"/>
      <w:bookmarkEnd w:id="156"/>
      <w:bookmarkEnd w:id="157"/>
      <w:bookmarkEnd w:id="158"/>
      <w:bookmarkEnd w:id="159"/>
      <w:bookmarkEnd w:id="160"/>
      <w:bookmarkEnd w:id="161"/>
    </w:p>
    <w:p w14:paraId="1B29377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217283EE">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5DF16D0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615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F734BB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3D813E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16503EE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699150D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1D60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062AE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76AB59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7EDE40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E38293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14C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48ECC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57DAEC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2DCFAC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2D97AF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56A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3297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8DD8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13B0F6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5415C5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9E3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759BD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3C9888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07A1D5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5B32E8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95F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38756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FA9D8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97A5B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7655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F34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A2FF6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79375F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CD4ADD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5F3D06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A07CF96">
      <w:pPr>
        <w:snapToGrid w:val="0"/>
        <w:spacing w:line="360" w:lineRule="auto"/>
        <w:ind w:firstLine="465"/>
        <w:rPr>
          <w:rFonts w:hint="eastAsia" w:ascii="宋体" w:hAnsi="宋体" w:eastAsia="宋体" w:cs="宋体"/>
          <w:color w:val="auto"/>
          <w:sz w:val="24"/>
          <w:szCs w:val="24"/>
          <w:highlight w:val="none"/>
        </w:rPr>
      </w:pPr>
    </w:p>
    <w:p w14:paraId="739206C1">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32151685">
      <w:pPr>
        <w:spacing w:line="500" w:lineRule="exact"/>
        <w:rPr>
          <w:rFonts w:hint="eastAsia" w:ascii="宋体" w:hAnsi="宋体" w:eastAsia="宋体" w:cs="宋体"/>
          <w:color w:val="auto"/>
          <w:sz w:val="24"/>
          <w:szCs w:val="28"/>
          <w:highlight w:val="none"/>
        </w:rPr>
      </w:pPr>
    </w:p>
    <w:p w14:paraId="644EEACF">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24E42674">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45126A2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B4BD8F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5E6C556E">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254F9A9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15C51B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2000E81">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67629D95">
      <w:pPr>
        <w:pStyle w:val="4"/>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62" w:name="_Toc342913421"/>
      <w:bookmarkStart w:id="163" w:name="_Toc313008358"/>
      <w:bookmarkStart w:id="164" w:name="_Toc313888362"/>
      <w:bookmarkStart w:id="165" w:name="_Toc29626"/>
      <w:bookmarkStart w:id="166" w:name="_Toc30551"/>
      <w:bookmarkStart w:id="167" w:name="_Toc18617"/>
      <w:bookmarkStart w:id="168" w:name="_Toc103679701"/>
      <w:bookmarkStart w:id="169" w:name="_Toc28935"/>
      <w:r>
        <w:rPr>
          <w:rFonts w:hint="eastAsia" w:ascii="宋体" w:hAnsi="宋体" w:eastAsia="宋体" w:cs="宋体"/>
          <w:color w:val="auto"/>
          <w:sz w:val="24"/>
          <w:szCs w:val="24"/>
          <w:highlight w:val="none"/>
        </w:rPr>
        <w:t>三、商务部分</w:t>
      </w:r>
      <w:bookmarkEnd w:id="162"/>
      <w:bookmarkEnd w:id="163"/>
      <w:bookmarkEnd w:id="164"/>
      <w:bookmarkEnd w:id="165"/>
      <w:bookmarkEnd w:id="166"/>
      <w:bookmarkEnd w:id="167"/>
      <w:bookmarkEnd w:id="168"/>
      <w:bookmarkEnd w:id="169"/>
    </w:p>
    <w:p w14:paraId="6B3EEFDF">
      <w:pPr>
        <w:snapToGrid w:val="0"/>
        <w:spacing w:line="360" w:lineRule="auto"/>
        <w:rPr>
          <w:rFonts w:hint="eastAsia" w:ascii="宋体" w:hAnsi="宋体" w:eastAsia="宋体" w:cs="宋体"/>
          <w:color w:val="auto"/>
          <w:sz w:val="24"/>
          <w:szCs w:val="24"/>
          <w:highlight w:val="none"/>
        </w:rPr>
      </w:pPr>
      <w:bookmarkStart w:id="170" w:name="_Toc283382459"/>
      <w:r>
        <w:rPr>
          <w:rFonts w:hint="eastAsia" w:ascii="宋体" w:hAnsi="宋体" w:eastAsia="宋体" w:cs="宋体"/>
          <w:color w:val="auto"/>
          <w:sz w:val="24"/>
          <w:szCs w:val="24"/>
          <w:highlight w:val="none"/>
        </w:rPr>
        <w:t>（一）商务响应偏离表</w:t>
      </w:r>
    </w:p>
    <w:p w14:paraId="6F27B6C9">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3976C95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6A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DF21E5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1080D51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2EF9876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25009F9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7CAF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B2E6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DFA4E3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811487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BC8BB6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22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30ED2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90EA42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DF6E2C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202EA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ABD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7E5D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661DB2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C05294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FFD95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93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D68CD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D52CFF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E34916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3D38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33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9BCA9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51DE2F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9C9113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D65023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393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69359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E33AD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EFDFB9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B29307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BAF7987">
      <w:pPr>
        <w:snapToGrid w:val="0"/>
        <w:spacing w:line="360" w:lineRule="auto"/>
        <w:ind w:firstLine="465"/>
        <w:rPr>
          <w:rFonts w:hint="eastAsia" w:ascii="宋体" w:hAnsi="宋体" w:eastAsia="宋体" w:cs="宋体"/>
          <w:color w:val="auto"/>
          <w:sz w:val="24"/>
          <w:szCs w:val="24"/>
          <w:highlight w:val="none"/>
        </w:rPr>
      </w:pPr>
    </w:p>
    <w:p w14:paraId="69BB8162">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69F3B787">
      <w:pPr>
        <w:spacing w:line="500" w:lineRule="exact"/>
        <w:rPr>
          <w:rFonts w:hint="eastAsia" w:ascii="宋体" w:hAnsi="宋体" w:eastAsia="宋体" w:cs="宋体"/>
          <w:color w:val="auto"/>
          <w:sz w:val="24"/>
          <w:szCs w:val="28"/>
          <w:highlight w:val="none"/>
        </w:rPr>
      </w:pPr>
    </w:p>
    <w:p w14:paraId="0F457E6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7AD3A659">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2130808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DB48A4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21F241D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515BCB5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45D5CF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490AA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r>
        <w:rPr>
          <w:rFonts w:hint="eastAsia" w:ascii="宋体" w:hAnsi="宋体" w:eastAsia="宋体" w:cs="宋体"/>
          <w:color w:val="auto"/>
          <w:sz w:val="24"/>
          <w:szCs w:val="24"/>
          <w:highlight w:val="none"/>
        </w:rPr>
        <w:br w:type="page"/>
      </w:r>
      <w:bookmarkEnd w:id="170"/>
      <w:bookmarkStart w:id="171" w:name="_Toc19396"/>
      <w:bookmarkStart w:id="172" w:name="_Toc16819"/>
      <w:bookmarkStart w:id="173" w:name="_Toc26076"/>
      <w:bookmarkStart w:id="174" w:name="_Toc313888363"/>
      <w:bookmarkStart w:id="175" w:name="_Toc103679702"/>
      <w:bookmarkStart w:id="176" w:name="_Toc313008359"/>
      <w:bookmarkStart w:id="177" w:name="_Toc342913422"/>
      <w:bookmarkStart w:id="178" w:name="_Toc30310"/>
      <w:r>
        <w:rPr>
          <w:rFonts w:hint="eastAsia" w:ascii="宋体" w:hAnsi="宋体" w:eastAsia="宋体" w:cs="宋体"/>
          <w:color w:val="auto"/>
          <w:sz w:val="24"/>
          <w:szCs w:val="24"/>
          <w:highlight w:val="none"/>
        </w:rPr>
        <w:t>四、资格条件及其他</w:t>
      </w:r>
      <w:bookmarkEnd w:id="171"/>
      <w:bookmarkEnd w:id="172"/>
      <w:bookmarkEnd w:id="173"/>
      <w:bookmarkEnd w:id="174"/>
      <w:bookmarkEnd w:id="175"/>
      <w:bookmarkEnd w:id="176"/>
      <w:bookmarkEnd w:id="177"/>
      <w:bookmarkEnd w:id="178"/>
    </w:p>
    <w:p w14:paraId="57EA2B79">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36987044">
      <w:pPr>
        <w:pStyle w:val="60"/>
        <w:ind w:left="560" w:firstLine="880"/>
        <w:rPr>
          <w:rFonts w:hint="eastAsia" w:ascii="宋体" w:hAnsi="宋体" w:eastAsia="宋体" w:cs="宋体"/>
          <w:color w:val="auto"/>
          <w:highlight w:val="none"/>
        </w:rPr>
      </w:pPr>
    </w:p>
    <w:p w14:paraId="78A6B8F4">
      <w:pPr>
        <w:pStyle w:val="60"/>
        <w:ind w:left="560" w:firstLine="880"/>
        <w:rPr>
          <w:rFonts w:hint="eastAsia" w:ascii="宋体" w:hAnsi="宋体" w:eastAsia="宋体" w:cs="宋体"/>
          <w:color w:val="auto"/>
          <w:highlight w:val="none"/>
        </w:rPr>
      </w:pPr>
    </w:p>
    <w:p w14:paraId="4E11F4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532A17E">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38BDEEA1">
      <w:pPr>
        <w:tabs>
          <w:tab w:val="left" w:pos="6300"/>
        </w:tabs>
        <w:snapToGrid w:val="0"/>
        <w:spacing w:line="500" w:lineRule="exact"/>
        <w:ind w:firstLine="570"/>
        <w:rPr>
          <w:rFonts w:hint="eastAsia" w:ascii="宋体" w:hAnsi="宋体" w:eastAsia="宋体" w:cs="宋体"/>
          <w:color w:val="auto"/>
          <w:sz w:val="24"/>
          <w:highlight w:val="none"/>
        </w:rPr>
      </w:pPr>
    </w:p>
    <w:p w14:paraId="53D5A04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22CA65F1">
      <w:pPr>
        <w:tabs>
          <w:tab w:val="left" w:pos="6300"/>
        </w:tabs>
        <w:snapToGrid w:val="0"/>
        <w:spacing w:line="500" w:lineRule="exact"/>
        <w:ind w:firstLine="570"/>
        <w:rPr>
          <w:rFonts w:hint="eastAsia" w:ascii="宋体" w:hAnsi="宋体" w:eastAsia="宋体" w:cs="宋体"/>
          <w:color w:val="auto"/>
          <w:sz w:val="24"/>
          <w:highlight w:val="none"/>
        </w:rPr>
      </w:pPr>
    </w:p>
    <w:p w14:paraId="7F65355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518DC65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56C4449B">
      <w:pPr>
        <w:tabs>
          <w:tab w:val="left" w:pos="6300"/>
        </w:tabs>
        <w:snapToGrid w:val="0"/>
        <w:spacing w:line="500" w:lineRule="exact"/>
        <w:ind w:firstLine="570"/>
        <w:rPr>
          <w:rFonts w:hint="eastAsia" w:ascii="宋体" w:hAnsi="宋体" w:eastAsia="宋体" w:cs="宋体"/>
          <w:color w:val="auto"/>
          <w:sz w:val="24"/>
          <w:highlight w:val="none"/>
        </w:rPr>
      </w:pPr>
    </w:p>
    <w:p w14:paraId="682A727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6AF1ED8">
      <w:pPr>
        <w:tabs>
          <w:tab w:val="left" w:pos="6300"/>
        </w:tabs>
        <w:snapToGrid w:val="0"/>
        <w:spacing w:line="500" w:lineRule="exact"/>
        <w:ind w:firstLine="570"/>
        <w:rPr>
          <w:rFonts w:hint="eastAsia" w:ascii="宋体" w:hAnsi="宋体" w:eastAsia="宋体" w:cs="宋体"/>
          <w:color w:val="auto"/>
          <w:sz w:val="24"/>
          <w:highlight w:val="none"/>
        </w:rPr>
      </w:pPr>
    </w:p>
    <w:p w14:paraId="2ACB67C0">
      <w:pPr>
        <w:tabs>
          <w:tab w:val="left" w:pos="6300"/>
        </w:tabs>
        <w:snapToGrid w:val="0"/>
        <w:spacing w:line="500" w:lineRule="exact"/>
        <w:ind w:firstLine="570"/>
        <w:rPr>
          <w:rFonts w:hint="eastAsia" w:ascii="宋体" w:hAnsi="宋体" w:eastAsia="宋体" w:cs="宋体"/>
          <w:color w:val="auto"/>
          <w:sz w:val="24"/>
          <w:highlight w:val="none"/>
        </w:rPr>
      </w:pPr>
    </w:p>
    <w:p w14:paraId="40B6459C">
      <w:pPr>
        <w:tabs>
          <w:tab w:val="left" w:pos="6300"/>
        </w:tabs>
        <w:snapToGrid w:val="0"/>
        <w:spacing w:line="500" w:lineRule="exact"/>
        <w:ind w:firstLine="570"/>
        <w:rPr>
          <w:rFonts w:hint="eastAsia" w:ascii="宋体" w:hAnsi="宋体" w:eastAsia="宋体" w:cs="宋体"/>
          <w:color w:val="auto"/>
          <w:sz w:val="24"/>
          <w:highlight w:val="none"/>
        </w:rPr>
      </w:pPr>
    </w:p>
    <w:p w14:paraId="75D3C2C5">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8A30722">
      <w:pPr>
        <w:tabs>
          <w:tab w:val="left" w:pos="6300"/>
        </w:tabs>
        <w:snapToGrid w:val="0"/>
        <w:spacing w:line="500" w:lineRule="exact"/>
        <w:ind w:firstLine="570"/>
        <w:rPr>
          <w:rFonts w:hint="eastAsia" w:ascii="宋体" w:hAnsi="宋体" w:eastAsia="宋体" w:cs="宋体"/>
          <w:color w:val="auto"/>
          <w:sz w:val="24"/>
          <w:highlight w:val="none"/>
        </w:rPr>
      </w:pPr>
    </w:p>
    <w:p w14:paraId="75CF5CC7">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590BB8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09C9808">
      <w:pPr>
        <w:tabs>
          <w:tab w:val="left" w:pos="6300"/>
        </w:tabs>
        <w:snapToGrid w:val="0"/>
        <w:spacing w:line="500" w:lineRule="exact"/>
        <w:ind w:firstLine="570"/>
        <w:rPr>
          <w:rFonts w:hint="eastAsia" w:ascii="宋体" w:hAnsi="宋体" w:eastAsia="宋体" w:cs="宋体"/>
          <w:color w:val="auto"/>
          <w:sz w:val="24"/>
          <w:highlight w:val="none"/>
        </w:rPr>
      </w:pPr>
    </w:p>
    <w:p w14:paraId="6254973C">
      <w:pPr>
        <w:tabs>
          <w:tab w:val="left" w:pos="6300"/>
        </w:tabs>
        <w:snapToGrid w:val="0"/>
        <w:spacing w:line="500" w:lineRule="exact"/>
        <w:ind w:firstLine="570"/>
        <w:rPr>
          <w:rFonts w:hint="eastAsia" w:ascii="宋体" w:hAnsi="宋体" w:eastAsia="宋体" w:cs="宋体"/>
          <w:color w:val="auto"/>
          <w:sz w:val="24"/>
          <w:highlight w:val="none"/>
        </w:rPr>
      </w:pPr>
    </w:p>
    <w:p w14:paraId="03C53D10">
      <w:pPr>
        <w:tabs>
          <w:tab w:val="left" w:pos="6300"/>
        </w:tabs>
        <w:snapToGrid w:val="0"/>
        <w:spacing w:line="500" w:lineRule="exact"/>
        <w:ind w:firstLine="570"/>
        <w:rPr>
          <w:rFonts w:hint="eastAsia" w:ascii="宋体" w:hAnsi="宋体" w:eastAsia="宋体" w:cs="宋体"/>
          <w:color w:val="auto"/>
          <w:sz w:val="24"/>
          <w:highlight w:val="none"/>
        </w:rPr>
      </w:pPr>
    </w:p>
    <w:p w14:paraId="3E9F95A8">
      <w:pPr>
        <w:tabs>
          <w:tab w:val="left" w:pos="6300"/>
        </w:tabs>
        <w:snapToGrid w:val="0"/>
        <w:spacing w:line="500" w:lineRule="exact"/>
        <w:ind w:firstLine="570"/>
        <w:rPr>
          <w:rFonts w:hint="eastAsia" w:ascii="宋体" w:hAnsi="宋体" w:eastAsia="宋体" w:cs="宋体"/>
          <w:color w:val="auto"/>
          <w:sz w:val="24"/>
          <w:highlight w:val="none"/>
        </w:rPr>
      </w:pPr>
    </w:p>
    <w:p w14:paraId="14D663E8">
      <w:pPr>
        <w:tabs>
          <w:tab w:val="left" w:pos="6300"/>
        </w:tabs>
        <w:snapToGrid w:val="0"/>
        <w:spacing w:line="500" w:lineRule="exact"/>
        <w:ind w:firstLine="570"/>
        <w:rPr>
          <w:rFonts w:hint="eastAsia" w:ascii="宋体" w:hAnsi="宋体" w:eastAsia="宋体" w:cs="宋体"/>
          <w:color w:val="auto"/>
          <w:sz w:val="24"/>
          <w:highlight w:val="none"/>
        </w:rPr>
      </w:pPr>
    </w:p>
    <w:p w14:paraId="6C04651B">
      <w:pPr>
        <w:tabs>
          <w:tab w:val="left" w:pos="6300"/>
        </w:tabs>
        <w:snapToGrid w:val="0"/>
        <w:spacing w:line="500" w:lineRule="exact"/>
        <w:ind w:firstLine="570"/>
        <w:rPr>
          <w:rFonts w:hint="eastAsia" w:ascii="宋体" w:hAnsi="宋体" w:eastAsia="宋体" w:cs="宋体"/>
          <w:color w:val="auto"/>
          <w:sz w:val="24"/>
          <w:highlight w:val="none"/>
        </w:rPr>
      </w:pPr>
    </w:p>
    <w:p w14:paraId="7F4E7076">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661283AC">
      <w:pPr>
        <w:tabs>
          <w:tab w:val="left" w:pos="6300"/>
        </w:tabs>
        <w:snapToGrid w:val="0"/>
        <w:spacing w:line="500" w:lineRule="exact"/>
        <w:ind w:firstLine="570"/>
        <w:rPr>
          <w:rFonts w:hint="eastAsia" w:ascii="宋体" w:hAnsi="宋体" w:eastAsia="宋体" w:cs="宋体"/>
          <w:color w:val="auto"/>
          <w:sz w:val="24"/>
          <w:highlight w:val="none"/>
        </w:rPr>
      </w:pPr>
    </w:p>
    <w:p w14:paraId="5BE731F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202A82DC">
      <w:pPr>
        <w:tabs>
          <w:tab w:val="left" w:pos="6300"/>
        </w:tabs>
        <w:snapToGrid w:val="0"/>
        <w:spacing w:line="500" w:lineRule="exact"/>
        <w:ind w:firstLine="570"/>
        <w:rPr>
          <w:rFonts w:hint="eastAsia" w:ascii="宋体" w:hAnsi="宋体" w:eastAsia="宋体" w:cs="宋体"/>
          <w:color w:val="auto"/>
          <w:sz w:val="24"/>
          <w:highlight w:val="none"/>
        </w:rPr>
      </w:pPr>
    </w:p>
    <w:p w14:paraId="1A2FD29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4518340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（被授权人姓名及身份证号码）代表我单位全权办理上述项目的采购、签约等具体工作，并签署全部有关文件、协议及合同。</w:t>
      </w:r>
    </w:p>
    <w:p w14:paraId="42AE218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882BB7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2A7D0B7A">
      <w:pPr>
        <w:tabs>
          <w:tab w:val="left" w:pos="6300"/>
        </w:tabs>
        <w:snapToGrid w:val="0"/>
        <w:spacing w:line="500" w:lineRule="exact"/>
        <w:ind w:firstLine="570"/>
        <w:rPr>
          <w:rFonts w:hint="eastAsia" w:ascii="宋体" w:hAnsi="宋体" w:eastAsia="宋体" w:cs="宋体"/>
          <w:color w:val="auto"/>
          <w:sz w:val="24"/>
          <w:highlight w:val="none"/>
        </w:rPr>
      </w:pPr>
    </w:p>
    <w:p w14:paraId="6E187D3A">
      <w:pPr>
        <w:tabs>
          <w:tab w:val="left" w:pos="6300"/>
        </w:tabs>
        <w:snapToGrid w:val="0"/>
        <w:spacing w:line="500" w:lineRule="exact"/>
        <w:ind w:firstLine="570"/>
        <w:rPr>
          <w:rFonts w:hint="eastAsia" w:ascii="宋体" w:hAnsi="宋体" w:eastAsia="宋体" w:cs="宋体"/>
          <w:color w:val="auto"/>
          <w:sz w:val="24"/>
          <w:highlight w:val="none"/>
        </w:rPr>
      </w:pPr>
    </w:p>
    <w:p w14:paraId="697CBA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65C4ECC6">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0BDB4F8D">
      <w:pPr>
        <w:tabs>
          <w:tab w:val="left" w:pos="6300"/>
        </w:tabs>
        <w:snapToGrid w:val="0"/>
        <w:spacing w:line="500" w:lineRule="exact"/>
        <w:ind w:firstLine="570"/>
        <w:rPr>
          <w:rFonts w:hint="eastAsia" w:ascii="宋体" w:hAnsi="宋体" w:eastAsia="宋体" w:cs="宋体"/>
          <w:color w:val="auto"/>
          <w:sz w:val="24"/>
          <w:szCs w:val="28"/>
          <w:highlight w:val="none"/>
        </w:rPr>
      </w:pPr>
    </w:p>
    <w:p w14:paraId="163B8EA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76E426B">
      <w:pPr>
        <w:tabs>
          <w:tab w:val="left" w:pos="6300"/>
        </w:tabs>
        <w:snapToGrid w:val="0"/>
        <w:spacing w:line="500" w:lineRule="exact"/>
        <w:ind w:firstLine="570"/>
        <w:rPr>
          <w:rFonts w:hint="eastAsia" w:ascii="宋体" w:hAnsi="宋体" w:eastAsia="宋体" w:cs="宋体"/>
          <w:color w:val="auto"/>
          <w:sz w:val="24"/>
          <w:highlight w:val="none"/>
        </w:rPr>
      </w:pPr>
    </w:p>
    <w:p w14:paraId="4611A178">
      <w:pPr>
        <w:tabs>
          <w:tab w:val="left" w:pos="6300"/>
        </w:tabs>
        <w:snapToGrid w:val="0"/>
        <w:spacing w:line="500" w:lineRule="exact"/>
        <w:ind w:firstLine="570"/>
        <w:rPr>
          <w:rFonts w:hint="eastAsia" w:ascii="宋体" w:hAnsi="宋体" w:eastAsia="宋体" w:cs="宋体"/>
          <w:color w:val="auto"/>
          <w:sz w:val="24"/>
          <w:highlight w:val="none"/>
        </w:rPr>
      </w:pPr>
    </w:p>
    <w:p w14:paraId="504B7F7B">
      <w:pPr>
        <w:tabs>
          <w:tab w:val="left" w:pos="6300"/>
        </w:tabs>
        <w:snapToGrid w:val="0"/>
        <w:spacing w:line="500" w:lineRule="exact"/>
        <w:ind w:firstLine="570"/>
        <w:rPr>
          <w:rFonts w:hint="eastAsia" w:ascii="宋体" w:hAnsi="宋体" w:eastAsia="宋体" w:cs="宋体"/>
          <w:color w:val="auto"/>
          <w:sz w:val="24"/>
          <w:highlight w:val="none"/>
        </w:rPr>
      </w:pPr>
    </w:p>
    <w:p w14:paraId="6C5EFE0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FF5E9C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6925F7D">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3F0D7011">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79" w:name="_Toc14422"/>
      <w:r>
        <w:rPr>
          <w:rFonts w:hint="eastAsia" w:ascii="宋体" w:hAnsi="宋体" w:eastAsia="宋体" w:cs="宋体"/>
          <w:color w:val="auto"/>
          <w:sz w:val="24"/>
          <w:szCs w:val="24"/>
          <w:highlight w:val="none"/>
        </w:rPr>
        <w:t>（四）基本资格条件承诺函（格式）</w:t>
      </w:r>
    </w:p>
    <w:p w14:paraId="46909035">
      <w:pPr>
        <w:tabs>
          <w:tab w:val="left" w:pos="6300"/>
        </w:tabs>
        <w:snapToGrid w:val="0"/>
        <w:spacing w:line="530" w:lineRule="exact"/>
        <w:rPr>
          <w:rFonts w:hint="eastAsia" w:ascii="宋体" w:hAnsi="宋体" w:eastAsia="宋体" w:cs="宋体"/>
          <w:color w:val="auto"/>
          <w:sz w:val="24"/>
          <w:highlight w:val="none"/>
        </w:rPr>
      </w:pPr>
    </w:p>
    <w:p w14:paraId="636CDB85">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15B1D8BA">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07C317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5D0687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5970EA7">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B116B9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4637AAA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4F7BA60">
      <w:pPr>
        <w:tabs>
          <w:tab w:val="left" w:pos="6300"/>
        </w:tabs>
        <w:snapToGrid w:val="0"/>
        <w:spacing w:line="530" w:lineRule="exact"/>
        <w:rPr>
          <w:rFonts w:hint="eastAsia" w:ascii="宋体" w:hAnsi="宋体" w:eastAsia="宋体" w:cs="宋体"/>
          <w:color w:val="auto"/>
          <w:sz w:val="24"/>
          <w:szCs w:val="24"/>
          <w:highlight w:val="none"/>
        </w:rPr>
      </w:pPr>
    </w:p>
    <w:p w14:paraId="0C2FE6D0">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7571A0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9A19019">
      <w:pPr>
        <w:tabs>
          <w:tab w:val="left" w:pos="6300"/>
        </w:tabs>
        <w:snapToGrid w:val="0"/>
        <w:spacing w:line="500" w:lineRule="exact"/>
        <w:ind w:firstLine="570"/>
        <w:rPr>
          <w:rFonts w:hint="eastAsia" w:ascii="宋体" w:hAnsi="宋体" w:eastAsia="宋体" w:cs="宋体"/>
          <w:color w:val="auto"/>
          <w:sz w:val="24"/>
          <w:szCs w:val="24"/>
          <w:highlight w:val="none"/>
        </w:rPr>
      </w:pPr>
    </w:p>
    <w:p w14:paraId="4A5D555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2C3955E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30FDE7F">
      <w:pPr>
        <w:pStyle w:val="4"/>
        <w:rPr>
          <w:rFonts w:hint="eastAsia" w:ascii="宋体" w:hAnsi="宋体" w:eastAsia="宋体" w:cs="宋体"/>
          <w:color w:val="auto"/>
          <w:sz w:val="24"/>
          <w:szCs w:val="24"/>
          <w:highlight w:val="none"/>
        </w:rPr>
      </w:pPr>
    </w:p>
    <w:p w14:paraId="408A02CB">
      <w:pPr>
        <w:rPr>
          <w:rFonts w:hint="eastAsia" w:ascii="宋体" w:hAnsi="宋体" w:eastAsia="宋体" w:cs="宋体"/>
          <w:color w:val="auto"/>
          <w:sz w:val="24"/>
          <w:szCs w:val="24"/>
          <w:highlight w:val="none"/>
        </w:rPr>
      </w:pPr>
    </w:p>
    <w:p w14:paraId="0A8772BD">
      <w:pPr>
        <w:pStyle w:val="4"/>
        <w:rPr>
          <w:rFonts w:hint="eastAsia" w:ascii="宋体" w:hAnsi="宋体" w:eastAsia="宋体" w:cs="宋体"/>
          <w:color w:val="auto"/>
          <w:sz w:val="24"/>
          <w:szCs w:val="24"/>
          <w:highlight w:val="none"/>
        </w:rPr>
      </w:pPr>
    </w:p>
    <w:p w14:paraId="4227B83C">
      <w:pPr>
        <w:rPr>
          <w:rFonts w:hint="eastAsia" w:ascii="宋体" w:hAnsi="宋体" w:eastAsia="宋体" w:cs="宋体"/>
          <w:color w:val="auto"/>
          <w:sz w:val="24"/>
          <w:szCs w:val="24"/>
          <w:highlight w:val="none"/>
        </w:rPr>
      </w:pPr>
    </w:p>
    <w:p w14:paraId="7BAB73A4">
      <w:pPr>
        <w:tabs>
          <w:tab w:val="left" w:pos="6300"/>
        </w:tabs>
        <w:snapToGrid w:val="0"/>
        <w:spacing w:line="500" w:lineRule="exact"/>
        <w:ind w:firstLine="570"/>
        <w:rPr>
          <w:rFonts w:hint="eastAsia" w:ascii="宋体" w:hAnsi="宋体" w:eastAsia="宋体" w:cs="宋体"/>
          <w:color w:val="auto"/>
          <w:sz w:val="24"/>
          <w:szCs w:val="24"/>
          <w:highlight w:val="none"/>
        </w:rPr>
      </w:pPr>
    </w:p>
    <w:p w14:paraId="7FFEBA5B">
      <w:pPr>
        <w:tabs>
          <w:tab w:val="left" w:pos="6300"/>
        </w:tabs>
        <w:snapToGrid w:val="0"/>
        <w:spacing w:line="500" w:lineRule="exact"/>
        <w:ind w:firstLine="570"/>
        <w:rPr>
          <w:rFonts w:hint="eastAsia" w:ascii="宋体" w:hAnsi="宋体" w:eastAsia="宋体" w:cs="宋体"/>
          <w:color w:val="auto"/>
          <w:sz w:val="24"/>
          <w:szCs w:val="24"/>
          <w:highlight w:val="none"/>
        </w:rPr>
      </w:pPr>
    </w:p>
    <w:p w14:paraId="3ABF8A1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7E418EA7">
      <w:pPr>
        <w:pStyle w:val="4"/>
        <w:spacing w:before="0" w:after="0" w:line="360" w:lineRule="auto"/>
        <w:rPr>
          <w:rFonts w:hint="eastAsia" w:ascii="宋体" w:hAnsi="宋体" w:eastAsia="宋体" w:cs="宋体"/>
          <w:b w:val="0"/>
          <w:bCs/>
          <w:color w:val="auto"/>
          <w:highlight w:val="none"/>
        </w:rPr>
      </w:pPr>
      <w:r>
        <w:rPr>
          <w:rFonts w:hint="eastAsia" w:ascii="宋体" w:hAnsi="宋体" w:eastAsia="宋体" w:cs="宋体"/>
          <w:b w:val="0"/>
          <w:color w:val="auto"/>
          <w:sz w:val="28"/>
          <w:highlight w:val="none"/>
        </w:rPr>
        <w:br w:type="page"/>
      </w:r>
      <w:bookmarkStart w:id="180" w:name="_Toc15318"/>
      <w:bookmarkStart w:id="181" w:name="_Toc17417"/>
      <w:bookmarkStart w:id="182" w:name="_Toc26481"/>
      <w:bookmarkStart w:id="183" w:name="_Toc5951"/>
      <w:r>
        <w:rPr>
          <w:rFonts w:hint="eastAsia" w:ascii="宋体" w:hAnsi="宋体" w:eastAsia="宋体" w:cs="宋体"/>
          <w:b w:val="0"/>
          <w:bCs/>
          <w:color w:val="auto"/>
          <w:sz w:val="24"/>
          <w:szCs w:val="24"/>
          <w:highlight w:val="none"/>
        </w:rPr>
        <w:t>五、其他应提供的资料</w:t>
      </w:r>
      <w:bookmarkEnd w:id="179"/>
      <w:bookmarkEnd w:id="180"/>
      <w:bookmarkEnd w:id="181"/>
      <w:bookmarkEnd w:id="182"/>
      <w:bookmarkEnd w:id="183"/>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如有，格式自拟）</w:t>
      </w:r>
    </w:p>
    <w:p w14:paraId="76A8F3B8">
      <w:pPr>
        <w:tabs>
          <w:tab w:val="left" w:pos="6300"/>
        </w:tabs>
        <w:snapToGrid w:val="0"/>
        <w:spacing w:line="500" w:lineRule="exact"/>
        <w:ind w:firstLine="570"/>
        <w:rPr>
          <w:rFonts w:hint="eastAsia" w:ascii="宋体" w:hAnsi="宋体" w:eastAsia="宋体" w:cs="宋体"/>
          <w:color w:val="auto"/>
          <w:sz w:val="24"/>
          <w:szCs w:val="24"/>
          <w:highlight w:val="none"/>
        </w:rPr>
      </w:pPr>
      <w:bookmarkStart w:id="184" w:name="_Toc136880175"/>
      <w:bookmarkStart w:id="185" w:name="_Toc10494"/>
      <w:bookmarkStart w:id="186" w:name="_Toc136879718"/>
      <w:bookmarkStart w:id="187" w:name="_Toc27041"/>
    </w:p>
    <w:bookmarkEnd w:id="184"/>
    <w:bookmarkEnd w:id="185"/>
    <w:bookmarkEnd w:id="186"/>
    <w:bookmarkEnd w:id="187"/>
    <w:p w14:paraId="541B9CE8">
      <w:pPr>
        <w:spacing w:line="360" w:lineRule="auto"/>
        <w:ind w:firstLine="480" w:firstLineChars="200"/>
        <w:jc w:val="center"/>
        <w:rPr>
          <w:rFonts w:hint="eastAsia" w:ascii="宋体" w:hAnsi="宋体" w:eastAsia="宋体" w:cs="宋体"/>
          <w:color w:val="auto"/>
          <w:sz w:val="24"/>
          <w:szCs w:val="24"/>
          <w:highlight w:val="none"/>
        </w:rPr>
      </w:pPr>
    </w:p>
    <w:p w14:paraId="5AEE5F3E">
      <w:pPr>
        <w:spacing w:line="400" w:lineRule="exact"/>
        <w:ind w:firstLine="480" w:firstLineChars="200"/>
        <w:jc w:val="center"/>
        <w:rPr>
          <w:rFonts w:hint="eastAsia" w:ascii="宋体" w:hAnsi="宋体" w:eastAsia="宋体" w:cs="宋体"/>
          <w:color w:val="auto"/>
          <w:sz w:val="24"/>
          <w:szCs w:val="24"/>
          <w:highlight w:val="none"/>
        </w:rPr>
      </w:pPr>
    </w:p>
    <w:p w14:paraId="4B6ACD0F">
      <w:pPr>
        <w:spacing w:line="400" w:lineRule="exact"/>
        <w:ind w:firstLine="480" w:firstLineChars="200"/>
        <w:jc w:val="center"/>
        <w:rPr>
          <w:rFonts w:hint="eastAsia" w:ascii="宋体" w:hAnsi="宋体" w:eastAsia="宋体" w:cs="宋体"/>
          <w:color w:val="auto"/>
          <w:sz w:val="24"/>
          <w:szCs w:val="24"/>
          <w:highlight w:val="none"/>
        </w:rPr>
      </w:pPr>
    </w:p>
    <w:p w14:paraId="354BCB95">
      <w:pPr>
        <w:spacing w:line="400" w:lineRule="exact"/>
        <w:ind w:firstLine="480" w:firstLineChars="200"/>
        <w:jc w:val="center"/>
        <w:rPr>
          <w:rFonts w:hint="eastAsia" w:ascii="宋体" w:hAnsi="宋体" w:eastAsia="宋体" w:cs="宋体"/>
          <w:color w:val="auto"/>
          <w:sz w:val="24"/>
          <w:szCs w:val="24"/>
          <w:highlight w:val="none"/>
        </w:rPr>
      </w:pPr>
    </w:p>
    <w:p w14:paraId="39BEDEC2">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19A2B809">
      <w:pPr>
        <w:spacing w:line="360" w:lineRule="auto"/>
        <w:ind w:firstLine="480" w:firstLineChars="200"/>
        <w:rPr>
          <w:rFonts w:hint="eastAsia" w:ascii="宋体" w:hAnsi="宋体" w:eastAsia="宋体" w:cs="宋体"/>
          <w:color w:val="auto"/>
          <w:sz w:val="24"/>
          <w:szCs w:val="24"/>
          <w:highlight w:val="none"/>
        </w:rPr>
      </w:pPr>
    </w:p>
    <w:p w14:paraId="22B5AEC6">
      <w:pPr>
        <w:spacing w:line="360" w:lineRule="auto"/>
        <w:ind w:firstLine="480" w:firstLineChars="200"/>
        <w:jc w:val="center"/>
        <w:rPr>
          <w:rFonts w:hint="eastAsia" w:ascii="宋体" w:hAnsi="宋体" w:eastAsia="宋体" w:cs="宋体"/>
          <w:color w:val="auto"/>
          <w:sz w:val="24"/>
          <w:szCs w:val="24"/>
          <w:highlight w:val="none"/>
        </w:rPr>
      </w:pPr>
    </w:p>
    <w:p w14:paraId="4264E35B">
      <w:pPr>
        <w:spacing w:line="360" w:lineRule="auto"/>
        <w:ind w:firstLine="480" w:firstLineChars="200"/>
        <w:jc w:val="center"/>
        <w:rPr>
          <w:rFonts w:hint="eastAsia" w:ascii="宋体" w:hAnsi="宋体" w:eastAsia="宋体" w:cs="宋体"/>
          <w:color w:val="auto"/>
          <w:sz w:val="24"/>
          <w:szCs w:val="24"/>
          <w:highlight w:val="none"/>
        </w:rPr>
      </w:pPr>
    </w:p>
    <w:p w14:paraId="18F2704C">
      <w:pPr>
        <w:spacing w:line="360" w:lineRule="auto"/>
        <w:ind w:firstLine="480" w:firstLineChars="200"/>
        <w:jc w:val="center"/>
        <w:rPr>
          <w:rFonts w:hint="eastAsia" w:ascii="宋体" w:hAnsi="宋体" w:eastAsia="宋体" w:cs="宋体"/>
          <w:color w:val="auto"/>
          <w:sz w:val="24"/>
          <w:szCs w:val="24"/>
          <w:highlight w:val="none"/>
        </w:rPr>
      </w:pPr>
    </w:p>
    <w:p w14:paraId="68A7BEDF">
      <w:pPr>
        <w:spacing w:line="360" w:lineRule="auto"/>
        <w:ind w:firstLine="480" w:firstLineChars="200"/>
        <w:jc w:val="center"/>
        <w:rPr>
          <w:rFonts w:hint="eastAsia" w:ascii="宋体" w:hAnsi="宋体" w:eastAsia="宋体" w:cs="宋体"/>
          <w:color w:val="auto"/>
          <w:sz w:val="24"/>
          <w:szCs w:val="24"/>
          <w:highlight w:val="none"/>
        </w:rPr>
      </w:pPr>
    </w:p>
    <w:p w14:paraId="006DD9E9">
      <w:pPr>
        <w:spacing w:line="360" w:lineRule="auto"/>
        <w:ind w:firstLine="480" w:firstLineChars="200"/>
        <w:jc w:val="center"/>
        <w:rPr>
          <w:rFonts w:hint="eastAsia" w:ascii="宋体" w:hAnsi="宋体" w:eastAsia="宋体" w:cs="宋体"/>
          <w:color w:val="auto"/>
          <w:sz w:val="24"/>
          <w:szCs w:val="24"/>
          <w:highlight w:val="none"/>
        </w:rPr>
      </w:pPr>
    </w:p>
    <w:p w14:paraId="68014A4C">
      <w:pPr>
        <w:pStyle w:val="126"/>
        <w:spacing w:line="20" w:lineRule="atLeast"/>
        <w:jc w:val="center"/>
        <w:rPr>
          <w:rFonts w:hint="eastAsia" w:ascii="宋体" w:hAnsi="宋体" w:eastAsia="宋体" w:cs="宋体"/>
          <w:color w:val="auto"/>
          <w:highlight w:val="none"/>
        </w:rPr>
      </w:pPr>
    </w:p>
    <w:p w14:paraId="208B040D">
      <w:pPr>
        <w:pStyle w:val="126"/>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162CD4-ED72-4BA8-AEF5-8BCEB666691B}"/>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604696B-E4A5-42CF-BCB8-23919B7C057C}"/>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66D74D80-1D61-4F4A-B0B2-0AF9183C09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0C40">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741B662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D5C2">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F436">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070A">
    <w:pPr>
      <w:pStyle w:val="38"/>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重庆千诺工程项目管理有限公司</w:t>
    </w:r>
    <w:r>
      <w:rPr>
        <w:rFonts w:hint="eastAsia" w:ascii="仿宋" w:hAnsi="仿宋" w:eastAsia="仿宋" w:cs="仿宋"/>
        <w:sz w:val="24"/>
        <w:szCs w:val="24"/>
      </w:rPr>
      <w:t xml:space="preserve">                                </w:t>
    </w:r>
    <w:r>
      <w:rPr>
        <w:rFonts w:hint="eastAsia" w:ascii="仿宋" w:hAnsi="仿宋" w:eastAsia="仿宋" w:cs="仿宋"/>
        <w:sz w:val="24"/>
        <w:szCs w:val="24"/>
        <w:lang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8F01">
    <w:pPr>
      <w:pStyle w:val="38"/>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w:t>
    </w:r>
    <w:r>
      <w:rPr>
        <w:rFonts w:hint="eastAsia" w:ascii="仿宋" w:hAnsi="仿宋" w:eastAsia="仿宋" w:cs="仿宋"/>
        <w:sz w:val="24"/>
        <w:szCs w:val="24"/>
        <w:lang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2FC2">
    <w:pPr>
      <w:pStyle w:val="38"/>
      <w:jc w:val="both"/>
      <w:rPr>
        <w:rFonts w:hint="eastAsia" w:eastAsia="方正仿宋_GBK"/>
        <w:lang w:eastAsia="zh-CN"/>
      </w:rPr>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w:t>
    </w:r>
    <w:r>
      <w:rPr>
        <w:rFonts w:hint="eastAsia" w:ascii="方正仿宋_GBK" w:eastAsia="方正仿宋_GBK"/>
        <w:sz w:val="21"/>
        <w:szCs w:val="21"/>
        <w:lang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1B1A42C"/>
    <w:multiLevelType w:val="singleLevel"/>
    <w:tmpl w:val="F1B1A42C"/>
    <w:lvl w:ilvl="0" w:tentative="0">
      <w:start w:val="1"/>
      <w:numFmt w:val="decimal"/>
      <w:suff w:val="nothing"/>
      <w:lvlText w:val="%1."/>
      <w:lvlJc w:val="left"/>
      <w:pPr>
        <w:ind w:left="425" w:hanging="425"/>
      </w:pPr>
      <w:rPr>
        <w:rFonts w:hint="default"/>
      </w:rPr>
    </w:lvl>
  </w:abstractNum>
  <w:abstractNum w:abstractNumId="2">
    <w:nsid w:val="FAA715AA"/>
    <w:multiLevelType w:val="singleLevel"/>
    <w:tmpl w:val="FAA715AA"/>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2BA4041"/>
    <w:multiLevelType w:val="singleLevel"/>
    <w:tmpl w:val="52BA4041"/>
    <w:lvl w:ilvl="0" w:tentative="0">
      <w:start w:val="1"/>
      <w:numFmt w:val="decimal"/>
      <w:suff w:val="nothing"/>
      <w:lvlText w:val="%1."/>
      <w:lvlJc w:val="left"/>
      <w:pPr>
        <w:ind w:left="425" w:hanging="425"/>
      </w:pPr>
      <w:rPr>
        <w:rFonts w:hint="default"/>
      </w:rPr>
    </w:lvl>
  </w:abstractNum>
  <w:abstractNum w:abstractNumId="17">
    <w:nsid w:val="6C7FC54C"/>
    <w:multiLevelType w:val="singleLevel"/>
    <w:tmpl w:val="6C7FC54C"/>
    <w:lvl w:ilvl="0" w:tentative="0">
      <w:start w:val="1"/>
      <w:numFmt w:val="decimal"/>
      <w:suff w:val="nothing"/>
      <w:lvlText w:val="%1."/>
      <w:lvlJc w:val="left"/>
      <w:pPr>
        <w:ind w:left="425" w:hanging="425"/>
      </w:pPr>
      <w:rPr>
        <w:rFonts w:hint="default"/>
      </w:rPr>
    </w:lvl>
  </w:abstractNum>
  <w:abstractNum w:abstractNumId="18">
    <w:nsid w:val="73843F24"/>
    <w:multiLevelType w:val="singleLevel"/>
    <w:tmpl w:val="73843F24"/>
    <w:lvl w:ilvl="0" w:tentative="0">
      <w:start w:val="1"/>
      <w:numFmt w:val="decimal"/>
      <w:suff w:val="nothing"/>
      <w:lvlText w:val="%1."/>
      <w:lvlJc w:val="left"/>
      <w:pPr>
        <w:ind w:left="425" w:hanging="425"/>
      </w:pPr>
      <w:rPr>
        <w:rFonts w:hint="default"/>
      </w:rPr>
    </w:lvl>
  </w:abstractNum>
  <w:abstractNum w:abstractNumId="19">
    <w:nsid w:val="778F9897"/>
    <w:multiLevelType w:val="singleLevel"/>
    <w:tmpl w:val="778F9897"/>
    <w:lvl w:ilvl="0" w:tentative="0">
      <w:start w:val="1"/>
      <w:numFmt w:val="decimal"/>
      <w:suff w:val="nothing"/>
      <w:lvlText w:val="%1."/>
      <w:lvlJc w:val="left"/>
      <w:pPr>
        <w:ind w:left="425" w:hanging="425"/>
      </w:pPr>
      <w:rPr>
        <w:rFonts w:hint="default"/>
      </w:rPr>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5"/>
  </w:num>
  <w:num w:numId="10">
    <w:abstractNumId w:val="9"/>
  </w:num>
  <w:num w:numId="11">
    <w:abstractNumId w:val="10"/>
  </w:num>
  <w:num w:numId="12">
    <w:abstractNumId w:val="6"/>
  </w:num>
  <w:num w:numId="13">
    <w:abstractNumId w:val="14"/>
  </w:num>
  <w:num w:numId="14">
    <w:abstractNumId w:val="0"/>
  </w:num>
  <w:num w:numId="15">
    <w:abstractNumId w:val="1"/>
  </w:num>
  <w:num w:numId="16">
    <w:abstractNumId w:val="17"/>
  </w:num>
  <w:num w:numId="17">
    <w:abstractNumId w:val="18"/>
  </w:num>
  <w:num w:numId="18">
    <w:abstractNumId w:val="16"/>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466196e3-2bcf-42ae-96dc-6deba7c9db18"/>
  </w:docVars>
  <w:rsids>
    <w:rsidRoot w:val="00B50FC0"/>
    <w:rsid w:val="000661D3"/>
    <w:rsid w:val="0006680A"/>
    <w:rsid w:val="000851E6"/>
    <w:rsid w:val="000E7F13"/>
    <w:rsid w:val="0016285F"/>
    <w:rsid w:val="00166E1F"/>
    <w:rsid w:val="0019222D"/>
    <w:rsid w:val="002D3BA6"/>
    <w:rsid w:val="003222D6"/>
    <w:rsid w:val="00492675"/>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D743B5"/>
    <w:rsid w:val="00E42B9F"/>
    <w:rsid w:val="00E60A79"/>
    <w:rsid w:val="00F05E08"/>
    <w:rsid w:val="00F340E6"/>
    <w:rsid w:val="00F368F8"/>
    <w:rsid w:val="00F96D4B"/>
    <w:rsid w:val="011A5340"/>
    <w:rsid w:val="012807F8"/>
    <w:rsid w:val="01891B53"/>
    <w:rsid w:val="01C21457"/>
    <w:rsid w:val="0221276B"/>
    <w:rsid w:val="025877D0"/>
    <w:rsid w:val="025A704C"/>
    <w:rsid w:val="026D64DC"/>
    <w:rsid w:val="027C16B8"/>
    <w:rsid w:val="0317318F"/>
    <w:rsid w:val="03556AB2"/>
    <w:rsid w:val="04382163"/>
    <w:rsid w:val="04676E77"/>
    <w:rsid w:val="04737F1F"/>
    <w:rsid w:val="04A63819"/>
    <w:rsid w:val="04F85FF1"/>
    <w:rsid w:val="05057701"/>
    <w:rsid w:val="05BB42A5"/>
    <w:rsid w:val="05FB28F4"/>
    <w:rsid w:val="06635A4F"/>
    <w:rsid w:val="072145DC"/>
    <w:rsid w:val="07ED235A"/>
    <w:rsid w:val="086D2622"/>
    <w:rsid w:val="088B55C9"/>
    <w:rsid w:val="08B3253E"/>
    <w:rsid w:val="092C7268"/>
    <w:rsid w:val="09AF2373"/>
    <w:rsid w:val="09D1609A"/>
    <w:rsid w:val="09D77CF9"/>
    <w:rsid w:val="09ED2E9B"/>
    <w:rsid w:val="0A4B01E4"/>
    <w:rsid w:val="0A707BE7"/>
    <w:rsid w:val="0A7D7D7B"/>
    <w:rsid w:val="0AD61B81"/>
    <w:rsid w:val="0ADF4EB4"/>
    <w:rsid w:val="0B4B5C20"/>
    <w:rsid w:val="0B8961FD"/>
    <w:rsid w:val="0B9C74DC"/>
    <w:rsid w:val="0D0C2411"/>
    <w:rsid w:val="0D676CD6"/>
    <w:rsid w:val="0E331896"/>
    <w:rsid w:val="0E671979"/>
    <w:rsid w:val="0F167D68"/>
    <w:rsid w:val="0F251EFA"/>
    <w:rsid w:val="0F2C1D70"/>
    <w:rsid w:val="0FAC1E0F"/>
    <w:rsid w:val="0FB35FED"/>
    <w:rsid w:val="0FC92E5D"/>
    <w:rsid w:val="10104F83"/>
    <w:rsid w:val="107B6A3C"/>
    <w:rsid w:val="10D23E14"/>
    <w:rsid w:val="11060443"/>
    <w:rsid w:val="112F264C"/>
    <w:rsid w:val="118C42A1"/>
    <w:rsid w:val="11A541D1"/>
    <w:rsid w:val="11AE2F4A"/>
    <w:rsid w:val="11B31A46"/>
    <w:rsid w:val="11B60016"/>
    <w:rsid w:val="11DD4F52"/>
    <w:rsid w:val="12227F59"/>
    <w:rsid w:val="122B4561"/>
    <w:rsid w:val="12B60FA3"/>
    <w:rsid w:val="13054DB2"/>
    <w:rsid w:val="132412C3"/>
    <w:rsid w:val="133D2E2F"/>
    <w:rsid w:val="13E73C4E"/>
    <w:rsid w:val="142E658A"/>
    <w:rsid w:val="14A33DD8"/>
    <w:rsid w:val="15D07BCF"/>
    <w:rsid w:val="15EA576A"/>
    <w:rsid w:val="16640530"/>
    <w:rsid w:val="16755E9F"/>
    <w:rsid w:val="171C5300"/>
    <w:rsid w:val="17492F0E"/>
    <w:rsid w:val="17881C2D"/>
    <w:rsid w:val="179F70B6"/>
    <w:rsid w:val="181B0BD3"/>
    <w:rsid w:val="18785439"/>
    <w:rsid w:val="18A5104D"/>
    <w:rsid w:val="190F569C"/>
    <w:rsid w:val="192A4A21"/>
    <w:rsid w:val="193F78E6"/>
    <w:rsid w:val="1947355A"/>
    <w:rsid w:val="19F95FF3"/>
    <w:rsid w:val="19FC4286"/>
    <w:rsid w:val="1A6E148E"/>
    <w:rsid w:val="1A8216F7"/>
    <w:rsid w:val="1AB23A71"/>
    <w:rsid w:val="1B8D3B96"/>
    <w:rsid w:val="1B98237C"/>
    <w:rsid w:val="1B9F7EE3"/>
    <w:rsid w:val="1C220379"/>
    <w:rsid w:val="1C4A7CD9"/>
    <w:rsid w:val="1CBB6F3F"/>
    <w:rsid w:val="1D05527E"/>
    <w:rsid w:val="1D1516C2"/>
    <w:rsid w:val="1E401071"/>
    <w:rsid w:val="1EBA7398"/>
    <w:rsid w:val="1F417171"/>
    <w:rsid w:val="1F6470B0"/>
    <w:rsid w:val="1F9F033C"/>
    <w:rsid w:val="1FA0658E"/>
    <w:rsid w:val="204F1D62"/>
    <w:rsid w:val="205729E2"/>
    <w:rsid w:val="20880DD0"/>
    <w:rsid w:val="20914128"/>
    <w:rsid w:val="20D90162"/>
    <w:rsid w:val="21A06DEB"/>
    <w:rsid w:val="21C226F3"/>
    <w:rsid w:val="220652BA"/>
    <w:rsid w:val="22673D57"/>
    <w:rsid w:val="22FF5139"/>
    <w:rsid w:val="24672062"/>
    <w:rsid w:val="248C3E9A"/>
    <w:rsid w:val="248E2DE1"/>
    <w:rsid w:val="24AE4614"/>
    <w:rsid w:val="24CB3DC0"/>
    <w:rsid w:val="24D665AE"/>
    <w:rsid w:val="24E928B8"/>
    <w:rsid w:val="24FB6014"/>
    <w:rsid w:val="2614136F"/>
    <w:rsid w:val="26B20955"/>
    <w:rsid w:val="27420045"/>
    <w:rsid w:val="278A4A2C"/>
    <w:rsid w:val="27FB4519"/>
    <w:rsid w:val="28456613"/>
    <w:rsid w:val="2860721B"/>
    <w:rsid w:val="28A80261"/>
    <w:rsid w:val="28AB4A44"/>
    <w:rsid w:val="292567E1"/>
    <w:rsid w:val="29626024"/>
    <w:rsid w:val="2B05230C"/>
    <w:rsid w:val="2BFC0FF0"/>
    <w:rsid w:val="2C304924"/>
    <w:rsid w:val="2C426408"/>
    <w:rsid w:val="2CAD3314"/>
    <w:rsid w:val="2CC35BC3"/>
    <w:rsid w:val="2CCF2A57"/>
    <w:rsid w:val="2CED0673"/>
    <w:rsid w:val="2D2C2A74"/>
    <w:rsid w:val="2D3F79D7"/>
    <w:rsid w:val="2D9E007B"/>
    <w:rsid w:val="2DA76D39"/>
    <w:rsid w:val="2E4C297A"/>
    <w:rsid w:val="2F5E2951"/>
    <w:rsid w:val="300761B5"/>
    <w:rsid w:val="300E2A05"/>
    <w:rsid w:val="303A24A6"/>
    <w:rsid w:val="304E59DB"/>
    <w:rsid w:val="308B0B94"/>
    <w:rsid w:val="3098247E"/>
    <w:rsid w:val="30FB789A"/>
    <w:rsid w:val="322122F4"/>
    <w:rsid w:val="322C3CB1"/>
    <w:rsid w:val="327D15FB"/>
    <w:rsid w:val="337E678E"/>
    <w:rsid w:val="338B4A07"/>
    <w:rsid w:val="347F407A"/>
    <w:rsid w:val="34C507EF"/>
    <w:rsid w:val="34D5216F"/>
    <w:rsid w:val="354D18D5"/>
    <w:rsid w:val="369062CC"/>
    <w:rsid w:val="36A65A03"/>
    <w:rsid w:val="36E14B30"/>
    <w:rsid w:val="36E33724"/>
    <w:rsid w:val="371371EE"/>
    <w:rsid w:val="37206361"/>
    <w:rsid w:val="37411742"/>
    <w:rsid w:val="37B00EE0"/>
    <w:rsid w:val="38064393"/>
    <w:rsid w:val="380C6E13"/>
    <w:rsid w:val="38492FED"/>
    <w:rsid w:val="386D0B7F"/>
    <w:rsid w:val="38705A0B"/>
    <w:rsid w:val="38934A8A"/>
    <w:rsid w:val="39C74C55"/>
    <w:rsid w:val="39F43377"/>
    <w:rsid w:val="3A170959"/>
    <w:rsid w:val="3A1C1BAF"/>
    <w:rsid w:val="3A305137"/>
    <w:rsid w:val="3A570589"/>
    <w:rsid w:val="3AE07D2F"/>
    <w:rsid w:val="3AF95E24"/>
    <w:rsid w:val="3B31460B"/>
    <w:rsid w:val="3B3836C7"/>
    <w:rsid w:val="3BB80457"/>
    <w:rsid w:val="3C2B6D87"/>
    <w:rsid w:val="3CAF5C6E"/>
    <w:rsid w:val="3D0D0E66"/>
    <w:rsid w:val="3D183C25"/>
    <w:rsid w:val="3D1909C8"/>
    <w:rsid w:val="3D3B48CD"/>
    <w:rsid w:val="3D5640D5"/>
    <w:rsid w:val="3D5B30C0"/>
    <w:rsid w:val="3DEE62BF"/>
    <w:rsid w:val="3E6D08CC"/>
    <w:rsid w:val="3F081602"/>
    <w:rsid w:val="3F7841B5"/>
    <w:rsid w:val="3F852AA5"/>
    <w:rsid w:val="3F99798D"/>
    <w:rsid w:val="3FB65C45"/>
    <w:rsid w:val="3FCF35E7"/>
    <w:rsid w:val="401270D9"/>
    <w:rsid w:val="406F4F58"/>
    <w:rsid w:val="40B732E0"/>
    <w:rsid w:val="40CE016E"/>
    <w:rsid w:val="40CE3973"/>
    <w:rsid w:val="41E158E5"/>
    <w:rsid w:val="42153520"/>
    <w:rsid w:val="424474C6"/>
    <w:rsid w:val="426B4971"/>
    <w:rsid w:val="42A91069"/>
    <w:rsid w:val="42F04068"/>
    <w:rsid w:val="43171167"/>
    <w:rsid w:val="43326EBF"/>
    <w:rsid w:val="43901207"/>
    <w:rsid w:val="43D321DE"/>
    <w:rsid w:val="445251D5"/>
    <w:rsid w:val="44605159"/>
    <w:rsid w:val="44B7744D"/>
    <w:rsid w:val="4504286C"/>
    <w:rsid w:val="45144193"/>
    <w:rsid w:val="451D77E8"/>
    <w:rsid w:val="460E1CDE"/>
    <w:rsid w:val="464F5D68"/>
    <w:rsid w:val="465D46FF"/>
    <w:rsid w:val="466924B3"/>
    <w:rsid w:val="46A25D38"/>
    <w:rsid w:val="46CB09CA"/>
    <w:rsid w:val="47384EDF"/>
    <w:rsid w:val="474B7581"/>
    <w:rsid w:val="48167282"/>
    <w:rsid w:val="4843113A"/>
    <w:rsid w:val="48457423"/>
    <w:rsid w:val="48582566"/>
    <w:rsid w:val="48864335"/>
    <w:rsid w:val="49D22F38"/>
    <w:rsid w:val="49DD3664"/>
    <w:rsid w:val="4A722025"/>
    <w:rsid w:val="4A7B03DF"/>
    <w:rsid w:val="4A8921DD"/>
    <w:rsid w:val="4C1511CB"/>
    <w:rsid w:val="4C2048B8"/>
    <w:rsid w:val="4C83217E"/>
    <w:rsid w:val="4CD60F5E"/>
    <w:rsid w:val="4D461C92"/>
    <w:rsid w:val="4D466727"/>
    <w:rsid w:val="4D50664E"/>
    <w:rsid w:val="4DDF3E76"/>
    <w:rsid w:val="4E7D0D4F"/>
    <w:rsid w:val="4E9C795D"/>
    <w:rsid w:val="4EA70ED0"/>
    <w:rsid w:val="4F807FCA"/>
    <w:rsid w:val="4FCF212F"/>
    <w:rsid w:val="4FF95795"/>
    <w:rsid w:val="5067435B"/>
    <w:rsid w:val="51F7263B"/>
    <w:rsid w:val="52524C16"/>
    <w:rsid w:val="526606C2"/>
    <w:rsid w:val="526F3A1A"/>
    <w:rsid w:val="5293012E"/>
    <w:rsid w:val="529C40E3"/>
    <w:rsid w:val="52C12289"/>
    <w:rsid w:val="531D273D"/>
    <w:rsid w:val="5338205E"/>
    <w:rsid w:val="53504E8A"/>
    <w:rsid w:val="535527CB"/>
    <w:rsid w:val="53C108BF"/>
    <w:rsid w:val="53D24C9F"/>
    <w:rsid w:val="541A08A5"/>
    <w:rsid w:val="54611418"/>
    <w:rsid w:val="54D63934"/>
    <w:rsid w:val="54DA7A98"/>
    <w:rsid w:val="54F02F3B"/>
    <w:rsid w:val="54FE4BE1"/>
    <w:rsid w:val="556D1537"/>
    <w:rsid w:val="55B81234"/>
    <w:rsid w:val="56091A90"/>
    <w:rsid w:val="562904EF"/>
    <w:rsid w:val="5682571F"/>
    <w:rsid w:val="57D32355"/>
    <w:rsid w:val="57E32488"/>
    <w:rsid w:val="58196DAC"/>
    <w:rsid w:val="58382B00"/>
    <w:rsid w:val="58EE3C77"/>
    <w:rsid w:val="59017D1E"/>
    <w:rsid w:val="59063F78"/>
    <w:rsid w:val="59594AC9"/>
    <w:rsid w:val="596A402B"/>
    <w:rsid w:val="599975CF"/>
    <w:rsid w:val="59C12681"/>
    <w:rsid w:val="59CE316E"/>
    <w:rsid w:val="5A627539"/>
    <w:rsid w:val="5A666A46"/>
    <w:rsid w:val="5A75672B"/>
    <w:rsid w:val="5A932270"/>
    <w:rsid w:val="5AD771BE"/>
    <w:rsid w:val="5B505E97"/>
    <w:rsid w:val="5BB21112"/>
    <w:rsid w:val="5C1E267D"/>
    <w:rsid w:val="5D1458EA"/>
    <w:rsid w:val="5D226789"/>
    <w:rsid w:val="5DF647A0"/>
    <w:rsid w:val="5DFF0E1E"/>
    <w:rsid w:val="5E503D20"/>
    <w:rsid w:val="5E886CE4"/>
    <w:rsid w:val="5EFB2B28"/>
    <w:rsid w:val="5F4571B2"/>
    <w:rsid w:val="604364E6"/>
    <w:rsid w:val="60A14317"/>
    <w:rsid w:val="60D5460C"/>
    <w:rsid w:val="61581B1D"/>
    <w:rsid w:val="61F72DEE"/>
    <w:rsid w:val="62B61E66"/>
    <w:rsid w:val="63D01E3F"/>
    <w:rsid w:val="643050EE"/>
    <w:rsid w:val="643248A8"/>
    <w:rsid w:val="64E2007C"/>
    <w:rsid w:val="65B64922"/>
    <w:rsid w:val="65C93FC6"/>
    <w:rsid w:val="6645421B"/>
    <w:rsid w:val="669929BC"/>
    <w:rsid w:val="66B4618F"/>
    <w:rsid w:val="66B56861"/>
    <w:rsid w:val="66CD2666"/>
    <w:rsid w:val="66F7101E"/>
    <w:rsid w:val="66FE3167"/>
    <w:rsid w:val="670F1A60"/>
    <w:rsid w:val="67185FD7"/>
    <w:rsid w:val="671A5F25"/>
    <w:rsid w:val="67CC5F51"/>
    <w:rsid w:val="67E46396"/>
    <w:rsid w:val="6832131A"/>
    <w:rsid w:val="68CA50AF"/>
    <w:rsid w:val="69AC6EAA"/>
    <w:rsid w:val="6A770CC5"/>
    <w:rsid w:val="6AD0079D"/>
    <w:rsid w:val="6ADD55FC"/>
    <w:rsid w:val="6AE9031A"/>
    <w:rsid w:val="6B366553"/>
    <w:rsid w:val="6BA3608B"/>
    <w:rsid w:val="6BE61D2D"/>
    <w:rsid w:val="6C0F2059"/>
    <w:rsid w:val="6C521322"/>
    <w:rsid w:val="6CDD0508"/>
    <w:rsid w:val="6CF52602"/>
    <w:rsid w:val="6D3A7F90"/>
    <w:rsid w:val="6D3E32FC"/>
    <w:rsid w:val="6E1D3ED3"/>
    <w:rsid w:val="6E223B68"/>
    <w:rsid w:val="6E2A648C"/>
    <w:rsid w:val="6F03756C"/>
    <w:rsid w:val="6F3027C1"/>
    <w:rsid w:val="6F6B0AA1"/>
    <w:rsid w:val="6FD5166D"/>
    <w:rsid w:val="700C5C21"/>
    <w:rsid w:val="701D465E"/>
    <w:rsid w:val="70492F79"/>
    <w:rsid w:val="7055244F"/>
    <w:rsid w:val="705E77F2"/>
    <w:rsid w:val="70E84CDA"/>
    <w:rsid w:val="711E01B8"/>
    <w:rsid w:val="712B426F"/>
    <w:rsid w:val="71D770C3"/>
    <w:rsid w:val="726F4F19"/>
    <w:rsid w:val="72830B08"/>
    <w:rsid w:val="72A11576"/>
    <w:rsid w:val="72B50B7E"/>
    <w:rsid w:val="72C3002E"/>
    <w:rsid w:val="735E3FAF"/>
    <w:rsid w:val="73DF3770"/>
    <w:rsid w:val="73FB6A64"/>
    <w:rsid w:val="74727AC0"/>
    <w:rsid w:val="74AF129E"/>
    <w:rsid w:val="74CE5606"/>
    <w:rsid w:val="752E4C17"/>
    <w:rsid w:val="758119C2"/>
    <w:rsid w:val="761D1EEE"/>
    <w:rsid w:val="766C5EFC"/>
    <w:rsid w:val="76872172"/>
    <w:rsid w:val="76B659D2"/>
    <w:rsid w:val="76BB7541"/>
    <w:rsid w:val="76CC46E8"/>
    <w:rsid w:val="7707390B"/>
    <w:rsid w:val="770C71DA"/>
    <w:rsid w:val="77377CE0"/>
    <w:rsid w:val="77E37F3B"/>
    <w:rsid w:val="781A6515"/>
    <w:rsid w:val="782347DB"/>
    <w:rsid w:val="78970D25"/>
    <w:rsid w:val="78A44C3B"/>
    <w:rsid w:val="78AE6B25"/>
    <w:rsid w:val="78B2790D"/>
    <w:rsid w:val="78CA4C57"/>
    <w:rsid w:val="78E57983"/>
    <w:rsid w:val="7A200710"/>
    <w:rsid w:val="7A337B1E"/>
    <w:rsid w:val="7A744676"/>
    <w:rsid w:val="7AD91D9F"/>
    <w:rsid w:val="7BDC213F"/>
    <w:rsid w:val="7C0F2651"/>
    <w:rsid w:val="7C264E67"/>
    <w:rsid w:val="7C6641AB"/>
    <w:rsid w:val="7CA63C51"/>
    <w:rsid w:val="7D6A4C5A"/>
    <w:rsid w:val="7D9B4E14"/>
    <w:rsid w:val="7DB61C4E"/>
    <w:rsid w:val="7DD81BC4"/>
    <w:rsid w:val="7DF54524"/>
    <w:rsid w:val="7E206D18"/>
    <w:rsid w:val="7E5751DF"/>
    <w:rsid w:val="7EAD237F"/>
    <w:rsid w:val="7ED35B5A"/>
    <w:rsid w:val="7F127358"/>
    <w:rsid w:val="7F7D30E7"/>
    <w:rsid w:val="7F985AAF"/>
    <w:rsid w:val="7FDA2596"/>
    <w:rsid w:val="7FF5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3"/>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2"/>
    <w:qFormat/>
    <w:uiPriority w:val="0"/>
  </w:style>
  <w:style w:type="paragraph" w:styleId="34">
    <w:name w:val="Body Text Indent 2"/>
    <w:basedOn w:val="1"/>
    <w:link w:val="8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9"/>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3"/>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basedOn w:val="63"/>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4"/>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8"/>
    <w:qFormat/>
    <w:uiPriority w:val="0"/>
    <w:rPr>
      <w:sz w:val="24"/>
    </w:rPr>
  </w:style>
  <w:style w:type="character" w:customStyle="1" w:styleId="84">
    <w:name w:val="批注文字 字符"/>
    <w:link w:val="19"/>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3"/>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3"/>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4"/>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60"/>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3"/>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6"/>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5"/>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5"/>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5"/>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7"/>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4"/>
    <w:qFormat/>
    <w:uiPriority w:val="0"/>
    <w:pPr>
      <w:tabs>
        <w:tab w:val="left" w:pos="709"/>
        <w:tab w:val="left" w:pos="1620"/>
      </w:tabs>
      <w:ind w:left="1620" w:hanging="360"/>
    </w:pPr>
  </w:style>
  <w:style w:type="paragraph" w:customStyle="1" w:styleId="269">
    <w:name w:val="摘要"/>
    <w:basedOn w:val="1"/>
    <w:next w:val="3"/>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link w:val="1"/>
    <w:qFormat/>
    <w:uiPriority w:val="0"/>
    <w:rPr>
      <w:rFonts w:ascii="Calibri" w:hAnsi="Calibri" w:eastAsia="宋体" w:cs="Times New Roman"/>
      <w:kern w:val="2"/>
      <w:sz w:val="28"/>
      <w:lang w:val="en-US" w:eastAsia="zh-CN" w:bidi="ar-S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Heading3"/>
    <w:basedOn w:val="1"/>
    <w:next w:val="1"/>
    <w:autoRedefine/>
    <w:qFormat/>
    <w:uiPriority w:val="0"/>
    <w:pPr>
      <w:keepNext/>
      <w:keepLines/>
      <w:spacing w:before="260" w:after="260" w:line="413" w:lineRule="auto"/>
      <w:jc w:val="both"/>
      <w:textAlignment w:val="baseline"/>
    </w:pPr>
    <w:rPr>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36</Pages>
  <Words>331</Words>
  <Characters>383</Characters>
  <Lines>133</Lines>
  <Paragraphs>37</Paragraphs>
  <TotalTime>3</TotalTime>
  <ScaleCrop>false</ScaleCrop>
  <LinksUpToDate>false</LinksUpToDate>
  <CharactersWithSpaces>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2023-10-20T03:01:00Z</cp:lastPrinted>
  <dcterms:modified xsi:type="dcterms:W3CDTF">2025-07-31T09:24:25Z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eyJoZGlkIjoiMDhjNmU2MzVjZDFjOTgxMTIzNzQ1Nzg2ZTEwMDcwZTgiLCJ1c2VySWQiOiI0NDkyNjQ0MTgifQ==</vt:lpwstr>
  </property>
</Properties>
</file>