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C5C3B">
      <w:pPr>
        <w:spacing w:line="360" w:lineRule="auto"/>
        <w:rPr>
          <w:rFonts w:hint="eastAsia" w:asciiTheme="minorEastAsia" w:hAnsiTheme="minorEastAsia" w:eastAsiaTheme="minorEastAsia" w:cstheme="minorEastAsia"/>
          <w:b/>
          <w:bCs/>
          <w:spacing w:val="80"/>
          <w:sz w:val="112"/>
          <w:szCs w:val="112"/>
        </w:rPr>
      </w:pPr>
    </w:p>
    <w:p w14:paraId="343DD512">
      <w:pPr>
        <w:spacing w:line="360" w:lineRule="auto"/>
        <w:rPr>
          <w:rFonts w:hint="eastAsia" w:asciiTheme="minorEastAsia" w:hAnsiTheme="minorEastAsia" w:eastAsiaTheme="minorEastAsia" w:cstheme="minorEastAsia"/>
          <w:b/>
          <w:bCs/>
          <w:spacing w:val="80"/>
          <w:sz w:val="112"/>
          <w:szCs w:val="112"/>
        </w:rPr>
      </w:pPr>
      <w:r>
        <w:rPr>
          <w:rFonts w:hint="eastAsia" w:asciiTheme="minorEastAsia" w:hAnsiTheme="minorEastAsia" w:eastAsiaTheme="minorEastAsia" w:cstheme="minorEastAsia"/>
          <w:b/>
          <w:bCs/>
          <w:spacing w:val="80"/>
          <w:sz w:val="112"/>
          <w:szCs w:val="112"/>
        </w:rPr>
        <w:t>竞争性比选文件</w:t>
      </w:r>
    </w:p>
    <w:p w14:paraId="21CFF7A8">
      <w:pPr>
        <w:spacing w:line="360" w:lineRule="auto"/>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（综合评分法）</w:t>
      </w:r>
    </w:p>
    <w:p w14:paraId="6EB57CF7">
      <w:pPr>
        <w:spacing w:line="360" w:lineRule="auto"/>
        <w:jc w:val="center"/>
        <w:rPr>
          <w:rFonts w:hint="eastAsia" w:asciiTheme="minorEastAsia" w:hAnsiTheme="minorEastAsia" w:eastAsiaTheme="minorEastAsia" w:cstheme="minorEastAsia"/>
          <w:sz w:val="32"/>
        </w:rPr>
      </w:pPr>
    </w:p>
    <w:p w14:paraId="2D0BD162">
      <w:pPr>
        <w:spacing w:line="360" w:lineRule="auto"/>
        <w:ind w:left="2885" w:leftChars="256" w:hanging="2168" w:hangingChars="600"/>
        <w:rPr>
          <w:rFonts w:hint="eastAsia" w:asciiTheme="minorEastAsia" w:hAnsiTheme="minorEastAsia" w:eastAsiaTheme="minorEastAsia" w:cstheme="minorEastAsia"/>
          <w:b/>
          <w:bCs/>
          <w:color w:val="auto"/>
          <w:sz w:val="36"/>
          <w:szCs w:val="30"/>
          <w:highlight w:val="none"/>
        </w:rPr>
      </w:pPr>
    </w:p>
    <w:p w14:paraId="50976DB2">
      <w:pPr>
        <w:spacing w:line="360" w:lineRule="auto"/>
        <w:ind w:left="2885" w:leftChars="256" w:hanging="2168" w:hangingChars="600"/>
        <w:rPr>
          <w:rFonts w:hint="eastAsia" w:asciiTheme="minorEastAsia" w:hAnsiTheme="minorEastAsia" w:eastAsiaTheme="minorEastAsia" w:cstheme="minorEastAsia"/>
          <w:b/>
          <w:bCs/>
          <w:color w:val="auto"/>
          <w:sz w:val="36"/>
          <w:szCs w:val="30"/>
          <w:highlight w:val="none"/>
        </w:rPr>
      </w:pPr>
    </w:p>
    <w:p w14:paraId="083AE25D">
      <w:pPr>
        <w:spacing w:line="360" w:lineRule="auto"/>
        <w:ind w:left="2885" w:leftChars="256" w:hanging="2168" w:hangingChars="600"/>
        <w:rPr>
          <w:rFonts w:hint="eastAsia" w:asciiTheme="minorEastAsia" w:hAnsiTheme="minorEastAsia" w:eastAsiaTheme="minorEastAsia" w:cstheme="minorEastAsia"/>
          <w:b/>
          <w:bCs/>
          <w:color w:val="auto"/>
          <w:sz w:val="36"/>
          <w:szCs w:val="30"/>
          <w:highlight w:val="none"/>
          <w:lang w:eastAsia="zh-CN"/>
        </w:rPr>
      </w:pPr>
      <w:r>
        <w:rPr>
          <w:rFonts w:hint="eastAsia" w:asciiTheme="minorEastAsia" w:hAnsiTheme="minorEastAsia" w:eastAsiaTheme="minorEastAsia" w:cstheme="minorEastAsia"/>
          <w:b/>
          <w:bCs/>
          <w:color w:val="auto"/>
          <w:sz w:val="36"/>
          <w:szCs w:val="30"/>
          <w:highlight w:val="none"/>
        </w:rPr>
        <w:t>采购执行编号：</w:t>
      </w:r>
      <w:r>
        <w:rPr>
          <w:rFonts w:hint="eastAsia" w:asciiTheme="minorEastAsia" w:hAnsiTheme="minorEastAsia" w:eastAsiaTheme="minorEastAsia" w:cstheme="minorEastAsia"/>
          <w:b/>
          <w:bCs/>
          <w:color w:val="auto"/>
          <w:sz w:val="36"/>
          <w:szCs w:val="30"/>
          <w:lang w:val="en-US" w:eastAsia="zh-CN"/>
        </w:rPr>
        <w:t xml:space="preserve">CZ-GZ-2026-04 </w:t>
      </w:r>
    </w:p>
    <w:p w14:paraId="380239CC">
      <w:pPr>
        <w:spacing w:line="360" w:lineRule="auto"/>
        <w:ind w:left="3247" w:leftChars="256" w:hanging="2530" w:hangingChars="700"/>
        <w:rPr>
          <w:rFonts w:hint="eastAsia" w:asciiTheme="minorEastAsia" w:hAnsiTheme="minorEastAsia" w:eastAsiaTheme="minorEastAsia" w:cstheme="minorEastAsia"/>
          <w:b/>
          <w:bCs/>
          <w:color w:val="auto"/>
          <w:sz w:val="36"/>
          <w:szCs w:val="30"/>
          <w:lang w:val="en-US" w:eastAsia="zh-CN"/>
        </w:rPr>
      </w:pPr>
      <w:r>
        <w:rPr>
          <w:rFonts w:hint="eastAsia" w:asciiTheme="minorEastAsia" w:hAnsiTheme="minorEastAsia" w:eastAsiaTheme="minorEastAsia" w:cstheme="minorEastAsia"/>
          <w:b/>
          <w:bCs/>
          <w:color w:val="auto"/>
          <w:sz w:val="36"/>
          <w:szCs w:val="30"/>
          <w:lang w:val="en-US" w:eastAsia="zh-CN"/>
        </w:rPr>
        <w:t>项 目 名 称 ：重庆市沙坪坝区树人和平小学AI智慧体育设施设备建设项目</w:t>
      </w:r>
    </w:p>
    <w:p w14:paraId="45D8062D">
      <w:pPr>
        <w:spacing w:line="360" w:lineRule="auto"/>
        <w:ind w:left="3247" w:leftChars="256" w:hanging="2530" w:hangingChars="700"/>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6"/>
          <w:szCs w:val="30"/>
        </w:rPr>
        <w:t>比  选  人  ：</w:t>
      </w:r>
      <w:r>
        <w:rPr>
          <w:rFonts w:hint="eastAsia" w:asciiTheme="minorEastAsia" w:hAnsiTheme="minorEastAsia" w:eastAsiaTheme="minorEastAsia" w:cstheme="minorEastAsia"/>
          <w:b/>
          <w:bCs/>
          <w:color w:val="auto"/>
          <w:sz w:val="36"/>
          <w:szCs w:val="30"/>
          <w:highlight w:val="none"/>
          <w:lang w:val="en-US" w:eastAsia="zh-CN"/>
        </w:rPr>
        <w:t>重庆市沙坪坝区教育发展基金会</w:t>
      </w:r>
      <w:r>
        <w:rPr>
          <w:rFonts w:hint="eastAsia" w:asciiTheme="minorEastAsia" w:hAnsiTheme="minorEastAsia" w:eastAsiaTheme="minorEastAsia" w:cstheme="minorEastAsia"/>
          <w:b/>
          <w:bCs/>
          <w:sz w:val="36"/>
          <w:szCs w:val="30"/>
          <w:lang w:val="en-US" w:eastAsia="zh-CN"/>
        </w:rPr>
        <w:t xml:space="preserve"> </w:t>
      </w:r>
    </w:p>
    <w:p w14:paraId="6A94C3C4">
      <w:pPr>
        <w:spacing w:line="360" w:lineRule="auto"/>
        <w:ind w:firstLine="723" w:firstLineChars="200"/>
        <w:rPr>
          <w:rFonts w:hint="eastAsia" w:asciiTheme="minorEastAsia" w:hAnsiTheme="minorEastAsia" w:eastAsiaTheme="minorEastAsia" w:cstheme="minorEastAsia"/>
          <w:kern w:val="2"/>
          <w:sz w:val="32"/>
          <w:lang w:val="en-US" w:eastAsia="zh-CN" w:bidi="ar-SA"/>
        </w:rPr>
      </w:pPr>
      <w:r>
        <w:rPr>
          <w:rFonts w:hint="eastAsia" w:asciiTheme="minorEastAsia" w:hAnsiTheme="minorEastAsia" w:eastAsiaTheme="minorEastAsia" w:cstheme="minorEastAsia"/>
          <w:b/>
          <w:bCs/>
          <w:sz w:val="36"/>
          <w:szCs w:val="30"/>
        </w:rPr>
        <w:t>比选代理机构：</w:t>
      </w:r>
      <w:r>
        <w:rPr>
          <w:rFonts w:hint="eastAsia" w:asciiTheme="minorEastAsia" w:hAnsiTheme="minorEastAsia" w:eastAsiaTheme="minorEastAsia" w:cstheme="minorEastAsia"/>
          <w:b/>
          <w:bCs/>
          <w:color w:val="auto"/>
          <w:sz w:val="36"/>
          <w:szCs w:val="30"/>
          <w:highlight w:val="none"/>
          <w:lang w:val="en-US" w:eastAsia="zh-CN"/>
        </w:rPr>
        <w:t>四川川咨建设工程咨询有限责任公司</w:t>
      </w:r>
      <w:r>
        <w:rPr>
          <w:rFonts w:hint="eastAsia" w:asciiTheme="minorEastAsia" w:hAnsiTheme="minorEastAsia" w:eastAsiaTheme="minorEastAsia" w:cstheme="minorEastAsia"/>
          <w:kern w:val="2"/>
          <w:sz w:val="32"/>
          <w:lang w:val="en-US" w:eastAsia="zh-CN" w:bidi="ar-SA"/>
        </w:rPr>
        <w:t xml:space="preserve"> </w:t>
      </w:r>
    </w:p>
    <w:p w14:paraId="6B57A7A7">
      <w:pPr>
        <w:spacing w:line="360" w:lineRule="auto"/>
        <w:jc w:val="center"/>
        <w:rPr>
          <w:rFonts w:hint="eastAsia" w:asciiTheme="minorEastAsia" w:hAnsiTheme="minorEastAsia" w:eastAsiaTheme="minorEastAsia" w:cstheme="minorEastAsia"/>
          <w:b/>
          <w:bCs/>
          <w:sz w:val="36"/>
          <w:szCs w:val="36"/>
        </w:rPr>
      </w:pPr>
    </w:p>
    <w:p w14:paraId="5745B670">
      <w:pPr>
        <w:spacing w:line="360" w:lineRule="auto"/>
        <w:jc w:val="center"/>
        <w:rPr>
          <w:rFonts w:hint="eastAsia" w:asciiTheme="minorEastAsia" w:hAnsiTheme="minorEastAsia" w:eastAsiaTheme="minorEastAsia" w:cstheme="minorEastAsia"/>
          <w:b/>
          <w:bCs/>
          <w:sz w:val="36"/>
          <w:szCs w:val="36"/>
        </w:rPr>
      </w:pPr>
    </w:p>
    <w:p w14:paraId="4E2E13CA">
      <w:pPr>
        <w:spacing w:line="360" w:lineRule="auto"/>
        <w:jc w:val="center"/>
        <w:rPr>
          <w:rFonts w:hint="eastAsia" w:asciiTheme="minorEastAsia" w:hAnsiTheme="minorEastAsia" w:eastAsiaTheme="minorEastAsia" w:cstheme="minorEastAsia"/>
          <w:b/>
          <w:bCs/>
          <w:sz w:val="36"/>
          <w:szCs w:val="36"/>
        </w:rPr>
      </w:pPr>
    </w:p>
    <w:p w14:paraId="1CFBB385">
      <w:pPr>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二〇二</w:t>
      </w:r>
      <w:r>
        <w:rPr>
          <w:rFonts w:hint="eastAsia" w:asciiTheme="minorEastAsia" w:hAnsiTheme="minorEastAsia" w:eastAsiaTheme="minorEastAsia" w:cstheme="minorEastAsia"/>
          <w:b/>
          <w:bCs/>
          <w:sz w:val="36"/>
          <w:szCs w:val="36"/>
          <w:lang w:val="en-US" w:eastAsia="zh-CN"/>
        </w:rPr>
        <w:t>六</w:t>
      </w:r>
      <w:r>
        <w:rPr>
          <w:rFonts w:hint="eastAsia" w:asciiTheme="minorEastAsia" w:hAnsiTheme="minorEastAsia" w:eastAsiaTheme="minorEastAsia" w:cstheme="minorEastAsia"/>
          <w:b/>
          <w:bCs/>
          <w:sz w:val="36"/>
          <w:szCs w:val="36"/>
        </w:rPr>
        <w:t>年</w:t>
      </w:r>
      <w:r>
        <w:rPr>
          <w:rFonts w:hint="eastAsia" w:asciiTheme="minorEastAsia" w:hAnsiTheme="minorEastAsia" w:eastAsiaTheme="minorEastAsia" w:cstheme="minorEastAsia"/>
          <w:b/>
          <w:bCs/>
          <w:sz w:val="36"/>
          <w:szCs w:val="36"/>
          <w:lang w:val="en-US" w:eastAsia="zh-CN"/>
        </w:rPr>
        <w:t>二</w:t>
      </w:r>
      <w:r>
        <w:rPr>
          <w:rFonts w:hint="eastAsia" w:asciiTheme="minorEastAsia" w:hAnsiTheme="minorEastAsia" w:eastAsiaTheme="minorEastAsia" w:cstheme="minorEastAsia"/>
          <w:b/>
          <w:bCs/>
          <w:sz w:val="36"/>
          <w:szCs w:val="36"/>
        </w:rPr>
        <w:t>月</w:t>
      </w:r>
    </w:p>
    <w:p w14:paraId="77E3C965">
      <w:pPr>
        <w:spacing w:line="360" w:lineRule="auto"/>
        <w:outlineLvl w:val="0"/>
        <w:rPr>
          <w:rFonts w:hint="eastAsia" w:asciiTheme="minorEastAsia" w:hAnsiTheme="minorEastAsia" w:eastAsiaTheme="minorEastAsia" w:cstheme="minorEastAsia"/>
          <w:sz w:val="44"/>
          <w:szCs w:val="28"/>
        </w:rPr>
        <w:sectPr>
          <w:headerReference r:id="rId4" w:type="first"/>
          <w:footerReference r:id="rId6" w:type="first"/>
          <w:headerReference r:id="rId3" w:type="default"/>
          <w:footerReference r:id="rId5" w:type="even"/>
          <w:pgSz w:w="11907" w:h="16840"/>
          <w:pgMar w:top="1134" w:right="1191" w:bottom="1134" w:left="1304" w:header="709" w:footer="992" w:gutter="0"/>
          <w:pgNumType w:fmt="numberInDash" w:start="1"/>
          <w:cols w:space="720" w:num="1"/>
          <w:docGrid w:linePitch="380" w:charSpace="-5735"/>
        </w:sectPr>
      </w:pPr>
    </w:p>
    <w:p w14:paraId="0C9F5E67">
      <w:pPr>
        <w:spacing w:before="260" w:line="360" w:lineRule="auto"/>
        <w:jc w:val="center"/>
        <w:outlineLvl w:val="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6"/>
          <w:szCs w:val="36"/>
        </w:rPr>
        <w:t>目   录</w:t>
      </w:r>
    </w:p>
    <w:p w14:paraId="1AF38E1A">
      <w:pPr>
        <w:pStyle w:val="17"/>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TOC \o "1-3" \h \z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_Toc1269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bCs/>
          <w:szCs w:val="30"/>
        </w:rPr>
        <w:t>第一篇  采购邀请书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_Toc1269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- 3 -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53790CD4">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_Toc17965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一、竞争性比选内容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_Toc17965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- 3 -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51C4966E">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_Toc4587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二、竞选人资格条件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_Toc4587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- 3 -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6A473420">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_Toc6257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三、竞选有关说明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_Toc6257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- 3 -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5CF2F1FA">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_Toc16333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四、比选保证金</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_Toc16333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- 3 -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173095DA">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_Toc28764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五、其它有关规定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_Toc28764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- 4 -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7B46AA72">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_Toc9336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六、联系方式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_Toc9336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- 5 -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39FF4CD2">
      <w:pPr>
        <w:pStyle w:val="17"/>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_Toc18875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bCs/>
          <w:szCs w:val="30"/>
        </w:rPr>
        <w:t>第二篇 项目服务需求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_Toc18875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- 6 -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5CAFCCB8">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_Toc7259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一、项目基本情况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_Toc7259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- 6 -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4887A6F8">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_Toc1970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二、服务内容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_Toc1970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- 6 -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5B65D159">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_Toc23734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lang w:val="en-US" w:eastAsia="zh-CN"/>
        </w:rPr>
        <w:t>三、设计要求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_Toc23734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- 6 -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0B61A951">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_Toc5765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lang w:val="en-US" w:eastAsia="zh-CN"/>
        </w:rPr>
        <w:t>四、安全要求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_Toc5765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- 6 -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0C868633">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_Toc1203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lang w:val="en-US" w:eastAsia="zh-CN"/>
        </w:rPr>
        <w:t>※五、质量要求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_Toc1203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- 6 -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64160AA8">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_Toc21700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lang w:val="en-US" w:eastAsia="zh-CN"/>
        </w:rPr>
        <w:t>六、安装要求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_Toc21700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- 6 -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24F21312">
      <w:pPr>
        <w:pStyle w:val="17"/>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_Toc3186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第三篇  项目商务需求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_Toc3186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- 8 -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25EDCAB4">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_Toc18100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一、服务时间、服务地点及验收方式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_Toc18100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- 8 -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53A97F7F">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_Toc10556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二、报价要求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_Toc10556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- 8 -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651FCA5C">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_Toc28204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三、付款方式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_Toc28204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- 8 -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1B31E025">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_Toc14451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四、知识产权</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_Toc14451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- 8 -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7AD15799">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_Toc12871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五、其他</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_Toc12871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- 8 -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2CC22EB8">
      <w:pPr>
        <w:pStyle w:val="17"/>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_Toc3846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bCs/>
          <w:szCs w:val="30"/>
        </w:rPr>
        <w:t>第四篇  竞选程序及方法、评审标准、无效响应和</w:t>
      </w:r>
      <w:r>
        <w:rPr>
          <w:rFonts w:hint="eastAsia" w:asciiTheme="minorEastAsia" w:hAnsiTheme="minorEastAsia" w:eastAsiaTheme="minorEastAsia" w:cstheme="minorEastAsia"/>
          <w:bCs/>
          <w:szCs w:val="36"/>
        </w:rPr>
        <w:t>采购终止</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_Toc3846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- 9 -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2902DA07">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_Toc23946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一、竞选程序及方法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_Toc23946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- 9 -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44BBBAFB">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_Toc14696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二、评审标准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_Toc14696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- 11 -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4C1E8A74">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_Toc11902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三、无效竞标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_Toc11902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- 12 -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205FD675">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_Toc22621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四、采购终止</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_Toc22621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- 12 -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2CC1E641">
      <w:pPr>
        <w:pStyle w:val="17"/>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_Toc5577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bCs/>
          <w:szCs w:val="30"/>
        </w:rPr>
        <w:t>第五篇  竞选人须知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_Toc5577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- 13 -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6B55634F">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_Toc26910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一、竞选费用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_Toc26910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- 13 -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03A8C251">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_Toc22082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二、竞争性比选文件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_Toc22082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- 13 -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3D8D54AE">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_Toc31646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三、竞选要求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_Toc31646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- 13 -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5C1221B5">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_Toc7844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四、中选人的确定和变更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_Toc7844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- 14 -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1F362114">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_Toc12278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五、成交通知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_Toc12278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- 14 -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4D867DEB">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_Toc12737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六、签订合同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_Toc12737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- 15 -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3F6B3082">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_Toc23625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七、询问</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_Toc23625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- 15 -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130788E1">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_Toc6504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八、关于质疑</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_Toc6504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- 15 -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03556F9C">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_Toc1687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4"/>
        </w:rPr>
        <w:t>九、</w:t>
      </w:r>
      <w:r>
        <w:rPr>
          <w:rFonts w:hint="eastAsia" w:asciiTheme="minorEastAsia" w:hAnsiTheme="minorEastAsia" w:eastAsiaTheme="minorEastAsia" w:cstheme="minorEastAsia"/>
          <w:szCs w:val="24"/>
          <w:lang w:eastAsia="zh-CN"/>
        </w:rPr>
        <w:t>比选代理服务费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_Toc1687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- 16 -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5780CA0F">
      <w:pPr>
        <w:pStyle w:val="17"/>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_Toc345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bCs/>
          <w:szCs w:val="30"/>
        </w:rPr>
        <w:t>第七篇   比选申请文件格式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_Toc345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- 18 -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71F0A02B">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_Toc31320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32"/>
        </w:rPr>
        <w:t>一、经济部分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_Toc31320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- 19 -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4D87B188">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_Toc763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32"/>
        </w:rPr>
        <w:t>二、服务部分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_Toc763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- 21 -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29F412EE">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_Toc16352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8"/>
        </w:rPr>
        <w:t>三、商务部分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_Toc16352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- 23 -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755284CC">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_Toc12215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8"/>
        </w:rPr>
        <w:t>四、资格条件及其他</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_Toc12215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- 26 -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5E301248">
      <w:pPr>
        <w:pStyle w:val="10"/>
        <w:tabs>
          <w:tab w:val="right" w:leader="dot" w:pos="9412"/>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_Toc11215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8"/>
        </w:rPr>
        <w:t>五、其他应提供的资料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_Toc11215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- 30 -</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47D9DDE4">
      <w:pPr>
        <w:pStyle w:val="17"/>
        <w:tabs>
          <w:tab w:val="right" w:leader="dot" w:pos="9402"/>
        </w:tabs>
        <w:spacing w:line="360" w:lineRule="auto"/>
        <w:ind w:left="560"/>
        <w:jc w:val="center"/>
        <w:rPr>
          <w:rFonts w:hint="eastAsia" w:asciiTheme="minorEastAsia" w:hAnsiTheme="minorEastAsia" w:eastAsiaTheme="minorEastAsia" w:cstheme="minorEastAsia"/>
          <w:sz w:val="18"/>
          <w:szCs w:val="22"/>
        </w:rPr>
        <w:sectPr>
          <w:footerReference r:id="rId7" w:type="default"/>
          <w:pgSz w:w="11907" w:h="16840"/>
          <w:pgMar w:top="1134" w:right="1191" w:bottom="1134" w:left="1304" w:header="709" w:footer="992" w:gutter="0"/>
          <w:pgNumType w:fmt="numberInDash" w:start="1"/>
          <w:cols w:space="720" w:num="1"/>
          <w:docGrid w:linePitch="380" w:charSpace="-5735"/>
        </w:sectPr>
      </w:pPr>
      <w:r>
        <w:rPr>
          <w:rFonts w:hint="eastAsia" w:asciiTheme="minorEastAsia" w:hAnsiTheme="minorEastAsia" w:eastAsiaTheme="minorEastAsia" w:cstheme="minorEastAsia"/>
          <w:szCs w:val="21"/>
        </w:rPr>
        <w:fldChar w:fldCharType="end"/>
      </w:r>
    </w:p>
    <w:p w14:paraId="2683B956">
      <w:pPr>
        <w:pStyle w:val="2"/>
        <w:spacing w:line="360" w:lineRule="auto"/>
        <w:jc w:val="center"/>
        <w:rPr>
          <w:rFonts w:hint="eastAsia" w:asciiTheme="minorEastAsia" w:hAnsiTheme="minorEastAsia" w:eastAsiaTheme="minorEastAsia" w:cstheme="minorEastAsia"/>
          <w:bCs/>
          <w:szCs w:val="30"/>
        </w:rPr>
      </w:pPr>
      <w:bookmarkStart w:id="0" w:name="_Toc12789052"/>
      <w:bookmarkStart w:id="1" w:name="_Toc1269"/>
      <w:bookmarkStart w:id="2" w:name="_Toc11641050"/>
      <w:bookmarkStart w:id="3" w:name="_Toc15570"/>
      <w:r>
        <w:rPr>
          <w:rFonts w:hint="eastAsia" w:asciiTheme="minorEastAsia" w:hAnsiTheme="minorEastAsia" w:eastAsiaTheme="minorEastAsia" w:cstheme="minorEastAsia"/>
          <w:bCs/>
          <w:sz w:val="36"/>
          <w:szCs w:val="30"/>
        </w:rPr>
        <w:t>第一篇  采购邀请书</w:t>
      </w:r>
      <w:bookmarkEnd w:id="0"/>
      <w:bookmarkEnd w:id="1"/>
      <w:bookmarkEnd w:id="2"/>
      <w:bookmarkEnd w:id="3"/>
    </w:p>
    <w:p w14:paraId="62EC6E05">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val="en-US" w:eastAsia="zh-CN"/>
        </w:rPr>
        <w:t>四川川咨建设工程咨询有限责任公司</w:t>
      </w:r>
      <w:r>
        <w:rPr>
          <w:rFonts w:hint="eastAsia" w:asciiTheme="minorEastAsia" w:hAnsiTheme="minorEastAsia" w:eastAsiaTheme="minorEastAsia" w:cstheme="minorEastAsia"/>
          <w:sz w:val="24"/>
          <w:szCs w:val="24"/>
        </w:rPr>
        <w:t>（以下简称代理机构）受</w:t>
      </w:r>
      <w:r>
        <w:rPr>
          <w:rFonts w:hint="eastAsia" w:asciiTheme="minorEastAsia" w:hAnsiTheme="minorEastAsia" w:eastAsiaTheme="minorEastAsia" w:cstheme="minorEastAsia"/>
          <w:sz w:val="24"/>
          <w:szCs w:val="24"/>
          <w:u w:val="single"/>
          <w:lang w:val="en-US" w:eastAsia="zh-CN"/>
        </w:rPr>
        <w:t>重庆市沙坪坝区教育发展基金会</w:t>
      </w:r>
      <w:r>
        <w:rPr>
          <w:rFonts w:hint="eastAsia" w:asciiTheme="minorEastAsia" w:hAnsiTheme="minorEastAsia" w:eastAsiaTheme="minorEastAsia" w:cstheme="minorEastAsia"/>
          <w:sz w:val="24"/>
          <w:szCs w:val="24"/>
        </w:rPr>
        <w:t>的委托，对</w:t>
      </w:r>
      <w:r>
        <w:rPr>
          <w:rFonts w:hint="eastAsia" w:asciiTheme="minorEastAsia" w:hAnsiTheme="minorEastAsia" w:eastAsiaTheme="minorEastAsia" w:cstheme="minorEastAsia"/>
          <w:sz w:val="24"/>
          <w:szCs w:val="24"/>
          <w:u w:val="single"/>
          <w:lang w:val="en-US" w:eastAsia="zh-CN"/>
        </w:rPr>
        <w:t>重庆市沙坪坝区树人和平小学AI智慧体育设施设备建设项目</w:t>
      </w:r>
      <w:r>
        <w:rPr>
          <w:rFonts w:hint="eastAsia" w:asciiTheme="minorEastAsia" w:hAnsiTheme="minorEastAsia" w:eastAsiaTheme="minorEastAsia" w:cstheme="minorEastAsia"/>
          <w:sz w:val="24"/>
          <w:szCs w:val="24"/>
        </w:rPr>
        <w:t>进行竞争性比选采购。欢迎有资格的竞选人前来参与竞选。</w:t>
      </w:r>
    </w:p>
    <w:p w14:paraId="451B4032">
      <w:pPr>
        <w:pStyle w:val="3"/>
        <w:spacing w:before="0" w:after="0"/>
        <w:ind w:firstLine="482" w:firstLineChars="200"/>
        <w:rPr>
          <w:rFonts w:hint="eastAsia" w:asciiTheme="minorEastAsia" w:hAnsiTheme="minorEastAsia" w:eastAsiaTheme="minorEastAsia" w:cstheme="minorEastAsia"/>
        </w:rPr>
      </w:pPr>
      <w:bookmarkStart w:id="4" w:name="_Toc1462"/>
      <w:bookmarkStart w:id="5" w:name="_Toc317775175"/>
      <w:bookmarkStart w:id="6" w:name="_Toc313893526"/>
      <w:bookmarkStart w:id="7" w:name="_Toc17965"/>
      <w:r>
        <w:rPr>
          <w:rFonts w:hint="eastAsia" w:asciiTheme="minorEastAsia" w:hAnsiTheme="minorEastAsia" w:eastAsiaTheme="minorEastAsia" w:cstheme="minorEastAsia"/>
          <w:sz w:val="24"/>
          <w:szCs w:val="24"/>
        </w:rPr>
        <w:t>一、竞争性比选内容</w:t>
      </w:r>
      <w:bookmarkEnd w:id="4"/>
      <w:bookmarkEnd w:id="5"/>
      <w:bookmarkEnd w:id="6"/>
      <w:bookmarkEnd w:id="7"/>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4079"/>
        <w:gridCol w:w="1408"/>
        <w:gridCol w:w="1482"/>
        <w:gridCol w:w="1579"/>
      </w:tblGrid>
      <w:tr w14:paraId="7AC4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396" w:type="pct"/>
            <w:noWrap w:val="0"/>
            <w:vAlign w:val="center"/>
          </w:tcPr>
          <w:p w14:paraId="4AAE1D5A">
            <w:pPr>
              <w:tabs>
                <w:tab w:val="center" w:pos="4706"/>
              </w:tabs>
              <w:spacing w:line="360" w:lineRule="auto"/>
              <w:jc w:val="center"/>
              <w:rPr>
                <w:rFonts w:hint="eastAsia" w:asciiTheme="minorEastAsia" w:hAnsiTheme="minorEastAsia" w:eastAsiaTheme="minorEastAsia" w:cstheme="minorEastAsia"/>
                <w:b/>
                <w:bCs/>
                <w:sz w:val="24"/>
                <w:szCs w:val="24"/>
                <w:lang w:eastAsia="zh-CN"/>
              </w:rPr>
            </w:pPr>
            <w:bookmarkStart w:id="8" w:name="_Toc373860293"/>
            <w:bookmarkStart w:id="9" w:name="_Toc317775178"/>
            <w:r>
              <w:rPr>
                <w:rFonts w:hint="eastAsia" w:asciiTheme="minorEastAsia" w:hAnsiTheme="minorEastAsia" w:eastAsiaTheme="minorEastAsia" w:cstheme="minorEastAsia"/>
                <w:b/>
                <w:bCs/>
                <w:sz w:val="24"/>
                <w:szCs w:val="24"/>
                <w:lang w:val="en-US" w:eastAsia="zh-CN"/>
              </w:rPr>
              <w:t>序号</w:t>
            </w:r>
          </w:p>
        </w:tc>
        <w:tc>
          <w:tcPr>
            <w:tcW w:w="2196" w:type="pct"/>
            <w:noWrap w:val="0"/>
            <w:vAlign w:val="center"/>
          </w:tcPr>
          <w:p w14:paraId="2C06C7A3">
            <w:pPr>
              <w:tabs>
                <w:tab w:val="center" w:pos="4706"/>
              </w:tabs>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项目名称</w:t>
            </w:r>
          </w:p>
        </w:tc>
        <w:tc>
          <w:tcPr>
            <w:tcW w:w="758" w:type="pct"/>
            <w:noWrap w:val="0"/>
            <w:vAlign w:val="center"/>
          </w:tcPr>
          <w:p w14:paraId="37B660C5">
            <w:pPr>
              <w:tabs>
                <w:tab w:val="center" w:pos="4706"/>
              </w:tabs>
              <w:spacing w:line="360" w:lineRule="auto"/>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预算金额</w:t>
            </w:r>
          </w:p>
          <w:p w14:paraId="78C687FA">
            <w:pPr>
              <w:tabs>
                <w:tab w:val="center" w:pos="4706"/>
              </w:tabs>
              <w:spacing w:line="360" w:lineRule="auto"/>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（元）</w:t>
            </w:r>
          </w:p>
        </w:tc>
        <w:tc>
          <w:tcPr>
            <w:tcW w:w="798" w:type="pct"/>
            <w:noWrap w:val="0"/>
            <w:vAlign w:val="center"/>
          </w:tcPr>
          <w:p w14:paraId="7E36FAA0">
            <w:pPr>
              <w:tabs>
                <w:tab w:val="center" w:pos="4706"/>
              </w:tabs>
              <w:spacing w:line="360" w:lineRule="auto"/>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最高限价</w:t>
            </w:r>
          </w:p>
          <w:p w14:paraId="25FF93E1">
            <w:pPr>
              <w:tabs>
                <w:tab w:val="center" w:pos="4706"/>
              </w:tabs>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（元）</w:t>
            </w:r>
          </w:p>
        </w:tc>
        <w:tc>
          <w:tcPr>
            <w:tcW w:w="850" w:type="pct"/>
            <w:noWrap w:val="0"/>
            <w:vAlign w:val="center"/>
          </w:tcPr>
          <w:p w14:paraId="448ECE7A">
            <w:pPr>
              <w:tabs>
                <w:tab w:val="center" w:pos="4706"/>
              </w:tabs>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中选人</w:t>
            </w:r>
          </w:p>
          <w:p w14:paraId="2DE28E81">
            <w:pPr>
              <w:tabs>
                <w:tab w:val="center" w:pos="4706"/>
              </w:tabs>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数量（名）</w:t>
            </w:r>
          </w:p>
        </w:tc>
      </w:tr>
      <w:tr w14:paraId="03C1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 w:type="pct"/>
            <w:noWrap w:val="0"/>
            <w:vAlign w:val="center"/>
          </w:tcPr>
          <w:p w14:paraId="06601319">
            <w:pPr>
              <w:tabs>
                <w:tab w:val="center" w:pos="4706"/>
              </w:tabs>
              <w:spacing w:line="360"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2196" w:type="pct"/>
            <w:noWrap w:val="0"/>
            <w:vAlign w:val="center"/>
          </w:tcPr>
          <w:p w14:paraId="5BA317CD">
            <w:pPr>
              <w:tabs>
                <w:tab w:val="center" w:pos="4706"/>
              </w:tabs>
              <w:spacing w:line="360" w:lineRule="auto"/>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z w:val="24"/>
                <w:szCs w:val="24"/>
                <w:u w:val="none"/>
                <w:lang w:val="en-US" w:eastAsia="zh-CN"/>
              </w:rPr>
              <w:t>重庆市沙坪坝区树人和平小学AI智慧体育设施设备建设项目</w:t>
            </w:r>
            <w:r>
              <w:rPr>
                <w:rFonts w:hint="eastAsia" w:asciiTheme="minorEastAsia" w:hAnsiTheme="minorEastAsia" w:eastAsiaTheme="minorEastAsia" w:cstheme="minorEastAsia"/>
                <w:b w:val="0"/>
                <w:bCs w:val="0"/>
                <w:sz w:val="24"/>
                <w:szCs w:val="24"/>
                <w:u w:val="none"/>
                <w:lang w:val="en-US" w:eastAsia="zh-CN"/>
              </w:rPr>
              <w:t xml:space="preserve"> </w:t>
            </w:r>
          </w:p>
        </w:tc>
        <w:tc>
          <w:tcPr>
            <w:tcW w:w="758" w:type="pct"/>
            <w:noWrap w:val="0"/>
            <w:vAlign w:val="center"/>
          </w:tcPr>
          <w:p w14:paraId="3DFEFF0E">
            <w:pPr>
              <w:tabs>
                <w:tab w:val="center" w:pos="4706"/>
              </w:tabs>
              <w:spacing w:line="360" w:lineRule="auto"/>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195000</w:t>
            </w:r>
          </w:p>
        </w:tc>
        <w:tc>
          <w:tcPr>
            <w:tcW w:w="798" w:type="pct"/>
            <w:noWrap w:val="0"/>
            <w:vAlign w:val="center"/>
          </w:tcPr>
          <w:p w14:paraId="33B80D5B">
            <w:pPr>
              <w:tabs>
                <w:tab w:val="center" w:pos="4706"/>
              </w:tabs>
              <w:spacing w:line="360" w:lineRule="auto"/>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195000</w:t>
            </w:r>
          </w:p>
        </w:tc>
        <w:tc>
          <w:tcPr>
            <w:tcW w:w="850" w:type="pct"/>
            <w:noWrap w:val="0"/>
            <w:vAlign w:val="center"/>
          </w:tcPr>
          <w:p w14:paraId="1A47EF13">
            <w:pPr>
              <w:tabs>
                <w:tab w:val="center" w:pos="4706"/>
              </w:tabs>
              <w:spacing w:line="360"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r>
    </w:tbl>
    <w:p w14:paraId="1C3AB5E3">
      <w:pPr>
        <w:pStyle w:val="3"/>
        <w:spacing w:before="0" w:after="0"/>
        <w:ind w:firstLine="482" w:firstLineChars="200"/>
        <w:rPr>
          <w:rFonts w:hint="eastAsia" w:asciiTheme="minorEastAsia" w:hAnsiTheme="minorEastAsia" w:eastAsiaTheme="minorEastAsia" w:cstheme="minorEastAsia"/>
          <w:sz w:val="24"/>
          <w:szCs w:val="24"/>
        </w:rPr>
      </w:pPr>
      <w:bookmarkStart w:id="10" w:name="_Toc10349"/>
      <w:bookmarkStart w:id="11" w:name="_Toc4587"/>
      <w:r>
        <w:rPr>
          <w:rFonts w:hint="eastAsia" w:asciiTheme="minorEastAsia" w:hAnsiTheme="minorEastAsia" w:eastAsiaTheme="minorEastAsia" w:cstheme="minorEastAsia"/>
          <w:sz w:val="24"/>
          <w:szCs w:val="24"/>
        </w:rPr>
        <w:t>二、竞选人资格条件</w:t>
      </w:r>
      <w:bookmarkEnd w:id="10"/>
      <w:bookmarkEnd w:id="11"/>
    </w:p>
    <w:p w14:paraId="1EE547CD">
      <w:pPr>
        <w:spacing w:line="360" w:lineRule="auto"/>
        <w:ind w:firstLine="480" w:firstLineChars="200"/>
        <w:rPr>
          <w:rFonts w:hint="eastAsia" w:asciiTheme="minorEastAsia" w:hAnsiTheme="minorEastAsia" w:eastAsiaTheme="minorEastAsia" w:cstheme="minorEastAsia"/>
          <w:sz w:val="24"/>
          <w:szCs w:val="24"/>
        </w:rPr>
      </w:pPr>
      <w:bookmarkStart w:id="12" w:name="_Toc13841"/>
      <w:r>
        <w:rPr>
          <w:rFonts w:hint="eastAsia" w:asciiTheme="minorEastAsia" w:hAnsiTheme="minorEastAsia" w:eastAsiaTheme="minorEastAsia" w:cstheme="minorEastAsia"/>
          <w:sz w:val="24"/>
          <w:szCs w:val="24"/>
        </w:rPr>
        <w:t>（一）满足《中华人民共和国政府采购法》第二十二条规定；</w:t>
      </w:r>
    </w:p>
    <w:p w14:paraId="0AB0054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（二）本项目的特定资</w:t>
      </w:r>
      <w:r>
        <w:rPr>
          <w:rFonts w:hint="eastAsia" w:asciiTheme="minorEastAsia" w:hAnsiTheme="minorEastAsia" w:eastAsiaTheme="minorEastAsia" w:cstheme="minorEastAsia"/>
          <w:color w:val="auto"/>
          <w:sz w:val="24"/>
          <w:szCs w:val="24"/>
        </w:rPr>
        <w:t>格要求：</w:t>
      </w:r>
      <w:r>
        <w:rPr>
          <w:rFonts w:hint="eastAsia" w:asciiTheme="minorEastAsia" w:hAnsiTheme="minorEastAsia" w:eastAsiaTheme="minorEastAsia" w:cstheme="minorEastAsia"/>
          <w:color w:val="auto"/>
          <w:sz w:val="24"/>
          <w:szCs w:val="24"/>
          <w:lang w:val="en-US" w:eastAsia="zh-CN"/>
        </w:rPr>
        <w:t>无。</w:t>
      </w:r>
      <w:r>
        <w:rPr>
          <w:rFonts w:hint="eastAsia" w:asciiTheme="minorEastAsia" w:hAnsiTheme="minorEastAsia" w:eastAsiaTheme="minorEastAsia" w:cstheme="minorEastAsia"/>
          <w:color w:val="auto"/>
          <w:sz w:val="24"/>
          <w:szCs w:val="24"/>
        </w:rPr>
        <w:t xml:space="preserve"> </w:t>
      </w:r>
    </w:p>
    <w:p w14:paraId="2118C8DB">
      <w:pPr>
        <w:pStyle w:val="3"/>
        <w:spacing w:before="0" w:after="0"/>
        <w:ind w:firstLine="482" w:firstLineChars="200"/>
        <w:rPr>
          <w:rFonts w:hint="eastAsia" w:asciiTheme="minorEastAsia" w:hAnsiTheme="minorEastAsia" w:eastAsiaTheme="minorEastAsia" w:cstheme="minorEastAsia"/>
          <w:sz w:val="24"/>
          <w:szCs w:val="24"/>
        </w:rPr>
      </w:pPr>
      <w:bookmarkStart w:id="13" w:name="_Toc6257"/>
      <w:r>
        <w:rPr>
          <w:rFonts w:hint="eastAsia" w:asciiTheme="minorEastAsia" w:hAnsiTheme="minorEastAsia" w:eastAsiaTheme="minorEastAsia" w:cstheme="minorEastAsia"/>
          <w:sz w:val="24"/>
          <w:szCs w:val="24"/>
        </w:rPr>
        <w:t>三、竞选有关说明</w:t>
      </w:r>
      <w:bookmarkEnd w:id="8"/>
      <w:bookmarkEnd w:id="12"/>
      <w:bookmarkEnd w:id="13"/>
    </w:p>
    <w:p w14:paraId="716E4647">
      <w:pPr>
        <w:spacing w:line="360" w:lineRule="auto"/>
        <w:ind w:firstLine="480" w:firstLineChars="200"/>
        <w:rPr>
          <w:rFonts w:hint="eastAsia" w:asciiTheme="minorEastAsia" w:hAnsiTheme="minorEastAsia" w:eastAsiaTheme="minorEastAsia" w:cstheme="minorEastAsia"/>
          <w:sz w:val="24"/>
          <w:szCs w:val="24"/>
          <w:lang w:val="en-US" w:eastAsia="zh-CN"/>
        </w:rPr>
      </w:pPr>
      <w:bookmarkStart w:id="14" w:name="_Toc16333"/>
      <w:bookmarkStart w:id="15" w:name="_Toc8700"/>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凡有意参加本项目的</w:t>
      </w:r>
      <w:r>
        <w:rPr>
          <w:rFonts w:hint="eastAsia" w:asciiTheme="minorEastAsia" w:hAnsiTheme="minorEastAsia" w:eastAsiaTheme="minorEastAsia" w:cstheme="minorEastAsia"/>
          <w:sz w:val="24"/>
          <w:szCs w:val="24"/>
          <w:lang w:val="en-US" w:eastAsia="zh-CN"/>
        </w:rPr>
        <w:t>竞选人</w:t>
      </w:r>
      <w:r>
        <w:rPr>
          <w:rFonts w:hint="eastAsia" w:asciiTheme="minorEastAsia" w:hAnsiTheme="minorEastAsia" w:eastAsiaTheme="minorEastAsia" w:cstheme="minorEastAsia"/>
          <w:sz w:val="24"/>
          <w:szCs w:val="24"/>
        </w:rPr>
        <w:t>，请于202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日至202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17:30</w:t>
      </w:r>
      <w:r>
        <w:rPr>
          <w:rFonts w:hint="eastAsia" w:asciiTheme="minorEastAsia" w:hAnsiTheme="minorEastAsia" w:eastAsiaTheme="minorEastAsia" w:cstheme="minorEastAsia"/>
          <w:sz w:val="24"/>
          <w:szCs w:val="24"/>
        </w:rPr>
        <w:t>（法定公休日、法定节假日除外）,</w:t>
      </w:r>
      <w:r>
        <w:rPr>
          <w:rFonts w:hint="eastAsia" w:asciiTheme="minorEastAsia" w:hAnsiTheme="minorEastAsia" w:eastAsiaTheme="minorEastAsia" w:cstheme="minorEastAsia"/>
          <w:sz w:val="24"/>
          <w:szCs w:val="24"/>
          <w:lang w:val="en-US" w:eastAsia="zh-CN"/>
        </w:rPr>
        <w:t>竞选人扫描下方二维码</w:t>
      </w:r>
      <w:r>
        <w:rPr>
          <w:rFonts w:hint="eastAsia" w:asciiTheme="minorEastAsia" w:hAnsiTheme="minorEastAsia" w:eastAsiaTheme="minorEastAsia" w:cstheme="minorEastAsia"/>
          <w:sz w:val="24"/>
          <w:szCs w:val="24"/>
        </w:rPr>
        <w:t>购买询价通知书，并将</w:t>
      </w:r>
      <w:r>
        <w:rPr>
          <w:rFonts w:hint="eastAsia" w:asciiTheme="minorEastAsia" w:hAnsiTheme="minorEastAsia" w:eastAsiaTheme="minorEastAsia" w:cstheme="minorEastAsia"/>
          <w:sz w:val="24"/>
          <w:szCs w:val="24"/>
          <w:lang w:val="en-US" w:eastAsia="zh-CN"/>
        </w:rPr>
        <w:t>付款截图</w:t>
      </w:r>
      <w:r>
        <w:rPr>
          <w:rFonts w:hint="eastAsia" w:asciiTheme="minorEastAsia" w:hAnsiTheme="minorEastAsia" w:eastAsiaTheme="minorEastAsia" w:cstheme="minorEastAsia"/>
          <w:sz w:val="24"/>
          <w:szCs w:val="24"/>
        </w:rPr>
        <w:t>、《附件1:</w:t>
      </w:r>
      <w:r>
        <w:rPr>
          <w:rFonts w:hint="eastAsia" w:asciiTheme="minorEastAsia" w:hAnsiTheme="minorEastAsia" w:eastAsiaTheme="minorEastAsia" w:cstheme="minorEastAsia"/>
          <w:sz w:val="24"/>
          <w:szCs w:val="24"/>
          <w:lang w:val="en-US" w:eastAsia="zh-CN"/>
        </w:rPr>
        <w:t>竞争性比选</w:t>
      </w:r>
      <w:r>
        <w:rPr>
          <w:rFonts w:hint="eastAsia" w:asciiTheme="minorEastAsia" w:hAnsiTheme="minorEastAsia" w:eastAsiaTheme="minorEastAsia" w:cstheme="minorEastAsia"/>
          <w:sz w:val="24"/>
          <w:szCs w:val="24"/>
        </w:rPr>
        <w:t>文件发售登记表》（加盖</w:t>
      </w:r>
      <w:r>
        <w:rPr>
          <w:rFonts w:hint="eastAsia" w:asciiTheme="minorEastAsia" w:hAnsiTheme="minorEastAsia" w:eastAsiaTheme="minorEastAsia" w:cstheme="minorEastAsia"/>
          <w:sz w:val="24"/>
          <w:szCs w:val="24"/>
          <w:lang w:val="en-US" w:eastAsia="zh-CN"/>
        </w:rPr>
        <w:t>竞选人</w:t>
      </w:r>
      <w:r>
        <w:rPr>
          <w:rFonts w:hint="eastAsia" w:asciiTheme="minorEastAsia" w:hAnsiTheme="minorEastAsia" w:eastAsiaTheme="minorEastAsia" w:cstheme="minorEastAsia"/>
          <w:sz w:val="24"/>
          <w:szCs w:val="24"/>
        </w:rPr>
        <w:t>公章）扫描后发送至</w:t>
      </w:r>
      <w:r>
        <w:rPr>
          <w:rFonts w:hint="eastAsia" w:asciiTheme="minorEastAsia" w:hAnsiTheme="minorEastAsia" w:eastAsiaTheme="minorEastAsia" w:cstheme="minorEastAsia"/>
          <w:sz w:val="24"/>
          <w:szCs w:val="24"/>
          <w:lang w:val="en-US" w:eastAsia="zh-CN"/>
        </w:rPr>
        <w:t>804177756</w:t>
      </w:r>
      <w:r>
        <w:rPr>
          <w:rFonts w:hint="eastAsia" w:asciiTheme="minorEastAsia" w:hAnsiTheme="minorEastAsia" w:eastAsiaTheme="minorEastAsia" w:cstheme="minorEastAsia"/>
          <w:sz w:val="24"/>
          <w:szCs w:val="24"/>
        </w:rPr>
        <w:t>@qq.com，按要求发送邮箱后方才购买成功。</w:t>
      </w:r>
      <w:r>
        <w:rPr>
          <w:rFonts w:hint="eastAsia" w:asciiTheme="minorEastAsia" w:hAnsiTheme="minorEastAsia" w:eastAsiaTheme="minorEastAsia" w:cstheme="minorEastAsia"/>
          <w:sz w:val="24"/>
          <w:szCs w:val="24"/>
          <w:lang w:val="en-US" w:eastAsia="zh-CN"/>
        </w:rPr>
        <w:t>竞争性比选</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val="en-US" w:eastAsia="zh-CN"/>
        </w:rPr>
        <w:t>售价：500元/份，售后不退。</w:t>
      </w:r>
    </w:p>
    <w:p w14:paraId="542085A4">
      <w:pPr>
        <w:tabs>
          <w:tab w:val="left" w:pos="8400"/>
        </w:tabs>
        <w:spacing w:line="400" w:lineRule="exact"/>
        <w:ind w:firstLine="840" w:firstLineChars="3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rPr>
        <w:drawing>
          <wp:inline distT="0" distB="0" distL="114300" distR="114300">
            <wp:extent cx="6010910" cy="8189595"/>
            <wp:effectExtent l="0" t="0" r="8890" b="1905"/>
            <wp:docPr id="5" name="图片 1" descr="f03eaeb9d2a806f986054bab100829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f03eaeb9d2a806f986054bab100829e7"/>
                    <pic:cNvPicPr>
                      <a:picLocks noChangeAspect="1"/>
                    </pic:cNvPicPr>
                  </pic:nvPicPr>
                  <pic:blipFill>
                    <a:blip r:embed="rId15"/>
                    <a:stretch>
                      <a:fillRect/>
                    </a:stretch>
                  </pic:blipFill>
                  <pic:spPr>
                    <a:xfrm>
                      <a:off x="0" y="0"/>
                      <a:ext cx="6010910" cy="8189595"/>
                    </a:xfrm>
                    <a:prstGeom prst="rect">
                      <a:avLst/>
                    </a:prstGeom>
                    <a:noFill/>
                    <a:ln>
                      <a:noFill/>
                    </a:ln>
                  </pic:spPr>
                </pic:pic>
              </a:graphicData>
            </a:graphic>
          </wp:inline>
        </w:drawing>
      </w:r>
    </w:p>
    <w:p w14:paraId="0BF61A2A">
      <w:pPr>
        <w:spacing w:line="360" w:lineRule="auto"/>
        <w:ind w:firstLine="56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drawing>
          <wp:inline distT="0" distB="0" distL="114300" distR="114300">
            <wp:extent cx="2627630" cy="2129155"/>
            <wp:effectExtent l="0" t="0" r="1270" b="4445"/>
            <wp:docPr id="6" name="图片 2" descr="4d9d9556a4a0182d433d1474d2f5f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4d9d9556a4a0182d433d1474d2f5f484"/>
                    <pic:cNvPicPr>
                      <a:picLocks noChangeAspect="1"/>
                    </pic:cNvPicPr>
                  </pic:nvPicPr>
                  <pic:blipFill>
                    <a:blip r:embed="rId16"/>
                    <a:stretch>
                      <a:fillRect/>
                    </a:stretch>
                  </pic:blipFill>
                  <pic:spPr>
                    <a:xfrm>
                      <a:off x="0" y="0"/>
                      <a:ext cx="2627630" cy="2129155"/>
                    </a:xfrm>
                    <a:prstGeom prst="rect">
                      <a:avLst/>
                    </a:prstGeom>
                    <a:noFill/>
                    <a:ln>
                      <a:noFill/>
                    </a:ln>
                  </pic:spPr>
                </pic:pic>
              </a:graphicData>
            </a:graphic>
          </wp:inline>
        </w:drawing>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sz w:val="24"/>
          <w:szCs w:val="24"/>
        </w:rPr>
        <w:t>。</w:t>
      </w:r>
    </w:p>
    <w:p w14:paraId="7B6336A6">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请</w:t>
      </w:r>
      <w:r>
        <w:rPr>
          <w:rFonts w:hint="eastAsia" w:asciiTheme="minorEastAsia" w:hAnsiTheme="minorEastAsia" w:eastAsiaTheme="minorEastAsia" w:cstheme="minorEastAsia"/>
          <w:sz w:val="24"/>
          <w:szCs w:val="24"/>
          <w:lang w:val="en-US" w:eastAsia="zh-CN"/>
        </w:rPr>
        <w:t>竞选</w:t>
      </w:r>
      <w:r>
        <w:rPr>
          <w:rFonts w:hint="eastAsia" w:asciiTheme="minorEastAsia" w:hAnsiTheme="minorEastAsia" w:eastAsiaTheme="minorEastAsia" w:cstheme="minorEastAsia"/>
          <w:sz w:val="24"/>
          <w:szCs w:val="24"/>
        </w:rPr>
        <w:t>人于20</w:t>
      </w:r>
      <w:r>
        <w:rPr>
          <w:rFonts w:hint="eastAsia" w:asciiTheme="minorEastAsia" w:hAnsiTheme="minorEastAsia" w:eastAsiaTheme="minorEastAsia" w:cstheme="minorEastAsia"/>
          <w:sz w:val="24"/>
          <w:szCs w:val="24"/>
          <w:lang w:val="en-US" w:eastAsia="zh-CN"/>
        </w:rPr>
        <w:t>26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分前将本</w:t>
      </w:r>
      <w:r>
        <w:rPr>
          <w:rFonts w:hint="eastAsia" w:asciiTheme="minorEastAsia" w:hAnsiTheme="minorEastAsia" w:eastAsiaTheme="minorEastAsia" w:cstheme="minorEastAsia"/>
          <w:sz w:val="24"/>
          <w:szCs w:val="24"/>
          <w:lang w:val="en-US" w:eastAsia="zh-CN"/>
        </w:rPr>
        <w:t>项目加盖报名人公章的</w:t>
      </w:r>
      <w:r>
        <w:rPr>
          <w:rFonts w:hint="eastAsia" w:asciiTheme="minorEastAsia" w:hAnsiTheme="minorEastAsia" w:eastAsiaTheme="minorEastAsia" w:cstheme="minorEastAsia"/>
          <w:sz w:val="24"/>
          <w:szCs w:val="24"/>
        </w:rPr>
        <w:t>质疑书以邮件形式向比选人或比选代理机构提出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质疑邮箱804177756@qq.com</w:t>
      </w:r>
      <w:r>
        <w:rPr>
          <w:rFonts w:hint="eastAsia" w:asciiTheme="minorEastAsia" w:hAnsiTheme="minorEastAsia" w:eastAsiaTheme="minorEastAsia" w:cstheme="minorEastAsia"/>
          <w:sz w:val="24"/>
          <w:szCs w:val="24"/>
        </w:rPr>
        <w:t>。比选人于202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分前对所有</w:t>
      </w:r>
      <w:r>
        <w:rPr>
          <w:rFonts w:hint="eastAsia" w:asciiTheme="minorEastAsia" w:hAnsiTheme="minorEastAsia" w:eastAsiaTheme="minorEastAsia" w:cstheme="minorEastAsia"/>
          <w:sz w:val="24"/>
          <w:szCs w:val="24"/>
          <w:lang w:eastAsia="zh-CN"/>
        </w:rPr>
        <w:t>竞选人</w:t>
      </w:r>
      <w:r>
        <w:rPr>
          <w:rFonts w:hint="eastAsia" w:asciiTheme="minorEastAsia" w:hAnsiTheme="minorEastAsia" w:eastAsiaTheme="minorEastAsia" w:cstheme="minorEastAsia"/>
          <w:sz w:val="24"/>
          <w:szCs w:val="24"/>
        </w:rPr>
        <w:t>提出的问题进行回答，</w:t>
      </w:r>
      <w:r>
        <w:rPr>
          <w:rFonts w:hint="eastAsia" w:asciiTheme="minorEastAsia" w:hAnsiTheme="minorEastAsia" w:eastAsiaTheme="minorEastAsia" w:cstheme="minorEastAsia"/>
          <w:sz w:val="24"/>
          <w:szCs w:val="24"/>
          <w:lang w:val="en-US" w:eastAsia="zh-CN"/>
        </w:rPr>
        <w:t>涉及修改竞争性比选文件的将</w:t>
      </w: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"http://www.cqdjszfw.com/"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行采家</w:t>
      </w:r>
      <w:r>
        <w:rPr>
          <w:rFonts w:hint="eastAsia" w:asciiTheme="minorEastAsia" w:hAnsiTheme="minorEastAsia" w:eastAsiaTheme="minorEastAsia" w:cstheme="minorEastAsia"/>
          <w:sz w:val="24"/>
          <w:szCs w:val="24"/>
        </w:rPr>
        <w:t>(https://www.gec123.com/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上发布，</w:t>
      </w:r>
      <w:r>
        <w:rPr>
          <w:rFonts w:hint="eastAsia" w:asciiTheme="minorEastAsia" w:hAnsiTheme="minorEastAsia" w:eastAsiaTheme="minorEastAsia" w:cstheme="minorEastAsia"/>
          <w:sz w:val="24"/>
          <w:szCs w:val="24"/>
          <w:lang w:eastAsia="zh-CN"/>
        </w:rPr>
        <w:t>竞选人</w:t>
      </w:r>
      <w:r>
        <w:rPr>
          <w:rFonts w:hint="eastAsia" w:asciiTheme="minorEastAsia" w:hAnsiTheme="minorEastAsia" w:eastAsiaTheme="minorEastAsia" w:cstheme="minorEastAsia"/>
          <w:sz w:val="24"/>
          <w:szCs w:val="24"/>
        </w:rPr>
        <w:t>在开标前因未及时查看相应答疑补遗文件，而产生的一切后果由</w:t>
      </w:r>
      <w:r>
        <w:rPr>
          <w:rFonts w:hint="eastAsia" w:asciiTheme="minorEastAsia" w:hAnsiTheme="minorEastAsia" w:eastAsiaTheme="minorEastAsia" w:cstheme="minorEastAsia"/>
          <w:sz w:val="24"/>
          <w:szCs w:val="24"/>
          <w:lang w:eastAsia="zh-CN"/>
        </w:rPr>
        <w:t>竞选人</w:t>
      </w:r>
      <w:r>
        <w:rPr>
          <w:rFonts w:hint="eastAsia" w:asciiTheme="minorEastAsia" w:hAnsiTheme="minorEastAsia" w:eastAsiaTheme="minorEastAsia" w:cstheme="minorEastAsia"/>
          <w:sz w:val="24"/>
          <w:szCs w:val="24"/>
        </w:rPr>
        <w:t>自负。</w:t>
      </w:r>
    </w:p>
    <w:p w14:paraId="5FB73527">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3.线上报价及线下投标程序</w:t>
      </w:r>
    </w:p>
    <w:p w14:paraId="7E8CDA3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 </w:t>
      </w:r>
      <w:r>
        <w:rPr>
          <w:rFonts w:hint="eastAsia" w:asciiTheme="minorEastAsia" w:hAnsiTheme="minorEastAsia" w:eastAsiaTheme="minorEastAsia" w:cstheme="minorEastAsia"/>
          <w:sz w:val="24"/>
          <w:szCs w:val="24"/>
        </w:rPr>
        <w:t>线上报价</w:t>
      </w:r>
    </w:p>
    <w:p w14:paraId="20DA0DE9">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3.1..1</w:t>
      </w:r>
      <w:r>
        <w:rPr>
          <w:rFonts w:hint="eastAsia" w:asciiTheme="minorEastAsia" w:hAnsiTheme="minorEastAsia" w:eastAsiaTheme="minorEastAsia" w:cstheme="minorEastAsia"/>
          <w:sz w:val="24"/>
          <w:szCs w:val="24"/>
        </w:rPr>
        <w:t>线上报价时间：202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9:00至11:00(北京时间）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p>
    <w:p w14:paraId="0213EFE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3.1.2</w:t>
      </w:r>
      <w:r>
        <w:rPr>
          <w:rFonts w:hint="eastAsia" w:asciiTheme="minorEastAsia" w:hAnsiTheme="minorEastAsia" w:eastAsiaTheme="minorEastAsia" w:cstheme="minorEastAsia"/>
          <w:sz w:val="24"/>
          <w:szCs w:val="24"/>
        </w:rPr>
        <w:t>线上报价要求：按本项目规定的时间在“行采家</w:t>
      </w:r>
      <w:r>
        <w:rPr>
          <w:rFonts w:hint="eastAsia" w:asciiTheme="minorEastAsia" w:hAnsiTheme="minorEastAsia" w:eastAsiaTheme="minorEastAsia" w:cstheme="minorEastAsia"/>
          <w:sz w:val="24"/>
          <w:szCs w:val="24"/>
          <w:lang w:val="en-US" w:eastAsia="zh-CN"/>
        </w:rPr>
        <w:t>-电子竞采</w:t>
      </w:r>
      <w:r>
        <w:rPr>
          <w:rFonts w:hint="eastAsia" w:asciiTheme="minorEastAsia" w:hAnsiTheme="minorEastAsia" w:eastAsiaTheme="minorEastAsia" w:cstheme="minorEastAsia"/>
          <w:sz w:val="24"/>
          <w:szCs w:val="24"/>
        </w:rPr>
        <w:t>”（https://www.gec123.com/）进行网上报价及上传电子响应文件</w:t>
      </w:r>
      <w:r>
        <w:rPr>
          <w:rFonts w:hint="eastAsia" w:asciiTheme="minorEastAsia" w:hAnsiTheme="minorEastAsia" w:eastAsiaTheme="minorEastAsia" w:cstheme="minorEastAsia"/>
          <w:sz w:val="24"/>
          <w:szCs w:val="24"/>
          <w:lang w:eastAsia="zh-CN"/>
        </w:rPr>
        <w:t>（电子文档内容应与纸质文件正本一致，如不一致以线下纸质文件正本为准）</w:t>
      </w:r>
      <w:r>
        <w:rPr>
          <w:rFonts w:hint="eastAsia" w:asciiTheme="minorEastAsia" w:hAnsiTheme="minorEastAsia" w:eastAsiaTheme="minorEastAsia" w:cstheme="minorEastAsia"/>
          <w:sz w:val="24"/>
          <w:szCs w:val="24"/>
        </w:rPr>
        <w:t>，未在规定时间内报价及上传电子响应文件的供应商将失去成交供应商资格。</w:t>
      </w:r>
    </w:p>
    <w:p w14:paraId="2CE96FDB">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 线下递交响应文件要求</w:t>
      </w:r>
    </w:p>
    <w:p w14:paraId="51FF6B1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1响应文件线下递交时间：202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0 至 </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xml:space="preserve">0 (北京时间） </w:t>
      </w:r>
    </w:p>
    <w:p w14:paraId="7B7F359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3.2.2</w:t>
      </w:r>
      <w:r>
        <w:rPr>
          <w:rFonts w:hint="eastAsia" w:asciiTheme="minorEastAsia" w:hAnsiTheme="minorEastAsia" w:eastAsiaTheme="minorEastAsia" w:cstheme="minorEastAsia"/>
          <w:sz w:val="24"/>
          <w:szCs w:val="24"/>
        </w:rPr>
        <w:t>.响应文件截止时间：202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0 (北京时间）</w:t>
      </w:r>
    </w:p>
    <w:p w14:paraId="120C0F5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3.2.3</w:t>
      </w:r>
      <w:r>
        <w:rPr>
          <w:rFonts w:hint="eastAsia" w:asciiTheme="minorEastAsia" w:hAnsiTheme="minorEastAsia" w:eastAsiaTheme="minorEastAsia" w:cstheme="minorEastAsia"/>
          <w:sz w:val="24"/>
          <w:szCs w:val="24"/>
        </w:rPr>
        <w:t>线下</w:t>
      </w:r>
      <w:r>
        <w:rPr>
          <w:rFonts w:hint="eastAsia" w:asciiTheme="minorEastAsia" w:hAnsiTheme="minorEastAsia" w:eastAsiaTheme="minorEastAsia" w:cstheme="minorEastAsia"/>
          <w:sz w:val="24"/>
          <w:szCs w:val="24"/>
          <w:lang w:eastAsia="zh-CN"/>
        </w:rPr>
        <w:t>比选</w:t>
      </w:r>
      <w:r>
        <w:rPr>
          <w:rFonts w:hint="eastAsia" w:asciiTheme="minorEastAsia" w:hAnsiTheme="minorEastAsia" w:eastAsiaTheme="minorEastAsia" w:cstheme="minorEastAsia"/>
          <w:sz w:val="24"/>
          <w:szCs w:val="24"/>
        </w:rPr>
        <w:t>开始时间：202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0 (北京时间）</w:t>
      </w:r>
      <w:bookmarkStart w:id="128" w:name="_GoBack"/>
      <w:bookmarkEnd w:id="128"/>
    </w:p>
    <w:p w14:paraId="57F15A28">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3.2.4</w:t>
      </w:r>
      <w:r>
        <w:rPr>
          <w:rFonts w:hint="eastAsia" w:asciiTheme="minorEastAsia" w:hAnsiTheme="minorEastAsia" w:eastAsiaTheme="minorEastAsia" w:cstheme="minorEastAsia"/>
          <w:sz w:val="24"/>
          <w:szCs w:val="24"/>
        </w:rPr>
        <w:t>线下</w:t>
      </w:r>
      <w:r>
        <w:rPr>
          <w:rFonts w:hint="eastAsia" w:asciiTheme="minorEastAsia" w:hAnsiTheme="minorEastAsia" w:eastAsiaTheme="minorEastAsia" w:cstheme="minorEastAsia"/>
          <w:sz w:val="24"/>
          <w:szCs w:val="24"/>
          <w:lang w:eastAsia="zh-CN"/>
        </w:rPr>
        <w:t>比选</w:t>
      </w: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eastAsia="zh-CN"/>
        </w:rPr>
        <w:t>四川川咨建设工程咨询有限责任公司</w:t>
      </w:r>
      <w:r>
        <w:rPr>
          <w:rFonts w:hint="eastAsia" w:asciiTheme="minorEastAsia" w:hAnsiTheme="minorEastAsia" w:eastAsiaTheme="minorEastAsia" w:cstheme="minorEastAsia"/>
          <w:sz w:val="24"/>
          <w:szCs w:val="24"/>
        </w:rPr>
        <w:t>会议室（重庆市渝北区水星A1栋5楼）</w:t>
      </w:r>
      <w:r>
        <w:rPr>
          <w:rFonts w:hint="eastAsia" w:asciiTheme="minorEastAsia" w:hAnsiTheme="minorEastAsia" w:eastAsiaTheme="minorEastAsia" w:cstheme="minorEastAsia"/>
          <w:sz w:val="24"/>
          <w:szCs w:val="24"/>
          <w:lang w:val="en-US" w:eastAsia="zh-CN"/>
        </w:rPr>
        <w:t>。</w:t>
      </w:r>
    </w:p>
    <w:p w14:paraId="4BC30E8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3.2.5</w:t>
      </w:r>
      <w:r>
        <w:rPr>
          <w:rFonts w:hint="eastAsia" w:asciiTheme="minorEastAsia" w:hAnsiTheme="minorEastAsia" w:eastAsiaTheme="minorEastAsia" w:cstheme="minorEastAsia"/>
          <w:sz w:val="24"/>
          <w:szCs w:val="24"/>
        </w:rPr>
        <w:t>供应商须满足以下要件，其响应文件才被接受：</w:t>
      </w:r>
    </w:p>
    <w:p w14:paraId="386C488D">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（1）提交采购文件购买费缴纳凭据复印件，加盖供应商公章；</w:t>
      </w:r>
    </w:p>
    <w:p w14:paraId="7B4F2715">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各</w:t>
      </w:r>
      <w:r>
        <w:rPr>
          <w:rFonts w:hint="eastAsia" w:asciiTheme="minorEastAsia" w:hAnsiTheme="minorEastAsia" w:eastAsiaTheme="minorEastAsia" w:cstheme="minorEastAsia"/>
          <w:sz w:val="24"/>
          <w:szCs w:val="24"/>
          <w:lang w:val="en-US" w:eastAsia="zh-CN"/>
        </w:rPr>
        <w:t>竞选人</w:t>
      </w:r>
      <w:r>
        <w:rPr>
          <w:rFonts w:hint="eastAsia" w:asciiTheme="minorEastAsia" w:hAnsiTheme="minorEastAsia" w:eastAsiaTheme="minorEastAsia" w:cstheme="minorEastAsia"/>
          <w:sz w:val="24"/>
          <w:szCs w:val="24"/>
        </w:rPr>
        <w:t>须在比选文件发售期内</w:t>
      </w:r>
      <w:r>
        <w:rPr>
          <w:rFonts w:hint="eastAsia" w:asciiTheme="minorEastAsia" w:hAnsiTheme="minorEastAsia" w:eastAsiaTheme="minorEastAsia" w:cstheme="minorEastAsia"/>
          <w:sz w:val="24"/>
          <w:szCs w:val="24"/>
          <w:lang w:val="en-US" w:eastAsia="zh-CN"/>
        </w:rPr>
        <w:t>按上述要求</w:t>
      </w:r>
      <w:r>
        <w:rPr>
          <w:rFonts w:hint="eastAsia" w:asciiTheme="minorEastAsia" w:hAnsiTheme="minorEastAsia" w:eastAsiaTheme="minorEastAsia" w:cstheme="minorEastAsia"/>
          <w:sz w:val="24"/>
          <w:szCs w:val="24"/>
        </w:rPr>
        <w:t>购买比选文件才具备竞标资格</w:t>
      </w:r>
      <w:r>
        <w:rPr>
          <w:rFonts w:hint="eastAsia" w:asciiTheme="minorEastAsia" w:hAnsiTheme="minorEastAsia" w:eastAsiaTheme="minorEastAsia" w:cstheme="minorEastAsia"/>
          <w:sz w:val="24"/>
          <w:szCs w:val="24"/>
          <w:lang w:eastAsia="zh-CN"/>
        </w:rPr>
        <w:t>；</w:t>
      </w:r>
    </w:p>
    <w:p w14:paraId="3142DA34">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（3）按规定递交投标文件；</w:t>
      </w:r>
    </w:p>
    <w:p w14:paraId="6C26BF2E">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按时在“行采家</w:t>
      </w:r>
      <w:r>
        <w:rPr>
          <w:rFonts w:hint="eastAsia" w:asciiTheme="minorEastAsia" w:hAnsiTheme="minorEastAsia" w:eastAsiaTheme="minorEastAsia" w:cstheme="minorEastAsia"/>
          <w:sz w:val="24"/>
          <w:szCs w:val="24"/>
          <w:lang w:val="en-US" w:eastAsia="zh-CN"/>
        </w:rPr>
        <w:t>-电子竞采</w:t>
      </w:r>
      <w:r>
        <w:rPr>
          <w:rFonts w:hint="eastAsia" w:asciiTheme="minorEastAsia" w:hAnsiTheme="minorEastAsia" w:eastAsiaTheme="minorEastAsia" w:cstheme="minorEastAsia"/>
          <w:sz w:val="24"/>
          <w:szCs w:val="24"/>
        </w:rPr>
        <w:t>”（https://www.gec123.com/）报名，并上传了响应文件电子档</w:t>
      </w:r>
      <w:r>
        <w:rPr>
          <w:rFonts w:hint="eastAsia" w:asciiTheme="minorEastAsia" w:hAnsiTheme="minorEastAsia" w:eastAsiaTheme="minorEastAsia" w:cstheme="minorEastAsia"/>
          <w:sz w:val="24"/>
          <w:szCs w:val="24"/>
          <w:lang w:eastAsia="zh-CN"/>
        </w:rPr>
        <w:t>；</w:t>
      </w:r>
    </w:p>
    <w:p w14:paraId="4548141C">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（5）说明：相关原件递交起止时间：如果采购文件要求必须提交的相关原件，其递交时间与投标文件递交时间一致（逾期不予受理）。</w:t>
      </w:r>
    </w:p>
    <w:p w14:paraId="3FB6DB6D">
      <w:pPr>
        <w:pStyle w:val="3"/>
        <w:spacing w:before="0" w:after="0"/>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四、比选保证金</w:t>
      </w:r>
      <w:bookmarkEnd w:id="14"/>
      <w:bookmarkEnd w:id="15"/>
    </w:p>
    <w:p w14:paraId="18766C79">
      <w:pPr>
        <w:spacing w:line="360" w:lineRule="auto"/>
        <w:ind w:firstLine="480" w:firstLineChars="200"/>
        <w:rPr>
          <w:rFonts w:hint="eastAsia" w:asciiTheme="minorEastAsia" w:hAnsiTheme="minorEastAsia" w:eastAsiaTheme="minorEastAsia" w:cstheme="minorEastAsia"/>
          <w:b/>
          <w:bCs/>
          <w:color w:val="auto"/>
          <w:sz w:val="24"/>
          <w:szCs w:val="24"/>
        </w:rPr>
      </w:pPr>
      <w:bookmarkStart w:id="16" w:name="_Toc32035"/>
      <w:r>
        <w:rPr>
          <w:rFonts w:hint="eastAsia" w:asciiTheme="minorEastAsia" w:hAnsiTheme="minorEastAsia" w:eastAsiaTheme="minorEastAsia" w:cstheme="minorEastAsia"/>
          <w:b w:val="0"/>
          <w:bCs w:val="0"/>
          <w:color w:val="auto"/>
          <w:sz w:val="24"/>
          <w:szCs w:val="24"/>
          <w:highlight w:val="none"/>
        </w:rPr>
        <w:t>本项目不收取</w:t>
      </w:r>
      <w:r>
        <w:rPr>
          <w:rFonts w:hint="eastAsia" w:asciiTheme="minorEastAsia" w:hAnsiTheme="minorEastAsia" w:eastAsiaTheme="minorEastAsia" w:cstheme="minorEastAsia"/>
          <w:b w:val="0"/>
          <w:bCs w:val="0"/>
          <w:color w:val="auto"/>
          <w:sz w:val="24"/>
          <w:szCs w:val="24"/>
          <w:highlight w:val="none"/>
          <w:lang w:val="en-US" w:eastAsia="zh-CN"/>
        </w:rPr>
        <w:t>比选</w:t>
      </w:r>
      <w:r>
        <w:rPr>
          <w:rFonts w:hint="eastAsia" w:asciiTheme="minorEastAsia" w:hAnsiTheme="minorEastAsia" w:eastAsiaTheme="minorEastAsia" w:cstheme="minorEastAsia"/>
          <w:b w:val="0"/>
          <w:bCs w:val="0"/>
          <w:color w:val="auto"/>
          <w:sz w:val="24"/>
          <w:szCs w:val="24"/>
          <w:highlight w:val="none"/>
        </w:rPr>
        <w:t>保证金</w:t>
      </w:r>
      <w:r>
        <w:rPr>
          <w:rFonts w:hint="eastAsia" w:asciiTheme="minorEastAsia" w:hAnsiTheme="minorEastAsia" w:eastAsiaTheme="minorEastAsia" w:cstheme="minorEastAsia"/>
          <w:b/>
          <w:bCs/>
          <w:color w:val="auto"/>
          <w:sz w:val="24"/>
          <w:szCs w:val="24"/>
        </w:rPr>
        <w:t>。</w:t>
      </w:r>
    </w:p>
    <w:p w14:paraId="122AF87C">
      <w:pPr>
        <w:pStyle w:val="3"/>
        <w:spacing w:before="0" w:after="0"/>
        <w:ind w:firstLine="482" w:firstLineChars="200"/>
        <w:rPr>
          <w:rFonts w:hint="eastAsia" w:asciiTheme="minorEastAsia" w:hAnsiTheme="minorEastAsia" w:eastAsiaTheme="minorEastAsia" w:cstheme="minorEastAsia"/>
          <w:sz w:val="24"/>
          <w:szCs w:val="24"/>
        </w:rPr>
      </w:pPr>
      <w:bookmarkStart w:id="17" w:name="_Toc28764"/>
      <w:r>
        <w:rPr>
          <w:rFonts w:hint="eastAsia" w:asciiTheme="minorEastAsia" w:hAnsiTheme="minorEastAsia" w:eastAsiaTheme="minorEastAsia" w:cstheme="minorEastAsia"/>
          <w:sz w:val="24"/>
          <w:szCs w:val="24"/>
        </w:rPr>
        <w:t>五、</w:t>
      </w:r>
      <w:bookmarkEnd w:id="9"/>
      <w:r>
        <w:rPr>
          <w:rFonts w:hint="eastAsia" w:asciiTheme="minorEastAsia" w:hAnsiTheme="minorEastAsia" w:eastAsiaTheme="minorEastAsia" w:cstheme="minorEastAsia"/>
          <w:sz w:val="24"/>
          <w:szCs w:val="24"/>
        </w:rPr>
        <w:t>其它有关规定</w:t>
      </w:r>
      <w:bookmarkEnd w:id="16"/>
      <w:bookmarkEnd w:id="17"/>
    </w:p>
    <w:p w14:paraId="7D5F40F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（一）单位负责人为同一人或者存在直接控股、管理关系的不同竞选人，不得参加同一合同项（包）下的采购活动。</w:t>
      </w:r>
    </w:p>
    <w:p w14:paraId="479737B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（二）为采购项目提供整体设计、规范编制或者项目管理、监理、检测等服务的竞选人，不得再参加该采购项目的其他采购活动。</w:t>
      </w:r>
    </w:p>
    <w:p w14:paraId="40B7EBC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（三）同一合同项（包）下的货物，制造商参与比选的，不得再委托代理商参与比选。</w:t>
      </w:r>
    </w:p>
    <w:p w14:paraId="238413C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（四）本项目若有澄清文件一律在行采家（https://www.gec123.com/）上发布，请各竞选人注意下载或到比选代理机构领取；无论竞选人下载或领取与否，均视同竞选人已知晓本项目澄清文件的内容。</w:t>
      </w:r>
    </w:p>
    <w:p w14:paraId="56C3679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（五）超过比选截止时间递交的比选申请文件，恕不接收。</w:t>
      </w:r>
    </w:p>
    <w:p w14:paraId="099A3A6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（六）竞选费用：无论竞选结果如何，竞选人参与本项目竞选的所有费用均应由竞选人自行承担。</w:t>
      </w:r>
    </w:p>
    <w:p w14:paraId="5575912D">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（七）本项目不接受联合体参与竞选。</w:t>
      </w:r>
    </w:p>
    <w:p w14:paraId="2BE12502">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（八）本项目不接受合同分包。</w:t>
      </w:r>
    </w:p>
    <w:p w14:paraId="21A23B93">
      <w:pPr>
        <w:pStyle w:val="3"/>
        <w:spacing w:before="0" w:after="0"/>
        <w:ind w:firstLine="482" w:firstLineChars="200"/>
        <w:rPr>
          <w:rFonts w:hint="eastAsia" w:asciiTheme="minorEastAsia" w:hAnsiTheme="minorEastAsia" w:eastAsiaTheme="minorEastAsia" w:cstheme="minorEastAsia"/>
          <w:color w:val="auto"/>
          <w:sz w:val="24"/>
          <w:szCs w:val="24"/>
        </w:rPr>
      </w:pPr>
      <w:bookmarkStart w:id="18" w:name="_Toc13995"/>
      <w:bookmarkStart w:id="19" w:name="_Toc9336"/>
      <w:r>
        <w:rPr>
          <w:rFonts w:hint="eastAsia" w:asciiTheme="minorEastAsia" w:hAnsiTheme="minorEastAsia" w:eastAsiaTheme="minorEastAsia" w:cstheme="minorEastAsia"/>
          <w:sz w:val="24"/>
          <w:szCs w:val="24"/>
        </w:rPr>
        <w:t>六、联</w:t>
      </w:r>
      <w:r>
        <w:rPr>
          <w:rFonts w:hint="eastAsia" w:asciiTheme="minorEastAsia" w:hAnsiTheme="minorEastAsia" w:eastAsiaTheme="minorEastAsia" w:cstheme="minorEastAsia"/>
          <w:color w:val="auto"/>
          <w:sz w:val="24"/>
          <w:szCs w:val="24"/>
        </w:rPr>
        <w:t>系方式</w:t>
      </w:r>
      <w:bookmarkEnd w:id="18"/>
      <w:bookmarkEnd w:id="19"/>
    </w:p>
    <w:p w14:paraId="5A62FCFC">
      <w:pPr>
        <w:snapToGrid w:val="0"/>
        <w:spacing w:line="360" w:lineRule="auto"/>
        <w:ind w:firstLine="480" w:firstLineChars="200"/>
        <w:rPr>
          <w:rFonts w:hint="eastAsia" w:asciiTheme="minorEastAsia" w:hAnsiTheme="minorEastAsia" w:eastAsiaTheme="minorEastAsia" w:cstheme="minorEastAsia"/>
          <w:color w:val="auto"/>
          <w:sz w:val="24"/>
          <w:szCs w:val="24"/>
          <w:lang w:eastAsia="zh-CN"/>
        </w:rPr>
      </w:pPr>
      <w:bookmarkStart w:id="20" w:name="_Toc29195"/>
      <w:r>
        <w:rPr>
          <w:rFonts w:hint="eastAsia" w:asciiTheme="minorEastAsia" w:hAnsiTheme="minorEastAsia" w:eastAsiaTheme="minorEastAsia" w:cstheme="minorEastAsia"/>
          <w:color w:val="auto"/>
          <w:sz w:val="24"/>
          <w:szCs w:val="24"/>
        </w:rPr>
        <w:t>（一）比选人：</w:t>
      </w:r>
      <w:r>
        <w:rPr>
          <w:rFonts w:hint="eastAsia" w:asciiTheme="minorEastAsia" w:hAnsiTheme="minorEastAsia" w:eastAsiaTheme="minorEastAsia" w:cstheme="minorEastAsia"/>
          <w:color w:val="auto"/>
          <w:sz w:val="24"/>
          <w:szCs w:val="24"/>
          <w:lang w:val="en-US" w:eastAsia="zh-CN"/>
        </w:rPr>
        <w:t xml:space="preserve"> </w:t>
      </w:r>
    </w:p>
    <w:p w14:paraId="773AD0C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lang w:eastAsia="zh-CN"/>
        </w:rPr>
        <w:t>重庆市沙坪坝区教育发展基金会</w:t>
      </w:r>
      <w:r>
        <w:rPr>
          <w:rFonts w:hint="eastAsia" w:asciiTheme="minorEastAsia" w:hAnsiTheme="minorEastAsia" w:eastAsiaTheme="minorEastAsia" w:cstheme="minorEastAsia"/>
          <w:sz w:val="24"/>
          <w:szCs w:val="24"/>
        </w:rPr>
        <w:t xml:space="preserve">     </w:t>
      </w:r>
    </w:p>
    <w:p w14:paraId="4A0030C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地址：重庆市沙坪坝区沙杨路 64 号     </w:t>
      </w:r>
      <w:r>
        <w:rPr>
          <w:rFonts w:hint="eastAsia" w:asciiTheme="minorEastAsia" w:hAnsiTheme="minorEastAsia" w:eastAsiaTheme="minorEastAsia" w:cstheme="minorEastAsia"/>
          <w:sz w:val="24"/>
          <w:szCs w:val="24"/>
          <w:lang w:val="en-US" w:eastAsia="zh-CN"/>
        </w:rPr>
        <w:t xml:space="preserve">  </w:t>
      </w:r>
    </w:p>
    <w:p w14:paraId="73E3568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val="en-US" w:eastAsia="zh-CN"/>
        </w:rPr>
        <w:t>刘老师</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p>
    <w:p w14:paraId="119F37F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lang w:val="en-US" w:eastAsia="zh-CN"/>
        </w:rPr>
        <w:t>023-</w:t>
      </w:r>
      <w:r>
        <w:rPr>
          <w:rFonts w:hint="eastAsia" w:asciiTheme="minorEastAsia" w:hAnsiTheme="minorEastAsia" w:eastAsiaTheme="minorEastAsia" w:cstheme="minorEastAsia"/>
          <w:sz w:val="24"/>
          <w:szCs w:val="24"/>
        </w:rPr>
        <w:t xml:space="preserve">86282538 </w:t>
      </w:r>
    </w:p>
    <w:p w14:paraId="3488F44B">
      <w:pPr>
        <w:numPr>
          <w:ilvl w:val="0"/>
          <w:numId w:val="2"/>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比选代理机构：</w:t>
      </w:r>
      <w:r>
        <w:rPr>
          <w:rFonts w:hint="eastAsia" w:asciiTheme="minorEastAsia" w:hAnsiTheme="minorEastAsia" w:eastAsiaTheme="minorEastAsia" w:cstheme="minorEastAsia"/>
          <w:sz w:val="24"/>
          <w:szCs w:val="24"/>
          <w:lang w:val="en-US" w:eastAsia="zh-CN"/>
        </w:rPr>
        <w:t xml:space="preserve"> </w:t>
      </w:r>
    </w:p>
    <w:p w14:paraId="6B3519A9">
      <w:pPr>
        <w:numPr>
          <w:ilvl w:val="0"/>
          <w:numId w:val="0"/>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lang w:eastAsia="zh-CN"/>
        </w:rPr>
        <w:t>四川川咨建设工程咨询有限责任公司</w:t>
      </w:r>
    </w:p>
    <w:p w14:paraId="734F5B2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lang w:eastAsia="zh-CN"/>
        </w:rPr>
        <w:t>重庆市渝北区水星A1栋5楼</w:t>
      </w:r>
    </w:p>
    <w:p w14:paraId="3CE7EDA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w:t>
      </w:r>
      <w:r>
        <w:rPr>
          <w:rFonts w:hint="eastAsia" w:asciiTheme="minorEastAsia" w:hAnsiTheme="minorEastAsia" w:eastAsiaTheme="minorEastAsia" w:cstheme="minorEastAsia"/>
          <w:sz w:val="24"/>
          <w:szCs w:val="24"/>
          <w:lang w:val="en-US" w:eastAsia="zh-CN"/>
        </w:rPr>
        <w:t>范</w:t>
      </w:r>
      <w:r>
        <w:rPr>
          <w:rFonts w:hint="eastAsia" w:asciiTheme="minorEastAsia" w:hAnsiTheme="minorEastAsia" w:eastAsiaTheme="minorEastAsia" w:cstheme="minorEastAsia"/>
          <w:sz w:val="24"/>
          <w:szCs w:val="24"/>
        </w:rPr>
        <w:t xml:space="preserve">老师            </w:t>
      </w:r>
    </w:p>
    <w:p w14:paraId="2BDE0A7D">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电话： </w:t>
      </w:r>
      <w:r>
        <w:rPr>
          <w:rFonts w:hint="eastAsia" w:asciiTheme="minorEastAsia" w:hAnsiTheme="minorEastAsia" w:eastAsiaTheme="minorEastAsia" w:cstheme="minorEastAsia"/>
          <w:sz w:val="24"/>
          <w:szCs w:val="24"/>
          <w:lang w:val="en-US" w:eastAsia="zh-CN"/>
        </w:rPr>
        <w:t>16623970562</w:t>
      </w:r>
    </w:p>
    <w:p w14:paraId="1EB956A6">
      <w:pPr>
        <w:snapToGrid w:val="0"/>
        <w:spacing w:line="360" w:lineRule="auto"/>
        <w:ind w:firstLine="480" w:firstLineChars="200"/>
        <w:rPr>
          <w:rFonts w:hint="eastAsia" w:asciiTheme="minorEastAsia" w:hAnsiTheme="minorEastAsia" w:eastAsiaTheme="minorEastAsia" w:cstheme="minorEastAsia"/>
          <w:b/>
          <w:sz w:val="24"/>
          <w:szCs w:val="24"/>
          <w:lang w:eastAsia="zh-CN"/>
        </w:rPr>
        <w:sectPr>
          <w:pgSz w:w="11907" w:h="16840"/>
          <w:pgMar w:top="1134" w:right="1418" w:bottom="1134" w:left="1418" w:header="964" w:footer="992" w:gutter="0"/>
          <w:pgNumType w:fmt="numberInDash"/>
          <w:cols w:space="720" w:num="1"/>
          <w:docGrid w:linePitch="312" w:charSpace="0"/>
        </w:sectPr>
      </w:pPr>
      <w:r>
        <w:rPr>
          <w:rFonts w:hint="eastAsia" w:asciiTheme="minorEastAsia" w:hAnsiTheme="minorEastAsia" w:eastAsiaTheme="minorEastAsia" w:cstheme="minorEastAsia"/>
          <w:color w:val="auto"/>
          <w:sz w:val="24"/>
          <w:szCs w:val="24"/>
          <w:lang w:val="en-US" w:eastAsia="zh-CN"/>
        </w:rPr>
        <w:t xml:space="preserve"> </w:t>
      </w:r>
    </w:p>
    <w:p w14:paraId="3A8CB27D">
      <w:pPr>
        <w:pStyle w:val="2"/>
        <w:numPr>
          <w:ilvl w:val="0"/>
          <w:numId w:val="3"/>
        </w:numPr>
        <w:spacing w:before="0" w:line="360" w:lineRule="auto"/>
        <w:jc w:val="center"/>
        <w:rPr>
          <w:rFonts w:hint="eastAsia" w:asciiTheme="minorEastAsia" w:hAnsiTheme="minorEastAsia" w:eastAsiaTheme="minorEastAsia" w:cstheme="minorEastAsia"/>
          <w:bCs/>
          <w:sz w:val="36"/>
          <w:szCs w:val="30"/>
        </w:rPr>
      </w:pPr>
      <w:bookmarkStart w:id="21" w:name="_Toc18875"/>
      <w:bookmarkStart w:id="22" w:name="_Toc12789058"/>
      <w:r>
        <w:rPr>
          <w:rFonts w:hint="eastAsia" w:asciiTheme="minorEastAsia" w:hAnsiTheme="minorEastAsia" w:eastAsiaTheme="minorEastAsia" w:cstheme="minorEastAsia"/>
          <w:bCs/>
          <w:sz w:val="36"/>
          <w:szCs w:val="30"/>
        </w:rPr>
        <w:t>项目服务需求</w:t>
      </w:r>
      <w:bookmarkEnd w:id="20"/>
      <w:bookmarkEnd w:id="21"/>
    </w:p>
    <w:p w14:paraId="3762D8FA">
      <w:pPr>
        <w:pageBreakBefore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条款需按条款要求提供证明文件</w:t>
      </w:r>
    </w:p>
    <w:p w14:paraId="68997538">
      <w:pPr>
        <w:pageBreakBefore w:val="0"/>
        <w:numPr>
          <w:ilvl w:val="0"/>
          <w:numId w:val="4"/>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智能跳绳250根</w:t>
      </w:r>
    </w:p>
    <w:p w14:paraId="734AD53D">
      <w:pPr>
        <w:pageBreakBefore w:val="0"/>
        <w:numPr>
          <w:ilvl w:val="0"/>
          <w:numId w:val="5"/>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技术要求：手柄直径：21mm；手柄质量：主手柄69g，副手柄54g；屏幕尺寸：0.96寸OLED；接口类型：Tpye-c接口；计时部分：0~999.99；分度值：0.01s；误差：士1.5%；测量范围：0~9999；分度值：1次；误差：士1；绳长度：2000~2800mm（长度可调）、绳直径：6mm、绳质量：75g；通信模式：2.4G、支持蓝牙、4G；电池容量：3.7V 800mAh；充电输入：5V-1A</w:t>
      </w:r>
      <w:r>
        <w:rPr>
          <w:rFonts w:hint="eastAsia" w:asciiTheme="minorEastAsia" w:hAnsiTheme="minorEastAsia" w:eastAsiaTheme="minorEastAsia" w:cstheme="minorEastAsia"/>
          <w:color w:val="000000"/>
          <w:kern w:val="0"/>
          <w:sz w:val="24"/>
          <w:szCs w:val="24"/>
          <w:lang w:eastAsia="zh-CN"/>
        </w:rPr>
        <w:t>。</w:t>
      </w:r>
    </w:p>
    <w:p w14:paraId="516E1D3B">
      <w:pPr>
        <w:pageBreakBefore w:val="0"/>
        <w:numPr>
          <w:ilvl w:val="0"/>
          <w:numId w:val="5"/>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计数路线具有正转、反转、绊脚检测、满分检测功能，具有计时测试功能、计数测试功能、满分测试功能。外设可存储和查看 10000条成绩。完成测试自动震动提示功能。</w:t>
      </w:r>
    </w:p>
    <w:p w14:paraId="397588C2">
      <w:pPr>
        <w:pageBreakBefore w:val="0"/>
        <w:numPr>
          <w:ilvl w:val="0"/>
          <w:numId w:val="5"/>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可实现通过小程序将跳绳与学生用户进行绑定</w:t>
      </w:r>
      <w:r>
        <w:rPr>
          <w:rFonts w:hint="eastAsia" w:asciiTheme="minorEastAsia" w:hAnsiTheme="minorEastAsia" w:eastAsiaTheme="minorEastAsia" w:cstheme="minorEastAsia"/>
          <w:color w:val="000000"/>
          <w:kern w:val="0"/>
          <w:sz w:val="24"/>
          <w:szCs w:val="24"/>
          <w:lang w:eastAsia="zh-CN"/>
        </w:rPr>
        <w:t>。</w:t>
      </w:r>
    </w:p>
    <w:p w14:paraId="054052EF">
      <w:pPr>
        <w:pageBreakBefore w:val="0"/>
        <w:numPr>
          <w:ilvl w:val="0"/>
          <w:numId w:val="5"/>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小程序可实现一分钟跳绳、自由跳绳、定时跳绳、定数跳绳模式自由选择</w:t>
      </w:r>
      <w:r>
        <w:rPr>
          <w:rFonts w:hint="eastAsia" w:asciiTheme="minorEastAsia" w:hAnsiTheme="minorEastAsia" w:eastAsiaTheme="minorEastAsia" w:cstheme="minorEastAsia"/>
          <w:color w:val="000000"/>
          <w:kern w:val="0"/>
          <w:sz w:val="24"/>
          <w:szCs w:val="24"/>
          <w:lang w:eastAsia="zh-CN"/>
        </w:rPr>
        <w:t>。</w:t>
      </w:r>
    </w:p>
    <w:p w14:paraId="4E4588E6">
      <w:pPr>
        <w:pageBreakBefore w:val="0"/>
        <w:numPr>
          <w:ilvl w:val="0"/>
          <w:numId w:val="5"/>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跳绳过程中可显示目标时间或次数，实时显示跳绳成绩；达到目标后可自动停止</w:t>
      </w:r>
      <w:r>
        <w:rPr>
          <w:rFonts w:hint="eastAsia" w:asciiTheme="minorEastAsia" w:hAnsiTheme="minorEastAsia" w:eastAsiaTheme="minorEastAsia" w:cstheme="minorEastAsia"/>
          <w:color w:val="000000"/>
          <w:kern w:val="0"/>
          <w:sz w:val="24"/>
          <w:szCs w:val="24"/>
          <w:lang w:eastAsia="zh-CN"/>
        </w:rPr>
        <w:t>。</w:t>
      </w:r>
    </w:p>
    <w:p w14:paraId="3B2B42F9">
      <w:pPr>
        <w:pageBreakBefore w:val="0"/>
        <w:numPr>
          <w:ilvl w:val="0"/>
          <w:numId w:val="5"/>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学生可通过小程序查看当天及历史作业完成情况，老师可在后台端或小程序端发布作业，作业内容包括参与班级、学生、跳绳模式、作业开始及结束时间等</w:t>
      </w:r>
      <w:r>
        <w:rPr>
          <w:rFonts w:hint="eastAsia" w:asciiTheme="minorEastAsia" w:hAnsiTheme="minorEastAsia" w:eastAsiaTheme="minorEastAsia" w:cstheme="minorEastAsia"/>
          <w:color w:val="000000"/>
          <w:kern w:val="0"/>
          <w:sz w:val="24"/>
          <w:szCs w:val="24"/>
          <w:lang w:eastAsia="zh-CN"/>
        </w:rPr>
        <w:t>。</w:t>
      </w:r>
    </w:p>
    <w:p w14:paraId="0653C7CF">
      <w:pPr>
        <w:pageBreakBefore w:val="0"/>
        <w:numPr>
          <w:ilvl w:val="0"/>
          <w:numId w:val="5"/>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跳绳在开机后可通过4G网络检查当天是否有未完成作业并显示，学生完成作业后，跳绳可通过4G网络将成绩实时上传至后台。学生可在作业模块查看历史成绩</w:t>
      </w:r>
      <w:r>
        <w:rPr>
          <w:rFonts w:hint="eastAsia" w:asciiTheme="minorEastAsia" w:hAnsiTheme="minorEastAsia" w:eastAsiaTheme="minorEastAsia" w:cstheme="minorEastAsia"/>
          <w:color w:val="000000"/>
          <w:kern w:val="0"/>
          <w:sz w:val="24"/>
          <w:szCs w:val="24"/>
          <w:lang w:eastAsia="zh-CN"/>
        </w:rPr>
        <w:t>。</w:t>
      </w:r>
    </w:p>
    <w:p w14:paraId="282FEABD">
      <w:pPr>
        <w:pageBreakBefore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SIM流量卡250个</w:t>
      </w:r>
    </w:p>
    <w:p w14:paraId="3BF6710F">
      <w:pPr>
        <w:pageBreakBefore w:val="0"/>
        <w:numPr>
          <w:ilvl w:val="0"/>
          <w:numId w:val="6"/>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1年流量套餐。</w:t>
      </w:r>
    </w:p>
    <w:p w14:paraId="4E79B8B1">
      <w:pPr>
        <w:pageBreakBefore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智能光电敏捷球1套</w:t>
      </w:r>
    </w:p>
    <w:p w14:paraId="4705567E">
      <w:pPr>
        <w:pageBreakBefore w:val="0"/>
        <w:numPr>
          <w:ilvl w:val="0"/>
          <w:numId w:val="7"/>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▲敏捷训练球使用快速震动感应人体踩踏，感应触发时间应小于0.1秒。（提供加盖厂家公章的第三方检测报告复印件佐证）</w:t>
      </w:r>
    </w:p>
    <w:p w14:paraId="3496C046">
      <w:pPr>
        <w:pageBreakBefore w:val="0"/>
        <w:numPr>
          <w:ilvl w:val="0"/>
          <w:numId w:val="7"/>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芯片内置算法可分辨非快速震动干扰，在不同非快速震动下可以正常工作。</w:t>
      </w:r>
    </w:p>
    <w:p w14:paraId="22B4742B">
      <w:pPr>
        <w:pageBreakBefore w:val="0"/>
        <w:numPr>
          <w:ilvl w:val="0"/>
          <w:numId w:val="7"/>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▲敏捷训练球内置RGB灯珠使用PWM技术驱动，软件控制灯珠的亮度调至5%、15%、25%、50%、75%、100%时，显示无闪烁、无颗粒感。（提供加盖厂家公章的第三方检测报告复印件佐证）</w:t>
      </w:r>
    </w:p>
    <w:p w14:paraId="149D1B4C">
      <w:pPr>
        <w:pageBreakBefore w:val="0"/>
        <w:numPr>
          <w:ilvl w:val="0"/>
          <w:numId w:val="7"/>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智能敏捷球采用环保硅胶材质，使用锂电池不少于2000mah，可待机工作120小时，正常工作48小时。</w:t>
      </w:r>
    </w:p>
    <w:p w14:paraId="0CC0208C">
      <w:pPr>
        <w:pageBreakBefore w:val="0"/>
        <w:numPr>
          <w:ilvl w:val="0"/>
          <w:numId w:val="7"/>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软件设有排队功能，锁定成绩，自动纪录功能。</w:t>
      </w:r>
    </w:p>
    <w:p w14:paraId="3A4DF9D0">
      <w:pPr>
        <w:pageBreakBefore w:val="0"/>
        <w:numPr>
          <w:ilvl w:val="0"/>
          <w:numId w:val="7"/>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▲维护时，软件应能准确控制及重置敏捷训练球的ID功能，单球维护时不影响其他球运行。（提供加盖厂家公章的第三方检测报告复印件佐证）</w:t>
      </w:r>
    </w:p>
    <w:p w14:paraId="26A8A58C">
      <w:pPr>
        <w:pageBreakBefore w:val="0"/>
        <w:numPr>
          <w:ilvl w:val="0"/>
          <w:numId w:val="7"/>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软件设置分组及学号、姓名在屏幕显示，可直观显示测试数值。</w:t>
      </w:r>
    </w:p>
    <w:p w14:paraId="06D038EE">
      <w:pPr>
        <w:pageBreakBefore w:val="0"/>
        <w:numPr>
          <w:ilvl w:val="0"/>
          <w:numId w:val="7"/>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智能敏捷球设内置无线模块，可单机单独使用。</w:t>
      </w:r>
    </w:p>
    <w:p w14:paraId="16AE00C8">
      <w:pPr>
        <w:pageBreakBefore w:val="0"/>
        <w:numPr>
          <w:ilvl w:val="0"/>
          <w:numId w:val="7"/>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▲主</w:t>
      </w:r>
      <w:r>
        <w:rPr>
          <w:rFonts w:hint="eastAsia" w:asciiTheme="minorEastAsia" w:hAnsiTheme="minorEastAsia" w:eastAsiaTheme="minorEastAsia" w:cstheme="minorEastAsia"/>
          <w:color w:val="auto"/>
          <w:kern w:val="0"/>
          <w:sz w:val="24"/>
          <w:szCs w:val="24"/>
        </w:rPr>
        <w:t>机内置双2.4G芯片传输功能，传输数据少于等于10</w:t>
      </w:r>
      <w:r>
        <w:rPr>
          <w:rFonts w:hint="eastAsia" w:asciiTheme="minorEastAsia" w:hAnsiTheme="minorEastAsia" w:eastAsiaTheme="minorEastAsia" w:cstheme="minorEastAsia"/>
          <w:color w:val="auto"/>
          <w:kern w:val="0"/>
          <w:sz w:val="24"/>
          <w:szCs w:val="24"/>
          <w:lang w:val="en-US" w:eastAsia="zh-CN"/>
        </w:rPr>
        <w:t>0</w:t>
      </w:r>
      <w:r>
        <w:rPr>
          <w:rFonts w:hint="eastAsia" w:asciiTheme="minorEastAsia" w:hAnsiTheme="minorEastAsia" w:eastAsiaTheme="minorEastAsia" w:cstheme="minorEastAsia"/>
          <w:color w:val="auto"/>
          <w:kern w:val="0"/>
          <w:sz w:val="24"/>
          <w:szCs w:val="24"/>
        </w:rPr>
        <w:t>毫秒。（提供加盖厂家公章的第三方检测报告复印件佐证）</w:t>
      </w:r>
    </w:p>
    <w:p w14:paraId="4728895E">
      <w:pPr>
        <w:pageBreakBefore w:val="0"/>
        <w:numPr>
          <w:ilvl w:val="0"/>
          <w:numId w:val="7"/>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auto"/>
          <w:kern w:val="0"/>
          <w:sz w:val="24"/>
          <w:szCs w:val="24"/>
        </w:rPr>
        <w:t>主机与智能敏捷</w:t>
      </w:r>
      <w:r>
        <w:rPr>
          <w:rFonts w:hint="eastAsia" w:asciiTheme="minorEastAsia" w:hAnsiTheme="minorEastAsia" w:eastAsiaTheme="minorEastAsia" w:cstheme="minorEastAsia"/>
          <w:color w:val="000000"/>
          <w:kern w:val="0"/>
          <w:sz w:val="24"/>
          <w:szCs w:val="24"/>
        </w:rPr>
        <w:t>球采用2.4G连接，实现无线连接和不少于</w:t>
      </w: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0个智能敏捷球测试数据实时上传和集中上传两种方式。</w:t>
      </w:r>
    </w:p>
    <w:p w14:paraId="7F3691C3">
      <w:pPr>
        <w:pageBreakBefore w:val="0"/>
        <w:numPr>
          <w:ilvl w:val="0"/>
          <w:numId w:val="7"/>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主机内置大容量锂电池，可不插电源连续工作2个工作日以上，待机使用2—3个工作日以上，主机配备充电圆孔接口，实现断电工作和插电工作两种模式。</w:t>
      </w:r>
    </w:p>
    <w:p w14:paraId="1DAE43AD">
      <w:pPr>
        <w:pageBreakBefore w:val="0"/>
        <w:numPr>
          <w:ilvl w:val="0"/>
          <w:numId w:val="7"/>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软件配置班级管理，团队管理及各个队伍的排队功能，可以一键导入学生排队名单，可以在不用任何穿戴设备自动识别运动员身份，自动保存测试数据本地化和云端化。</w:t>
      </w:r>
    </w:p>
    <w:p w14:paraId="68EECE0D">
      <w:pPr>
        <w:pageBreakBefore w:val="0"/>
        <w:numPr>
          <w:ilvl w:val="0"/>
          <w:numId w:val="7"/>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软件系统具有设置课程的功能，对于智能敏捷球，可对应每个敏捷球设置不同时间亮起不同的颜色，对敏捷球进行分组技术时间及次数设置并一一对应排队的学生，使得学生对应课程和设备能一一记录运动数据。</w:t>
      </w:r>
    </w:p>
    <w:p w14:paraId="2C42407A">
      <w:pPr>
        <w:pageBreakBefore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SAQ训练系统（智能标志桶）</w:t>
      </w:r>
      <w:r>
        <w:rPr>
          <w:rFonts w:hint="eastAsia" w:asciiTheme="minorEastAsia" w:hAnsiTheme="minorEastAsia" w:eastAsiaTheme="minorEastAsia" w:cstheme="minorEastAsia"/>
          <w:color w:val="000000"/>
          <w:kern w:val="0"/>
          <w:sz w:val="24"/>
          <w:szCs w:val="24"/>
          <w:lang w:val="en-US" w:eastAsia="zh-CN"/>
        </w:rPr>
        <w:t>1套</w:t>
      </w:r>
    </w:p>
    <w:p w14:paraId="21E2A468">
      <w:pPr>
        <w:pageBreakBefore w:val="0"/>
        <w:numPr>
          <w:ilvl w:val="0"/>
          <w:numId w:val="8"/>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硬件参数</w:t>
      </w:r>
    </w:p>
    <w:p w14:paraId="50B5F65F">
      <w:pPr>
        <w:pageBreakBefore w:val="0"/>
        <w:numPr>
          <w:ilvl w:val="0"/>
          <w:numId w:val="9"/>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通信模块：2.4G无线通信，空旷环境下传输距离≥100米，支持多设备并发连接，单基站可稳定连接≥200个设备单元。</w:t>
      </w:r>
    </w:p>
    <w:p w14:paraId="58017207">
      <w:pPr>
        <w:pageBreakBefore w:val="0"/>
        <w:numPr>
          <w:ilvl w:val="0"/>
          <w:numId w:val="9"/>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▲设备单元配置：每组20个设备单元，360度全向微波雷达传感器，感应响应时间＜1秒，检测距离1米。（投标时提供彩色图片证明）</w:t>
      </w:r>
    </w:p>
    <w:p w14:paraId="4E22083F">
      <w:pPr>
        <w:pageBreakBefore w:val="0"/>
        <w:numPr>
          <w:ilvl w:val="0"/>
          <w:numId w:val="9"/>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▲灯光系统：配备基础指示灯（多色显示）及强光警示灯（亮度5000cd，阳光下可视距离30米）。（投标时提供彩色图片证明）</w:t>
      </w:r>
    </w:p>
    <w:p w14:paraId="3C3FE2AE">
      <w:pPr>
        <w:pageBreakBefore w:val="0"/>
        <w:numPr>
          <w:ilvl w:val="0"/>
          <w:numId w:val="9"/>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供电系统：内置6000mAh锂电池，满电续航12小时；Type-C快充接口，2小时充满</w:t>
      </w:r>
      <w:r>
        <w:rPr>
          <w:rFonts w:hint="eastAsia" w:asciiTheme="minorEastAsia" w:hAnsiTheme="minorEastAsia" w:eastAsiaTheme="minorEastAsia" w:cstheme="minorEastAsia"/>
          <w:color w:val="000000"/>
          <w:kern w:val="0"/>
          <w:sz w:val="24"/>
          <w:szCs w:val="24"/>
          <w:lang w:eastAsia="zh-CN"/>
        </w:rPr>
        <w:t>。</w:t>
      </w:r>
    </w:p>
    <w:p w14:paraId="6D01ED5F">
      <w:pPr>
        <w:pageBreakBefore w:val="0"/>
        <w:numPr>
          <w:ilvl w:val="0"/>
          <w:numId w:val="9"/>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物理参数：高强度工程塑料，IP65级防水防尘，工作温度-10℃ 55℃，单个设备尺寸≤10cm×10cm×5cm，重量≤300g。</w:t>
      </w:r>
    </w:p>
    <w:p w14:paraId="46D9D173">
      <w:pPr>
        <w:pageBreakBefore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软件参数</w:t>
      </w:r>
    </w:p>
    <w:p w14:paraId="5EAFC829">
      <w:pPr>
        <w:pageBreakBefore w:val="0"/>
        <w:numPr>
          <w:ilvl w:val="0"/>
          <w:numId w:val="10"/>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设备管理：支持自定义设备分组，可划分≥20个任务组；支持按顺序编号（1～20）对设备进行队列编排，支持一键启停分组任务。</w:t>
      </w:r>
    </w:p>
    <w:p w14:paraId="25178D55">
      <w:pPr>
        <w:pageBreakBefore w:val="0"/>
        <w:numPr>
          <w:ilvl w:val="0"/>
          <w:numId w:val="10"/>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数据处理：自动生成训练数据报告，包含个人成绩、小组排名、任务完成率等信息，支持Excel/PDF导出。</w:t>
      </w:r>
    </w:p>
    <w:p w14:paraId="0B3960A1">
      <w:pPr>
        <w:pageBreakBefore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运动负荷监测系统</w:t>
      </w:r>
      <w:r>
        <w:rPr>
          <w:rFonts w:hint="eastAsia" w:asciiTheme="minorEastAsia" w:hAnsiTheme="minorEastAsia" w:eastAsiaTheme="minorEastAsia" w:cstheme="minorEastAsia"/>
          <w:color w:val="000000"/>
          <w:kern w:val="0"/>
          <w:sz w:val="24"/>
          <w:szCs w:val="24"/>
          <w:lang w:val="en-US" w:eastAsia="zh-CN"/>
        </w:rPr>
        <w:t>1套</w:t>
      </w:r>
    </w:p>
    <w:p w14:paraId="6029912C">
      <w:pPr>
        <w:pageBreakBefore w:val="0"/>
        <w:numPr>
          <w:ilvl w:val="0"/>
          <w:numId w:val="11"/>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特性/规格</w:t>
      </w:r>
    </w:p>
    <w:p w14:paraId="758BFF16">
      <w:pPr>
        <w:pageBreakBefore w:val="0"/>
        <w:numPr>
          <w:ilvl w:val="0"/>
          <w:numId w:val="12"/>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特性/规格</w:t>
      </w:r>
    </w:p>
    <w:p w14:paraId="55AD4106">
      <w:pPr>
        <w:pageBreakBefore w:val="0"/>
        <w:numPr>
          <w:ilvl w:val="0"/>
          <w:numId w:val="13"/>
        </w:numPr>
        <w:kinsoku/>
        <w:wordWrap/>
        <w:overflowPunct/>
        <w:topLinePunct w:val="0"/>
        <w:autoSpaceDE/>
        <w:autoSpaceDN/>
        <w:bidi w:val="0"/>
        <w:adjustRightInd/>
        <w:snapToGrid/>
        <w:spacing w:line="360" w:lineRule="auto"/>
        <w:ind w:left="143" w:leftChars="0"/>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心率检测范围:40-220bpm</w:t>
      </w:r>
      <w:r>
        <w:rPr>
          <w:rFonts w:hint="eastAsia" w:asciiTheme="minorEastAsia" w:hAnsiTheme="minorEastAsia" w:eastAsiaTheme="minorEastAsia" w:cstheme="minorEastAsia"/>
          <w:color w:val="000000"/>
          <w:kern w:val="0"/>
          <w:sz w:val="24"/>
          <w:szCs w:val="24"/>
          <w:lang w:eastAsia="zh-CN"/>
        </w:rPr>
        <w:t>。</w:t>
      </w:r>
    </w:p>
    <w:p w14:paraId="4654F6A9">
      <w:pPr>
        <w:pageBreakBefore w:val="0"/>
        <w:numPr>
          <w:ilvl w:val="0"/>
          <w:numId w:val="13"/>
        </w:numPr>
        <w:kinsoku/>
        <w:wordWrap/>
        <w:overflowPunct/>
        <w:topLinePunct w:val="0"/>
        <w:autoSpaceDE/>
        <w:autoSpaceDN/>
        <w:bidi w:val="0"/>
        <w:adjustRightInd/>
        <w:snapToGrid/>
        <w:spacing w:line="360" w:lineRule="auto"/>
        <w:ind w:left="143" w:left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精确度:2-10bpm</w:t>
      </w:r>
      <w:r>
        <w:rPr>
          <w:rFonts w:hint="eastAsia" w:asciiTheme="minorEastAsia" w:hAnsiTheme="minorEastAsia" w:eastAsiaTheme="minorEastAsia" w:cstheme="minorEastAsia"/>
          <w:color w:val="000000"/>
          <w:kern w:val="0"/>
          <w:sz w:val="24"/>
          <w:szCs w:val="24"/>
          <w:lang w:eastAsia="zh-CN"/>
        </w:rPr>
        <w:t>。</w:t>
      </w:r>
    </w:p>
    <w:p w14:paraId="29A035E7">
      <w:pPr>
        <w:pageBreakBefore w:val="0"/>
        <w:numPr>
          <w:ilvl w:val="0"/>
          <w:numId w:val="13"/>
        </w:numPr>
        <w:kinsoku/>
        <w:wordWrap/>
        <w:overflowPunct/>
        <w:topLinePunct w:val="0"/>
        <w:autoSpaceDE/>
        <w:autoSpaceDN/>
        <w:bidi w:val="0"/>
        <w:adjustRightInd/>
        <w:snapToGrid/>
        <w:spacing w:line="360" w:lineRule="auto"/>
        <w:ind w:left="143" w:left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HR首次检测时间:3-8秒</w:t>
      </w:r>
      <w:r>
        <w:rPr>
          <w:rFonts w:hint="eastAsia" w:asciiTheme="minorEastAsia" w:hAnsiTheme="minorEastAsia" w:eastAsiaTheme="minorEastAsia" w:cstheme="minorEastAsia"/>
          <w:color w:val="000000"/>
          <w:kern w:val="0"/>
          <w:sz w:val="24"/>
          <w:szCs w:val="24"/>
          <w:lang w:eastAsia="zh-CN"/>
        </w:rPr>
        <w:t>。</w:t>
      </w:r>
    </w:p>
    <w:p w14:paraId="4320DADC">
      <w:pPr>
        <w:pageBreakBefore w:val="0"/>
        <w:numPr>
          <w:ilvl w:val="0"/>
          <w:numId w:val="13"/>
        </w:numPr>
        <w:kinsoku/>
        <w:wordWrap/>
        <w:overflowPunct/>
        <w:topLinePunct w:val="0"/>
        <w:autoSpaceDE/>
        <w:autoSpaceDN/>
        <w:bidi w:val="0"/>
        <w:adjustRightInd/>
        <w:snapToGrid/>
        <w:spacing w:line="360" w:lineRule="auto"/>
        <w:ind w:left="143" w:left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心率变异性:静态模式(可选)</w:t>
      </w:r>
      <w:r>
        <w:rPr>
          <w:rFonts w:hint="eastAsia" w:asciiTheme="minorEastAsia" w:hAnsiTheme="minorEastAsia" w:eastAsiaTheme="minorEastAsia" w:cstheme="minorEastAsia"/>
          <w:color w:val="000000"/>
          <w:kern w:val="0"/>
          <w:sz w:val="24"/>
          <w:szCs w:val="24"/>
          <w:lang w:eastAsia="zh-CN"/>
        </w:rPr>
        <w:t>。</w:t>
      </w:r>
    </w:p>
    <w:p w14:paraId="5DAA48B0">
      <w:pPr>
        <w:pageBreakBefore w:val="0"/>
        <w:numPr>
          <w:ilvl w:val="0"/>
          <w:numId w:val="12"/>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通信传输</w:t>
      </w:r>
    </w:p>
    <w:p w14:paraId="0E6F83A9">
      <w:pPr>
        <w:pageBreakBefore w:val="0"/>
        <w:numPr>
          <w:ilvl w:val="0"/>
          <w:numId w:val="14"/>
        </w:numPr>
        <w:kinsoku/>
        <w:wordWrap/>
        <w:overflowPunct/>
        <w:topLinePunct w:val="0"/>
        <w:autoSpaceDE/>
        <w:autoSpaceDN/>
        <w:bidi w:val="0"/>
        <w:adjustRightInd/>
        <w:snapToGrid/>
        <w:spacing w:line="360" w:lineRule="auto"/>
        <w:ind w:left="143" w:leftChars="0"/>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连接:BLE/LORA</w:t>
      </w:r>
      <w:r>
        <w:rPr>
          <w:rFonts w:hint="eastAsia" w:asciiTheme="minorEastAsia" w:hAnsiTheme="minorEastAsia" w:eastAsiaTheme="minorEastAsia" w:cstheme="minorEastAsia"/>
          <w:color w:val="000000"/>
          <w:kern w:val="0"/>
          <w:sz w:val="24"/>
          <w:szCs w:val="24"/>
          <w:lang w:eastAsia="zh-CN"/>
        </w:rPr>
        <w:t>。</w:t>
      </w:r>
    </w:p>
    <w:p w14:paraId="66AA8E28">
      <w:pPr>
        <w:pageBreakBefore w:val="0"/>
        <w:numPr>
          <w:ilvl w:val="0"/>
          <w:numId w:val="14"/>
        </w:numPr>
        <w:kinsoku/>
        <w:wordWrap/>
        <w:overflowPunct/>
        <w:topLinePunct w:val="0"/>
        <w:autoSpaceDE/>
        <w:autoSpaceDN/>
        <w:bidi w:val="0"/>
        <w:adjustRightInd/>
        <w:snapToGrid/>
        <w:spacing w:line="360" w:lineRule="auto"/>
        <w:ind w:left="143" w:left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传输距离:BLE不少于60米，LORA不小于200米</w:t>
      </w:r>
      <w:r>
        <w:rPr>
          <w:rFonts w:hint="eastAsia" w:asciiTheme="minorEastAsia" w:hAnsiTheme="minorEastAsia" w:eastAsiaTheme="minorEastAsia" w:cstheme="minorEastAsia"/>
          <w:color w:val="000000"/>
          <w:kern w:val="0"/>
          <w:sz w:val="24"/>
          <w:szCs w:val="24"/>
          <w:lang w:eastAsia="zh-CN"/>
        </w:rPr>
        <w:t>。</w:t>
      </w:r>
    </w:p>
    <w:p w14:paraId="0BA397C0">
      <w:pPr>
        <w:pageBreakBefore w:val="0"/>
        <w:numPr>
          <w:ilvl w:val="0"/>
          <w:numId w:val="14"/>
        </w:numPr>
        <w:kinsoku/>
        <w:wordWrap/>
        <w:overflowPunct/>
        <w:topLinePunct w:val="0"/>
        <w:autoSpaceDE/>
        <w:autoSpaceDN/>
        <w:bidi w:val="0"/>
        <w:adjustRightInd/>
        <w:snapToGrid/>
        <w:spacing w:line="360" w:lineRule="auto"/>
        <w:ind w:left="143" w:left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数据格式:蓝牙5.0心率配置文件，自定义数据</w:t>
      </w:r>
      <w:r>
        <w:rPr>
          <w:rFonts w:hint="eastAsia" w:asciiTheme="minorEastAsia" w:hAnsiTheme="minorEastAsia" w:eastAsiaTheme="minorEastAsia" w:cstheme="minorEastAsia"/>
          <w:color w:val="000000"/>
          <w:kern w:val="0"/>
          <w:sz w:val="24"/>
          <w:szCs w:val="24"/>
          <w:lang w:eastAsia="zh-CN"/>
        </w:rPr>
        <w:t>。</w:t>
      </w:r>
    </w:p>
    <w:p w14:paraId="5E03F51D">
      <w:pPr>
        <w:pageBreakBefore w:val="0"/>
        <w:numPr>
          <w:ilvl w:val="0"/>
          <w:numId w:val="12"/>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电池寿命</w:t>
      </w:r>
    </w:p>
    <w:p w14:paraId="5B301E6F">
      <w:pPr>
        <w:pageBreakBefore w:val="0"/>
        <w:numPr>
          <w:ilvl w:val="0"/>
          <w:numId w:val="15"/>
        </w:numPr>
        <w:kinsoku/>
        <w:wordWrap/>
        <w:overflowPunct/>
        <w:topLinePunct w:val="0"/>
        <w:autoSpaceDE/>
        <w:autoSpaceDN/>
        <w:bidi w:val="0"/>
        <w:adjustRightInd/>
        <w:snapToGrid/>
        <w:spacing w:line="360" w:lineRule="auto"/>
        <w:ind w:left="143" w:leftChars="0"/>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电池类型:120毫安-200毫安锂离子充电电池</w:t>
      </w:r>
      <w:r>
        <w:rPr>
          <w:rFonts w:hint="eastAsia" w:asciiTheme="minorEastAsia" w:hAnsiTheme="minorEastAsia" w:eastAsiaTheme="minorEastAsia" w:cstheme="minorEastAsia"/>
          <w:color w:val="000000"/>
          <w:kern w:val="0"/>
          <w:sz w:val="24"/>
          <w:szCs w:val="24"/>
          <w:lang w:eastAsia="zh-CN"/>
        </w:rPr>
        <w:t>。</w:t>
      </w:r>
    </w:p>
    <w:p w14:paraId="0CCB04CC">
      <w:pPr>
        <w:pageBreakBefore w:val="0"/>
        <w:numPr>
          <w:ilvl w:val="0"/>
          <w:numId w:val="15"/>
        </w:numPr>
        <w:kinsoku/>
        <w:wordWrap/>
        <w:overflowPunct/>
        <w:topLinePunct w:val="0"/>
        <w:autoSpaceDE/>
        <w:autoSpaceDN/>
        <w:bidi w:val="0"/>
        <w:adjustRightInd/>
        <w:snapToGrid/>
        <w:spacing w:line="360" w:lineRule="auto"/>
        <w:ind w:left="143" w:left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电池寿命:可连续工作60小时以上</w:t>
      </w:r>
      <w:r>
        <w:rPr>
          <w:rFonts w:hint="eastAsia" w:asciiTheme="minorEastAsia" w:hAnsiTheme="minorEastAsia" w:eastAsiaTheme="minorEastAsia" w:cstheme="minorEastAsia"/>
          <w:color w:val="000000"/>
          <w:kern w:val="0"/>
          <w:sz w:val="24"/>
          <w:szCs w:val="24"/>
          <w:lang w:eastAsia="zh-CN"/>
        </w:rPr>
        <w:t>。</w:t>
      </w:r>
    </w:p>
    <w:p w14:paraId="0368B8D8">
      <w:pPr>
        <w:pageBreakBefore w:val="0"/>
        <w:numPr>
          <w:ilvl w:val="0"/>
          <w:numId w:val="12"/>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工作模式</w:t>
      </w:r>
    </w:p>
    <w:p w14:paraId="326E0BD0">
      <w:pPr>
        <w:pageBreakBefore w:val="0"/>
        <w:numPr>
          <w:ilvl w:val="0"/>
          <w:numId w:val="16"/>
        </w:numPr>
        <w:kinsoku/>
        <w:wordWrap/>
        <w:overflowPunct/>
        <w:topLinePunct w:val="0"/>
        <w:autoSpaceDE/>
        <w:autoSpaceDN/>
        <w:bidi w:val="0"/>
        <w:adjustRightInd/>
        <w:snapToGrid/>
        <w:spacing w:line="360" w:lineRule="auto"/>
        <w:ind w:left="143" w:leftChars="0"/>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正常模式:发射机通过BLE/LORA发送数据</w:t>
      </w:r>
      <w:r>
        <w:rPr>
          <w:rFonts w:hint="eastAsia" w:asciiTheme="minorEastAsia" w:hAnsiTheme="minorEastAsia" w:eastAsiaTheme="minorEastAsia" w:cstheme="minorEastAsia"/>
          <w:color w:val="000000"/>
          <w:kern w:val="0"/>
          <w:sz w:val="24"/>
          <w:szCs w:val="24"/>
          <w:lang w:eastAsia="zh-CN"/>
        </w:rPr>
        <w:t>。</w:t>
      </w:r>
    </w:p>
    <w:p w14:paraId="749DEE5E">
      <w:pPr>
        <w:pageBreakBefore w:val="0"/>
        <w:numPr>
          <w:ilvl w:val="0"/>
          <w:numId w:val="16"/>
        </w:numPr>
        <w:kinsoku/>
        <w:wordWrap/>
        <w:overflowPunct/>
        <w:topLinePunct w:val="0"/>
        <w:autoSpaceDE/>
        <w:autoSpaceDN/>
        <w:bidi w:val="0"/>
        <w:adjustRightInd/>
        <w:snapToGrid/>
        <w:spacing w:line="360" w:lineRule="auto"/>
        <w:ind w:left="143" w:left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睡眠模式:如果3分钟内没有检测到心率，发射器将进入睡眠模式。或者通过按钮关闭。</w:t>
      </w:r>
    </w:p>
    <w:p w14:paraId="1497EF04">
      <w:pPr>
        <w:pageBreakBefore w:val="0"/>
        <w:numPr>
          <w:ilvl w:val="0"/>
          <w:numId w:val="12"/>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防水:IP67</w:t>
      </w:r>
      <w:r>
        <w:rPr>
          <w:rFonts w:hint="eastAsia" w:asciiTheme="minorEastAsia" w:hAnsiTheme="minorEastAsia" w:eastAsiaTheme="minorEastAsia" w:cstheme="minorEastAsia"/>
          <w:color w:val="000000"/>
          <w:kern w:val="0"/>
          <w:sz w:val="24"/>
          <w:szCs w:val="24"/>
          <w:lang w:eastAsia="zh-CN"/>
        </w:rPr>
        <w:t>。</w:t>
      </w:r>
    </w:p>
    <w:p w14:paraId="1DD1258C">
      <w:pPr>
        <w:pageBreakBefore w:val="0"/>
        <w:numPr>
          <w:ilvl w:val="0"/>
          <w:numId w:val="12"/>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计步器精度:3-5%</w:t>
      </w:r>
      <w:r>
        <w:rPr>
          <w:rFonts w:hint="eastAsia" w:asciiTheme="minorEastAsia" w:hAnsiTheme="minorEastAsia" w:eastAsiaTheme="minorEastAsia" w:cstheme="minorEastAsia"/>
          <w:color w:val="000000"/>
          <w:kern w:val="0"/>
          <w:sz w:val="24"/>
          <w:szCs w:val="24"/>
          <w:lang w:eastAsia="zh-CN"/>
        </w:rPr>
        <w:t>。</w:t>
      </w:r>
    </w:p>
    <w:p w14:paraId="65F5BAC8">
      <w:pPr>
        <w:pageBreakBefore w:val="0"/>
        <w:numPr>
          <w:ilvl w:val="0"/>
          <w:numId w:val="12"/>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数据记录器:48小时心率和7天步数和卡路里(LORA传输)</w:t>
      </w:r>
      <w:r>
        <w:rPr>
          <w:rFonts w:hint="eastAsia" w:asciiTheme="minorEastAsia" w:hAnsiTheme="minorEastAsia" w:eastAsiaTheme="minorEastAsia" w:cstheme="minorEastAsia"/>
          <w:color w:val="000000"/>
          <w:kern w:val="0"/>
          <w:sz w:val="24"/>
          <w:szCs w:val="24"/>
          <w:lang w:eastAsia="zh-CN"/>
        </w:rPr>
        <w:t>。</w:t>
      </w:r>
    </w:p>
    <w:p w14:paraId="5E4C08C4">
      <w:pPr>
        <w:pageBreakBefore w:val="0"/>
        <w:numPr>
          <w:ilvl w:val="0"/>
          <w:numId w:val="12"/>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应用支持</w:t>
      </w:r>
    </w:p>
    <w:p w14:paraId="74D7C70C">
      <w:pPr>
        <w:pageBreakBefore w:val="0"/>
        <w:numPr>
          <w:ilvl w:val="0"/>
          <w:numId w:val="17"/>
        </w:numPr>
        <w:kinsoku/>
        <w:wordWrap/>
        <w:overflowPunct/>
        <w:topLinePunct w:val="0"/>
        <w:autoSpaceDE/>
        <w:autoSpaceDN/>
        <w:bidi w:val="0"/>
        <w:adjustRightInd/>
        <w:snapToGrid/>
        <w:spacing w:line="360" w:lineRule="auto"/>
        <w:ind w:left="143" w:leftChars="0"/>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提供软件开发工具包/协议</w:t>
      </w:r>
      <w:r>
        <w:rPr>
          <w:rFonts w:hint="eastAsia" w:asciiTheme="minorEastAsia" w:hAnsiTheme="minorEastAsia" w:eastAsiaTheme="minorEastAsia" w:cstheme="minorEastAsia"/>
          <w:color w:val="000000"/>
          <w:kern w:val="0"/>
          <w:sz w:val="24"/>
          <w:szCs w:val="24"/>
          <w:lang w:eastAsia="zh-CN"/>
        </w:rPr>
        <w:t>。</w:t>
      </w:r>
    </w:p>
    <w:p w14:paraId="06049B92">
      <w:pPr>
        <w:pageBreakBefore w:val="0"/>
        <w:numPr>
          <w:ilvl w:val="0"/>
          <w:numId w:val="17"/>
        </w:numPr>
        <w:kinsoku/>
        <w:wordWrap/>
        <w:overflowPunct/>
        <w:topLinePunct w:val="0"/>
        <w:autoSpaceDE/>
        <w:autoSpaceDN/>
        <w:bidi w:val="0"/>
        <w:adjustRightInd/>
        <w:snapToGrid/>
        <w:spacing w:line="360" w:lineRule="auto"/>
        <w:ind w:left="143" w:left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兼容:Wahoo,Polar Beat</w:t>
      </w:r>
      <w:r>
        <w:rPr>
          <w:rFonts w:hint="eastAsia" w:asciiTheme="minorEastAsia" w:hAnsiTheme="minorEastAsia" w:eastAsiaTheme="minorEastAsia" w:cstheme="minorEastAsia"/>
          <w:color w:val="000000"/>
          <w:kern w:val="0"/>
          <w:sz w:val="24"/>
          <w:szCs w:val="24"/>
          <w:lang w:eastAsia="zh-CN"/>
        </w:rPr>
        <w:t>。</w:t>
      </w:r>
    </w:p>
    <w:p w14:paraId="04CAC7A1">
      <w:pPr>
        <w:pageBreakBefore w:val="0"/>
        <w:numPr>
          <w:ilvl w:val="0"/>
          <w:numId w:val="12"/>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外形、规格</w:t>
      </w:r>
    </w:p>
    <w:p w14:paraId="0A751321">
      <w:pPr>
        <w:pageBreakBefore w:val="0"/>
        <w:widowControl/>
        <w:numPr>
          <w:ilvl w:val="0"/>
          <w:numId w:val="18"/>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材料和颜色</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材质:ABS；颜色:黑色</w:t>
      </w:r>
      <w:r>
        <w:rPr>
          <w:rFonts w:hint="eastAsia" w:asciiTheme="minorEastAsia" w:hAnsiTheme="minorEastAsia" w:eastAsiaTheme="minorEastAsia" w:cstheme="minorEastAsia"/>
          <w:color w:val="000000"/>
          <w:kern w:val="0"/>
          <w:sz w:val="24"/>
          <w:szCs w:val="24"/>
          <w:lang w:eastAsia="zh-CN"/>
        </w:rPr>
        <w:t>。</w:t>
      </w:r>
    </w:p>
    <w:p w14:paraId="4E51641D">
      <w:pPr>
        <w:pageBreakBefore w:val="0"/>
        <w:widowControl/>
        <w:numPr>
          <w:ilvl w:val="0"/>
          <w:numId w:val="18"/>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尺寸:47.8×43.7×15.5允差≦10mm</w:t>
      </w:r>
      <w:r>
        <w:rPr>
          <w:rFonts w:hint="eastAsia" w:asciiTheme="minorEastAsia" w:hAnsiTheme="minorEastAsia" w:eastAsiaTheme="minorEastAsia" w:cstheme="minorEastAsia"/>
          <w:color w:val="000000"/>
          <w:kern w:val="0"/>
          <w:sz w:val="24"/>
          <w:szCs w:val="24"/>
          <w:lang w:eastAsia="zh-CN"/>
        </w:rPr>
        <w:t>。</w:t>
      </w:r>
    </w:p>
    <w:p w14:paraId="041E3028">
      <w:pPr>
        <w:pageBreakBefore w:val="0"/>
        <w:widowControl/>
        <w:numPr>
          <w:ilvl w:val="0"/>
          <w:numId w:val="18"/>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表带长度:350毫米允差≦100mm</w:t>
      </w:r>
      <w:r>
        <w:rPr>
          <w:rFonts w:hint="eastAsia" w:asciiTheme="minorEastAsia" w:hAnsiTheme="minorEastAsia" w:eastAsiaTheme="minorEastAsia" w:cstheme="minorEastAsia"/>
          <w:color w:val="000000"/>
          <w:kern w:val="0"/>
          <w:sz w:val="24"/>
          <w:szCs w:val="24"/>
          <w:lang w:eastAsia="zh-CN"/>
        </w:rPr>
        <w:t>。</w:t>
      </w:r>
    </w:p>
    <w:p w14:paraId="70343890">
      <w:pPr>
        <w:pageBreakBefore w:val="0"/>
        <w:widowControl/>
        <w:numPr>
          <w:ilvl w:val="0"/>
          <w:numId w:val="18"/>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重量:15g允差≦10g</w:t>
      </w:r>
      <w:r>
        <w:rPr>
          <w:rFonts w:hint="eastAsia" w:asciiTheme="minorEastAsia" w:hAnsiTheme="minorEastAsia" w:eastAsiaTheme="minorEastAsia" w:cstheme="minorEastAsia"/>
          <w:color w:val="000000"/>
          <w:kern w:val="0"/>
          <w:sz w:val="24"/>
          <w:szCs w:val="24"/>
          <w:lang w:eastAsia="zh-CN"/>
        </w:rPr>
        <w:t>。</w:t>
      </w:r>
    </w:p>
    <w:p w14:paraId="0A077888">
      <w:pPr>
        <w:pageBreakBefore w:val="0"/>
        <w:numPr>
          <w:ilvl w:val="0"/>
          <w:numId w:val="12"/>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▲带显示屏，可以实时显示穿戴的运动员名字和对应的实时心率。（投标时提供彩色图片证明）</w:t>
      </w:r>
    </w:p>
    <w:p w14:paraId="530A6C0C">
      <w:pPr>
        <w:pageBreakBefore w:val="0"/>
        <w:numPr>
          <w:ilvl w:val="0"/>
          <w:numId w:val="12"/>
        </w:numPr>
        <w:kinsoku/>
        <w:wordWrap/>
        <w:overflowPunct/>
        <w:topLinePunct w:val="0"/>
        <w:autoSpaceDE/>
        <w:autoSpaceDN/>
        <w:bidi w:val="0"/>
        <w:adjustRightInd/>
        <w:snapToGrid/>
        <w:spacing w:line="360" w:lineRule="auto"/>
        <w:ind w:left="0" w:leftChars="0" w:firstLine="285" w:firstLineChars="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000000"/>
          <w:kern w:val="0"/>
          <w:sz w:val="24"/>
          <w:szCs w:val="24"/>
        </w:rPr>
        <w:t>每56个智能心率手表联网组成智能心率系统</w:t>
      </w:r>
      <w:r>
        <w:rPr>
          <w:rFonts w:hint="eastAsia" w:asciiTheme="minorEastAsia" w:hAnsiTheme="minorEastAsia" w:eastAsiaTheme="minorEastAsia" w:cstheme="minorEastAsia"/>
          <w:color w:val="000000"/>
          <w:kern w:val="0"/>
          <w:sz w:val="24"/>
          <w:szCs w:val="24"/>
          <w:lang w:eastAsia="zh-CN"/>
        </w:rPr>
        <w:t>。</w:t>
      </w:r>
      <w:bookmarkStart w:id="23" w:name="_Toc23086"/>
    </w:p>
    <w:p w14:paraId="02A590CD">
      <w:pPr>
        <w:pStyle w:val="2"/>
        <w:pageBreakBefore w:val="0"/>
        <w:kinsoku/>
        <w:wordWrap/>
        <w:overflowPunct/>
        <w:topLinePunct w:val="0"/>
        <w:autoSpaceDE/>
        <w:autoSpaceDN/>
        <w:bidi w:val="0"/>
        <w:adjustRightInd/>
        <w:snapToGrid/>
        <w:spacing w:before="0" w:line="360" w:lineRule="auto"/>
        <w:jc w:val="center"/>
        <w:textAlignment w:val="auto"/>
        <w:rPr>
          <w:rFonts w:hint="eastAsia" w:asciiTheme="minorEastAsia" w:hAnsiTheme="minorEastAsia" w:eastAsiaTheme="minorEastAsia" w:cstheme="minorEastAsia"/>
          <w:bCs/>
          <w:sz w:val="24"/>
          <w:szCs w:val="24"/>
        </w:rPr>
      </w:pPr>
      <w:r>
        <w:rPr>
          <w:rStyle w:val="21"/>
          <w:rFonts w:hint="eastAsia" w:asciiTheme="minorEastAsia" w:hAnsiTheme="minorEastAsia" w:eastAsiaTheme="minorEastAsia" w:cstheme="minorEastAsia"/>
          <w:b/>
          <w:sz w:val="24"/>
          <w:szCs w:val="24"/>
        </w:rPr>
        <w:br w:type="page"/>
      </w:r>
      <w:bookmarkStart w:id="24" w:name="_Toc3186"/>
      <w:r>
        <w:rPr>
          <w:rStyle w:val="21"/>
          <w:rFonts w:hint="eastAsia" w:asciiTheme="minorEastAsia" w:hAnsiTheme="minorEastAsia" w:eastAsiaTheme="minorEastAsia" w:cstheme="minorEastAsia"/>
          <w:b/>
          <w:sz w:val="36"/>
          <w:szCs w:val="21"/>
        </w:rPr>
        <w:t xml:space="preserve">第三篇  </w:t>
      </w:r>
      <w:bookmarkEnd w:id="22"/>
      <w:r>
        <w:rPr>
          <w:rStyle w:val="21"/>
          <w:rFonts w:hint="eastAsia" w:asciiTheme="minorEastAsia" w:hAnsiTheme="minorEastAsia" w:eastAsiaTheme="minorEastAsia" w:cstheme="minorEastAsia"/>
          <w:b/>
          <w:sz w:val="36"/>
          <w:szCs w:val="21"/>
        </w:rPr>
        <w:t>项目商务需求</w:t>
      </w:r>
      <w:bookmarkEnd w:id="23"/>
      <w:bookmarkEnd w:id="24"/>
      <w:bookmarkStart w:id="25" w:name="_Toc30681"/>
      <w:bookmarkStart w:id="26" w:name="_Toc531164538"/>
      <w:bookmarkStart w:id="27" w:name="_Toc19883"/>
    </w:p>
    <w:bookmarkEnd w:id="25"/>
    <w:bookmarkEnd w:id="26"/>
    <w:bookmarkEnd w:id="27"/>
    <w:p w14:paraId="413EA888">
      <w:pPr>
        <w:numPr>
          <w:ilvl w:val="0"/>
          <w:numId w:val="19"/>
        </w:numPr>
        <w:snapToGrid w:val="0"/>
        <w:spacing w:line="360" w:lineRule="auto"/>
        <w:rPr>
          <w:rStyle w:val="25"/>
          <w:rFonts w:hint="eastAsia" w:asciiTheme="minorEastAsia" w:hAnsiTheme="minorEastAsia" w:eastAsiaTheme="minorEastAsia" w:cstheme="minorEastAsia"/>
          <w:b/>
          <w:sz w:val="24"/>
          <w:szCs w:val="24"/>
        </w:rPr>
      </w:pPr>
      <w:bookmarkStart w:id="28" w:name="_Toc344475125"/>
      <w:bookmarkStart w:id="29" w:name="_Toc22463"/>
      <w:bookmarkStart w:id="30" w:name="_Toc487204790"/>
      <w:bookmarkStart w:id="31" w:name="_Toc15269"/>
      <w:bookmarkStart w:id="32" w:name="_Toc344475121"/>
      <w:bookmarkStart w:id="33" w:name="_Toc267320053"/>
      <w:r>
        <w:rPr>
          <w:rStyle w:val="25"/>
          <w:rFonts w:hint="eastAsia" w:asciiTheme="minorEastAsia" w:hAnsiTheme="minorEastAsia" w:eastAsiaTheme="minorEastAsia" w:cstheme="minorEastAsia"/>
          <w:b/>
          <w:sz w:val="24"/>
          <w:szCs w:val="24"/>
        </w:rPr>
        <w:t>交货时间及要求：</w:t>
      </w:r>
    </w:p>
    <w:p w14:paraId="5EE71F78">
      <w:pPr>
        <w:snapToGrid w:val="0"/>
        <w:spacing w:line="360" w:lineRule="auto"/>
        <w:ind w:left="560"/>
        <w:rPr>
          <w:rStyle w:val="25"/>
          <w:rFonts w:hint="eastAsia" w:asciiTheme="minorEastAsia" w:hAnsiTheme="minorEastAsia" w:eastAsiaTheme="minorEastAsia" w:cstheme="minorEastAsia"/>
          <w:sz w:val="24"/>
          <w:szCs w:val="24"/>
        </w:rPr>
      </w:pPr>
      <w:r>
        <w:rPr>
          <w:rStyle w:val="25"/>
          <w:rFonts w:hint="eastAsia" w:asciiTheme="minorEastAsia" w:hAnsiTheme="minorEastAsia" w:eastAsiaTheme="minorEastAsia" w:cstheme="minorEastAsia"/>
          <w:sz w:val="24"/>
          <w:szCs w:val="24"/>
        </w:rPr>
        <w:t>1.交货地点：采购人指定地点，并负责安装调试。</w:t>
      </w:r>
    </w:p>
    <w:p w14:paraId="325CFB14">
      <w:pPr>
        <w:snapToGrid w:val="0"/>
        <w:spacing w:line="360" w:lineRule="auto"/>
        <w:ind w:left="560"/>
        <w:rPr>
          <w:rStyle w:val="25"/>
          <w:rFonts w:hint="eastAsia" w:asciiTheme="minorEastAsia" w:hAnsiTheme="minorEastAsia" w:eastAsiaTheme="minorEastAsia" w:cstheme="minorEastAsia"/>
          <w:sz w:val="24"/>
          <w:szCs w:val="24"/>
        </w:rPr>
      </w:pPr>
      <w:r>
        <w:rPr>
          <w:rStyle w:val="25"/>
          <w:rFonts w:hint="eastAsia" w:asciiTheme="minorEastAsia" w:hAnsiTheme="minorEastAsia" w:eastAsiaTheme="minorEastAsia" w:cstheme="minorEastAsia"/>
          <w:sz w:val="24"/>
          <w:szCs w:val="24"/>
        </w:rPr>
        <w:t>2.交货方式、交货期：采购人指定地点，并负责安装调试。</w:t>
      </w:r>
    </w:p>
    <w:p w14:paraId="2E2136F6">
      <w:pPr>
        <w:snapToGrid w:val="0"/>
        <w:spacing w:line="360" w:lineRule="auto"/>
        <w:ind w:firstLine="470" w:firstLineChars="196"/>
        <w:rPr>
          <w:rStyle w:val="25"/>
          <w:rFonts w:hint="eastAsia" w:asciiTheme="minorEastAsia" w:hAnsiTheme="minorEastAsia" w:eastAsiaTheme="minorEastAsia" w:cstheme="minorEastAsia"/>
          <w:sz w:val="24"/>
          <w:szCs w:val="24"/>
        </w:rPr>
      </w:pPr>
      <w:r>
        <w:rPr>
          <w:rStyle w:val="25"/>
          <w:rFonts w:hint="eastAsia" w:asciiTheme="minorEastAsia" w:hAnsiTheme="minorEastAsia" w:eastAsiaTheme="minorEastAsia" w:cstheme="minorEastAsia"/>
          <w:sz w:val="24"/>
          <w:szCs w:val="24"/>
        </w:rPr>
        <w:t>供应商自行运输货物到指定地点，成交供应商须于合同签订后15个工作日内完成本项目设备交货、安装调试。（采购人要求延期除外）。</w:t>
      </w:r>
    </w:p>
    <w:p w14:paraId="1D35F1E7">
      <w:pPr>
        <w:snapToGrid w:val="0"/>
        <w:spacing w:line="360" w:lineRule="auto"/>
        <w:ind w:firstLine="589"/>
        <w:rPr>
          <w:rStyle w:val="25"/>
          <w:rFonts w:hint="eastAsia" w:asciiTheme="minorEastAsia" w:hAnsiTheme="minorEastAsia" w:eastAsiaTheme="minorEastAsia" w:cstheme="minorEastAsia"/>
          <w:b/>
          <w:sz w:val="24"/>
          <w:szCs w:val="24"/>
        </w:rPr>
      </w:pPr>
      <w:r>
        <w:rPr>
          <w:rStyle w:val="25"/>
          <w:rFonts w:hint="eastAsia" w:asciiTheme="minorEastAsia" w:hAnsiTheme="minorEastAsia" w:eastAsiaTheme="minorEastAsia" w:cstheme="minorEastAsia"/>
          <w:b/>
          <w:sz w:val="24"/>
          <w:szCs w:val="24"/>
        </w:rPr>
        <w:t>二、安装调试及验收：</w:t>
      </w:r>
    </w:p>
    <w:p w14:paraId="2751E099">
      <w:pPr>
        <w:snapToGrid w:val="0"/>
        <w:spacing w:line="360" w:lineRule="auto"/>
        <w:ind w:firstLine="470" w:firstLineChars="196"/>
        <w:rPr>
          <w:rStyle w:val="25"/>
          <w:rFonts w:hint="eastAsia" w:asciiTheme="minorEastAsia" w:hAnsiTheme="minorEastAsia" w:eastAsiaTheme="minorEastAsia" w:cstheme="minorEastAsia"/>
          <w:sz w:val="24"/>
          <w:szCs w:val="24"/>
        </w:rPr>
      </w:pPr>
      <w:r>
        <w:rPr>
          <w:rStyle w:val="25"/>
          <w:rFonts w:hint="eastAsia" w:asciiTheme="minorEastAsia" w:hAnsiTheme="minorEastAsia" w:eastAsiaTheme="minorEastAsia" w:cstheme="minorEastAsia"/>
          <w:sz w:val="24"/>
          <w:szCs w:val="24"/>
        </w:rPr>
        <w:t>本项目采购所有设备均需安装调试。</w:t>
      </w:r>
    </w:p>
    <w:p w14:paraId="41199BC1">
      <w:pPr>
        <w:snapToGrid w:val="0"/>
        <w:spacing w:line="360" w:lineRule="auto"/>
        <w:ind w:firstLine="470" w:firstLineChars="196"/>
        <w:rPr>
          <w:rStyle w:val="25"/>
          <w:rFonts w:hint="eastAsia" w:asciiTheme="minorEastAsia" w:hAnsiTheme="minorEastAsia" w:eastAsiaTheme="minorEastAsia" w:cstheme="minorEastAsia"/>
          <w:sz w:val="24"/>
          <w:szCs w:val="24"/>
        </w:rPr>
      </w:pPr>
      <w:r>
        <w:rPr>
          <w:rStyle w:val="25"/>
          <w:rFonts w:hint="eastAsia" w:asciiTheme="minorEastAsia" w:hAnsiTheme="minorEastAsia" w:eastAsiaTheme="minorEastAsia" w:cstheme="minorEastAsia"/>
          <w:sz w:val="24"/>
          <w:szCs w:val="24"/>
        </w:rPr>
        <w:t>货物验收由采购人严格按照</w:t>
      </w:r>
      <w:r>
        <w:rPr>
          <w:rStyle w:val="25"/>
          <w:rFonts w:hint="eastAsia" w:asciiTheme="minorEastAsia" w:hAnsiTheme="minorEastAsia" w:eastAsiaTheme="minorEastAsia" w:cstheme="minorEastAsia"/>
          <w:sz w:val="24"/>
          <w:szCs w:val="24"/>
          <w:lang w:eastAsia="zh-CN"/>
        </w:rPr>
        <w:t>竞争性比选文件</w:t>
      </w:r>
      <w:r>
        <w:rPr>
          <w:rStyle w:val="25"/>
          <w:rFonts w:hint="eastAsia" w:asciiTheme="minorEastAsia" w:hAnsiTheme="minorEastAsia" w:eastAsiaTheme="minorEastAsia" w:cstheme="minorEastAsia"/>
          <w:sz w:val="24"/>
          <w:szCs w:val="24"/>
        </w:rPr>
        <w:t>上的技术要求进行验收。安装完毕后，采购人在3个工作日内，严格按照</w:t>
      </w:r>
      <w:r>
        <w:rPr>
          <w:rStyle w:val="25"/>
          <w:rFonts w:hint="eastAsia" w:asciiTheme="minorEastAsia" w:hAnsiTheme="minorEastAsia" w:eastAsiaTheme="minorEastAsia" w:cstheme="minorEastAsia"/>
          <w:sz w:val="24"/>
          <w:szCs w:val="24"/>
          <w:lang w:eastAsia="zh-CN"/>
        </w:rPr>
        <w:t>竞争性比选文件</w:t>
      </w:r>
      <w:r>
        <w:rPr>
          <w:rStyle w:val="25"/>
          <w:rFonts w:hint="eastAsia" w:asciiTheme="minorEastAsia" w:hAnsiTheme="minorEastAsia" w:eastAsiaTheme="minorEastAsia" w:cstheme="minorEastAsia"/>
          <w:sz w:val="24"/>
          <w:szCs w:val="24"/>
        </w:rPr>
        <w:t>上的技术要求进行验收，如验收未达到规定要求，供应商承担一切责任，并赔偿所造成的一切损失。签订合同时，样式数量及规格若有相应增减，供应商应以响应单价为基准价根据实际增减进行结算。</w:t>
      </w:r>
    </w:p>
    <w:p w14:paraId="1CC3E292">
      <w:pPr>
        <w:snapToGrid w:val="0"/>
        <w:spacing w:line="360" w:lineRule="auto"/>
        <w:ind w:firstLine="480" w:firstLineChars="200"/>
        <w:rPr>
          <w:rStyle w:val="25"/>
          <w:rFonts w:hint="eastAsia" w:asciiTheme="minorEastAsia" w:hAnsiTheme="minorEastAsia" w:eastAsiaTheme="minorEastAsia" w:cstheme="minorEastAsia"/>
          <w:sz w:val="24"/>
          <w:szCs w:val="24"/>
        </w:rPr>
      </w:pPr>
      <w:r>
        <w:rPr>
          <w:rStyle w:val="25"/>
          <w:rFonts w:hint="eastAsia" w:asciiTheme="minorEastAsia" w:hAnsiTheme="minorEastAsia" w:eastAsiaTheme="minorEastAsia" w:cstheme="minorEastAsia"/>
          <w:sz w:val="24"/>
          <w:szCs w:val="24"/>
        </w:rPr>
        <w:t>验收方法：</w:t>
      </w:r>
    </w:p>
    <w:p w14:paraId="1254CD42">
      <w:pPr>
        <w:snapToGrid w:val="0"/>
        <w:spacing w:line="360" w:lineRule="auto"/>
        <w:ind w:firstLine="480" w:firstLineChars="200"/>
        <w:rPr>
          <w:rStyle w:val="25"/>
          <w:rFonts w:hint="eastAsia" w:asciiTheme="minorEastAsia" w:hAnsiTheme="minorEastAsia" w:eastAsiaTheme="minorEastAsia" w:cstheme="minorEastAsia"/>
          <w:sz w:val="24"/>
          <w:szCs w:val="24"/>
        </w:rPr>
      </w:pPr>
      <w:r>
        <w:rPr>
          <w:rStyle w:val="25"/>
          <w:rFonts w:hint="eastAsia" w:asciiTheme="minorEastAsia" w:hAnsiTheme="minorEastAsia" w:eastAsiaTheme="minorEastAsia" w:cstheme="minorEastAsia"/>
          <w:sz w:val="24"/>
          <w:szCs w:val="24"/>
        </w:rPr>
        <w:t>项目竣工并调试完成并经使用单位试用合格后，由成交供应商提出申请，由甲方组织工程验收。设备齐全、布线规范、设备运行正常。</w:t>
      </w:r>
    </w:p>
    <w:p w14:paraId="1043255E">
      <w:pPr>
        <w:snapToGrid w:val="0"/>
        <w:spacing w:line="360" w:lineRule="auto"/>
        <w:ind w:firstLine="589"/>
        <w:rPr>
          <w:rStyle w:val="25"/>
          <w:rFonts w:hint="eastAsia" w:asciiTheme="minorEastAsia" w:hAnsiTheme="minorEastAsia" w:eastAsiaTheme="minorEastAsia" w:cstheme="minorEastAsia"/>
          <w:b/>
          <w:sz w:val="24"/>
          <w:szCs w:val="24"/>
        </w:rPr>
      </w:pPr>
      <w:r>
        <w:rPr>
          <w:rStyle w:val="25"/>
          <w:rFonts w:hint="eastAsia" w:asciiTheme="minorEastAsia" w:hAnsiTheme="minorEastAsia" w:eastAsiaTheme="minorEastAsia" w:cstheme="minorEastAsia"/>
          <w:b/>
          <w:sz w:val="24"/>
          <w:szCs w:val="24"/>
        </w:rPr>
        <w:t>三、质量保证及售后服务内容：</w:t>
      </w:r>
    </w:p>
    <w:p w14:paraId="06570236">
      <w:pPr>
        <w:snapToGrid w:val="0"/>
        <w:spacing w:line="360" w:lineRule="auto"/>
        <w:ind w:firstLine="480" w:firstLineChars="200"/>
        <w:jc w:val="left"/>
        <w:rPr>
          <w:rStyle w:val="25"/>
          <w:rFonts w:hint="eastAsia" w:asciiTheme="minorEastAsia" w:hAnsiTheme="minorEastAsia" w:eastAsiaTheme="minorEastAsia" w:cstheme="minorEastAsia"/>
          <w:kern w:val="0"/>
          <w:sz w:val="24"/>
          <w:szCs w:val="24"/>
        </w:rPr>
      </w:pPr>
      <w:r>
        <w:rPr>
          <w:rStyle w:val="25"/>
          <w:rFonts w:hint="eastAsia" w:asciiTheme="minorEastAsia" w:hAnsiTheme="minorEastAsia" w:eastAsiaTheme="minorEastAsia" w:cstheme="minorEastAsia"/>
          <w:kern w:val="0"/>
          <w:sz w:val="24"/>
          <w:szCs w:val="24"/>
        </w:rPr>
        <w:t>1.项目整体质保1年。</w:t>
      </w:r>
    </w:p>
    <w:p w14:paraId="747E64F4">
      <w:pPr>
        <w:snapToGrid w:val="0"/>
        <w:spacing w:line="360" w:lineRule="auto"/>
        <w:ind w:firstLine="480" w:firstLineChars="200"/>
        <w:rPr>
          <w:rStyle w:val="25"/>
          <w:rFonts w:hint="eastAsia" w:asciiTheme="minorEastAsia" w:hAnsiTheme="minorEastAsia" w:eastAsiaTheme="minorEastAsia" w:cstheme="minorEastAsia"/>
          <w:kern w:val="0"/>
          <w:sz w:val="24"/>
          <w:szCs w:val="24"/>
        </w:rPr>
      </w:pPr>
      <w:r>
        <w:rPr>
          <w:rStyle w:val="25"/>
          <w:rFonts w:hint="eastAsia" w:asciiTheme="minorEastAsia" w:hAnsiTheme="minorEastAsia" w:eastAsiaTheme="minorEastAsia" w:cstheme="minorEastAsia"/>
          <w:kern w:val="0"/>
          <w:sz w:val="24"/>
          <w:szCs w:val="24"/>
        </w:rPr>
        <w:t>2.质保期外服务要求：成交供应商提供本项目所有产品的售后服务，并承诺提供产品上门维护服务；采购人需要继续由成交供应商提供售后服务的，成交供应商应以成本价格提供售后服务；成交供应商负责设备的终身维修及零配件的及时供应，维修费先修理后付款，零配件的购买先交货后付款。设备的质保、维修保养服务内容响应供应商应在响应文件中详细报出。</w:t>
      </w:r>
    </w:p>
    <w:p w14:paraId="54F65213">
      <w:pPr>
        <w:snapToGrid w:val="0"/>
        <w:spacing w:line="360" w:lineRule="auto"/>
        <w:ind w:firstLine="480" w:firstLineChars="200"/>
        <w:rPr>
          <w:rStyle w:val="25"/>
          <w:rFonts w:hint="eastAsia" w:asciiTheme="minorEastAsia" w:hAnsiTheme="minorEastAsia" w:eastAsiaTheme="minorEastAsia" w:cstheme="minorEastAsia"/>
          <w:kern w:val="0"/>
          <w:sz w:val="24"/>
          <w:szCs w:val="24"/>
        </w:rPr>
      </w:pPr>
      <w:r>
        <w:rPr>
          <w:rStyle w:val="25"/>
          <w:rFonts w:hint="eastAsia" w:asciiTheme="minorEastAsia" w:hAnsiTheme="minorEastAsia" w:eastAsiaTheme="minorEastAsia" w:cstheme="minorEastAsia"/>
          <w:kern w:val="0"/>
          <w:sz w:val="24"/>
          <w:szCs w:val="24"/>
        </w:rPr>
        <w:t>3.在接到采购人要求对所购设备进行维修的通知后，4小时内派合格的维修工程师到达用户现场进行维修。质保期满后只收取维修配件费，不收其他费用。维修应先修理后付款，零配件的购买应先交货后付款。</w:t>
      </w:r>
    </w:p>
    <w:p w14:paraId="052E70D0">
      <w:pPr>
        <w:snapToGrid w:val="0"/>
        <w:spacing w:line="360" w:lineRule="auto"/>
        <w:ind w:firstLine="480" w:firstLineChars="200"/>
        <w:rPr>
          <w:rStyle w:val="25"/>
          <w:rFonts w:hint="eastAsia" w:asciiTheme="minorEastAsia" w:hAnsiTheme="minorEastAsia" w:eastAsiaTheme="minorEastAsia" w:cstheme="minorEastAsia"/>
          <w:kern w:val="0"/>
          <w:sz w:val="24"/>
          <w:szCs w:val="24"/>
        </w:rPr>
      </w:pPr>
      <w:r>
        <w:rPr>
          <w:rStyle w:val="25"/>
          <w:rFonts w:hint="eastAsia" w:asciiTheme="minorEastAsia" w:hAnsiTheme="minorEastAsia" w:eastAsiaTheme="minorEastAsia" w:cstheme="minorEastAsia"/>
          <w:kern w:val="0"/>
          <w:sz w:val="24"/>
          <w:szCs w:val="24"/>
        </w:rPr>
        <w:t>4.为保证售后服务质量和时效性,供应商应在本地有专门的售后服务机构，并对用户提供质保期内的培训及质保期后的咨询。</w:t>
      </w:r>
    </w:p>
    <w:p w14:paraId="7AD09231">
      <w:pPr>
        <w:snapToGrid w:val="0"/>
        <w:spacing w:line="360" w:lineRule="auto"/>
        <w:ind w:firstLine="589"/>
        <w:rPr>
          <w:rStyle w:val="25"/>
          <w:rFonts w:hint="eastAsia" w:asciiTheme="minorEastAsia" w:hAnsiTheme="minorEastAsia" w:eastAsiaTheme="minorEastAsia" w:cstheme="minorEastAsia"/>
          <w:b/>
          <w:sz w:val="24"/>
          <w:szCs w:val="24"/>
        </w:rPr>
      </w:pPr>
      <w:r>
        <w:rPr>
          <w:rStyle w:val="25"/>
          <w:rFonts w:hint="eastAsia" w:asciiTheme="minorEastAsia" w:hAnsiTheme="minorEastAsia" w:eastAsiaTheme="minorEastAsia" w:cstheme="minorEastAsia"/>
          <w:b/>
          <w:sz w:val="24"/>
          <w:szCs w:val="24"/>
        </w:rPr>
        <w:t>四、货款的结算</w:t>
      </w:r>
    </w:p>
    <w:p w14:paraId="50892D3A">
      <w:pPr>
        <w:snapToGrid w:val="0"/>
        <w:spacing w:line="360" w:lineRule="auto"/>
        <w:ind w:firstLine="57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（一）结算依据：采购合同、乙方销售发票、甲方出具的验收合格通知书。</w:t>
      </w:r>
    </w:p>
    <w:p w14:paraId="522876EF">
      <w:pPr>
        <w:snapToGrid w:val="0"/>
        <w:spacing w:line="360" w:lineRule="auto"/>
        <w:ind w:firstLine="57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（二）结算方式：设备安装调试完成且通过综合验收合格后，甲方一次性支付合同总金额100%。</w:t>
      </w:r>
    </w:p>
    <w:p w14:paraId="7DE0B4D9">
      <w:pPr>
        <w:snapToGrid w:val="0"/>
        <w:spacing w:line="360" w:lineRule="auto"/>
        <w:ind w:firstLine="570"/>
        <w:rPr>
          <w:rStyle w:val="25"/>
          <w:rFonts w:hint="eastAsia" w:asciiTheme="minorEastAsia" w:hAnsiTheme="minorEastAsia" w:eastAsiaTheme="minorEastAsia" w:cstheme="minorEastAsia"/>
          <w:b/>
          <w:sz w:val="24"/>
          <w:szCs w:val="24"/>
        </w:rPr>
      </w:pPr>
      <w:r>
        <w:rPr>
          <w:rStyle w:val="25"/>
          <w:rFonts w:hint="eastAsia" w:asciiTheme="minorEastAsia" w:hAnsiTheme="minorEastAsia" w:eastAsiaTheme="minorEastAsia" w:cstheme="minorEastAsia"/>
          <w:b/>
          <w:sz w:val="24"/>
          <w:szCs w:val="24"/>
        </w:rPr>
        <w:t>五、合同的签订</w:t>
      </w:r>
    </w:p>
    <w:p w14:paraId="19C8080D">
      <w:pPr>
        <w:snapToGrid w:val="0"/>
        <w:spacing w:line="360" w:lineRule="auto"/>
        <w:ind w:firstLine="480" w:firstLineChars="200"/>
        <w:rPr>
          <w:rStyle w:val="25"/>
          <w:rFonts w:hint="eastAsia" w:asciiTheme="minorEastAsia" w:hAnsiTheme="minorEastAsia" w:eastAsiaTheme="minorEastAsia" w:cstheme="minorEastAsia"/>
          <w:sz w:val="24"/>
          <w:szCs w:val="24"/>
        </w:rPr>
      </w:pPr>
      <w:r>
        <w:rPr>
          <w:rStyle w:val="25"/>
          <w:rFonts w:hint="eastAsia" w:asciiTheme="minorEastAsia" w:hAnsiTheme="minorEastAsia" w:eastAsiaTheme="minorEastAsia" w:cstheme="minorEastAsia"/>
          <w:sz w:val="24"/>
          <w:szCs w:val="24"/>
        </w:rPr>
        <w:t>成交供应商凭《成交通知书》与采购人签订合同。</w:t>
      </w:r>
    </w:p>
    <w:p w14:paraId="1CCBBD0B">
      <w:pPr>
        <w:snapToGrid w:val="0"/>
        <w:spacing w:line="360" w:lineRule="auto"/>
        <w:ind w:firstLine="589"/>
        <w:rPr>
          <w:rStyle w:val="25"/>
          <w:rFonts w:hint="eastAsia" w:asciiTheme="minorEastAsia" w:hAnsiTheme="minorEastAsia" w:eastAsiaTheme="minorEastAsia" w:cstheme="minorEastAsia"/>
          <w:b/>
          <w:sz w:val="24"/>
          <w:szCs w:val="24"/>
        </w:rPr>
      </w:pPr>
      <w:r>
        <w:rPr>
          <w:rStyle w:val="25"/>
          <w:rFonts w:hint="eastAsia" w:asciiTheme="minorEastAsia" w:hAnsiTheme="minorEastAsia" w:eastAsiaTheme="minorEastAsia" w:cstheme="minorEastAsia"/>
          <w:b/>
          <w:sz w:val="24"/>
          <w:szCs w:val="24"/>
        </w:rPr>
        <w:t>六、付款单位</w:t>
      </w:r>
    </w:p>
    <w:p w14:paraId="6AEF1495">
      <w:pPr>
        <w:snapToGrid w:val="0"/>
        <w:spacing w:line="360" w:lineRule="auto"/>
        <w:ind w:firstLine="540"/>
        <w:rPr>
          <w:rFonts w:hint="eastAsia" w:asciiTheme="minorEastAsia" w:hAnsiTheme="minorEastAsia" w:eastAsiaTheme="minorEastAsia" w:cstheme="minorEastAsia"/>
          <w:color w:val="auto"/>
          <w:sz w:val="28"/>
          <w:szCs w:val="28"/>
        </w:rPr>
        <w:sectPr>
          <w:pgSz w:w="11907" w:h="16840"/>
          <w:pgMar w:top="1134" w:right="1191" w:bottom="1134" w:left="1304" w:header="709" w:footer="992" w:gutter="0"/>
          <w:pgNumType w:fmt="numberInDash"/>
          <w:cols w:space="720" w:num="1"/>
          <w:docGrid w:linePitch="312" w:charSpace="0"/>
        </w:sectPr>
      </w:pPr>
      <w:r>
        <w:rPr>
          <w:rStyle w:val="25"/>
          <w:rFonts w:hint="eastAsia" w:asciiTheme="minorEastAsia" w:hAnsiTheme="minorEastAsia" w:eastAsiaTheme="minorEastAsia" w:cstheme="minorEastAsia"/>
          <w:sz w:val="24"/>
          <w:szCs w:val="24"/>
        </w:rPr>
        <w:t>本项目由采购人付款</w:t>
      </w:r>
      <w:r>
        <w:rPr>
          <w:rFonts w:hint="eastAsia" w:asciiTheme="minorEastAsia" w:hAnsiTheme="minorEastAsia" w:eastAsiaTheme="minorEastAsia" w:cstheme="minorEastAsia"/>
          <w:color w:val="auto"/>
          <w:sz w:val="24"/>
          <w:szCs w:val="24"/>
        </w:rPr>
        <w:t>。</w:t>
      </w:r>
    </w:p>
    <w:bookmarkEnd w:id="28"/>
    <w:bookmarkEnd w:id="29"/>
    <w:bookmarkEnd w:id="30"/>
    <w:bookmarkEnd w:id="31"/>
    <w:bookmarkEnd w:id="32"/>
    <w:bookmarkEnd w:id="33"/>
    <w:p w14:paraId="26173FD8">
      <w:pPr>
        <w:pStyle w:val="2"/>
        <w:spacing w:before="0" w:after="0" w:line="360" w:lineRule="auto"/>
        <w:rPr>
          <w:rFonts w:hint="eastAsia" w:asciiTheme="minorEastAsia" w:hAnsiTheme="minorEastAsia" w:eastAsiaTheme="minorEastAsia" w:cstheme="minorEastAsia"/>
          <w:bCs/>
          <w:sz w:val="36"/>
          <w:szCs w:val="30"/>
        </w:rPr>
      </w:pPr>
      <w:bookmarkStart w:id="34" w:name="_Toc3846"/>
      <w:bookmarkStart w:id="35" w:name="_Toc8458"/>
      <w:r>
        <w:rPr>
          <w:rFonts w:hint="eastAsia" w:asciiTheme="minorEastAsia" w:hAnsiTheme="minorEastAsia" w:eastAsiaTheme="minorEastAsia" w:cstheme="minorEastAsia"/>
          <w:bCs/>
          <w:sz w:val="36"/>
          <w:szCs w:val="30"/>
        </w:rPr>
        <w:t>第四篇  竞选程序及方法、评审标准、无效响应和</w:t>
      </w:r>
      <w:r>
        <w:rPr>
          <w:rFonts w:hint="eastAsia" w:asciiTheme="minorEastAsia" w:hAnsiTheme="minorEastAsia" w:eastAsiaTheme="minorEastAsia" w:cstheme="minorEastAsia"/>
          <w:bCs/>
          <w:sz w:val="36"/>
          <w:szCs w:val="36"/>
        </w:rPr>
        <w:t>采购终止</w:t>
      </w:r>
      <w:bookmarkEnd w:id="34"/>
      <w:bookmarkEnd w:id="35"/>
    </w:p>
    <w:p w14:paraId="3BFE22A6">
      <w:pPr>
        <w:pStyle w:val="3"/>
        <w:spacing w:before="0" w:after="0"/>
        <w:ind w:firstLine="482" w:firstLineChars="200"/>
        <w:rPr>
          <w:rFonts w:hint="eastAsia" w:asciiTheme="minorEastAsia" w:hAnsiTheme="minorEastAsia" w:eastAsiaTheme="minorEastAsia" w:cstheme="minorEastAsia"/>
          <w:sz w:val="24"/>
          <w:szCs w:val="24"/>
        </w:rPr>
      </w:pPr>
      <w:bookmarkStart w:id="36" w:name="_Toc23946"/>
      <w:bookmarkStart w:id="37" w:name="_Toc12641"/>
      <w:r>
        <w:rPr>
          <w:rFonts w:hint="eastAsia" w:asciiTheme="minorEastAsia" w:hAnsiTheme="minorEastAsia" w:eastAsiaTheme="minorEastAsia" w:cstheme="minorEastAsia"/>
          <w:sz w:val="24"/>
          <w:szCs w:val="24"/>
        </w:rPr>
        <w:t>一、竞选程序及方法</w:t>
      </w:r>
      <w:bookmarkEnd w:id="36"/>
      <w:bookmarkEnd w:id="37"/>
    </w:p>
    <w:p w14:paraId="6A7973F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（一）竞选按竞争性比选文件规定的时间和地点进行，竞选人须有法定代表人（或其授权代表）或自然人参加并签到（若</w:t>
      </w:r>
      <w:r>
        <w:rPr>
          <w:rFonts w:hint="eastAsia" w:asciiTheme="minorEastAsia" w:hAnsiTheme="minorEastAsia" w:eastAsiaTheme="minorEastAsia" w:cstheme="minorEastAsia"/>
          <w:sz w:val="24"/>
          <w:szCs w:val="24"/>
          <w:lang w:val="en-US" w:eastAsia="zh-CN"/>
        </w:rPr>
        <w:t>比选申请</w:t>
      </w:r>
      <w:r>
        <w:rPr>
          <w:rFonts w:hint="eastAsia" w:asciiTheme="minorEastAsia" w:hAnsiTheme="minorEastAsia" w:eastAsiaTheme="minorEastAsia" w:cstheme="minorEastAsia"/>
          <w:sz w:val="24"/>
          <w:szCs w:val="24"/>
        </w:rPr>
        <w:t>文件通过邮寄方式递交的</w:t>
      </w:r>
      <w:r>
        <w:rPr>
          <w:rFonts w:hint="eastAsia" w:asciiTheme="minorEastAsia" w:hAnsiTheme="minorEastAsia" w:eastAsiaTheme="minorEastAsia" w:cstheme="minorEastAsia"/>
          <w:sz w:val="24"/>
          <w:szCs w:val="24"/>
          <w:lang w:val="en-US" w:eastAsia="zh-CN"/>
        </w:rPr>
        <w:t>竞选人</w:t>
      </w:r>
      <w:r>
        <w:rPr>
          <w:rFonts w:hint="eastAsia" w:asciiTheme="minorEastAsia" w:hAnsiTheme="minorEastAsia" w:eastAsiaTheme="minorEastAsia" w:cstheme="minorEastAsia"/>
          <w:sz w:val="24"/>
          <w:szCs w:val="24"/>
        </w:rPr>
        <w:t>不需要到投标现场）。</w:t>
      </w:r>
    </w:p>
    <w:p w14:paraId="5B5F9A9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（二）竞争性比选小组对各竞选人的资格条件、比选申请文件的有效性、完整性和响应程度进行审查。各竞选人只有在完全符合要求的前提下，才能参与正式竞选。</w:t>
      </w:r>
    </w:p>
    <w:p w14:paraId="1C1A44FC">
      <w:pPr>
        <w:snapToGrid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kern w:val="0"/>
          <w:sz w:val="24"/>
          <w:szCs w:val="24"/>
        </w:rPr>
        <w:t>资格性审查。依据法律法规和竞争性比选文件的规定，对比选申请文件中的资格证明等进行审查，以确定竞选人是否具备竞选资格。资格性审查资料表如下：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462"/>
        <w:gridCol w:w="4781"/>
      </w:tblGrid>
      <w:tr w14:paraId="0C1C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7B3F15E2">
            <w:pPr>
              <w:spacing w:line="360" w:lineRule="auto"/>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4171" w:type="dxa"/>
            <w:gridSpan w:val="2"/>
            <w:noWrap w:val="0"/>
            <w:vAlign w:val="center"/>
          </w:tcPr>
          <w:p w14:paraId="55BF72F0">
            <w:pPr>
              <w:spacing w:line="360" w:lineRule="auto"/>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检查因素</w:t>
            </w:r>
          </w:p>
        </w:tc>
        <w:tc>
          <w:tcPr>
            <w:tcW w:w="4781" w:type="dxa"/>
            <w:noWrap w:val="0"/>
            <w:vAlign w:val="center"/>
          </w:tcPr>
          <w:p w14:paraId="2A6AC640">
            <w:pPr>
              <w:spacing w:line="360" w:lineRule="auto"/>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检查内容</w:t>
            </w:r>
          </w:p>
        </w:tc>
      </w:tr>
      <w:tr w14:paraId="0434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676" w:type="dxa"/>
            <w:vMerge w:val="restart"/>
            <w:noWrap w:val="0"/>
            <w:vAlign w:val="center"/>
          </w:tcPr>
          <w:p w14:paraId="5E72C81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709" w:type="dxa"/>
            <w:vMerge w:val="restart"/>
            <w:noWrap w:val="0"/>
            <w:vAlign w:val="center"/>
          </w:tcPr>
          <w:p w14:paraId="58CB1F36">
            <w:pPr>
              <w:spacing w:line="360" w:lineRule="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《中华人民共和国政府采购法》第二十二条规定</w:t>
            </w:r>
          </w:p>
        </w:tc>
        <w:tc>
          <w:tcPr>
            <w:tcW w:w="3462" w:type="dxa"/>
            <w:noWrap w:val="0"/>
            <w:vAlign w:val="center"/>
          </w:tcPr>
          <w:p w14:paraId="16DC7481">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（1）具有独立承担民事责任的能力</w:t>
            </w:r>
          </w:p>
        </w:tc>
        <w:tc>
          <w:tcPr>
            <w:tcW w:w="4781" w:type="dxa"/>
            <w:noWrap w:val="0"/>
            <w:vAlign w:val="center"/>
          </w:tcPr>
          <w:p w14:paraId="243A8086">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1.竞选人法人营业执照（副本）或事业单位法人证书（副本）或个体工商户营业执照或有效的自然人身份证明或社会团体法人登记证书（提供复印件）。 </w:t>
            </w:r>
          </w:p>
          <w:p w14:paraId="1E281618">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2.竞选人法定代表人身份证明和法定代表人授权代表委托书。</w:t>
            </w:r>
          </w:p>
        </w:tc>
      </w:tr>
      <w:tr w14:paraId="15AD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676" w:type="dxa"/>
            <w:vMerge w:val="continue"/>
            <w:noWrap w:val="0"/>
            <w:vAlign w:val="center"/>
          </w:tcPr>
          <w:p w14:paraId="1DBC2A54">
            <w:pPr>
              <w:spacing w:line="360" w:lineRule="auto"/>
              <w:jc w:val="center"/>
              <w:rPr>
                <w:rFonts w:hint="eastAsia" w:asciiTheme="minorEastAsia" w:hAnsiTheme="minorEastAsia" w:eastAsiaTheme="minorEastAsia" w:cstheme="minorEastAsia"/>
                <w:sz w:val="21"/>
                <w:szCs w:val="21"/>
              </w:rPr>
            </w:pPr>
          </w:p>
        </w:tc>
        <w:tc>
          <w:tcPr>
            <w:tcW w:w="709" w:type="dxa"/>
            <w:vMerge w:val="continue"/>
            <w:noWrap w:val="0"/>
            <w:vAlign w:val="center"/>
          </w:tcPr>
          <w:p w14:paraId="72C322DE">
            <w:pPr>
              <w:spacing w:line="360" w:lineRule="auto"/>
              <w:rPr>
                <w:rFonts w:hint="eastAsia" w:asciiTheme="minorEastAsia" w:hAnsiTheme="minorEastAsia" w:eastAsiaTheme="minorEastAsia" w:cstheme="minorEastAsia"/>
                <w:sz w:val="21"/>
                <w:szCs w:val="21"/>
                <w:lang w:val="zh-CN"/>
              </w:rPr>
            </w:pPr>
          </w:p>
        </w:tc>
        <w:tc>
          <w:tcPr>
            <w:tcW w:w="3462" w:type="dxa"/>
            <w:noWrap w:val="0"/>
            <w:vAlign w:val="center"/>
          </w:tcPr>
          <w:p w14:paraId="2E238292">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（2）</w:t>
            </w:r>
            <w:r>
              <w:rPr>
                <w:rFonts w:hint="eastAsia" w:asciiTheme="minorEastAsia" w:hAnsiTheme="minorEastAsia" w:eastAsiaTheme="minorEastAsia" w:cstheme="minorEastAsia"/>
                <w:sz w:val="21"/>
                <w:szCs w:val="21"/>
              </w:rPr>
              <w:t>具有良好的商业信誉和健全的财务会计制度</w:t>
            </w:r>
          </w:p>
        </w:tc>
        <w:tc>
          <w:tcPr>
            <w:tcW w:w="4781" w:type="dxa"/>
            <w:vMerge w:val="restart"/>
            <w:noWrap w:val="0"/>
            <w:vAlign w:val="center"/>
          </w:tcPr>
          <w:p w14:paraId="478382C8">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竞选人提供“基本资格条件承诺函”（见格式文件）。</w:t>
            </w:r>
          </w:p>
        </w:tc>
      </w:tr>
      <w:tr w14:paraId="3852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76" w:type="dxa"/>
            <w:vMerge w:val="continue"/>
            <w:noWrap w:val="0"/>
            <w:vAlign w:val="center"/>
          </w:tcPr>
          <w:p w14:paraId="50CD53FB">
            <w:pPr>
              <w:spacing w:line="360" w:lineRule="auto"/>
              <w:jc w:val="center"/>
              <w:rPr>
                <w:rFonts w:hint="eastAsia" w:asciiTheme="minorEastAsia" w:hAnsiTheme="minorEastAsia" w:eastAsiaTheme="minorEastAsia" w:cstheme="minorEastAsia"/>
                <w:sz w:val="21"/>
                <w:szCs w:val="21"/>
              </w:rPr>
            </w:pPr>
          </w:p>
        </w:tc>
        <w:tc>
          <w:tcPr>
            <w:tcW w:w="709" w:type="dxa"/>
            <w:vMerge w:val="continue"/>
            <w:noWrap w:val="0"/>
            <w:vAlign w:val="center"/>
          </w:tcPr>
          <w:p w14:paraId="002F8963">
            <w:pPr>
              <w:spacing w:line="360" w:lineRule="auto"/>
              <w:rPr>
                <w:rFonts w:hint="eastAsia" w:asciiTheme="minorEastAsia" w:hAnsiTheme="minorEastAsia" w:eastAsiaTheme="minorEastAsia" w:cstheme="minorEastAsia"/>
                <w:sz w:val="21"/>
                <w:szCs w:val="21"/>
                <w:lang w:val="zh-CN"/>
              </w:rPr>
            </w:pPr>
          </w:p>
        </w:tc>
        <w:tc>
          <w:tcPr>
            <w:tcW w:w="3462" w:type="dxa"/>
            <w:noWrap w:val="0"/>
            <w:vAlign w:val="center"/>
          </w:tcPr>
          <w:p w14:paraId="6749AECE">
            <w:pPr>
              <w:spacing w:line="360" w:lineRule="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（3）具有履行合同所必需的设备和专业技术能力</w:t>
            </w:r>
          </w:p>
        </w:tc>
        <w:tc>
          <w:tcPr>
            <w:tcW w:w="4781" w:type="dxa"/>
            <w:vMerge w:val="continue"/>
            <w:noWrap w:val="0"/>
            <w:vAlign w:val="center"/>
          </w:tcPr>
          <w:p w14:paraId="7E720B18">
            <w:pPr>
              <w:spacing w:line="360" w:lineRule="auto"/>
              <w:rPr>
                <w:rFonts w:hint="eastAsia" w:asciiTheme="minorEastAsia" w:hAnsiTheme="minorEastAsia" w:eastAsiaTheme="minorEastAsia" w:cstheme="minorEastAsia"/>
                <w:sz w:val="21"/>
                <w:szCs w:val="21"/>
              </w:rPr>
            </w:pPr>
          </w:p>
        </w:tc>
      </w:tr>
      <w:tr w14:paraId="3139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676" w:type="dxa"/>
            <w:vMerge w:val="continue"/>
            <w:noWrap w:val="0"/>
            <w:vAlign w:val="center"/>
          </w:tcPr>
          <w:p w14:paraId="34C594A8">
            <w:pPr>
              <w:spacing w:line="360" w:lineRule="auto"/>
              <w:jc w:val="center"/>
              <w:rPr>
                <w:rFonts w:hint="eastAsia" w:asciiTheme="minorEastAsia" w:hAnsiTheme="minorEastAsia" w:eastAsiaTheme="minorEastAsia" w:cstheme="minorEastAsia"/>
                <w:sz w:val="21"/>
                <w:szCs w:val="21"/>
              </w:rPr>
            </w:pPr>
          </w:p>
        </w:tc>
        <w:tc>
          <w:tcPr>
            <w:tcW w:w="709" w:type="dxa"/>
            <w:vMerge w:val="continue"/>
            <w:noWrap w:val="0"/>
            <w:vAlign w:val="center"/>
          </w:tcPr>
          <w:p w14:paraId="5F79CEE2">
            <w:pPr>
              <w:spacing w:line="360" w:lineRule="auto"/>
              <w:rPr>
                <w:rFonts w:hint="eastAsia" w:asciiTheme="minorEastAsia" w:hAnsiTheme="minorEastAsia" w:eastAsiaTheme="minorEastAsia" w:cstheme="minorEastAsia"/>
                <w:sz w:val="21"/>
                <w:szCs w:val="21"/>
                <w:lang w:val="zh-CN"/>
              </w:rPr>
            </w:pPr>
          </w:p>
        </w:tc>
        <w:tc>
          <w:tcPr>
            <w:tcW w:w="3462" w:type="dxa"/>
            <w:noWrap w:val="0"/>
            <w:vAlign w:val="center"/>
          </w:tcPr>
          <w:p w14:paraId="20FE659D">
            <w:pPr>
              <w:spacing w:line="360" w:lineRule="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（4）有依法缴纳税收和社会保障金的良好记录</w:t>
            </w:r>
          </w:p>
        </w:tc>
        <w:tc>
          <w:tcPr>
            <w:tcW w:w="4781" w:type="dxa"/>
            <w:vMerge w:val="continue"/>
            <w:noWrap w:val="0"/>
            <w:vAlign w:val="center"/>
          </w:tcPr>
          <w:p w14:paraId="75B161F2">
            <w:pPr>
              <w:spacing w:line="360" w:lineRule="auto"/>
              <w:rPr>
                <w:rFonts w:hint="eastAsia" w:asciiTheme="minorEastAsia" w:hAnsiTheme="minorEastAsia" w:eastAsiaTheme="minorEastAsia" w:cstheme="minorEastAsia"/>
                <w:sz w:val="21"/>
                <w:szCs w:val="21"/>
              </w:rPr>
            </w:pPr>
          </w:p>
        </w:tc>
      </w:tr>
      <w:tr w14:paraId="288D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76" w:type="dxa"/>
            <w:vMerge w:val="continue"/>
            <w:noWrap w:val="0"/>
            <w:vAlign w:val="center"/>
          </w:tcPr>
          <w:p w14:paraId="1BDDE446">
            <w:pPr>
              <w:spacing w:line="360" w:lineRule="auto"/>
              <w:jc w:val="center"/>
              <w:rPr>
                <w:rFonts w:hint="eastAsia" w:asciiTheme="minorEastAsia" w:hAnsiTheme="minorEastAsia" w:eastAsiaTheme="minorEastAsia" w:cstheme="minorEastAsia"/>
                <w:sz w:val="21"/>
                <w:szCs w:val="21"/>
              </w:rPr>
            </w:pPr>
          </w:p>
        </w:tc>
        <w:tc>
          <w:tcPr>
            <w:tcW w:w="709" w:type="dxa"/>
            <w:vMerge w:val="continue"/>
            <w:noWrap w:val="0"/>
            <w:vAlign w:val="center"/>
          </w:tcPr>
          <w:p w14:paraId="4565DE47">
            <w:pPr>
              <w:spacing w:line="360" w:lineRule="auto"/>
              <w:rPr>
                <w:rFonts w:hint="eastAsia" w:asciiTheme="minorEastAsia" w:hAnsiTheme="minorEastAsia" w:eastAsiaTheme="minorEastAsia" w:cstheme="minorEastAsia"/>
                <w:sz w:val="21"/>
                <w:szCs w:val="21"/>
                <w:lang w:val="zh-CN"/>
              </w:rPr>
            </w:pPr>
          </w:p>
        </w:tc>
        <w:tc>
          <w:tcPr>
            <w:tcW w:w="3462" w:type="dxa"/>
            <w:noWrap w:val="0"/>
            <w:vAlign w:val="center"/>
          </w:tcPr>
          <w:p w14:paraId="787DF550">
            <w:pPr>
              <w:spacing w:line="360" w:lineRule="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（5）参加政府采购活动前三年内，在经营活动中没有重大违法记录</w:t>
            </w:r>
          </w:p>
        </w:tc>
        <w:tc>
          <w:tcPr>
            <w:tcW w:w="4781" w:type="dxa"/>
            <w:vMerge w:val="continue"/>
            <w:noWrap w:val="0"/>
            <w:vAlign w:val="center"/>
          </w:tcPr>
          <w:p w14:paraId="5EFC7F43">
            <w:pPr>
              <w:spacing w:line="360" w:lineRule="auto"/>
              <w:rPr>
                <w:rFonts w:hint="eastAsia" w:asciiTheme="minorEastAsia" w:hAnsiTheme="minorEastAsia" w:eastAsiaTheme="minorEastAsia" w:cstheme="minorEastAsia"/>
                <w:sz w:val="21"/>
                <w:szCs w:val="21"/>
              </w:rPr>
            </w:pPr>
          </w:p>
        </w:tc>
      </w:tr>
      <w:tr w14:paraId="76D8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Merge w:val="continue"/>
            <w:noWrap w:val="0"/>
            <w:vAlign w:val="center"/>
          </w:tcPr>
          <w:p w14:paraId="5E54E21D">
            <w:pPr>
              <w:spacing w:line="360" w:lineRule="auto"/>
              <w:jc w:val="center"/>
              <w:rPr>
                <w:rFonts w:hint="eastAsia" w:asciiTheme="minorEastAsia" w:hAnsiTheme="minorEastAsia" w:eastAsiaTheme="minorEastAsia" w:cstheme="minorEastAsia"/>
                <w:sz w:val="21"/>
                <w:szCs w:val="21"/>
              </w:rPr>
            </w:pPr>
          </w:p>
        </w:tc>
        <w:tc>
          <w:tcPr>
            <w:tcW w:w="709" w:type="dxa"/>
            <w:vMerge w:val="continue"/>
            <w:noWrap w:val="0"/>
            <w:vAlign w:val="center"/>
          </w:tcPr>
          <w:p w14:paraId="66FD0D75">
            <w:pPr>
              <w:spacing w:line="360" w:lineRule="auto"/>
              <w:rPr>
                <w:rFonts w:hint="eastAsia" w:asciiTheme="minorEastAsia" w:hAnsiTheme="minorEastAsia" w:eastAsiaTheme="minorEastAsia" w:cstheme="minorEastAsia"/>
                <w:sz w:val="21"/>
                <w:szCs w:val="21"/>
                <w:lang w:val="zh-CN"/>
              </w:rPr>
            </w:pPr>
          </w:p>
        </w:tc>
        <w:tc>
          <w:tcPr>
            <w:tcW w:w="3462" w:type="dxa"/>
            <w:noWrap w:val="0"/>
            <w:vAlign w:val="center"/>
          </w:tcPr>
          <w:p w14:paraId="3FA93AA2">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（6）法律、行政法规规定的其他条件</w:t>
            </w:r>
          </w:p>
        </w:tc>
        <w:tc>
          <w:tcPr>
            <w:tcW w:w="4781" w:type="dxa"/>
            <w:noWrap w:val="0"/>
            <w:vAlign w:val="center"/>
          </w:tcPr>
          <w:p w14:paraId="712C34FC">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bl>
    <w:p w14:paraId="5FD03495">
      <w:pPr>
        <w:snapToGrid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根据《中华人民共和国政府采购法实施条例》第十九条“参加政府采购活动前三年内，在经营活动中没有重大违法记录”中“重大违法记录”，是指竞选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竞选人可于投标截止日期前通过 “信用中国”网站(www.creditchina.gov.cn)、"中国政府采购网"(www.ccgp.gov.cn)等渠道查询信用记录。</w:t>
      </w:r>
    </w:p>
    <w:p w14:paraId="1FCF4D01">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2.符合性审查。依据竞争性比选文件的规定，从比选申请文件的有效性、完整性和对竞争性比选文件的响应程度进行审查，以确定是否对竞争性比选文件的实质性要求作出响应。符合性检查资料表如下：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92"/>
        <w:gridCol w:w="2231"/>
        <w:gridCol w:w="5141"/>
      </w:tblGrid>
      <w:tr w14:paraId="2F46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35" w:type="dxa"/>
            <w:noWrap w:val="0"/>
            <w:vAlign w:val="center"/>
          </w:tcPr>
          <w:p w14:paraId="60EAF761">
            <w:pPr>
              <w:spacing w:line="360" w:lineRule="auto"/>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3723" w:type="dxa"/>
            <w:gridSpan w:val="2"/>
            <w:noWrap w:val="0"/>
            <w:vAlign w:val="center"/>
          </w:tcPr>
          <w:p w14:paraId="6594CF7B">
            <w:pPr>
              <w:spacing w:line="360" w:lineRule="auto"/>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评审因素</w:t>
            </w:r>
          </w:p>
        </w:tc>
        <w:tc>
          <w:tcPr>
            <w:tcW w:w="5141" w:type="dxa"/>
            <w:noWrap w:val="0"/>
            <w:vAlign w:val="center"/>
          </w:tcPr>
          <w:p w14:paraId="40D4BD56">
            <w:pPr>
              <w:spacing w:line="360" w:lineRule="auto"/>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评审标准</w:t>
            </w:r>
          </w:p>
        </w:tc>
      </w:tr>
      <w:tr w14:paraId="5D8E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trPr>
        <w:tc>
          <w:tcPr>
            <w:tcW w:w="735" w:type="dxa"/>
            <w:vMerge w:val="restart"/>
            <w:noWrap w:val="0"/>
            <w:vAlign w:val="center"/>
          </w:tcPr>
          <w:p w14:paraId="37FFB659">
            <w:pPr>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492" w:type="dxa"/>
            <w:vMerge w:val="restart"/>
            <w:noWrap w:val="0"/>
            <w:vAlign w:val="center"/>
          </w:tcPr>
          <w:p w14:paraId="21FAA06E">
            <w:pPr>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有效性审查</w:t>
            </w:r>
          </w:p>
        </w:tc>
        <w:tc>
          <w:tcPr>
            <w:tcW w:w="2231" w:type="dxa"/>
            <w:noWrap w:val="0"/>
            <w:vAlign w:val="center"/>
          </w:tcPr>
          <w:p w14:paraId="7743F659">
            <w:pPr>
              <w:spacing w:line="36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比选申请文件签署或盖章</w:t>
            </w:r>
          </w:p>
        </w:tc>
        <w:tc>
          <w:tcPr>
            <w:tcW w:w="5141" w:type="dxa"/>
            <w:noWrap w:val="0"/>
            <w:vAlign w:val="center"/>
          </w:tcPr>
          <w:p w14:paraId="002E8072">
            <w:pPr>
              <w:spacing w:line="36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按比选文件“第七篇 比选申请文件格式”要求签署或盖章。</w:t>
            </w:r>
          </w:p>
        </w:tc>
      </w:tr>
      <w:tr w14:paraId="22E6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35" w:type="dxa"/>
            <w:vMerge w:val="continue"/>
            <w:noWrap w:val="0"/>
            <w:vAlign w:val="center"/>
          </w:tcPr>
          <w:p w14:paraId="1072CA19">
            <w:pPr>
              <w:spacing w:line="360" w:lineRule="auto"/>
              <w:jc w:val="center"/>
              <w:rPr>
                <w:rFonts w:hint="eastAsia" w:asciiTheme="minorEastAsia" w:hAnsiTheme="minorEastAsia" w:eastAsiaTheme="minorEastAsia" w:cstheme="minorEastAsia"/>
                <w:kern w:val="0"/>
                <w:sz w:val="21"/>
                <w:szCs w:val="21"/>
              </w:rPr>
            </w:pPr>
          </w:p>
        </w:tc>
        <w:tc>
          <w:tcPr>
            <w:tcW w:w="1492" w:type="dxa"/>
            <w:vMerge w:val="continue"/>
            <w:noWrap w:val="0"/>
            <w:vAlign w:val="center"/>
          </w:tcPr>
          <w:p w14:paraId="427A3786">
            <w:pPr>
              <w:spacing w:line="360" w:lineRule="auto"/>
              <w:jc w:val="left"/>
              <w:rPr>
                <w:rFonts w:hint="eastAsia" w:asciiTheme="minorEastAsia" w:hAnsiTheme="minorEastAsia" w:eastAsiaTheme="minorEastAsia" w:cstheme="minorEastAsia"/>
                <w:kern w:val="0"/>
                <w:sz w:val="21"/>
                <w:szCs w:val="21"/>
              </w:rPr>
            </w:pPr>
          </w:p>
        </w:tc>
        <w:tc>
          <w:tcPr>
            <w:tcW w:w="2231" w:type="dxa"/>
            <w:noWrap w:val="0"/>
            <w:vAlign w:val="center"/>
          </w:tcPr>
          <w:p w14:paraId="2FBB69B1">
            <w:pPr>
              <w:spacing w:line="360" w:lineRule="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法定代表人身份证明及授权委托书</w:t>
            </w:r>
            <w:r>
              <w:rPr>
                <w:rFonts w:hint="eastAsia" w:asciiTheme="minorEastAsia" w:hAnsiTheme="minorEastAsia" w:eastAsiaTheme="minorEastAsia" w:cstheme="minorEastAsia"/>
                <w:sz w:val="21"/>
                <w:szCs w:val="21"/>
                <w:lang w:val="zh-CN"/>
              </w:rPr>
              <w:tab/>
            </w:r>
          </w:p>
        </w:tc>
        <w:tc>
          <w:tcPr>
            <w:tcW w:w="5141" w:type="dxa"/>
            <w:noWrap w:val="0"/>
            <w:vAlign w:val="center"/>
          </w:tcPr>
          <w:p w14:paraId="3CEC2BF7">
            <w:pPr>
              <w:spacing w:line="36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法定代表人身份证明及授权委托书有效，符合比选文件规定的格式，签署或盖章齐全。</w:t>
            </w:r>
          </w:p>
        </w:tc>
      </w:tr>
      <w:tr w14:paraId="4024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35" w:type="dxa"/>
            <w:vMerge w:val="continue"/>
            <w:noWrap w:val="0"/>
            <w:vAlign w:val="center"/>
          </w:tcPr>
          <w:p w14:paraId="49F8EB39">
            <w:pPr>
              <w:spacing w:line="360" w:lineRule="auto"/>
              <w:jc w:val="center"/>
              <w:rPr>
                <w:rFonts w:hint="eastAsia" w:asciiTheme="minorEastAsia" w:hAnsiTheme="minorEastAsia" w:eastAsiaTheme="minorEastAsia" w:cstheme="minorEastAsia"/>
                <w:kern w:val="0"/>
                <w:sz w:val="21"/>
                <w:szCs w:val="21"/>
              </w:rPr>
            </w:pPr>
          </w:p>
        </w:tc>
        <w:tc>
          <w:tcPr>
            <w:tcW w:w="1492" w:type="dxa"/>
            <w:vMerge w:val="continue"/>
            <w:noWrap w:val="0"/>
            <w:vAlign w:val="center"/>
          </w:tcPr>
          <w:p w14:paraId="37BE5BBE">
            <w:pPr>
              <w:spacing w:line="360" w:lineRule="auto"/>
              <w:jc w:val="left"/>
              <w:rPr>
                <w:rFonts w:hint="eastAsia" w:asciiTheme="minorEastAsia" w:hAnsiTheme="minorEastAsia" w:eastAsiaTheme="minorEastAsia" w:cstheme="minorEastAsia"/>
                <w:kern w:val="0"/>
                <w:sz w:val="21"/>
                <w:szCs w:val="21"/>
              </w:rPr>
            </w:pPr>
          </w:p>
        </w:tc>
        <w:tc>
          <w:tcPr>
            <w:tcW w:w="2231" w:type="dxa"/>
            <w:noWrap w:val="0"/>
            <w:vAlign w:val="center"/>
          </w:tcPr>
          <w:p w14:paraId="42FFD59F">
            <w:pPr>
              <w:spacing w:line="360" w:lineRule="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响应</w:t>
            </w:r>
            <w:r>
              <w:rPr>
                <w:rFonts w:hint="eastAsia" w:asciiTheme="minorEastAsia" w:hAnsiTheme="minorEastAsia" w:eastAsiaTheme="minorEastAsia" w:cstheme="minorEastAsia"/>
                <w:sz w:val="21"/>
                <w:szCs w:val="21"/>
                <w:lang w:val="zh-CN"/>
              </w:rPr>
              <w:t>方案</w:t>
            </w:r>
          </w:p>
        </w:tc>
        <w:tc>
          <w:tcPr>
            <w:tcW w:w="5141" w:type="dxa"/>
            <w:noWrap w:val="0"/>
            <w:vAlign w:val="center"/>
          </w:tcPr>
          <w:p w14:paraId="45B4C5AB">
            <w:pPr>
              <w:spacing w:line="360" w:lineRule="auto"/>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sz w:val="21"/>
                <w:szCs w:val="21"/>
                <w:lang w:val="zh-CN"/>
              </w:rPr>
              <w:t>每个包只能有一个</w:t>
            </w:r>
            <w:r>
              <w:rPr>
                <w:rFonts w:hint="eastAsia" w:asciiTheme="minorEastAsia" w:hAnsiTheme="minorEastAsia" w:eastAsiaTheme="minorEastAsia" w:cstheme="minorEastAsia"/>
                <w:sz w:val="21"/>
                <w:szCs w:val="21"/>
              </w:rPr>
              <w:t>响应</w:t>
            </w:r>
            <w:r>
              <w:rPr>
                <w:rFonts w:hint="eastAsia" w:asciiTheme="minorEastAsia" w:hAnsiTheme="minorEastAsia" w:eastAsiaTheme="minorEastAsia" w:cstheme="minorEastAsia"/>
                <w:sz w:val="21"/>
                <w:szCs w:val="21"/>
                <w:lang w:val="zh-CN"/>
              </w:rPr>
              <w:t>方案。</w:t>
            </w:r>
          </w:p>
        </w:tc>
      </w:tr>
      <w:tr w14:paraId="79FD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35" w:type="dxa"/>
            <w:vMerge w:val="continue"/>
            <w:noWrap w:val="0"/>
            <w:vAlign w:val="center"/>
          </w:tcPr>
          <w:p w14:paraId="1D2C3EB2">
            <w:pPr>
              <w:spacing w:line="360" w:lineRule="auto"/>
              <w:jc w:val="center"/>
              <w:rPr>
                <w:rFonts w:hint="eastAsia" w:asciiTheme="minorEastAsia" w:hAnsiTheme="minorEastAsia" w:eastAsiaTheme="minorEastAsia" w:cstheme="minorEastAsia"/>
                <w:kern w:val="0"/>
                <w:sz w:val="21"/>
                <w:szCs w:val="21"/>
              </w:rPr>
            </w:pPr>
          </w:p>
        </w:tc>
        <w:tc>
          <w:tcPr>
            <w:tcW w:w="1492" w:type="dxa"/>
            <w:vMerge w:val="continue"/>
            <w:noWrap w:val="0"/>
            <w:vAlign w:val="center"/>
          </w:tcPr>
          <w:p w14:paraId="614497B0">
            <w:pPr>
              <w:spacing w:line="360" w:lineRule="auto"/>
              <w:jc w:val="left"/>
              <w:rPr>
                <w:rFonts w:hint="eastAsia" w:asciiTheme="minorEastAsia" w:hAnsiTheme="minorEastAsia" w:eastAsiaTheme="minorEastAsia" w:cstheme="minorEastAsia"/>
                <w:kern w:val="0"/>
                <w:sz w:val="21"/>
                <w:szCs w:val="21"/>
              </w:rPr>
            </w:pPr>
          </w:p>
        </w:tc>
        <w:tc>
          <w:tcPr>
            <w:tcW w:w="2231" w:type="dxa"/>
            <w:noWrap w:val="0"/>
            <w:vAlign w:val="center"/>
          </w:tcPr>
          <w:p w14:paraId="2C1B5162">
            <w:pPr>
              <w:spacing w:line="360" w:lineRule="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报价唯一</w:t>
            </w:r>
          </w:p>
        </w:tc>
        <w:tc>
          <w:tcPr>
            <w:tcW w:w="5141" w:type="dxa"/>
            <w:noWrap w:val="0"/>
            <w:vAlign w:val="center"/>
          </w:tcPr>
          <w:p w14:paraId="51A944C5">
            <w:pPr>
              <w:spacing w:line="36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只能有一个有效报价，不得提交选择性报价。</w:t>
            </w:r>
          </w:p>
        </w:tc>
      </w:tr>
      <w:tr w14:paraId="2547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35" w:type="dxa"/>
            <w:noWrap w:val="0"/>
            <w:vAlign w:val="center"/>
          </w:tcPr>
          <w:p w14:paraId="020D9551">
            <w:pPr>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492" w:type="dxa"/>
            <w:noWrap w:val="0"/>
            <w:vAlign w:val="center"/>
          </w:tcPr>
          <w:p w14:paraId="19FBCE17">
            <w:pPr>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完整性审查</w:t>
            </w:r>
          </w:p>
        </w:tc>
        <w:tc>
          <w:tcPr>
            <w:tcW w:w="2231" w:type="dxa"/>
            <w:noWrap w:val="0"/>
            <w:vAlign w:val="center"/>
          </w:tcPr>
          <w:p w14:paraId="2FE5B5C5">
            <w:pPr>
              <w:spacing w:line="36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比选申请文件</w:t>
            </w:r>
            <w:r>
              <w:rPr>
                <w:rFonts w:hint="eastAsia" w:asciiTheme="minorEastAsia" w:hAnsiTheme="minorEastAsia" w:eastAsiaTheme="minorEastAsia" w:cstheme="minorEastAsia"/>
                <w:sz w:val="21"/>
                <w:szCs w:val="21"/>
                <w:lang w:val="zh-CN"/>
              </w:rPr>
              <w:t>份数</w:t>
            </w:r>
          </w:p>
        </w:tc>
        <w:tc>
          <w:tcPr>
            <w:tcW w:w="5141" w:type="dxa"/>
            <w:noWrap w:val="0"/>
            <w:vAlign w:val="center"/>
          </w:tcPr>
          <w:p w14:paraId="0CE28991">
            <w:pPr>
              <w:spacing w:line="36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比选申请文件</w:t>
            </w:r>
            <w:r>
              <w:rPr>
                <w:rFonts w:hint="eastAsia" w:asciiTheme="minorEastAsia" w:hAnsiTheme="minorEastAsia" w:eastAsiaTheme="minorEastAsia" w:cstheme="minorEastAsia"/>
                <w:sz w:val="21"/>
                <w:szCs w:val="21"/>
                <w:lang w:val="zh-CN"/>
              </w:rPr>
              <w:t>数量符合</w:t>
            </w:r>
            <w:r>
              <w:rPr>
                <w:rFonts w:hint="eastAsia" w:asciiTheme="minorEastAsia" w:hAnsiTheme="minorEastAsia" w:eastAsiaTheme="minorEastAsia" w:cstheme="minorEastAsia"/>
                <w:sz w:val="21"/>
                <w:szCs w:val="21"/>
              </w:rPr>
              <w:t>竞争性比选</w:t>
            </w:r>
            <w:r>
              <w:rPr>
                <w:rFonts w:hint="eastAsia" w:asciiTheme="minorEastAsia" w:hAnsiTheme="minorEastAsia" w:eastAsiaTheme="minorEastAsia" w:cstheme="minorEastAsia"/>
                <w:sz w:val="21"/>
                <w:szCs w:val="21"/>
                <w:lang w:val="zh-CN"/>
              </w:rPr>
              <w:t>文件要求。</w:t>
            </w:r>
          </w:p>
        </w:tc>
      </w:tr>
      <w:tr w14:paraId="0ED5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35" w:type="dxa"/>
            <w:vMerge w:val="restart"/>
            <w:noWrap w:val="0"/>
            <w:vAlign w:val="center"/>
          </w:tcPr>
          <w:p w14:paraId="64C0CE4E">
            <w:pPr>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1492" w:type="dxa"/>
            <w:vMerge w:val="restart"/>
            <w:noWrap w:val="0"/>
            <w:vAlign w:val="center"/>
          </w:tcPr>
          <w:p w14:paraId="67D017F0">
            <w:pPr>
              <w:spacing w:line="360" w:lineRule="auto"/>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kern w:val="0"/>
                <w:sz w:val="21"/>
                <w:szCs w:val="21"/>
              </w:rPr>
              <w:t>竞争性比选文件的响应程度审查</w:t>
            </w:r>
          </w:p>
        </w:tc>
        <w:tc>
          <w:tcPr>
            <w:tcW w:w="2231" w:type="dxa"/>
            <w:noWrap w:val="0"/>
            <w:vAlign w:val="center"/>
          </w:tcPr>
          <w:p w14:paraId="4AA9618C">
            <w:pPr>
              <w:spacing w:line="36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实质性响应</w:t>
            </w:r>
          </w:p>
        </w:tc>
        <w:tc>
          <w:tcPr>
            <w:tcW w:w="5141" w:type="dxa"/>
            <w:noWrap w:val="0"/>
            <w:vAlign w:val="center"/>
          </w:tcPr>
          <w:p w14:paraId="3F44DD56">
            <w:pPr>
              <w:pStyle w:val="12"/>
              <w:spacing w:line="36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竞争性比选文件第二篇、第三篇中“※”号标注的内容进行响应。</w:t>
            </w:r>
          </w:p>
        </w:tc>
      </w:tr>
      <w:tr w14:paraId="7CB5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35" w:type="dxa"/>
            <w:vMerge w:val="continue"/>
            <w:noWrap w:val="0"/>
            <w:vAlign w:val="center"/>
          </w:tcPr>
          <w:p w14:paraId="79F5D1E1">
            <w:pPr>
              <w:spacing w:line="360" w:lineRule="auto"/>
              <w:jc w:val="center"/>
              <w:rPr>
                <w:rFonts w:hint="eastAsia" w:asciiTheme="minorEastAsia" w:hAnsiTheme="minorEastAsia" w:eastAsiaTheme="minorEastAsia" w:cstheme="minorEastAsia"/>
                <w:kern w:val="0"/>
                <w:sz w:val="21"/>
                <w:szCs w:val="21"/>
              </w:rPr>
            </w:pPr>
          </w:p>
        </w:tc>
        <w:tc>
          <w:tcPr>
            <w:tcW w:w="1492" w:type="dxa"/>
            <w:vMerge w:val="continue"/>
            <w:noWrap w:val="0"/>
            <w:vAlign w:val="center"/>
          </w:tcPr>
          <w:p w14:paraId="695B971D">
            <w:pPr>
              <w:spacing w:line="360" w:lineRule="auto"/>
              <w:rPr>
                <w:rFonts w:hint="eastAsia" w:asciiTheme="minorEastAsia" w:hAnsiTheme="minorEastAsia" w:eastAsiaTheme="minorEastAsia" w:cstheme="minorEastAsia"/>
                <w:sz w:val="21"/>
                <w:szCs w:val="21"/>
                <w:lang w:val="zh-CN"/>
              </w:rPr>
            </w:pPr>
          </w:p>
        </w:tc>
        <w:tc>
          <w:tcPr>
            <w:tcW w:w="2231" w:type="dxa"/>
            <w:noWrap w:val="0"/>
            <w:vAlign w:val="center"/>
          </w:tcPr>
          <w:p w14:paraId="64BD0546">
            <w:pPr>
              <w:spacing w:line="36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竞选有效期</w:t>
            </w:r>
          </w:p>
        </w:tc>
        <w:tc>
          <w:tcPr>
            <w:tcW w:w="5141" w:type="dxa"/>
            <w:noWrap w:val="0"/>
            <w:vAlign w:val="center"/>
          </w:tcPr>
          <w:p w14:paraId="543387D7">
            <w:pPr>
              <w:spacing w:line="36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比选申请文件及有关承诺文件有效期为提交比选申请文件截止时间起90天。</w:t>
            </w:r>
          </w:p>
        </w:tc>
      </w:tr>
    </w:tbl>
    <w:p w14:paraId="0EA4416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澄清有关问题。竞争性比选小组在对比选申请文件的有效性、完整性和响应程度进行审查时，可以要求竞选人对比选申请文件中含义不明确、同类问题表述不一致或者有明显文字和计算错误的内容等作出必要的澄清、说明或者更正。竞选人的澄清、说明或者更正不得超出比选申请文件的范围或者改变比选申请文件的实质性内容。</w:t>
      </w:r>
    </w:p>
    <w:p w14:paraId="145FB13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竞争性比选小组要求竞选人澄清、说明或者更正比选申请文件应当以书面形式作出。竞选人的澄清、说明或者更正应当由法定代表人（或其授权代表）或自然人（竞选人为自然人）签署或者加盖公章。由授权代表签署的，应当附法定代表人授权书。竞选人为自然人的，应当由本人签署并附身份证明。</w:t>
      </w:r>
    </w:p>
    <w:p w14:paraId="1A834E60">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竞争性比选小组采用综合评分法对竞选人的比选申请文件（含有效书面承诺）进行综合评分。综合评分法，是指比选申请文件满足竞争性比选文件全部实质性要求且按请照评审因素的量化指标评审得分最高的竞选人为成交候选竞选人的评审方法。竞选人总得分为报价、商务等评定因素分别按照相应权重值计算分项得分后相加，满分为100分。</w:t>
      </w:r>
    </w:p>
    <w:p w14:paraId="6B438616">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竞争性比选小组各成员独立对每个有效响应（通过资格性、符合性检查的竞选人）的文件进行评价、打分，然后汇总每个竞选人每项评分因素的得分，并根据综合评分情况按照评审得分由高到低顺序推荐3名及以上成交候选竞选人，排名第一的为第一成交候选竞选人。评审得分且报价相同的，按照商务部分得分的优劣顺序排列推荐。</w:t>
      </w:r>
      <w:bookmarkStart w:id="38" w:name="_Toc129010310"/>
      <w:bookmarkStart w:id="39" w:name="_Toc342913394"/>
      <w:bookmarkStart w:id="40" w:name="_Toc102227320"/>
    </w:p>
    <w:p w14:paraId="43538FBA">
      <w:pPr>
        <w:pStyle w:val="3"/>
        <w:spacing w:before="0" w:after="0"/>
        <w:rPr>
          <w:rFonts w:hint="eastAsia" w:asciiTheme="minorEastAsia" w:hAnsiTheme="minorEastAsia" w:eastAsiaTheme="minorEastAsia" w:cstheme="minorEastAsia"/>
          <w:sz w:val="24"/>
          <w:szCs w:val="24"/>
        </w:rPr>
      </w:pPr>
      <w:bookmarkStart w:id="41" w:name="_Toc14696"/>
      <w:bookmarkStart w:id="42" w:name="_Toc4971"/>
      <w:r>
        <w:rPr>
          <w:rFonts w:hint="eastAsia" w:asciiTheme="minorEastAsia" w:hAnsiTheme="minorEastAsia" w:eastAsiaTheme="minorEastAsia" w:cstheme="minorEastAsia"/>
          <w:sz w:val="24"/>
          <w:szCs w:val="24"/>
        </w:rPr>
        <w:t>二、评审标准</w:t>
      </w:r>
      <w:bookmarkEnd w:id="41"/>
    </w:p>
    <w:tbl>
      <w:tblPr>
        <w:tblStyle w:val="18"/>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80"/>
        <w:gridCol w:w="876"/>
        <w:gridCol w:w="3744"/>
        <w:gridCol w:w="3297"/>
      </w:tblGrid>
      <w:tr w14:paraId="5ED9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noWrap w:val="0"/>
            <w:vAlign w:val="center"/>
          </w:tcPr>
          <w:p w14:paraId="7CF99B2E">
            <w:pPr>
              <w:snapToGrid w:val="0"/>
              <w:ind w:firstLine="28"/>
              <w:jc w:val="center"/>
              <w:rPr>
                <w:rFonts w:hint="eastAsia" w:ascii="宋体" w:hAnsi="宋体" w:cs="宋体"/>
                <w:b/>
                <w:sz w:val="24"/>
                <w:szCs w:val="24"/>
              </w:rPr>
            </w:pPr>
            <w:bookmarkStart w:id="43" w:name="OLE_LINK5"/>
            <w:r>
              <w:rPr>
                <w:rFonts w:hint="eastAsia" w:ascii="宋体" w:hAnsi="宋体" w:cs="宋体"/>
                <w:b/>
                <w:sz w:val="24"/>
                <w:szCs w:val="24"/>
              </w:rPr>
              <w:t>序</w:t>
            </w:r>
          </w:p>
          <w:p w14:paraId="0AF98D15">
            <w:pPr>
              <w:snapToGrid w:val="0"/>
              <w:ind w:firstLine="28"/>
              <w:jc w:val="center"/>
              <w:rPr>
                <w:rFonts w:hint="eastAsia" w:ascii="宋体" w:hAnsi="宋体" w:cs="宋体"/>
                <w:b/>
                <w:sz w:val="24"/>
                <w:szCs w:val="24"/>
              </w:rPr>
            </w:pPr>
            <w:r>
              <w:rPr>
                <w:rFonts w:hint="eastAsia" w:ascii="宋体" w:hAnsi="宋体" w:cs="宋体"/>
                <w:b/>
                <w:sz w:val="24"/>
                <w:szCs w:val="24"/>
              </w:rPr>
              <w:t>号</w:t>
            </w:r>
          </w:p>
        </w:tc>
        <w:tc>
          <w:tcPr>
            <w:tcW w:w="1180" w:type="dxa"/>
            <w:noWrap w:val="0"/>
            <w:vAlign w:val="center"/>
          </w:tcPr>
          <w:p w14:paraId="317300E1">
            <w:pPr>
              <w:snapToGrid w:val="0"/>
              <w:ind w:firstLine="28"/>
              <w:jc w:val="center"/>
              <w:rPr>
                <w:rFonts w:hint="eastAsia" w:ascii="宋体" w:hAnsi="宋体" w:cs="宋体"/>
                <w:b/>
                <w:sz w:val="24"/>
                <w:szCs w:val="24"/>
              </w:rPr>
            </w:pPr>
            <w:r>
              <w:rPr>
                <w:rFonts w:hint="eastAsia" w:ascii="宋体" w:hAnsi="宋体" w:cs="宋体"/>
                <w:b/>
                <w:sz w:val="24"/>
                <w:szCs w:val="24"/>
              </w:rPr>
              <w:t>评分因素及权重</w:t>
            </w:r>
          </w:p>
        </w:tc>
        <w:tc>
          <w:tcPr>
            <w:tcW w:w="876" w:type="dxa"/>
            <w:noWrap w:val="0"/>
            <w:vAlign w:val="center"/>
          </w:tcPr>
          <w:p w14:paraId="3DE34732">
            <w:pPr>
              <w:snapToGrid w:val="0"/>
              <w:ind w:firstLine="28"/>
              <w:jc w:val="center"/>
              <w:rPr>
                <w:rFonts w:hint="eastAsia" w:ascii="宋体" w:hAnsi="宋体" w:cs="宋体"/>
                <w:b/>
                <w:sz w:val="24"/>
                <w:szCs w:val="24"/>
              </w:rPr>
            </w:pPr>
            <w:r>
              <w:rPr>
                <w:rFonts w:hint="eastAsia" w:ascii="宋体" w:hAnsi="宋体" w:cs="宋体"/>
                <w:b/>
                <w:sz w:val="24"/>
                <w:szCs w:val="24"/>
              </w:rPr>
              <w:t>分值</w:t>
            </w:r>
          </w:p>
        </w:tc>
        <w:tc>
          <w:tcPr>
            <w:tcW w:w="3744" w:type="dxa"/>
            <w:noWrap w:val="0"/>
            <w:vAlign w:val="center"/>
          </w:tcPr>
          <w:p w14:paraId="27AEEDF9">
            <w:pPr>
              <w:snapToGrid w:val="0"/>
              <w:ind w:firstLine="28"/>
              <w:jc w:val="center"/>
              <w:rPr>
                <w:rFonts w:hint="eastAsia" w:ascii="宋体" w:hAnsi="宋体" w:cs="宋体"/>
                <w:b/>
                <w:sz w:val="24"/>
                <w:szCs w:val="24"/>
              </w:rPr>
            </w:pPr>
            <w:r>
              <w:rPr>
                <w:rFonts w:hint="eastAsia" w:ascii="宋体" w:hAnsi="宋体" w:cs="宋体"/>
                <w:b/>
                <w:sz w:val="24"/>
                <w:szCs w:val="24"/>
              </w:rPr>
              <w:t>评分标准</w:t>
            </w:r>
          </w:p>
        </w:tc>
        <w:tc>
          <w:tcPr>
            <w:tcW w:w="3297" w:type="dxa"/>
            <w:noWrap w:val="0"/>
            <w:vAlign w:val="center"/>
          </w:tcPr>
          <w:p w14:paraId="55A18C70">
            <w:pPr>
              <w:snapToGrid w:val="0"/>
              <w:jc w:val="center"/>
              <w:rPr>
                <w:rFonts w:hint="eastAsia" w:ascii="宋体" w:hAnsi="宋体" w:cs="宋体"/>
                <w:b/>
                <w:sz w:val="24"/>
                <w:szCs w:val="24"/>
              </w:rPr>
            </w:pPr>
            <w:r>
              <w:rPr>
                <w:rFonts w:hint="eastAsia" w:ascii="宋体" w:hAnsi="宋体" w:cs="宋体"/>
                <w:b/>
                <w:sz w:val="24"/>
                <w:szCs w:val="24"/>
              </w:rPr>
              <w:t>说明</w:t>
            </w:r>
          </w:p>
        </w:tc>
      </w:tr>
      <w:tr w14:paraId="3DC9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dxa"/>
            <w:noWrap w:val="0"/>
            <w:vAlign w:val="center"/>
          </w:tcPr>
          <w:p w14:paraId="6FAA1B0B">
            <w:pPr>
              <w:snapToGrid w:val="0"/>
              <w:ind w:firstLine="28"/>
              <w:jc w:val="center"/>
              <w:rPr>
                <w:rFonts w:hint="eastAsia" w:ascii="宋体" w:hAnsi="宋体" w:cs="宋体"/>
                <w:sz w:val="24"/>
                <w:szCs w:val="24"/>
              </w:rPr>
            </w:pPr>
            <w:r>
              <w:rPr>
                <w:rFonts w:hint="eastAsia" w:ascii="宋体" w:hAnsi="宋体" w:cs="宋体"/>
                <w:sz w:val="24"/>
                <w:szCs w:val="24"/>
              </w:rPr>
              <w:t>1</w:t>
            </w:r>
          </w:p>
        </w:tc>
        <w:tc>
          <w:tcPr>
            <w:tcW w:w="1180" w:type="dxa"/>
            <w:noWrap w:val="0"/>
            <w:vAlign w:val="center"/>
          </w:tcPr>
          <w:p w14:paraId="585CE6D7">
            <w:pPr>
              <w:pStyle w:val="26"/>
              <w:spacing w:before="65"/>
              <w:ind w:right="132"/>
              <w:jc w:val="center"/>
              <w:rPr>
                <w:rFonts w:hint="eastAsia" w:ascii="宋体" w:hAnsi="宋体" w:cs="宋体"/>
                <w:sz w:val="24"/>
                <w:szCs w:val="24"/>
              </w:rPr>
            </w:pPr>
            <w:r>
              <w:rPr>
                <w:rFonts w:hint="eastAsia" w:ascii="宋体" w:hAnsi="宋体" w:cs="宋体"/>
                <w:sz w:val="24"/>
                <w:szCs w:val="24"/>
              </w:rPr>
              <w:t>比选报价（30%）</w:t>
            </w:r>
          </w:p>
        </w:tc>
        <w:tc>
          <w:tcPr>
            <w:tcW w:w="876" w:type="dxa"/>
            <w:noWrap w:val="0"/>
            <w:vAlign w:val="center"/>
          </w:tcPr>
          <w:p w14:paraId="1744603B">
            <w:pPr>
              <w:pStyle w:val="26"/>
              <w:spacing w:before="65"/>
              <w:jc w:val="center"/>
              <w:rPr>
                <w:rFonts w:hint="eastAsia" w:ascii="宋体" w:hAnsi="宋体" w:cs="宋体"/>
                <w:sz w:val="24"/>
                <w:szCs w:val="24"/>
              </w:rPr>
            </w:pPr>
            <w:r>
              <w:rPr>
                <w:rFonts w:hint="eastAsia" w:ascii="宋体" w:hAnsi="宋体" w:cs="宋体"/>
                <w:sz w:val="24"/>
                <w:szCs w:val="24"/>
              </w:rPr>
              <w:t>30分</w:t>
            </w:r>
          </w:p>
        </w:tc>
        <w:tc>
          <w:tcPr>
            <w:tcW w:w="3744" w:type="dxa"/>
            <w:noWrap w:val="0"/>
            <w:vAlign w:val="center"/>
          </w:tcPr>
          <w:p w14:paraId="4776B468">
            <w:pPr>
              <w:widowControl/>
              <w:spacing w:line="300" w:lineRule="exact"/>
              <w:outlineLvl w:val="2"/>
              <w:rPr>
                <w:rFonts w:hint="eastAsia" w:ascii="宋体" w:hAnsi="宋体" w:cs="宋体"/>
                <w:sz w:val="24"/>
                <w:szCs w:val="24"/>
              </w:rPr>
            </w:pPr>
            <w:r>
              <w:rPr>
                <w:rFonts w:hint="eastAsia" w:ascii="宋体" w:hAnsi="宋体" w:cs="宋体"/>
                <w:sz w:val="24"/>
                <w:szCs w:val="24"/>
              </w:rPr>
              <w:t>有效的投标报价中报价最低的为评标基准价，按照下列公式计算每个供应商的投标价格得分。</w:t>
            </w:r>
          </w:p>
          <w:p w14:paraId="2C9FE213">
            <w:pPr>
              <w:pStyle w:val="26"/>
              <w:spacing w:before="28"/>
              <w:ind w:left="112" w:right="104" w:hanging="1"/>
              <w:rPr>
                <w:rFonts w:hint="eastAsia" w:ascii="宋体" w:hAnsi="宋体" w:cs="宋体"/>
                <w:sz w:val="24"/>
                <w:szCs w:val="24"/>
              </w:rPr>
            </w:pPr>
            <w:r>
              <w:rPr>
                <w:rFonts w:hint="eastAsia" w:ascii="宋体" w:hAnsi="宋体" w:cs="宋体"/>
                <w:sz w:val="24"/>
                <w:szCs w:val="24"/>
              </w:rPr>
              <w:t>投标报价得分＝（评标基准价/投标报价）×价格权重×100。</w:t>
            </w:r>
          </w:p>
        </w:tc>
        <w:tc>
          <w:tcPr>
            <w:tcW w:w="3297" w:type="dxa"/>
            <w:noWrap w:val="0"/>
            <w:vAlign w:val="center"/>
          </w:tcPr>
          <w:p w14:paraId="1F20678E">
            <w:pPr>
              <w:pStyle w:val="26"/>
              <w:spacing w:before="33"/>
              <w:ind w:left="81" w:right="106" w:hanging="4"/>
              <w:jc w:val="center"/>
              <w:rPr>
                <w:rFonts w:hint="eastAsia" w:ascii="宋体" w:hAnsi="宋体" w:cs="宋体"/>
                <w:sz w:val="24"/>
                <w:szCs w:val="24"/>
              </w:rPr>
            </w:pPr>
            <w:r>
              <w:rPr>
                <w:rFonts w:hint="eastAsia" w:ascii="宋体" w:hAnsi="宋体" w:cs="宋体"/>
                <w:sz w:val="24"/>
                <w:szCs w:val="24"/>
              </w:rPr>
              <w:t>高于投标报价为无效报价</w:t>
            </w:r>
          </w:p>
        </w:tc>
      </w:tr>
      <w:tr w14:paraId="297F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567" w:type="dxa"/>
            <w:vMerge w:val="restart"/>
            <w:noWrap w:val="0"/>
            <w:vAlign w:val="center"/>
          </w:tcPr>
          <w:p w14:paraId="6D45E703">
            <w:pPr>
              <w:snapToGrid w:val="0"/>
              <w:ind w:firstLine="28"/>
              <w:jc w:val="center"/>
              <w:rPr>
                <w:rFonts w:hint="eastAsia" w:ascii="宋体" w:hAnsi="宋体" w:cs="宋体"/>
                <w:sz w:val="24"/>
                <w:szCs w:val="24"/>
              </w:rPr>
            </w:pPr>
            <w:r>
              <w:rPr>
                <w:rFonts w:hint="eastAsia" w:ascii="宋体" w:hAnsi="宋体" w:cs="宋体"/>
                <w:sz w:val="24"/>
                <w:szCs w:val="24"/>
              </w:rPr>
              <w:t>2</w:t>
            </w:r>
          </w:p>
        </w:tc>
        <w:tc>
          <w:tcPr>
            <w:tcW w:w="1180" w:type="dxa"/>
            <w:vMerge w:val="restart"/>
            <w:noWrap w:val="0"/>
            <w:vAlign w:val="center"/>
          </w:tcPr>
          <w:p w14:paraId="591AE4EC">
            <w:pPr>
              <w:snapToGrid w:val="0"/>
              <w:ind w:firstLine="28"/>
              <w:jc w:val="center"/>
              <w:rPr>
                <w:rFonts w:hint="eastAsia" w:ascii="宋体" w:hAnsi="宋体" w:cs="宋体"/>
                <w:sz w:val="24"/>
                <w:szCs w:val="24"/>
              </w:rPr>
            </w:pPr>
            <w:r>
              <w:rPr>
                <w:rFonts w:hint="eastAsia" w:ascii="宋体" w:hAnsi="宋体" w:cs="宋体"/>
                <w:sz w:val="24"/>
                <w:szCs w:val="24"/>
              </w:rPr>
              <w:t>技术部分</w:t>
            </w:r>
          </w:p>
          <w:p w14:paraId="1520CB3F">
            <w:pPr>
              <w:snapToGrid w:val="0"/>
              <w:ind w:firstLine="28"/>
              <w:jc w:val="center"/>
              <w:rPr>
                <w:rFonts w:hint="eastAsia" w:ascii="宋体" w:hAnsi="宋体" w:cs="宋体"/>
                <w:sz w:val="24"/>
                <w:szCs w:val="24"/>
              </w:rPr>
            </w:pPr>
            <w:r>
              <w:rPr>
                <w:rFonts w:hint="eastAsia" w:ascii="宋体" w:hAnsi="宋体" w:cs="宋体"/>
                <w:sz w:val="24"/>
                <w:szCs w:val="24"/>
              </w:rPr>
              <w:t>（50%）</w:t>
            </w:r>
          </w:p>
        </w:tc>
        <w:tc>
          <w:tcPr>
            <w:tcW w:w="876" w:type="dxa"/>
            <w:noWrap w:val="0"/>
            <w:vAlign w:val="center"/>
          </w:tcPr>
          <w:p w14:paraId="3F93EA56">
            <w:pPr>
              <w:snapToGrid w:val="0"/>
              <w:ind w:firstLine="28"/>
              <w:jc w:val="center"/>
              <w:rPr>
                <w:rFonts w:hint="eastAsia" w:ascii="宋体" w:hAnsi="宋体" w:cs="宋体"/>
                <w:color w:val="auto"/>
                <w:sz w:val="24"/>
                <w:szCs w:val="24"/>
              </w:rPr>
            </w:pPr>
            <w:r>
              <w:rPr>
                <w:rFonts w:hint="eastAsia" w:ascii="宋体" w:hAnsi="宋体" w:cs="宋体"/>
                <w:color w:val="auto"/>
                <w:sz w:val="24"/>
                <w:szCs w:val="24"/>
              </w:rPr>
              <w:t>技术应答（</w:t>
            </w:r>
            <w:r>
              <w:rPr>
                <w:rFonts w:hint="eastAsia" w:ascii="宋体" w:hAnsi="宋体" w:cs="宋体"/>
                <w:color w:val="auto"/>
                <w:sz w:val="24"/>
                <w:szCs w:val="24"/>
                <w:lang w:val="en-US" w:eastAsia="zh-CN"/>
              </w:rPr>
              <w:t>45</w:t>
            </w:r>
            <w:r>
              <w:rPr>
                <w:rFonts w:hint="eastAsia" w:ascii="宋体" w:hAnsi="宋体" w:cs="宋体"/>
                <w:color w:val="auto"/>
                <w:sz w:val="24"/>
                <w:szCs w:val="24"/>
              </w:rPr>
              <w:t>分）</w:t>
            </w:r>
          </w:p>
        </w:tc>
        <w:tc>
          <w:tcPr>
            <w:tcW w:w="3744" w:type="dxa"/>
            <w:noWrap w:val="0"/>
            <w:vAlign w:val="center"/>
          </w:tcPr>
          <w:p w14:paraId="3F69552A">
            <w:pPr>
              <w:pStyle w:val="26"/>
              <w:spacing w:before="31"/>
              <w:ind w:left="112" w:right="104"/>
              <w:rPr>
                <w:rFonts w:hint="eastAsia" w:ascii="宋体" w:hAnsi="宋体" w:cs="宋体"/>
                <w:color w:val="auto"/>
                <w:sz w:val="24"/>
                <w:szCs w:val="24"/>
              </w:rPr>
            </w:pPr>
            <w:r>
              <w:rPr>
                <w:rFonts w:hint="eastAsia" w:ascii="宋体" w:hAnsi="宋体" w:cs="宋体"/>
                <w:color w:val="auto"/>
                <w:sz w:val="24"/>
                <w:szCs w:val="24"/>
              </w:rPr>
              <w:t>1.起评分：</w:t>
            </w:r>
          </w:p>
          <w:p w14:paraId="524B0BE9">
            <w:pPr>
              <w:pStyle w:val="26"/>
              <w:spacing w:before="31"/>
              <w:ind w:left="112" w:right="104"/>
              <w:rPr>
                <w:rFonts w:hint="eastAsia" w:ascii="宋体" w:hAnsi="宋体" w:cs="宋体"/>
                <w:color w:val="auto"/>
                <w:sz w:val="24"/>
                <w:szCs w:val="24"/>
              </w:rPr>
            </w:pPr>
            <w:r>
              <w:rPr>
                <w:rFonts w:hint="eastAsia" w:ascii="宋体" w:hAnsi="宋体" w:cs="宋体"/>
                <w:color w:val="auto"/>
                <w:sz w:val="24"/>
                <w:szCs w:val="24"/>
              </w:rPr>
              <w:t>有效投标人的起评分为40分。</w:t>
            </w:r>
          </w:p>
          <w:p w14:paraId="6AE649DD">
            <w:pPr>
              <w:pStyle w:val="26"/>
              <w:spacing w:before="31"/>
              <w:ind w:left="112" w:right="104"/>
              <w:rPr>
                <w:rFonts w:hint="eastAsia" w:ascii="宋体" w:hAnsi="宋体" w:cs="宋体"/>
                <w:color w:val="auto"/>
                <w:sz w:val="24"/>
                <w:szCs w:val="24"/>
              </w:rPr>
            </w:pPr>
            <w:r>
              <w:rPr>
                <w:rFonts w:hint="eastAsia" w:ascii="宋体" w:hAnsi="宋体" w:cs="宋体"/>
                <w:color w:val="auto"/>
                <w:sz w:val="24"/>
                <w:szCs w:val="24"/>
              </w:rPr>
              <w:t>2.扣分条款：</w:t>
            </w:r>
          </w:p>
          <w:p w14:paraId="2C48F249">
            <w:pPr>
              <w:pStyle w:val="26"/>
              <w:spacing w:before="31"/>
              <w:ind w:left="112" w:right="104"/>
              <w:rPr>
                <w:rFonts w:hint="eastAsia" w:ascii="宋体" w:hAnsi="宋体" w:cs="宋体"/>
                <w:color w:val="auto"/>
                <w:sz w:val="24"/>
                <w:szCs w:val="24"/>
              </w:rPr>
            </w:pPr>
            <w:r>
              <w:rPr>
                <w:rFonts w:hint="eastAsia" w:ascii="宋体" w:hAnsi="宋体" w:cs="宋体"/>
                <w:color w:val="auto"/>
                <w:sz w:val="24"/>
                <w:szCs w:val="24"/>
                <w:lang w:eastAsia="zh-CN"/>
              </w:rPr>
              <w:t>竞争性比选文件</w:t>
            </w:r>
            <w:r>
              <w:rPr>
                <w:rFonts w:hint="eastAsia" w:ascii="宋体" w:hAnsi="宋体" w:cs="宋体"/>
                <w:color w:val="auto"/>
                <w:sz w:val="24"/>
                <w:szCs w:val="24"/>
              </w:rPr>
              <w:t>第二篇：投标应答有一条不满足重要技术需求的（“</w:t>
            </w:r>
            <w:r>
              <w:rPr>
                <w:rFonts w:hint="eastAsia" w:ascii="宋体" w:hAnsi="宋体" w:cs="Segoe UI Symbol"/>
                <w:color w:val="auto"/>
                <w:sz w:val="24"/>
                <w:szCs w:val="24"/>
              </w:rPr>
              <w:t>▲</w:t>
            </w:r>
            <w:r>
              <w:rPr>
                <w:rFonts w:hint="eastAsia" w:ascii="宋体" w:hAnsi="宋体" w:cs="宋体"/>
                <w:color w:val="auto"/>
                <w:sz w:val="24"/>
                <w:szCs w:val="24"/>
              </w:rPr>
              <w:t>”“●”号标注的部分，共</w:t>
            </w:r>
            <w:r>
              <w:rPr>
                <w:rFonts w:hint="eastAsia" w:ascii="宋体" w:hAnsi="宋体" w:cs="宋体"/>
                <w:color w:val="auto"/>
                <w:sz w:val="24"/>
                <w:szCs w:val="24"/>
                <w:lang w:val="en-US" w:eastAsia="zh-CN"/>
              </w:rPr>
              <w:t>7</w:t>
            </w:r>
            <w:r>
              <w:rPr>
                <w:rFonts w:hint="eastAsia" w:ascii="宋体" w:hAnsi="宋体" w:cs="宋体"/>
                <w:color w:val="auto"/>
                <w:sz w:val="24"/>
                <w:szCs w:val="24"/>
              </w:rPr>
              <w:t>条），每条扣除</w:t>
            </w:r>
            <w:r>
              <w:rPr>
                <w:rFonts w:hint="eastAsia" w:ascii="宋体" w:hAnsi="宋体" w:cs="宋体"/>
                <w:color w:val="auto"/>
                <w:sz w:val="24"/>
                <w:szCs w:val="24"/>
                <w:lang w:val="en-US" w:eastAsia="zh-CN"/>
              </w:rPr>
              <w:t>5</w:t>
            </w:r>
            <w:r>
              <w:rPr>
                <w:rFonts w:hint="default" w:ascii="宋体" w:hAnsi="宋体" w:cs="宋体"/>
                <w:color w:val="auto"/>
                <w:sz w:val="24"/>
                <w:szCs w:val="24"/>
                <w:lang w:val="en-US" w:eastAsia="zh-CN"/>
              </w:rPr>
              <w:t>.5</w:t>
            </w:r>
            <w:r>
              <w:rPr>
                <w:rFonts w:hint="eastAsia" w:ascii="宋体" w:hAnsi="宋体" w:cs="宋体"/>
                <w:color w:val="auto"/>
                <w:sz w:val="24"/>
                <w:szCs w:val="24"/>
              </w:rPr>
              <w:t>分，有一条不满足一般性技术需求的（非“</w:t>
            </w:r>
            <w:r>
              <w:rPr>
                <w:rFonts w:hint="eastAsia" w:ascii="宋体" w:hAnsi="宋体" w:cs="Segoe UI Symbol"/>
                <w:color w:val="auto"/>
                <w:sz w:val="24"/>
                <w:szCs w:val="24"/>
              </w:rPr>
              <w:t>▲</w:t>
            </w:r>
            <w:r>
              <w:rPr>
                <w:rFonts w:hint="eastAsia" w:ascii="宋体" w:hAnsi="宋体" w:cs="宋体"/>
                <w:color w:val="auto"/>
                <w:sz w:val="24"/>
                <w:szCs w:val="24"/>
              </w:rPr>
              <w:t>”“●”号标注的部分，共</w:t>
            </w:r>
            <w:r>
              <w:rPr>
                <w:rFonts w:hint="eastAsia" w:ascii="宋体" w:hAnsi="宋体" w:cs="宋体"/>
                <w:color w:val="auto"/>
                <w:sz w:val="24"/>
                <w:szCs w:val="24"/>
                <w:lang w:val="en-US" w:eastAsia="zh-CN"/>
              </w:rPr>
              <w:t>42</w:t>
            </w:r>
            <w:r>
              <w:rPr>
                <w:rFonts w:hint="eastAsia" w:ascii="宋体" w:hAnsi="宋体" w:cs="宋体"/>
                <w:color w:val="auto"/>
                <w:sz w:val="24"/>
                <w:szCs w:val="24"/>
              </w:rPr>
              <w:t>条），每条扣除</w:t>
            </w:r>
            <w:r>
              <w:rPr>
                <w:rFonts w:hint="eastAsia" w:ascii="宋体" w:hAnsi="宋体" w:cs="宋体"/>
                <w:color w:val="auto"/>
                <w:sz w:val="24"/>
                <w:szCs w:val="24"/>
                <w:lang w:val="en-US" w:eastAsia="zh-CN"/>
              </w:rPr>
              <w:t>0.2</w:t>
            </w:r>
            <w:r>
              <w:rPr>
                <w:rFonts w:hint="eastAsia" w:ascii="宋体" w:hAnsi="宋体" w:cs="宋体"/>
                <w:color w:val="auto"/>
                <w:sz w:val="24"/>
                <w:szCs w:val="24"/>
              </w:rPr>
              <w:t>分，本项扣完为止。</w:t>
            </w:r>
          </w:p>
        </w:tc>
        <w:tc>
          <w:tcPr>
            <w:tcW w:w="3297" w:type="dxa"/>
            <w:noWrap w:val="0"/>
            <w:vAlign w:val="center"/>
          </w:tcPr>
          <w:p w14:paraId="19A5F3F3">
            <w:pPr>
              <w:snapToGrid w:val="0"/>
              <w:rPr>
                <w:rFonts w:ascii="宋体" w:hAnsi="宋体" w:cs="宋体"/>
                <w:color w:val="auto"/>
                <w:sz w:val="24"/>
                <w:szCs w:val="24"/>
              </w:rPr>
            </w:pPr>
            <w:r>
              <w:rPr>
                <w:rFonts w:ascii="宋体" w:hAnsi="宋体" w:cs="宋体"/>
                <w:color w:val="auto"/>
                <w:sz w:val="24"/>
                <w:szCs w:val="24"/>
              </w:rPr>
              <w:t>注：</w:t>
            </w:r>
            <w:r>
              <w:rPr>
                <w:rFonts w:hint="eastAsia" w:ascii="宋体" w:hAnsi="宋体" w:cs="宋体"/>
                <w:color w:val="auto"/>
                <w:sz w:val="24"/>
                <w:szCs w:val="24"/>
              </w:rPr>
              <w:t>●、</w:t>
            </w:r>
            <w:r>
              <w:rPr>
                <w:rFonts w:hint="eastAsia" w:ascii="宋体" w:hAnsi="宋体" w:cs="Segoe UI Symbol"/>
                <w:color w:val="auto"/>
                <w:sz w:val="24"/>
                <w:szCs w:val="24"/>
              </w:rPr>
              <w:t>▲</w:t>
            </w:r>
            <w:r>
              <w:rPr>
                <w:rFonts w:ascii="宋体" w:hAnsi="宋体" w:cs="宋体"/>
                <w:color w:val="auto"/>
                <w:sz w:val="24"/>
                <w:szCs w:val="24"/>
              </w:rPr>
              <w:t>标注的技术需求须提供证明材料，证明材料为：</w:t>
            </w:r>
          </w:p>
          <w:p w14:paraId="275DED65">
            <w:pPr>
              <w:numPr>
                <w:ilvl w:val="0"/>
                <w:numId w:val="20"/>
              </w:numPr>
              <w:snapToGrid w:val="0"/>
              <w:rPr>
                <w:rFonts w:ascii="宋体" w:hAnsi="宋体" w:cs="宋体"/>
                <w:color w:val="auto"/>
                <w:sz w:val="24"/>
                <w:szCs w:val="24"/>
              </w:rPr>
            </w:pPr>
            <w:r>
              <w:rPr>
                <w:rFonts w:hint="eastAsia" w:ascii="宋体" w:hAnsi="宋体" w:cs="宋体"/>
                <w:color w:val="auto"/>
                <w:sz w:val="24"/>
                <w:szCs w:val="24"/>
              </w:rPr>
              <w:t>●项需提供功能演示视频，不提供不得分。</w:t>
            </w:r>
          </w:p>
          <w:p w14:paraId="44F53D1C">
            <w:pPr>
              <w:numPr>
                <w:ilvl w:val="0"/>
                <w:numId w:val="20"/>
              </w:numPr>
              <w:snapToGrid w:val="0"/>
              <w:rPr>
                <w:rFonts w:ascii="宋体" w:hAnsi="宋体" w:cs="宋体"/>
                <w:color w:val="auto"/>
                <w:sz w:val="24"/>
                <w:szCs w:val="24"/>
              </w:rPr>
            </w:pPr>
            <w:r>
              <w:rPr>
                <w:rFonts w:hint="eastAsia" w:ascii="宋体" w:hAnsi="宋体" w:cs="Segoe UI Symbol"/>
                <w:color w:val="auto"/>
                <w:sz w:val="24"/>
                <w:szCs w:val="24"/>
              </w:rPr>
              <w:t>▲</w:t>
            </w:r>
            <w:r>
              <w:rPr>
                <w:rFonts w:hint="eastAsia" w:ascii="宋体" w:hAnsi="宋体" w:cs="宋体"/>
                <w:color w:val="auto"/>
                <w:sz w:val="24"/>
                <w:szCs w:val="24"/>
              </w:rPr>
              <w:t>项需提供系统功能说明+软件界面截图</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第三方检测报告</w:t>
            </w:r>
            <w:r>
              <w:rPr>
                <w:rFonts w:hint="eastAsia" w:ascii="宋体" w:hAnsi="宋体" w:cs="宋体"/>
                <w:color w:val="auto"/>
                <w:sz w:val="24"/>
                <w:szCs w:val="24"/>
              </w:rPr>
              <w:t>，不提供不得分。</w:t>
            </w:r>
          </w:p>
          <w:p w14:paraId="4C0678A9">
            <w:pPr>
              <w:snapToGrid w:val="0"/>
              <w:rPr>
                <w:rFonts w:hint="eastAsia" w:ascii="宋体" w:hAnsi="宋体" w:cs="宋体"/>
                <w:color w:val="auto"/>
                <w:sz w:val="24"/>
                <w:szCs w:val="24"/>
              </w:rPr>
            </w:pPr>
            <w:r>
              <w:rPr>
                <w:rFonts w:ascii="宋体" w:hAnsi="宋体" w:cs="宋体"/>
                <w:color w:val="auto"/>
                <w:sz w:val="24"/>
                <w:szCs w:val="24"/>
              </w:rPr>
              <w:t>技术参数中有明确要求的从其要求，如有负偏离或未提供证明材料视为参数不满足，做扣分处理。</w:t>
            </w:r>
          </w:p>
        </w:tc>
      </w:tr>
      <w:tr w14:paraId="2D7A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567" w:type="dxa"/>
            <w:vMerge w:val="continue"/>
            <w:noWrap w:val="0"/>
            <w:vAlign w:val="center"/>
          </w:tcPr>
          <w:p w14:paraId="35BFEADD">
            <w:pPr>
              <w:snapToGrid w:val="0"/>
              <w:ind w:firstLine="28"/>
              <w:jc w:val="center"/>
              <w:rPr>
                <w:rFonts w:hint="eastAsia" w:ascii="宋体" w:hAnsi="宋体" w:cs="宋体"/>
                <w:sz w:val="24"/>
                <w:szCs w:val="24"/>
              </w:rPr>
            </w:pPr>
          </w:p>
        </w:tc>
        <w:tc>
          <w:tcPr>
            <w:tcW w:w="1180" w:type="dxa"/>
            <w:vMerge w:val="continue"/>
            <w:noWrap w:val="0"/>
            <w:vAlign w:val="center"/>
          </w:tcPr>
          <w:p w14:paraId="52D0D6C3">
            <w:pPr>
              <w:snapToGrid w:val="0"/>
              <w:ind w:firstLine="28"/>
              <w:jc w:val="center"/>
              <w:rPr>
                <w:rFonts w:hint="eastAsia" w:ascii="宋体" w:hAnsi="宋体" w:cs="宋体"/>
                <w:sz w:val="24"/>
                <w:szCs w:val="24"/>
              </w:rPr>
            </w:pPr>
          </w:p>
        </w:tc>
        <w:tc>
          <w:tcPr>
            <w:tcW w:w="876" w:type="dxa"/>
            <w:noWrap w:val="0"/>
            <w:vAlign w:val="center"/>
          </w:tcPr>
          <w:p w14:paraId="4218AEF6">
            <w:pPr>
              <w:snapToGrid w:val="0"/>
              <w:ind w:firstLine="28"/>
              <w:jc w:val="center"/>
              <w:rPr>
                <w:rFonts w:hint="eastAsia" w:ascii="宋体" w:hAnsi="宋体" w:cs="宋体"/>
                <w:color w:val="auto"/>
                <w:sz w:val="24"/>
                <w:szCs w:val="24"/>
              </w:rPr>
            </w:pPr>
            <w:r>
              <w:rPr>
                <w:rFonts w:hint="eastAsia" w:ascii="宋体" w:hAnsi="宋体" w:cs="宋体"/>
                <w:color w:val="auto"/>
                <w:sz w:val="24"/>
                <w:szCs w:val="24"/>
              </w:rPr>
              <w:t>项目实施方案</w:t>
            </w:r>
          </w:p>
          <w:p w14:paraId="588E33BD">
            <w:pPr>
              <w:snapToGrid w:val="0"/>
              <w:ind w:firstLine="28"/>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分）</w:t>
            </w:r>
          </w:p>
        </w:tc>
        <w:tc>
          <w:tcPr>
            <w:tcW w:w="3744" w:type="dxa"/>
            <w:noWrap w:val="0"/>
            <w:vAlign w:val="center"/>
          </w:tcPr>
          <w:p w14:paraId="4ED390D0">
            <w:pPr>
              <w:pStyle w:val="26"/>
              <w:spacing w:before="31"/>
              <w:ind w:left="112" w:right="104"/>
              <w:rPr>
                <w:rFonts w:hint="eastAsia" w:ascii="宋体" w:hAnsi="宋体" w:cs="宋体"/>
                <w:color w:val="auto"/>
                <w:sz w:val="24"/>
                <w:szCs w:val="24"/>
              </w:rPr>
            </w:pPr>
            <w:r>
              <w:rPr>
                <w:rFonts w:hint="eastAsia" w:ascii="宋体" w:hAnsi="宋体" w:cs="宋体"/>
                <w:color w:val="auto"/>
                <w:sz w:val="24"/>
                <w:szCs w:val="24"/>
              </w:rPr>
              <w:t>投标人针对本项目制定的项目实施方案，方案包括：①项目供货安全措施②项目供货质量控制措施③安装、调试、验收方案④供货进度计划安排等内容。项目实施方案完全满足本项目需求的得</w:t>
            </w:r>
            <w:r>
              <w:rPr>
                <w:rFonts w:hint="eastAsia" w:ascii="宋体" w:hAnsi="宋体" w:cs="宋体"/>
                <w:color w:val="auto"/>
                <w:sz w:val="24"/>
                <w:szCs w:val="24"/>
                <w:lang w:val="en-US" w:eastAsia="zh-CN"/>
              </w:rPr>
              <w:t>5</w:t>
            </w:r>
            <w:r>
              <w:rPr>
                <w:rFonts w:hint="eastAsia" w:ascii="宋体" w:hAnsi="宋体" w:cs="宋体"/>
                <w:color w:val="auto"/>
                <w:sz w:val="24"/>
                <w:szCs w:val="24"/>
              </w:rPr>
              <w:t>分，每有一项缺项或漏项的扣</w:t>
            </w:r>
            <w:r>
              <w:rPr>
                <w:rFonts w:hint="eastAsia" w:ascii="宋体" w:hAnsi="宋体" w:cs="宋体"/>
                <w:color w:val="auto"/>
                <w:sz w:val="24"/>
                <w:szCs w:val="24"/>
                <w:lang w:val="en-US" w:eastAsia="zh-CN"/>
              </w:rPr>
              <w:t>1.5</w:t>
            </w:r>
            <w:r>
              <w:rPr>
                <w:rFonts w:hint="eastAsia" w:ascii="宋体" w:hAnsi="宋体" w:cs="宋体"/>
                <w:color w:val="auto"/>
                <w:sz w:val="24"/>
                <w:szCs w:val="24"/>
              </w:rPr>
              <w:t>分，每有一项内容存在缺陷扣1分，直至该项分值扣完为止。</w:t>
            </w:r>
          </w:p>
        </w:tc>
        <w:tc>
          <w:tcPr>
            <w:tcW w:w="3297" w:type="dxa"/>
            <w:noWrap w:val="0"/>
            <w:vAlign w:val="center"/>
          </w:tcPr>
          <w:p w14:paraId="5B51D62E">
            <w:pPr>
              <w:snapToGrid w:val="0"/>
              <w:rPr>
                <w:rFonts w:hint="eastAsia" w:ascii="宋体" w:hAnsi="宋体" w:cs="宋体"/>
                <w:color w:val="auto"/>
                <w:sz w:val="24"/>
                <w:szCs w:val="24"/>
              </w:rPr>
            </w:pPr>
            <w:r>
              <w:rPr>
                <w:rFonts w:ascii="宋体" w:hAnsi="宋体" w:cs="宋体"/>
                <w:color w:val="auto"/>
                <w:sz w:val="24"/>
                <w:szCs w:val="24"/>
              </w:rPr>
              <w:t>注：缺陷是指存在项目名称错误、地点区域错误、内容与本项目需求无关、方案内容矛盾、仅有框架或标题、适用的标准（方法）错误、明显复制其他项目内容等任意一种情形</w:t>
            </w:r>
            <w:r>
              <w:rPr>
                <w:rFonts w:hint="eastAsia" w:ascii="宋体" w:hAnsi="宋体" w:cs="宋体"/>
                <w:color w:val="auto"/>
                <w:sz w:val="24"/>
                <w:szCs w:val="24"/>
              </w:rPr>
              <w:t>。</w:t>
            </w:r>
          </w:p>
        </w:tc>
      </w:tr>
      <w:tr w14:paraId="536B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567" w:type="dxa"/>
            <w:vMerge w:val="restart"/>
            <w:noWrap w:val="0"/>
            <w:vAlign w:val="center"/>
          </w:tcPr>
          <w:p w14:paraId="01B5A312">
            <w:pPr>
              <w:snapToGrid w:val="0"/>
              <w:ind w:firstLine="28"/>
              <w:jc w:val="center"/>
              <w:rPr>
                <w:rFonts w:hint="eastAsia" w:ascii="宋体" w:hAnsi="宋体" w:cs="宋体"/>
                <w:sz w:val="24"/>
                <w:szCs w:val="24"/>
              </w:rPr>
            </w:pPr>
            <w:r>
              <w:rPr>
                <w:rFonts w:hint="eastAsia" w:ascii="宋体" w:hAnsi="宋体" w:cs="宋体"/>
                <w:sz w:val="24"/>
                <w:szCs w:val="24"/>
              </w:rPr>
              <w:t>3</w:t>
            </w:r>
          </w:p>
        </w:tc>
        <w:tc>
          <w:tcPr>
            <w:tcW w:w="1180" w:type="dxa"/>
            <w:vMerge w:val="restart"/>
            <w:noWrap w:val="0"/>
            <w:vAlign w:val="center"/>
          </w:tcPr>
          <w:p w14:paraId="7BC13A7F">
            <w:pPr>
              <w:snapToGrid w:val="0"/>
              <w:ind w:firstLine="28"/>
              <w:jc w:val="center"/>
              <w:rPr>
                <w:rFonts w:hint="eastAsia" w:ascii="宋体" w:hAnsi="宋体" w:cs="宋体"/>
                <w:sz w:val="24"/>
                <w:szCs w:val="24"/>
              </w:rPr>
            </w:pPr>
            <w:r>
              <w:rPr>
                <w:rFonts w:hint="eastAsia" w:ascii="宋体" w:hAnsi="宋体" w:cs="宋体"/>
                <w:sz w:val="24"/>
                <w:szCs w:val="24"/>
              </w:rPr>
              <w:t>商务部分（20%）</w:t>
            </w:r>
          </w:p>
        </w:tc>
        <w:tc>
          <w:tcPr>
            <w:tcW w:w="876" w:type="dxa"/>
            <w:noWrap w:val="0"/>
            <w:vAlign w:val="center"/>
          </w:tcPr>
          <w:p w14:paraId="227F7C1D">
            <w:pPr>
              <w:snapToGrid w:val="0"/>
              <w:ind w:firstLine="28"/>
              <w:jc w:val="center"/>
              <w:rPr>
                <w:rFonts w:hint="eastAsia" w:ascii="宋体" w:hAnsi="宋体" w:cs="宋体"/>
                <w:color w:val="auto"/>
                <w:sz w:val="24"/>
                <w:szCs w:val="24"/>
              </w:rPr>
            </w:pPr>
            <w:r>
              <w:rPr>
                <w:rFonts w:hint="eastAsia" w:ascii="宋体" w:hAnsi="宋体" w:cs="宋体"/>
                <w:color w:val="auto"/>
                <w:sz w:val="24"/>
                <w:szCs w:val="24"/>
              </w:rPr>
              <w:t>售后服务方案</w:t>
            </w:r>
          </w:p>
          <w:p w14:paraId="1075AC28">
            <w:pPr>
              <w:snapToGrid w:val="0"/>
              <w:ind w:firstLine="28"/>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15</w:t>
            </w:r>
            <w:r>
              <w:rPr>
                <w:rFonts w:hint="eastAsia" w:ascii="宋体" w:hAnsi="宋体" w:cs="宋体"/>
                <w:color w:val="auto"/>
                <w:sz w:val="24"/>
                <w:szCs w:val="24"/>
              </w:rPr>
              <w:t>分）</w:t>
            </w:r>
          </w:p>
        </w:tc>
        <w:tc>
          <w:tcPr>
            <w:tcW w:w="3744" w:type="dxa"/>
            <w:noWrap w:val="0"/>
            <w:vAlign w:val="center"/>
          </w:tcPr>
          <w:p w14:paraId="3F917D45">
            <w:pPr>
              <w:pStyle w:val="26"/>
              <w:spacing w:before="31"/>
              <w:ind w:left="112" w:right="104"/>
              <w:rPr>
                <w:rFonts w:hint="eastAsia" w:ascii="宋体" w:hAnsi="宋体" w:cs="宋体"/>
                <w:color w:val="auto"/>
                <w:sz w:val="24"/>
                <w:szCs w:val="24"/>
              </w:rPr>
            </w:pPr>
            <w:r>
              <w:rPr>
                <w:rFonts w:hint="eastAsia" w:ascii="宋体" w:hAnsi="宋体" w:cs="宋体"/>
                <w:color w:val="auto"/>
                <w:sz w:val="24"/>
                <w:szCs w:val="24"/>
              </w:rPr>
              <w:t>根据供应商提供的售后服务方案进行综合评审，方案包括：①售后响应方式及时间②售后服务保障③培训方案④售后巡检服务等内容。售后服务方案完全满足本项目需求的得1</w:t>
            </w:r>
            <w:r>
              <w:rPr>
                <w:rFonts w:hint="eastAsia" w:ascii="宋体" w:hAnsi="宋体" w:cs="宋体"/>
                <w:color w:val="auto"/>
                <w:sz w:val="24"/>
                <w:szCs w:val="24"/>
                <w:lang w:val="en-US" w:eastAsia="zh-CN"/>
              </w:rPr>
              <w:t>5</w:t>
            </w:r>
            <w:r>
              <w:rPr>
                <w:rFonts w:hint="eastAsia" w:ascii="宋体" w:hAnsi="宋体" w:cs="宋体"/>
                <w:color w:val="auto"/>
                <w:sz w:val="24"/>
                <w:szCs w:val="24"/>
              </w:rPr>
              <w:t>分，每有一项缺项或漏项的扣2分，每有一项内容存在缺陷扣1分，直至该项分值扣完为止。</w:t>
            </w:r>
          </w:p>
        </w:tc>
        <w:tc>
          <w:tcPr>
            <w:tcW w:w="3297" w:type="dxa"/>
            <w:noWrap w:val="0"/>
            <w:vAlign w:val="center"/>
          </w:tcPr>
          <w:p w14:paraId="36F07EA2">
            <w:pPr>
              <w:snapToGrid w:val="0"/>
              <w:rPr>
                <w:rFonts w:hint="eastAsia" w:ascii="宋体" w:hAnsi="宋体" w:cs="宋体"/>
                <w:color w:val="auto"/>
                <w:sz w:val="24"/>
                <w:szCs w:val="24"/>
              </w:rPr>
            </w:pPr>
            <w:r>
              <w:rPr>
                <w:rFonts w:ascii="宋体" w:hAnsi="宋体" w:cs="宋体"/>
                <w:color w:val="auto"/>
                <w:sz w:val="24"/>
                <w:szCs w:val="24"/>
              </w:rPr>
              <w:t>注：缺陷是指存在项目名称错误、地点区域错误、内容与本项目需求无关、方案内容矛盾、仅有框架或标题、适用的标准（方法）错误、明显复制其他项目内容等任意一种情形</w:t>
            </w:r>
            <w:r>
              <w:rPr>
                <w:rFonts w:hint="eastAsia" w:ascii="宋体" w:hAnsi="宋体" w:cs="宋体"/>
                <w:color w:val="auto"/>
                <w:sz w:val="24"/>
                <w:szCs w:val="24"/>
              </w:rPr>
              <w:t>。</w:t>
            </w:r>
          </w:p>
        </w:tc>
      </w:tr>
      <w:tr w14:paraId="6CC2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567" w:type="dxa"/>
            <w:vMerge w:val="continue"/>
            <w:noWrap w:val="0"/>
            <w:vAlign w:val="center"/>
          </w:tcPr>
          <w:p w14:paraId="228F602A">
            <w:pPr>
              <w:snapToGrid w:val="0"/>
              <w:ind w:firstLine="28"/>
              <w:jc w:val="center"/>
              <w:rPr>
                <w:rFonts w:hint="eastAsia" w:ascii="宋体" w:hAnsi="宋体" w:cs="宋体"/>
                <w:sz w:val="24"/>
                <w:szCs w:val="24"/>
              </w:rPr>
            </w:pPr>
          </w:p>
        </w:tc>
        <w:tc>
          <w:tcPr>
            <w:tcW w:w="1180" w:type="dxa"/>
            <w:vMerge w:val="continue"/>
            <w:noWrap w:val="0"/>
            <w:vAlign w:val="center"/>
          </w:tcPr>
          <w:p w14:paraId="374B2302">
            <w:pPr>
              <w:snapToGrid w:val="0"/>
              <w:ind w:firstLine="28"/>
              <w:jc w:val="center"/>
              <w:rPr>
                <w:rFonts w:hint="eastAsia" w:ascii="宋体" w:hAnsi="宋体" w:cs="宋体"/>
                <w:sz w:val="24"/>
                <w:szCs w:val="24"/>
              </w:rPr>
            </w:pPr>
          </w:p>
        </w:tc>
        <w:tc>
          <w:tcPr>
            <w:tcW w:w="876" w:type="dxa"/>
            <w:noWrap w:val="0"/>
            <w:vAlign w:val="center"/>
          </w:tcPr>
          <w:p w14:paraId="74831541">
            <w:pPr>
              <w:snapToGrid w:val="0"/>
              <w:ind w:firstLine="28"/>
              <w:jc w:val="center"/>
              <w:rPr>
                <w:rFonts w:hint="eastAsia" w:ascii="宋体" w:hAnsi="宋体" w:cs="宋体"/>
                <w:color w:val="auto"/>
                <w:sz w:val="24"/>
                <w:szCs w:val="24"/>
              </w:rPr>
            </w:pPr>
            <w:r>
              <w:rPr>
                <w:rFonts w:hint="eastAsia" w:ascii="宋体" w:hAnsi="宋体" w:cs="宋体"/>
                <w:color w:val="auto"/>
                <w:sz w:val="24"/>
                <w:szCs w:val="24"/>
              </w:rPr>
              <w:t>同类业绩（</w:t>
            </w:r>
            <w:r>
              <w:rPr>
                <w:rFonts w:hint="eastAsia" w:ascii="宋体" w:hAnsi="宋体" w:cs="宋体"/>
                <w:color w:val="auto"/>
                <w:sz w:val="24"/>
                <w:szCs w:val="24"/>
                <w:lang w:val="en-US" w:eastAsia="zh-CN"/>
              </w:rPr>
              <w:t>5</w:t>
            </w:r>
            <w:r>
              <w:rPr>
                <w:rFonts w:hint="eastAsia" w:ascii="宋体" w:hAnsi="宋体" w:cs="宋体"/>
                <w:color w:val="auto"/>
                <w:sz w:val="24"/>
                <w:szCs w:val="24"/>
              </w:rPr>
              <w:t>分）</w:t>
            </w:r>
          </w:p>
        </w:tc>
        <w:tc>
          <w:tcPr>
            <w:tcW w:w="3744" w:type="dxa"/>
            <w:noWrap w:val="0"/>
            <w:vAlign w:val="center"/>
          </w:tcPr>
          <w:p w14:paraId="02105D7B">
            <w:pPr>
              <w:pStyle w:val="26"/>
              <w:spacing w:before="31"/>
              <w:ind w:left="112" w:right="104"/>
              <w:rPr>
                <w:rFonts w:ascii="宋体" w:hAnsi="宋体" w:cs="宋体"/>
                <w:color w:val="auto"/>
                <w:sz w:val="24"/>
                <w:szCs w:val="24"/>
              </w:rPr>
            </w:pPr>
            <w:r>
              <w:rPr>
                <w:rFonts w:hint="eastAsia" w:ascii="宋体" w:hAnsi="宋体" w:cs="宋体"/>
                <w:color w:val="auto"/>
                <w:sz w:val="24"/>
                <w:szCs w:val="24"/>
              </w:rPr>
              <w:t>根据供应商提供的2023年1月1日至本项目比选公告发布之日的同类项目有效业绩合同进行评审。每提供1份得</w:t>
            </w:r>
            <w:r>
              <w:rPr>
                <w:rFonts w:hint="eastAsia" w:ascii="宋体" w:hAnsi="宋体" w:cs="宋体"/>
                <w:color w:val="auto"/>
                <w:sz w:val="24"/>
                <w:szCs w:val="24"/>
                <w:lang w:val="en-US" w:eastAsia="zh-CN"/>
              </w:rPr>
              <w:t>1</w:t>
            </w:r>
            <w:r>
              <w:rPr>
                <w:rFonts w:hint="eastAsia" w:ascii="宋体" w:hAnsi="宋体" w:cs="宋体"/>
                <w:color w:val="auto"/>
                <w:sz w:val="24"/>
                <w:szCs w:val="24"/>
              </w:rPr>
              <w:t>分，最多</w:t>
            </w:r>
            <w:r>
              <w:rPr>
                <w:rFonts w:hint="eastAsia" w:ascii="宋体" w:hAnsi="宋体" w:cs="宋体"/>
                <w:color w:val="auto"/>
                <w:sz w:val="24"/>
                <w:szCs w:val="24"/>
                <w:lang w:val="en-US" w:eastAsia="zh-CN"/>
              </w:rPr>
              <w:t>5</w:t>
            </w:r>
            <w:r>
              <w:rPr>
                <w:rFonts w:hint="eastAsia" w:ascii="宋体" w:hAnsi="宋体" w:cs="宋体"/>
                <w:color w:val="auto"/>
                <w:sz w:val="24"/>
                <w:szCs w:val="24"/>
              </w:rPr>
              <w:t>分。</w:t>
            </w:r>
          </w:p>
          <w:p w14:paraId="45FD97EB">
            <w:pPr>
              <w:pStyle w:val="26"/>
              <w:spacing w:before="31"/>
              <w:ind w:left="112" w:right="104"/>
              <w:rPr>
                <w:rFonts w:hint="eastAsia" w:ascii="宋体" w:hAnsi="宋体" w:cs="宋体"/>
                <w:color w:val="auto"/>
                <w:sz w:val="24"/>
                <w:szCs w:val="24"/>
              </w:rPr>
            </w:pPr>
            <w:r>
              <w:rPr>
                <w:rFonts w:hint="eastAsia" w:ascii="宋体" w:hAnsi="宋体" w:cs="宋体"/>
                <w:color w:val="auto"/>
                <w:sz w:val="24"/>
                <w:szCs w:val="24"/>
              </w:rPr>
              <w:t>提供的有效业绩合同证明文件至少应包括合同首页、合同标的页、合同金额页、合同大签页等关键页，业绩证明材料须清晰可辨，否则视为未提供，原件备查。</w:t>
            </w:r>
          </w:p>
        </w:tc>
        <w:tc>
          <w:tcPr>
            <w:tcW w:w="3297" w:type="dxa"/>
            <w:noWrap w:val="0"/>
            <w:vAlign w:val="center"/>
          </w:tcPr>
          <w:p w14:paraId="2705269E">
            <w:pPr>
              <w:snapToGrid w:val="0"/>
              <w:rPr>
                <w:rFonts w:ascii="宋体" w:hAnsi="宋体" w:cs="宋体"/>
                <w:color w:val="auto"/>
                <w:sz w:val="24"/>
                <w:szCs w:val="24"/>
              </w:rPr>
            </w:pPr>
            <w:r>
              <w:rPr>
                <w:rFonts w:hint="eastAsia" w:ascii="宋体" w:hAnsi="宋体" w:cs="宋体"/>
                <w:color w:val="auto"/>
                <w:sz w:val="24"/>
                <w:szCs w:val="24"/>
              </w:rPr>
              <w:t>注：同类业绩是指</w:t>
            </w:r>
            <w:r>
              <w:rPr>
                <w:rFonts w:hint="eastAsia" w:ascii="宋体" w:hAnsi="宋体" w:cs="宋体"/>
                <w:color w:val="auto"/>
                <w:sz w:val="24"/>
                <w:szCs w:val="24"/>
                <w:lang w:val="en-US" w:eastAsia="zh-CN"/>
              </w:rPr>
              <w:t>智慧设施</w:t>
            </w:r>
            <w:r>
              <w:rPr>
                <w:rFonts w:hint="eastAsia" w:ascii="宋体" w:hAnsi="宋体" w:cs="宋体"/>
                <w:color w:val="auto"/>
                <w:sz w:val="24"/>
                <w:szCs w:val="24"/>
              </w:rPr>
              <w:t>相关的产品、服务</w:t>
            </w:r>
          </w:p>
        </w:tc>
      </w:tr>
      <w:bookmarkEnd w:id="43"/>
    </w:tbl>
    <w:p w14:paraId="68AF22C1"/>
    <w:p w14:paraId="4233DEDF">
      <w:pPr>
        <w:rPr>
          <w:rFonts w:hint="eastAsia"/>
        </w:rPr>
      </w:pPr>
    </w:p>
    <w:bookmarkEnd w:id="38"/>
    <w:bookmarkEnd w:id="42"/>
    <w:p w14:paraId="42C3EF08">
      <w:pPr>
        <w:pStyle w:val="3"/>
        <w:spacing w:before="0" w:after="0"/>
        <w:rPr>
          <w:rFonts w:hint="eastAsia" w:asciiTheme="minorEastAsia" w:hAnsiTheme="minorEastAsia" w:eastAsiaTheme="minorEastAsia" w:cstheme="minorEastAsia"/>
          <w:color w:val="auto"/>
          <w:sz w:val="24"/>
          <w:szCs w:val="24"/>
        </w:rPr>
      </w:pPr>
      <w:bookmarkStart w:id="44" w:name="_Toc11902"/>
      <w:r>
        <w:rPr>
          <w:rFonts w:hint="eastAsia" w:asciiTheme="minorEastAsia" w:hAnsiTheme="minorEastAsia" w:eastAsiaTheme="minorEastAsia" w:cstheme="minorEastAsia"/>
          <w:color w:val="auto"/>
          <w:sz w:val="24"/>
          <w:szCs w:val="24"/>
        </w:rPr>
        <w:t>三、无效竞标</w:t>
      </w:r>
      <w:bookmarkEnd w:id="44"/>
    </w:p>
    <w:p w14:paraId="73C871DA">
      <w:pPr>
        <w:snapToGrid w:val="0"/>
        <w:spacing w:line="360" w:lineRule="auto"/>
        <w:ind w:firstLine="4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竞选人或其提交的比选申请文件出现下列情况之一者，应为无效投标：</w:t>
      </w:r>
    </w:p>
    <w:p w14:paraId="273DC655">
      <w:pPr>
        <w:snapToGrid w:val="0"/>
        <w:spacing w:line="360" w:lineRule="auto"/>
        <w:ind w:firstLine="4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（一）竞选人不符合规定的基本资格条件或特定资格条件的；</w:t>
      </w:r>
    </w:p>
    <w:p w14:paraId="0438BEC5">
      <w:pPr>
        <w:snapToGrid w:val="0"/>
        <w:spacing w:line="360" w:lineRule="auto"/>
        <w:ind w:firstLine="4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（二）竞选人的法定代表人（或其授权代表）或自然人未参加竞选；</w:t>
      </w:r>
    </w:p>
    <w:p w14:paraId="5A7515F8">
      <w:pPr>
        <w:snapToGrid w:val="0"/>
        <w:spacing w:line="360" w:lineRule="auto"/>
        <w:ind w:firstLine="4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（三）竞选人所提交的比选申请文件未按第七篇“比选申请文件格式”规定签署、盖章的；</w:t>
      </w:r>
    </w:p>
    <w:p w14:paraId="4B521D2F">
      <w:pPr>
        <w:snapToGrid w:val="0"/>
        <w:spacing w:line="360" w:lineRule="auto"/>
        <w:ind w:firstLine="4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（四）法定代表人为同一个人的两个及两个以上法人，母公司、全资子公司及其控股公司，在同一分包采购中同时参与竞选；</w:t>
      </w:r>
    </w:p>
    <w:p w14:paraId="16A8AE9A">
      <w:pPr>
        <w:snapToGrid w:val="0"/>
        <w:spacing w:line="360" w:lineRule="auto"/>
        <w:ind w:firstLine="4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（五）单位负责人为同一人或者存在直接控股、管理关系的不同竞选人，参加同一合同项下的采购活动的；</w:t>
      </w:r>
    </w:p>
    <w:p w14:paraId="65B44D8D">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（六）为采购项目提供整体设计、规范编制或者项目管理、监理、检测等服务的竞选人，再参加该采购项目的其他采购活动；</w:t>
      </w:r>
    </w:p>
    <w:p w14:paraId="3F181795">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（七）竞选人的服务时间、质量保证期及竞选有效期不满足竞争性比选文件要求的；</w:t>
      </w:r>
    </w:p>
    <w:p w14:paraId="6AB76CA1">
      <w:pPr>
        <w:snapToGrid w:val="0"/>
        <w:spacing w:line="360" w:lineRule="auto"/>
        <w:ind w:firstLine="4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（八）竞选人比选申请文件内容有与国家现行法律法规相违背的内容，或附有比选人无法接受的条件；</w:t>
      </w:r>
    </w:p>
    <w:p w14:paraId="4B1FD39C">
      <w:pPr>
        <w:snapToGrid w:val="0"/>
        <w:spacing w:line="360" w:lineRule="auto"/>
        <w:ind w:firstLine="4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（九）竞选人以联合体形式参与竞选的；</w:t>
      </w:r>
    </w:p>
    <w:p w14:paraId="1B5FEED6">
      <w:pPr>
        <w:snapToGrid w:val="0"/>
        <w:spacing w:line="360" w:lineRule="auto"/>
        <w:ind w:firstLine="4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（十）竞选人进行合同分包的；</w:t>
      </w:r>
    </w:p>
    <w:p w14:paraId="64D46204">
      <w:pPr>
        <w:snapToGrid w:val="0"/>
        <w:spacing w:line="360" w:lineRule="auto"/>
        <w:ind w:firstLine="48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z w:val="24"/>
          <w:szCs w:val="24"/>
        </w:rPr>
        <w:t>（十一）竞选人未在保证金到账截止时间前足额交纳保证金的</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如果有）</w:t>
      </w:r>
      <w:r>
        <w:rPr>
          <w:rFonts w:hint="eastAsia" w:asciiTheme="minorEastAsia" w:hAnsiTheme="minorEastAsia" w:eastAsiaTheme="minorEastAsia" w:cstheme="minorEastAsia"/>
          <w:color w:val="auto"/>
          <w:sz w:val="24"/>
          <w:szCs w:val="24"/>
          <w:lang w:eastAsia="zh-CN"/>
        </w:rPr>
        <w:t>。</w:t>
      </w:r>
    </w:p>
    <w:p w14:paraId="64BF212A">
      <w:pPr>
        <w:pStyle w:val="3"/>
        <w:spacing w:before="0" w:after="0"/>
        <w:rPr>
          <w:rFonts w:hint="eastAsia" w:asciiTheme="minorEastAsia" w:hAnsiTheme="minorEastAsia" w:eastAsiaTheme="minorEastAsia" w:cstheme="minorEastAsia"/>
          <w:color w:val="auto"/>
          <w:sz w:val="24"/>
          <w:szCs w:val="24"/>
        </w:rPr>
      </w:pPr>
      <w:bookmarkStart w:id="45" w:name="_Toc11268"/>
      <w:bookmarkStart w:id="46" w:name="_Toc22621"/>
      <w:r>
        <w:rPr>
          <w:rFonts w:hint="eastAsia" w:asciiTheme="minorEastAsia" w:hAnsiTheme="minorEastAsia" w:eastAsiaTheme="minorEastAsia" w:cstheme="minorEastAsia"/>
          <w:color w:val="auto"/>
          <w:sz w:val="24"/>
          <w:szCs w:val="24"/>
        </w:rPr>
        <w:t>四、</w:t>
      </w:r>
      <w:bookmarkEnd w:id="39"/>
      <w:bookmarkEnd w:id="40"/>
      <w:r>
        <w:rPr>
          <w:rFonts w:hint="eastAsia" w:asciiTheme="minorEastAsia" w:hAnsiTheme="minorEastAsia" w:eastAsiaTheme="minorEastAsia" w:cstheme="minorEastAsia"/>
          <w:color w:val="auto"/>
          <w:sz w:val="24"/>
          <w:szCs w:val="24"/>
        </w:rPr>
        <w:t>采购终止</w:t>
      </w:r>
      <w:bookmarkEnd w:id="45"/>
      <w:bookmarkEnd w:id="46"/>
    </w:p>
    <w:p w14:paraId="2889843D">
      <w:pPr>
        <w:snapToGrid w:val="0"/>
        <w:spacing w:line="360" w:lineRule="auto"/>
        <w:ind w:firstLine="4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出现下列情形之一的，比选人或者比选代理机构应当终止竞争性比选采购活动，发布项目终止公告并说明原因，重新开展采购活动：</w:t>
      </w:r>
    </w:p>
    <w:p w14:paraId="2678966B">
      <w:pPr>
        <w:numPr>
          <w:ilvl w:val="0"/>
          <w:numId w:val="21"/>
        </w:numPr>
        <w:snapToGrid w:val="0"/>
        <w:spacing w:line="360" w:lineRule="auto"/>
        <w:ind w:firstLine="4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因情况变化，不再符合规定的竞争性比选采购方式适用情形的；</w:t>
      </w:r>
    </w:p>
    <w:p w14:paraId="060F1EB0">
      <w:pPr>
        <w:numPr>
          <w:ilvl w:val="0"/>
          <w:numId w:val="21"/>
        </w:numPr>
        <w:snapToGrid w:val="0"/>
        <w:spacing w:line="360" w:lineRule="auto"/>
        <w:ind w:firstLine="4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竞选人的报价均超过了采购预算或最高限价，比选人不能支付的；</w:t>
      </w:r>
    </w:p>
    <w:p w14:paraId="0E200706">
      <w:pPr>
        <w:snapToGrid w:val="0"/>
        <w:spacing w:line="360" w:lineRule="auto"/>
        <w:ind w:firstLine="4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（三）出现影响采购公正的违法、违规行为的；</w:t>
      </w:r>
    </w:p>
    <w:p w14:paraId="00BCA714">
      <w:pPr>
        <w:snapToGrid w:val="0"/>
        <w:spacing w:line="360" w:lineRule="auto"/>
        <w:ind w:firstLine="4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（四）在采购过程中符合要求的竞选人或者报价未超过最高限价的竞选人不足3家的。</w:t>
      </w:r>
    </w:p>
    <w:p w14:paraId="19BE8C20">
      <w:pPr>
        <w:snapToGrid w:val="0"/>
        <w:spacing w:line="360" w:lineRule="auto"/>
        <w:ind w:firstLine="465"/>
        <w:rPr>
          <w:rFonts w:hint="eastAsia" w:asciiTheme="minorEastAsia" w:hAnsiTheme="minorEastAsia" w:eastAsiaTheme="minorEastAsia" w:cstheme="minorEastAsia"/>
          <w:color w:val="auto"/>
          <w:sz w:val="24"/>
          <w:szCs w:val="24"/>
        </w:rPr>
      </w:pPr>
    </w:p>
    <w:p w14:paraId="6810EB4F">
      <w:pPr>
        <w:spacing w:line="360" w:lineRule="auto"/>
        <w:ind w:firstLine="480" w:firstLineChars="200"/>
        <w:rPr>
          <w:rFonts w:hint="eastAsia" w:asciiTheme="minorEastAsia" w:hAnsiTheme="minorEastAsia" w:eastAsiaTheme="minorEastAsia" w:cstheme="minorEastAsia"/>
          <w:color w:val="auto"/>
          <w:sz w:val="24"/>
          <w:szCs w:val="24"/>
        </w:rPr>
        <w:sectPr>
          <w:footerReference r:id="rId8" w:type="default"/>
          <w:pgSz w:w="11907" w:h="16840"/>
          <w:pgMar w:top="1134" w:right="1191" w:bottom="1134" w:left="1304" w:header="709" w:footer="992" w:gutter="0"/>
          <w:pgNumType w:fmt="numberInDash"/>
          <w:cols w:space="720" w:num="1"/>
          <w:docGrid w:linePitch="312" w:charSpace="0"/>
        </w:sectPr>
      </w:pPr>
    </w:p>
    <w:p w14:paraId="4BC662EB">
      <w:pPr>
        <w:pStyle w:val="2"/>
        <w:spacing w:line="360" w:lineRule="auto"/>
        <w:jc w:val="center"/>
        <w:rPr>
          <w:rFonts w:hint="eastAsia" w:asciiTheme="minorEastAsia" w:hAnsiTheme="minorEastAsia" w:eastAsiaTheme="minorEastAsia" w:cstheme="minorEastAsia"/>
          <w:bCs/>
          <w:color w:val="auto"/>
          <w:szCs w:val="30"/>
        </w:rPr>
      </w:pPr>
      <w:bookmarkStart w:id="47" w:name="_Toc9068"/>
      <w:bookmarkStart w:id="48" w:name="_Toc5577"/>
      <w:bookmarkStart w:id="49" w:name="_Toc102227313"/>
      <w:r>
        <w:rPr>
          <w:rFonts w:hint="eastAsia" w:asciiTheme="minorEastAsia" w:hAnsiTheme="minorEastAsia" w:eastAsiaTheme="minorEastAsia" w:cstheme="minorEastAsia"/>
          <w:bCs/>
          <w:color w:val="auto"/>
          <w:sz w:val="36"/>
          <w:szCs w:val="30"/>
        </w:rPr>
        <w:t>第五篇  竞选人须知</w:t>
      </w:r>
      <w:bookmarkEnd w:id="47"/>
      <w:bookmarkEnd w:id="48"/>
      <w:bookmarkEnd w:id="49"/>
    </w:p>
    <w:p w14:paraId="661B7D7D">
      <w:pPr>
        <w:pStyle w:val="3"/>
        <w:spacing w:before="0" w:after="0"/>
        <w:ind w:firstLine="482" w:firstLineChars="200"/>
        <w:rPr>
          <w:rFonts w:hint="eastAsia" w:asciiTheme="minorEastAsia" w:hAnsiTheme="minorEastAsia" w:eastAsiaTheme="minorEastAsia" w:cstheme="minorEastAsia"/>
          <w:color w:val="auto"/>
          <w:sz w:val="24"/>
          <w:szCs w:val="24"/>
        </w:rPr>
      </w:pPr>
      <w:bookmarkStart w:id="50" w:name="_Toc6306"/>
      <w:bookmarkStart w:id="51" w:name="_Toc342913389"/>
      <w:bookmarkStart w:id="52" w:name="_Toc26910"/>
      <w:r>
        <w:rPr>
          <w:rFonts w:hint="eastAsia" w:asciiTheme="minorEastAsia" w:hAnsiTheme="minorEastAsia" w:eastAsiaTheme="minorEastAsia" w:cstheme="minorEastAsia"/>
          <w:color w:val="auto"/>
          <w:sz w:val="24"/>
          <w:szCs w:val="24"/>
        </w:rPr>
        <w:t>一、竞选费用</w:t>
      </w:r>
      <w:bookmarkEnd w:id="50"/>
      <w:bookmarkEnd w:id="51"/>
      <w:bookmarkEnd w:id="52"/>
    </w:p>
    <w:p w14:paraId="2FB75DA6">
      <w:pPr>
        <w:pStyle w:val="23"/>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参与竞选的竞选人应承担其编制比选申请文件与递交比选申请文件所涉及的一切费用，不论竞选结果如何，比选人和比选代理机构在任何情况下无义务也无责任承担这些费用。</w:t>
      </w:r>
    </w:p>
    <w:p w14:paraId="10135B67">
      <w:pPr>
        <w:pStyle w:val="3"/>
        <w:tabs>
          <w:tab w:val="left" w:pos="2640"/>
        </w:tabs>
        <w:spacing w:before="0" w:after="0"/>
        <w:ind w:firstLine="482" w:firstLineChars="200"/>
        <w:rPr>
          <w:rFonts w:hint="eastAsia" w:asciiTheme="minorEastAsia" w:hAnsiTheme="minorEastAsia" w:eastAsiaTheme="minorEastAsia" w:cstheme="minorEastAsia"/>
          <w:color w:val="auto"/>
          <w:sz w:val="24"/>
          <w:szCs w:val="24"/>
        </w:rPr>
      </w:pPr>
      <w:bookmarkStart w:id="53" w:name="_Toc22082"/>
      <w:bookmarkStart w:id="54" w:name="_Toc10211"/>
      <w:bookmarkStart w:id="55" w:name="_Toc342913391"/>
      <w:r>
        <w:rPr>
          <w:rFonts w:hint="eastAsia" w:asciiTheme="minorEastAsia" w:hAnsiTheme="minorEastAsia" w:eastAsiaTheme="minorEastAsia" w:cstheme="minorEastAsia"/>
          <w:color w:val="auto"/>
          <w:sz w:val="24"/>
          <w:szCs w:val="24"/>
        </w:rPr>
        <w:t>二、竞争性比选文件</w:t>
      </w:r>
      <w:bookmarkEnd w:id="53"/>
      <w:bookmarkEnd w:id="54"/>
      <w:bookmarkEnd w:id="55"/>
    </w:p>
    <w:p w14:paraId="200B567A">
      <w:pPr>
        <w:snapToGrid w:val="0"/>
        <w:spacing w:line="360" w:lineRule="auto"/>
        <w:ind w:firstLine="480" w:firstLineChars="200"/>
        <w:rPr>
          <w:rFonts w:hint="eastAsia" w:asciiTheme="minorEastAsia" w:hAnsiTheme="minorEastAsia" w:eastAsiaTheme="minorEastAsia" w:cstheme="minorEastAsia"/>
          <w:color w:val="auto"/>
          <w:sz w:val="24"/>
          <w:szCs w:val="24"/>
        </w:rPr>
      </w:pPr>
      <w:bookmarkStart w:id="56" w:name="_Toc318159780"/>
      <w:bookmarkStart w:id="57" w:name="_Toc318166429"/>
      <w:bookmarkStart w:id="58" w:name="_Toc318159160"/>
      <w:bookmarkStart w:id="59" w:name="_Toc318159349"/>
      <w:r>
        <w:rPr>
          <w:rFonts w:hint="eastAsia" w:asciiTheme="minorEastAsia" w:hAnsiTheme="minorEastAsia" w:eastAsiaTheme="minorEastAsia" w:cstheme="minorEastAsia"/>
          <w:color w:val="auto"/>
          <w:sz w:val="24"/>
          <w:szCs w:val="24"/>
        </w:rPr>
        <w:t>（一）竞争性比选文件由采购邀请书、项目服务需求、项目商务需求、竞选程序及方法、评审标准、无效响应和采购终止、竞选人须知、合同条款及格式</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rPr>
        <w:t>比选申请文件格式七部分组成。</w:t>
      </w:r>
    </w:p>
    <w:p w14:paraId="4997B256">
      <w:pPr>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（二）比选人（或比选代理机构）所作的一切有效的书面通知、修改及补充，都是竞争性比选文件不可分割的部分。</w:t>
      </w:r>
    </w:p>
    <w:p w14:paraId="18818178">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（三）竞争性比选文件的解释</w:t>
      </w:r>
    </w:p>
    <w:p w14:paraId="1B81A2C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竞选人如对竞争性比选文件有疑问，必须以书面形式在提交比选申请文件截止时间</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工作日前向比选人（或比选代理机构）要求澄清，比选人（或比选代理机构）可视具体情况做出处理或答复。如竞选人未提出疑问，视为完全理解并同意本竞争性比选文件。一经进入竞选程序，即视为竞选人已详细阅读全部文件资料，完全理解竞争性比选文件所有条款内容并同意放弃对这方面有不明白及误解的权利。</w:t>
      </w:r>
    </w:p>
    <w:p w14:paraId="09198B9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（四）评审的依据为竞争性比选文件和比选申请文件（含有效的书面承诺）。竞争性比选小组判断比选申请文件对竞争性比选文件的响应，仅基于比选申请文件本身而不靠外部证据。</w:t>
      </w:r>
    </w:p>
    <w:bookmarkEnd w:id="56"/>
    <w:bookmarkEnd w:id="57"/>
    <w:bookmarkEnd w:id="58"/>
    <w:bookmarkEnd w:id="59"/>
    <w:p w14:paraId="6DCC2D33">
      <w:pPr>
        <w:pStyle w:val="3"/>
        <w:spacing w:before="0" w:after="0"/>
        <w:ind w:firstLine="482" w:firstLineChars="200"/>
        <w:rPr>
          <w:rFonts w:hint="eastAsia" w:asciiTheme="minorEastAsia" w:hAnsiTheme="minorEastAsia" w:eastAsiaTheme="minorEastAsia" w:cstheme="minorEastAsia"/>
          <w:sz w:val="24"/>
          <w:szCs w:val="24"/>
        </w:rPr>
      </w:pPr>
      <w:bookmarkStart w:id="60" w:name="_Toc27106"/>
      <w:bookmarkStart w:id="61" w:name="_Toc31646"/>
      <w:bookmarkStart w:id="62" w:name="_Toc179714297"/>
      <w:bookmarkStart w:id="63" w:name="_Toc342913392"/>
      <w:bookmarkStart w:id="64" w:name="_Toc102227318"/>
      <w:r>
        <w:rPr>
          <w:rFonts w:hint="eastAsia" w:asciiTheme="minorEastAsia" w:hAnsiTheme="minorEastAsia" w:eastAsiaTheme="minorEastAsia" w:cstheme="minorEastAsia"/>
          <w:sz w:val="24"/>
          <w:szCs w:val="24"/>
        </w:rPr>
        <w:t>三、竞选要求</w:t>
      </w:r>
      <w:bookmarkEnd w:id="60"/>
      <w:bookmarkEnd w:id="61"/>
      <w:bookmarkEnd w:id="62"/>
      <w:bookmarkEnd w:id="63"/>
      <w:bookmarkEnd w:id="64"/>
    </w:p>
    <w:p w14:paraId="0AD295C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（一）比选申请文件</w:t>
      </w:r>
    </w:p>
    <w:p w14:paraId="6F57DAF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1.竞选人应当按照竞争性比选文件的要求编制比选申请文件，并对竞争性比选文件提出的要求和条件作出实质性响应，比选申请文件应编制完整的页码、目录。</w:t>
      </w:r>
    </w:p>
    <w:p w14:paraId="11F93F1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2.比选申请文件组成</w:t>
      </w:r>
    </w:p>
    <w:p w14:paraId="5A1C4D2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选申请文件由第七篇“比选申请文件格式”规定的部分和竞选人所作的一切有效补充、修改和承诺等文件组成，竞选人应按照第七篇“比选申请文件格式”规定的目录顺序组织编写和装订，也可在基本格式基础上对表格进行扩展，未规定格式的由竞选人自定格式。</w:t>
      </w:r>
    </w:p>
    <w:p w14:paraId="09CC5D5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（二）联合体</w:t>
      </w:r>
    </w:p>
    <w:p w14:paraId="19C2E9B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本项目不接受联合体形式参与竞选。</w:t>
      </w:r>
    </w:p>
    <w:p w14:paraId="20732FC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（三）竞选有效期：比选申请文件及有关承诺文件有效期为提交比选申请文件截止时间起90天。</w:t>
      </w:r>
    </w:p>
    <w:p w14:paraId="7F769CC4">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（四）保证金</w:t>
      </w:r>
    </w:p>
    <w:p w14:paraId="3059E48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1.竞选人提交保证金金额和方式详见“</w:t>
      </w:r>
      <w:r>
        <w:rPr>
          <w:rFonts w:hint="eastAsia" w:asciiTheme="minorEastAsia" w:hAnsiTheme="minorEastAsia" w:eastAsiaTheme="minorEastAsia" w:cstheme="minorEastAsia"/>
          <w:b/>
          <w:sz w:val="24"/>
          <w:szCs w:val="24"/>
          <w:u w:val="single"/>
        </w:rPr>
        <w:t>第一篇  四、比选保证金”</w:t>
      </w:r>
      <w:r>
        <w:rPr>
          <w:rFonts w:hint="eastAsia" w:asciiTheme="minorEastAsia" w:hAnsiTheme="minorEastAsia" w:eastAsiaTheme="minorEastAsia" w:cstheme="minorEastAsia"/>
          <w:sz w:val="24"/>
          <w:szCs w:val="24"/>
        </w:rPr>
        <w:t>；</w:t>
      </w:r>
    </w:p>
    <w:p w14:paraId="1AC739A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2.发生以下情况之一者，保证金不予退还：</w:t>
      </w:r>
    </w:p>
    <w:p w14:paraId="65A25BA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2.1竞选人在提交比选申请文件截止时间后撤回比选申请文件的；</w:t>
      </w:r>
    </w:p>
    <w:p w14:paraId="6673DBE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2.2竞选人在比选申请文件中提供虚假材料的；</w:t>
      </w:r>
    </w:p>
    <w:p w14:paraId="7BA722A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2.3除因不可抗力或竞争性比选文件认可的情形以外，中选人不与比选人签订合同的；</w:t>
      </w:r>
    </w:p>
    <w:p w14:paraId="0CEDEEB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2.4竞选人与比选人、其他竞选人或者比选代理机构恶意串通的；</w:t>
      </w:r>
    </w:p>
    <w:p w14:paraId="21F0B28B">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2.5中选人不按规定的时间或拒绝按成交状态签订合同（即不按照采购文件确定的合同文本以及采购标的、规格型号、采购金额、采购数量、技术（质量）和服务要求等事项签订政府采购合同的）。</w:t>
      </w:r>
    </w:p>
    <w:p w14:paraId="6E69F41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（五）提交比选申请文件的份数和签署</w:t>
      </w:r>
    </w:p>
    <w:p w14:paraId="3B91942A">
      <w:pPr>
        <w:spacing w:line="40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val="en-US" w:eastAsia="zh-CN"/>
        </w:rPr>
        <w:t>1、竞选人须在线上上传盖章的</w:t>
      </w:r>
      <w:r>
        <w:rPr>
          <w:rFonts w:hint="eastAsia" w:asciiTheme="minorEastAsia" w:hAnsiTheme="minorEastAsia" w:eastAsiaTheme="minorEastAsia" w:cstheme="minorEastAsia"/>
          <w:color w:val="auto"/>
          <w:sz w:val="24"/>
          <w:szCs w:val="24"/>
          <w:lang w:val="en-US" w:eastAsia="zh-CN"/>
        </w:rPr>
        <w:t>比选申请文件</w:t>
      </w:r>
      <w:r>
        <w:rPr>
          <w:rFonts w:hint="eastAsia" w:asciiTheme="minorEastAsia" w:hAnsiTheme="minorEastAsia" w:eastAsiaTheme="minorEastAsia" w:cstheme="minorEastAsia"/>
          <w:sz w:val="24"/>
          <w:szCs w:val="24"/>
          <w:lang w:val="en-US" w:eastAsia="zh-CN"/>
        </w:rPr>
        <w:t>电子</w:t>
      </w:r>
      <w:r>
        <w:rPr>
          <w:rFonts w:hint="eastAsia" w:asciiTheme="minorEastAsia" w:hAnsiTheme="minorEastAsia" w:eastAsiaTheme="minorEastAsia" w:cstheme="minorEastAsia"/>
          <w:color w:val="auto"/>
          <w:sz w:val="24"/>
          <w:szCs w:val="24"/>
          <w:lang w:val="en-US" w:eastAsia="zh-CN"/>
        </w:rPr>
        <w:t>文档一份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线下递交密封完好且加盖公章的</w:t>
      </w:r>
      <w:r>
        <w:rPr>
          <w:rFonts w:hint="eastAsia" w:asciiTheme="minorEastAsia" w:hAnsiTheme="minorEastAsia" w:eastAsiaTheme="minorEastAsia" w:cstheme="minorEastAsia"/>
          <w:sz w:val="24"/>
          <w:szCs w:val="24"/>
          <w:lang w:eastAsia="zh-CN"/>
        </w:rPr>
        <w:t>纸质文件正本</w:t>
      </w:r>
      <w:r>
        <w:rPr>
          <w:rFonts w:hint="eastAsia" w:asciiTheme="minorEastAsia" w:hAnsiTheme="minorEastAsia" w:eastAsiaTheme="minorEastAsia" w:cstheme="minorEastAsia"/>
          <w:sz w:val="24"/>
          <w:szCs w:val="24"/>
          <w:lang w:val="en-US" w:eastAsia="zh-CN"/>
        </w:rPr>
        <w:t>一份，副本一份，U盘一个【需包含扫描的</w:t>
      </w:r>
      <w:r>
        <w:rPr>
          <w:rFonts w:hint="eastAsia" w:asciiTheme="minorEastAsia" w:hAnsiTheme="minorEastAsia" w:eastAsiaTheme="minorEastAsia" w:cstheme="minorEastAsia"/>
          <w:sz w:val="24"/>
          <w:szCs w:val="24"/>
          <w:lang w:eastAsia="zh-CN"/>
        </w:rPr>
        <w:t>正本纸质文件</w:t>
      </w:r>
      <w:r>
        <w:rPr>
          <w:rFonts w:hint="eastAsia" w:asciiTheme="minorEastAsia" w:hAnsiTheme="minorEastAsia" w:eastAsiaTheme="minorEastAsia" w:cstheme="minorEastAsia"/>
          <w:sz w:val="24"/>
          <w:szCs w:val="24"/>
          <w:lang w:val="en-US" w:eastAsia="zh-CN"/>
        </w:rPr>
        <w:t>PDF版本及</w:t>
      </w:r>
      <w:r>
        <w:rPr>
          <w:rFonts w:hint="eastAsia" w:asciiTheme="minorEastAsia" w:hAnsiTheme="minorEastAsia" w:eastAsiaTheme="minorEastAsia" w:cstheme="minorEastAsia"/>
          <w:sz w:val="24"/>
          <w:szCs w:val="24"/>
        </w:rPr>
        <w:t>功能演示视频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若有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w:t>
      </w:r>
    </w:p>
    <w:p w14:paraId="145354C9">
      <w:pPr>
        <w:spacing w:line="40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2、竞选人制作的比选申请文件，须按照要求制作，规定签字、盖章的地方必须按其规定签字、盖章，未按要求制作响应文件的按无效投标处理。</w:t>
      </w:r>
      <w:bookmarkStart w:id="65" w:name="_Toc7844"/>
      <w:bookmarkStart w:id="66" w:name="_Toc24397"/>
    </w:p>
    <w:p w14:paraId="5D4559C2">
      <w:pPr>
        <w:pStyle w:val="3"/>
        <w:spacing w:before="0" w:after="0"/>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四、中选人的确定和变更</w:t>
      </w:r>
      <w:bookmarkEnd w:id="65"/>
      <w:bookmarkEnd w:id="66"/>
    </w:p>
    <w:p w14:paraId="1485A2D0">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（一）中选人的确定</w:t>
      </w:r>
    </w:p>
    <w:p w14:paraId="015A685A">
      <w:pPr>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代理机构应当在评审结束后2个工作日内将评审报告送比选人确认。比选人应当在收到评审报告后5个工作日内，从评审报告提出的成交候选竞选人中，按照排序由高到低的原则确定中选人，也可以书面授权竞争性比选小组直接确定中选人。比选人逾期未确定中选人且不提出异议的，视为确定评审报告提出的排序第一的竞选人为中选人。</w:t>
      </w:r>
    </w:p>
    <w:p w14:paraId="60F812EC">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（二）中选人的变更</w:t>
      </w:r>
    </w:p>
    <w:p w14:paraId="67CF3C52">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中选人拒绝与比选人签订合同的，比选人可以按照评标报告推荐的成交候选竞选人顺序，确定排名下一位的候选人为中选人，也可以重新开展采购活动。</w:t>
      </w:r>
    </w:p>
    <w:p w14:paraId="29EA91BB">
      <w:pPr>
        <w:pStyle w:val="3"/>
        <w:spacing w:before="0" w:after="0"/>
        <w:ind w:firstLine="482" w:firstLineChars="200"/>
        <w:rPr>
          <w:rFonts w:hint="eastAsia" w:asciiTheme="minorEastAsia" w:hAnsiTheme="minorEastAsia" w:eastAsiaTheme="minorEastAsia" w:cstheme="minorEastAsia"/>
          <w:sz w:val="24"/>
          <w:szCs w:val="24"/>
        </w:rPr>
      </w:pPr>
      <w:bookmarkStart w:id="67" w:name="_Toc12278"/>
      <w:bookmarkStart w:id="68" w:name="_Toc342913395"/>
      <w:bookmarkStart w:id="69" w:name="_Toc102227321"/>
      <w:bookmarkStart w:id="70" w:name="_Toc27847"/>
      <w:r>
        <w:rPr>
          <w:rFonts w:hint="eastAsia" w:asciiTheme="minorEastAsia" w:hAnsiTheme="minorEastAsia" w:eastAsiaTheme="minorEastAsia" w:cstheme="minorEastAsia"/>
          <w:sz w:val="24"/>
          <w:szCs w:val="24"/>
        </w:rPr>
        <w:t>五、成交通知</w:t>
      </w:r>
      <w:bookmarkEnd w:id="67"/>
      <w:bookmarkEnd w:id="68"/>
      <w:bookmarkEnd w:id="69"/>
      <w:bookmarkEnd w:id="70"/>
    </w:p>
    <w:p w14:paraId="34B33BB0">
      <w:pPr>
        <w:pStyle w:val="11"/>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（一）中选人确定后，比选代理机构将在行采家（https://www.gec123.com/）上发布成交结果公告。</w:t>
      </w:r>
    </w:p>
    <w:p w14:paraId="0498E4BB">
      <w:pPr>
        <w:pStyle w:val="11"/>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（二）结果公告发出的同时，比选代理机构将以书面形式发出《成交通知书》。《成交通知书》一经发出即发生法律效力。</w:t>
      </w:r>
    </w:p>
    <w:p w14:paraId="0B37853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（三）《成交通知书》将作为签订合同的依据。</w:t>
      </w:r>
    </w:p>
    <w:p w14:paraId="6C430C04">
      <w:pPr>
        <w:pStyle w:val="3"/>
        <w:spacing w:before="0" w:after="0"/>
        <w:ind w:firstLine="482" w:firstLineChars="200"/>
        <w:rPr>
          <w:rFonts w:hint="eastAsia" w:asciiTheme="minorEastAsia" w:hAnsiTheme="minorEastAsia" w:eastAsiaTheme="minorEastAsia" w:cstheme="minorEastAsia"/>
          <w:sz w:val="24"/>
          <w:szCs w:val="24"/>
        </w:rPr>
      </w:pPr>
      <w:bookmarkStart w:id="71" w:name="_Toc23386"/>
      <w:bookmarkStart w:id="72" w:name="_Toc12737"/>
      <w:r>
        <w:rPr>
          <w:rFonts w:hint="eastAsia" w:asciiTheme="minorEastAsia" w:hAnsiTheme="minorEastAsia" w:eastAsiaTheme="minorEastAsia" w:cstheme="minorEastAsia"/>
          <w:sz w:val="24"/>
          <w:szCs w:val="24"/>
        </w:rPr>
        <w:t>六、签订合同</w:t>
      </w:r>
      <w:bookmarkEnd w:id="71"/>
      <w:bookmarkEnd w:id="72"/>
    </w:p>
    <w:p w14:paraId="7502D71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（一）比选人应当自成交通知书发出之日起</w:t>
      </w:r>
      <w:r>
        <w:rPr>
          <w:rFonts w:hint="eastAsia" w:asciiTheme="minorEastAsia" w:hAnsiTheme="minorEastAsia" w:eastAsiaTheme="minorEastAsia" w:cstheme="minorEastAsia"/>
          <w:sz w:val="24"/>
          <w:szCs w:val="24"/>
          <w:lang w:val="en-US" w:eastAsia="zh-CN"/>
        </w:rPr>
        <w:t>五日</w:t>
      </w:r>
      <w:r>
        <w:rPr>
          <w:rFonts w:hint="eastAsia" w:asciiTheme="minorEastAsia" w:hAnsiTheme="minorEastAsia" w:eastAsiaTheme="minorEastAsia" w:cstheme="minorEastAsia"/>
          <w:sz w:val="24"/>
          <w:szCs w:val="24"/>
        </w:rPr>
        <w:t>内，按照竞争性比选文件和中选人比选申请文件的约定，与中选人签订书面合同。所签订的合同不得对竞争性比选文件和竞选人的比选申请文件作实质性修改。</w:t>
      </w:r>
    </w:p>
    <w:p w14:paraId="2EA2B88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（二）竞争性比选文件、竞选人的比选申请文件及澄清文件等，均为签订采购合同的依据。</w:t>
      </w:r>
    </w:p>
    <w:p w14:paraId="5A4B83A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（三）合同生效条款由供需双方约定，法律、行政法规规定应当办理批准、登记等手续后生效的合同，依照其规定。</w:t>
      </w:r>
    </w:p>
    <w:p w14:paraId="3D7B076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（四）合同原则上应按照《采购合同》签订，相关单位要求适用合同通用格式版本的，应按其要求另行签订其他合同。</w:t>
      </w:r>
    </w:p>
    <w:p w14:paraId="1DBA584F">
      <w:pPr>
        <w:pStyle w:val="3"/>
        <w:spacing w:before="0" w:after="0"/>
        <w:ind w:firstLine="482" w:firstLineChars="200"/>
        <w:rPr>
          <w:rFonts w:hint="eastAsia" w:asciiTheme="minorEastAsia" w:hAnsiTheme="minorEastAsia" w:eastAsiaTheme="minorEastAsia" w:cstheme="minorEastAsia"/>
          <w:sz w:val="24"/>
          <w:szCs w:val="24"/>
        </w:rPr>
      </w:pPr>
      <w:bookmarkStart w:id="73" w:name="_Toc23625"/>
      <w:bookmarkStart w:id="74" w:name="_Toc27151"/>
      <w:r>
        <w:rPr>
          <w:rFonts w:hint="eastAsia" w:asciiTheme="minorEastAsia" w:hAnsiTheme="minorEastAsia" w:eastAsiaTheme="minorEastAsia" w:cstheme="minorEastAsia"/>
          <w:sz w:val="24"/>
          <w:szCs w:val="24"/>
        </w:rPr>
        <w:t>七、询问</w:t>
      </w:r>
      <w:bookmarkEnd w:id="73"/>
      <w:bookmarkEnd w:id="74"/>
    </w:p>
    <w:p w14:paraId="62A47BC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比选人或者代理机构应当在3个工作日内对竞选人依法提出的询问作出答复。竞选人询问可以是口头或书面形式。</w:t>
      </w:r>
    </w:p>
    <w:p w14:paraId="284974CA">
      <w:pPr>
        <w:pStyle w:val="3"/>
        <w:spacing w:before="0" w:after="0"/>
        <w:ind w:firstLine="482" w:firstLineChars="200"/>
        <w:rPr>
          <w:rFonts w:hint="eastAsia" w:asciiTheme="minorEastAsia" w:hAnsiTheme="minorEastAsia" w:eastAsiaTheme="minorEastAsia" w:cstheme="minorEastAsia"/>
          <w:sz w:val="24"/>
          <w:szCs w:val="24"/>
        </w:rPr>
      </w:pPr>
      <w:bookmarkStart w:id="75" w:name="_Toc6504"/>
      <w:r>
        <w:rPr>
          <w:rFonts w:hint="eastAsia" w:asciiTheme="minorEastAsia" w:hAnsiTheme="minorEastAsia" w:eastAsiaTheme="minorEastAsia" w:cstheme="minorEastAsia"/>
          <w:sz w:val="24"/>
          <w:szCs w:val="24"/>
        </w:rPr>
        <w:t>八、关于质疑</w:t>
      </w:r>
      <w:bookmarkEnd w:id="75"/>
    </w:p>
    <w:p w14:paraId="3983589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竞选人认为比选文件、比选过程和成交结果使自己的权益收到伤害的，可向比选人或比选代理机构以书面形式提出质疑。</w:t>
      </w:r>
    </w:p>
    <w:p w14:paraId="2DB7460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提出质疑的应当是参与所质疑项目比选活动的竞选人。 </w:t>
      </w:r>
    </w:p>
    <w:p w14:paraId="4251BAA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1.质疑时限、内容</w:t>
      </w:r>
    </w:p>
    <w:p w14:paraId="4A20A84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竞选人认为比选文件、比选过程、成交结果使自己的权益受到损害的，可以在知道或者应知其权益受到损害之日起7个工作日内，以书面形式向比选人、比选代理机构提出质疑。</w:t>
      </w:r>
    </w:p>
    <w:p w14:paraId="71B9DD9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1.2竞选人提出质疑应当提交质疑函和必要的证明材料，质疑函应当包括下列内容：</w:t>
      </w:r>
    </w:p>
    <w:p w14:paraId="4D06091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1.2.1竞选人的姓名或者名称、地址、邮编、联系人及联系电话；</w:t>
      </w:r>
    </w:p>
    <w:p w14:paraId="1D853A5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1.2.2质疑项目的名称</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sz w:val="24"/>
          <w:szCs w:val="24"/>
        </w:rPr>
        <w:t>采购执行编号；</w:t>
      </w:r>
    </w:p>
    <w:p w14:paraId="2AE0370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1.2.3具体、明确的质疑事项和与质疑事项相关的请求；</w:t>
      </w:r>
    </w:p>
    <w:p w14:paraId="773911D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1.2.4事实依据；</w:t>
      </w:r>
    </w:p>
    <w:p w14:paraId="4E64E7C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1.2.5必要的法律依据；</w:t>
      </w:r>
    </w:p>
    <w:p w14:paraId="440DEEA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1.2.6提出质疑的日期；</w:t>
      </w:r>
    </w:p>
    <w:p w14:paraId="45DAA53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1.2.7营业执照（或事业单位法人证书，或个体工商户营业执照或有效的自然人身份证明）复印件；</w:t>
      </w:r>
    </w:p>
    <w:p w14:paraId="03725AE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1.2.8法定代表人授权委托书原件、法定代表人身份证复印件和其授权代表的身份证复印件（竞选人为自然人的提供自然人身份证复印件）；</w:t>
      </w:r>
    </w:p>
    <w:p w14:paraId="7A92158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1.3竞选人为自然人的，质疑函应当由本人签字；竞选人为法人或者其他组织的，质疑函应当由法定代表人、主要负责人，或者其授权代表签字或者盖章，并加盖公章。</w:t>
      </w:r>
    </w:p>
    <w:p w14:paraId="36A23BE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2.质疑答复</w:t>
      </w:r>
    </w:p>
    <w:p w14:paraId="406A4FC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比选人、比选代理机构应当在收到竞选人的书面质疑后七个工作日内作出答复，并以书面形式通知质疑竞选人和其他有关竞选人。</w:t>
      </w:r>
    </w:p>
    <w:p w14:paraId="44D16CB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3.其他</w:t>
      </w:r>
    </w:p>
    <w:p w14:paraId="4F8771A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3.1竞选人应按照《政府采购质疑和投诉办法》（财政部令第94号）及相关法律法规要求，在法定质疑期内一次性提出针对同一采购程序环节的质疑。</w:t>
      </w:r>
    </w:p>
    <w:p w14:paraId="1DD5A6DD">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3.2质疑函范本可在财政部门户网站和中国政府采购网下载。</w:t>
      </w:r>
    </w:p>
    <w:p w14:paraId="63741DB7">
      <w:pPr>
        <w:pStyle w:val="3"/>
        <w:spacing w:before="0" w:after="0"/>
        <w:ind w:firstLine="482" w:firstLineChars="200"/>
        <w:rPr>
          <w:rFonts w:hint="eastAsia" w:asciiTheme="minorEastAsia" w:hAnsiTheme="minorEastAsia" w:eastAsiaTheme="minorEastAsia" w:cstheme="minorEastAsia"/>
          <w:sz w:val="24"/>
          <w:szCs w:val="24"/>
          <w:lang w:eastAsia="zh-CN"/>
        </w:rPr>
      </w:pPr>
      <w:bookmarkStart w:id="76" w:name="_Toc24732"/>
      <w:bookmarkStart w:id="77" w:name="_Toc25903"/>
      <w:bookmarkStart w:id="78" w:name="_Toc4185"/>
      <w:bookmarkStart w:id="79" w:name="_Toc1687"/>
      <w:r>
        <w:rPr>
          <w:rFonts w:hint="eastAsia" w:asciiTheme="minorEastAsia" w:hAnsiTheme="minorEastAsia" w:eastAsiaTheme="minorEastAsia" w:cstheme="minorEastAsia"/>
          <w:sz w:val="24"/>
          <w:szCs w:val="24"/>
        </w:rPr>
        <w:t>九、</w:t>
      </w:r>
      <w:bookmarkEnd w:id="76"/>
      <w:bookmarkEnd w:id="77"/>
      <w:bookmarkEnd w:id="78"/>
      <w:r>
        <w:rPr>
          <w:rFonts w:hint="eastAsia" w:asciiTheme="minorEastAsia" w:hAnsiTheme="minorEastAsia" w:eastAsiaTheme="minorEastAsia" w:cstheme="minorEastAsia"/>
          <w:sz w:val="24"/>
          <w:szCs w:val="24"/>
          <w:lang w:eastAsia="zh-CN"/>
        </w:rPr>
        <w:t>比选代理服务费</w:t>
      </w:r>
      <w:bookmarkEnd w:id="79"/>
    </w:p>
    <w:p w14:paraId="7779EB5C">
      <w:pPr>
        <w:spacing w:line="360" w:lineRule="auto"/>
        <w:ind w:right="12" w:firstLine="480"/>
        <w:rPr>
          <w:rFonts w:hint="eastAsia" w:asciiTheme="minorEastAsia" w:hAnsiTheme="minorEastAsia" w:eastAsiaTheme="minorEastAsia" w:cstheme="minorEastAsia"/>
          <w:sz w:val="24"/>
          <w:highlight w:val="none"/>
          <w:lang w:eastAsia="zh-CN"/>
        </w:rPr>
      </w:pPr>
      <w:bookmarkStart w:id="80" w:name="OLE_LINK8"/>
      <w:bookmarkStart w:id="81" w:name="OLE_LINK7"/>
      <w:bookmarkStart w:id="82" w:name="_Toc12789059"/>
      <w:bookmarkStart w:id="83" w:name="_Toc11641055"/>
      <w:r>
        <w:rPr>
          <w:rFonts w:hint="eastAsia" w:asciiTheme="minorEastAsia" w:hAnsiTheme="minorEastAsia" w:eastAsiaTheme="minorEastAsia" w:cstheme="minorEastAsia"/>
          <w:sz w:val="24"/>
          <w:highlight w:val="none"/>
        </w:rPr>
        <w:t>（一）</w:t>
      </w:r>
      <w:r>
        <w:rPr>
          <w:rFonts w:hint="eastAsia" w:asciiTheme="minorEastAsia" w:hAnsiTheme="minorEastAsia" w:eastAsiaTheme="minorEastAsia" w:cstheme="minorEastAsia"/>
          <w:color w:val="auto"/>
          <w:sz w:val="24"/>
          <w:highlight w:val="none"/>
          <w:lang w:eastAsia="zh-CN"/>
        </w:rPr>
        <w:t>竞选人</w:t>
      </w:r>
      <w:r>
        <w:rPr>
          <w:rFonts w:hint="eastAsia" w:asciiTheme="minorEastAsia" w:hAnsiTheme="minorEastAsia" w:eastAsiaTheme="minorEastAsia" w:cstheme="minorEastAsia"/>
          <w:color w:val="auto"/>
          <w:sz w:val="24"/>
          <w:highlight w:val="none"/>
        </w:rPr>
        <w:t>成交后，在领取成交通知书前须向</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缴纳</w:t>
      </w:r>
      <w:r>
        <w:rPr>
          <w:rFonts w:hint="eastAsia" w:asciiTheme="minorEastAsia" w:hAnsiTheme="minorEastAsia" w:eastAsiaTheme="minorEastAsia" w:cstheme="minorEastAsia"/>
          <w:color w:val="auto"/>
          <w:sz w:val="24"/>
          <w:highlight w:val="none"/>
          <w:lang w:eastAsia="zh-CN"/>
        </w:rPr>
        <w:t>比选代理服务费</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本项目</w:t>
      </w:r>
      <w:r>
        <w:rPr>
          <w:rFonts w:hint="eastAsia" w:asciiTheme="minorEastAsia" w:hAnsiTheme="minorEastAsia" w:eastAsiaTheme="minorEastAsia" w:cstheme="minorEastAsia"/>
          <w:color w:val="auto"/>
          <w:sz w:val="24"/>
          <w:highlight w:val="none"/>
          <w:lang w:eastAsia="zh-CN"/>
        </w:rPr>
        <w:t>比选代理服务费</w:t>
      </w:r>
      <w:r>
        <w:rPr>
          <w:rFonts w:hint="eastAsia" w:asciiTheme="minorEastAsia" w:hAnsiTheme="minorEastAsia" w:eastAsiaTheme="minorEastAsia" w:cstheme="minorEastAsia"/>
          <w:color w:val="auto"/>
          <w:sz w:val="24"/>
          <w:highlight w:val="none"/>
          <w:lang w:val="en-US" w:eastAsia="zh-CN"/>
        </w:rPr>
        <w:t>为：3000.00元（大写：叁仟元整）</w:t>
      </w:r>
      <w:r>
        <w:rPr>
          <w:rFonts w:hint="eastAsia" w:asciiTheme="minorEastAsia" w:hAnsiTheme="minorEastAsia" w:eastAsiaTheme="minorEastAsia" w:cstheme="minorEastAsia"/>
          <w:sz w:val="24"/>
          <w:highlight w:val="none"/>
          <w:lang w:eastAsia="zh-CN"/>
        </w:rPr>
        <w:t>。</w:t>
      </w:r>
    </w:p>
    <w:bookmarkEnd w:id="80"/>
    <w:bookmarkEnd w:id="81"/>
    <w:p w14:paraId="2B5F4C7E">
      <w:pPr>
        <w:spacing w:line="360" w:lineRule="auto"/>
        <w:ind w:right="12" w:firstLine="480"/>
        <w:jc w:val="center"/>
        <w:rPr>
          <w:rFonts w:hint="eastAsia" w:asciiTheme="minorEastAsia" w:hAnsiTheme="minorEastAsia" w:eastAsiaTheme="minorEastAsia" w:cstheme="minorEastAsia"/>
          <w:bCs/>
          <w:sz w:val="36"/>
          <w:szCs w:val="30"/>
        </w:rPr>
      </w:pPr>
      <w:bookmarkStart w:id="84" w:name="_Toc16684"/>
      <w:r>
        <w:rPr>
          <w:rFonts w:hint="eastAsia" w:asciiTheme="minorEastAsia" w:hAnsiTheme="minorEastAsia" w:eastAsiaTheme="minorEastAsia" w:cstheme="minorEastAsia"/>
          <w:bCs/>
          <w:sz w:val="36"/>
          <w:szCs w:val="30"/>
        </w:rPr>
        <w:br w:type="page"/>
      </w:r>
      <w:r>
        <w:rPr>
          <w:rFonts w:hint="eastAsia" w:asciiTheme="minorEastAsia" w:hAnsiTheme="minorEastAsia" w:eastAsiaTheme="minorEastAsia" w:cstheme="minorEastAsia"/>
          <w:bCs/>
          <w:sz w:val="36"/>
          <w:szCs w:val="30"/>
        </w:rPr>
        <w:t xml:space="preserve">第六篇 </w:t>
      </w:r>
      <w:bookmarkEnd w:id="82"/>
      <w:bookmarkEnd w:id="83"/>
      <w:r>
        <w:rPr>
          <w:rFonts w:hint="eastAsia" w:asciiTheme="minorEastAsia" w:hAnsiTheme="minorEastAsia" w:eastAsiaTheme="minorEastAsia" w:cstheme="minorEastAsia"/>
          <w:bCs/>
          <w:sz w:val="36"/>
          <w:szCs w:val="30"/>
        </w:rPr>
        <w:t>合同条款及格式</w:t>
      </w:r>
      <w:bookmarkEnd w:id="84"/>
    </w:p>
    <w:p w14:paraId="5BB8EC8E">
      <w:pPr>
        <w:spacing w:line="360" w:lineRule="auto"/>
        <w:ind w:firstLine="480" w:firstLineChars="200"/>
        <w:jc w:val="center"/>
        <w:rPr>
          <w:rFonts w:hint="eastAsia" w:asciiTheme="minorEastAsia" w:hAnsiTheme="minorEastAsia" w:eastAsiaTheme="minorEastAsia" w:cstheme="minorEastAsia"/>
          <w:sz w:val="24"/>
          <w:szCs w:val="24"/>
        </w:rPr>
        <w:sectPr>
          <w:headerReference r:id="rId9" w:type="default"/>
          <w:footerReference r:id="rId10" w:type="default"/>
          <w:pgSz w:w="11907" w:h="16840"/>
          <w:pgMar w:top="1134" w:right="1191" w:bottom="1134" w:left="1304" w:header="964" w:footer="992" w:gutter="0"/>
          <w:pgNumType w:fmt="numberInDash"/>
          <w:cols w:space="720" w:num="1"/>
          <w:docGrid w:linePitch="312" w:charSpace="0"/>
        </w:sectPr>
      </w:pPr>
      <w:bookmarkStart w:id="85" w:name="_Toc12789072"/>
      <w:r>
        <w:rPr>
          <w:rFonts w:hint="eastAsia" w:asciiTheme="minorEastAsia" w:hAnsiTheme="minorEastAsia" w:eastAsiaTheme="minorEastAsia" w:cstheme="minorEastAsia"/>
          <w:sz w:val="24"/>
          <w:szCs w:val="24"/>
        </w:rPr>
        <w:t>（合同格式自拟）</w:t>
      </w:r>
    </w:p>
    <w:p w14:paraId="09236E4C">
      <w:pPr>
        <w:pStyle w:val="2"/>
        <w:spacing w:before="0" w:after="0" w:line="360" w:lineRule="auto"/>
        <w:jc w:val="center"/>
        <w:rPr>
          <w:rFonts w:hint="eastAsia" w:asciiTheme="minorEastAsia" w:hAnsiTheme="minorEastAsia" w:eastAsiaTheme="minorEastAsia" w:cstheme="minorEastAsia"/>
          <w:bCs/>
          <w:sz w:val="36"/>
          <w:szCs w:val="30"/>
        </w:rPr>
      </w:pPr>
      <w:bookmarkStart w:id="86" w:name="_Toc13005"/>
      <w:bookmarkStart w:id="87" w:name="_Toc345"/>
      <w:r>
        <w:rPr>
          <w:rFonts w:hint="eastAsia" w:asciiTheme="minorEastAsia" w:hAnsiTheme="minorEastAsia" w:eastAsiaTheme="minorEastAsia" w:cstheme="minorEastAsia"/>
          <w:bCs/>
          <w:sz w:val="36"/>
          <w:szCs w:val="30"/>
        </w:rPr>
        <w:t xml:space="preserve">第七篇  </w:t>
      </w:r>
      <w:bookmarkEnd w:id="85"/>
      <w:r>
        <w:rPr>
          <w:rFonts w:hint="eastAsia" w:asciiTheme="minorEastAsia" w:hAnsiTheme="minorEastAsia" w:eastAsiaTheme="minorEastAsia" w:cstheme="minorEastAsia"/>
          <w:bCs/>
          <w:sz w:val="36"/>
          <w:szCs w:val="30"/>
        </w:rPr>
        <w:t xml:space="preserve"> 比选申请文件格式</w:t>
      </w:r>
      <w:bookmarkEnd w:id="86"/>
      <w:bookmarkEnd w:id="87"/>
    </w:p>
    <w:p w14:paraId="6ECF248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一、经济部分</w:t>
      </w:r>
    </w:p>
    <w:p w14:paraId="0AEAC2C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（一）竞争性比选报价函</w:t>
      </w:r>
    </w:p>
    <w:p w14:paraId="7977209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（二）明细报价表</w:t>
      </w:r>
    </w:p>
    <w:p w14:paraId="40ECD1A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二、服务部分</w:t>
      </w:r>
    </w:p>
    <w:p w14:paraId="1BCBFCF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（一）服务响应偏离表</w:t>
      </w:r>
    </w:p>
    <w:p w14:paraId="39474D6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（二）其他资料（格式自定）</w:t>
      </w:r>
    </w:p>
    <w:p w14:paraId="43008E8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三、商务部分</w:t>
      </w:r>
    </w:p>
    <w:p w14:paraId="7BB2C99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（一）商务要求响应情况：</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时间及地点、报价要求等。</w:t>
      </w:r>
    </w:p>
    <w:p w14:paraId="66B0C9F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（二）商务响应偏离表</w:t>
      </w:r>
    </w:p>
    <w:p w14:paraId="0BDFB95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（三）其它优惠承诺（格式自定）</w:t>
      </w:r>
    </w:p>
    <w:p w14:paraId="47AB24B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四、资格条件及其他</w:t>
      </w:r>
    </w:p>
    <w:p w14:paraId="687DC728">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（一）法人营业执照（副本）或事业单位法人证书（副本）或个体工商户营业执照或有效的自然人身份证明或社会团体法人登记证书复印件</w:t>
      </w:r>
    </w:p>
    <w:p w14:paraId="647ED8CE">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（二）法定代表人身份证明书（格式）</w:t>
      </w:r>
    </w:p>
    <w:p w14:paraId="40D4E1FA">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（三）法定代表人授权委托书（格式）</w:t>
      </w:r>
    </w:p>
    <w:p w14:paraId="7B99BA38">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（四）基本资格条件承诺函（格式）</w:t>
      </w:r>
    </w:p>
    <w:p w14:paraId="5D3009A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五、其他应提供的资料</w:t>
      </w:r>
    </w:p>
    <w:p w14:paraId="2E48633E">
      <w:pPr>
        <w:spacing w:line="360" w:lineRule="auto"/>
        <w:ind w:firstLine="480" w:firstLineChars="200"/>
        <w:rPr>
          <w:rFonts w:hint="eastAsia" w:asciiTheme="minorEastAsia" w:hAnsiTheme="minorEastAsia" w:eastAsiaTheme="minorEastAsia" w:cstheme="minorEastAsia"/>
          <w:sz w:val="24"/>
          <w:szCs w:val="24"/>
        </w:rPr>
        <w:sectPr>
          <w:footerReference r:id="rId11" w:type="default"/>
          <w:pgSz w:w="11907" w:h="16840"/>
          <w:pgMar w:top="1134" w:right="1191" w:bottom="1134" w:left="1304" w:header="851" w:footer="992" w:gutter="0"/>
          <w:pgNumType w:fmt="numberInDash"/>
          <w:cols w:space="720" w:num="1"/>
          <w:docGrid w:linePitch="380" w:charSpace="-5735"/>
        </w:sectPr>
      </w:pPr>
      <w:r>
        <w:rPr>
          <w:rFonts w:hint="eastAsia" w:asciiTheme="minorEastAsia" w:hAnsiTheme="minorEastAsia" w:eastAsiaTheme="minorEastAsia" w:cstheme="minorEastAsia"/>
          <w:sz w:val="24"/>
          <w:szCs w:val="24"/>
        </w:rPr>
        <w:t>（一）其他与项目有关的资料（自附）</w:t>
      </w:r>
    </w:p>
    <w:p w14:paraId="09DFBDB4">
      <w:pPr>
        <w:pStyle w:val="3"/>
        <w:spacing w:before="0" w:after="0"/>
        <w:jc w:val="left"/>
        <w:rPr>
          <w:rFonts w:hint="eastAsia" w:asciiTheme="minorEastAsia" w:hAnsiTheme="minorEastAsia" w:eastAsiaTheme="minorEastAsia" w:cstheme="minorEastAsia"/>
          <w:szCs w:val="32"/>
        </w:rPr>
      </w:pPr>
      <w:bookmarkStart w:id="88" w:name="_Toc53751355"/>
      <w:bookmarkStart w:id="89" w:name="_Toc342913419"/>
      <w:bookmarkStart w:id="90" w:name="_Toc313008356"/>
      <w:bookmarkStart w:id="91" w:name="_Toc31320"/>
      <w:bookmarkStart w:id="92" w:name="_Toc313888360"/>
      <w:bookmarkStart w:id="93" w:name="_Toc116901383"/>
      <w:bookmarkStart w:id="94" w:name="_Toc17422"/>
      <w:bookmarkStart w:id="95" w:name="_Toc283382454"/>
      <w:bookmarkStart w:id="96" w:name="_Toc12789073"/>
      <w:bookmarkStart w:id="97" w:name="_Toc283382459"/>
      <w:r>
        <w:rPr>
          <w:rFonts w:hint="eastAsia" w:asciiTheme="minorEastAsia" w:hAnsiTheme="minorEastAsia" w:eastAsiaTheme="minorEastAsia" w:cstheme="minorEastAsia"/>
          <w:szCs w:val="32"/>
        </w:rPr>
        <w:t>一、经济部分</w:t>
      </w:r>
      <w:bookmarkEnd w:id="88"/>
      <w:bookmarkEnd w:id="89"/>
      <w:bookmarkEnd w:id="90"/>
      <w:bookmarkEnd w:id="91"/>
      <w:bookmarkEnd w:id="92"/>
      <w:bookmarkEnd w:id="93"/>
      <w:bookmarkEnd w:id="94"/>
    </w:p>
    <w:bookmarkEnd w:id="95"/>
    <w:bookmarkEnd w:id="96"/>
    <w:p w14:paraId="6DE1E6E3">
      <w:pPr>
        <w:tabs>
          <w:tab w:val="left" w:pos="630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（一）竞争性比选报价函</w:t>
      </w:r>
    </w:p>
    <w:p w14:paraId="3A020C71">
      <w:pPr>
        <w:tabs>
          <w:tab w:val="left" w:pos="6300"/>
        </w:tabs>
        <w:snapToGrid w:val="0"/>
        <w:spacing w:line="360" w:lineRule="auto"/>
        <w:ind w:firstLine="482" w:firstLineChars="2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竞争性比选报价函</w:t>
      </w:r>
    </w:p>
    <w:p w14:paraId="45D97441">
      <w:pPr>
        <w:tabs>
          <w:tab w:val="left" w:pos="6300"/>
        </w:tabs>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（采购单位名称）</w:t>
      </w:r>
      <w:r>
        <w:rPr>
          <w:rFonts w:hint="eastAsia" w:asciiTheme="minorEastAsia" w:hAnsiTheme="minorEastAsia" w:eastAsiaTheme="minorEastAsia" w:cstheme="minorEastAsia"/>
          <w:sz w:val="24"/>
          <w:szCs w:val="24"/>
        </w:rPr>
        <w:t>：</w:t>
      </w:r>
    </w:p>
    <w:p w14:paraId="1FB229A6">
      <w:pPr>
        <w:tabs>
          <w:tab w:val="left" w:pos="630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我方收到____________________________（项目名称）的竞争性比选文件，经详细研究，决定参加该项目的比选。</w:t>
      </w:r>
    </w:p>
    <w:p w14:paraId="513E2BAF">
      <w:pPr>
        <w:tabs>
          <w:tab w:val="left" w:pos="6300"/>
        </w:tabs>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szCs w:val="24"/>
        </w:rPr>
        <w:t>1.愿意按照竞争性比选文件中的一切要求，提供本项目技术服务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报价为</w:t>
      </w:r>
      <w:r>
        <w:rPr>
          <w:rFonts w:hint="eastAsia" w:asciiTheme="minorEastAsia" w:hAnsiTheme="minorEastAsia" w:eastAsiaTheme="minorEastAsia" w:cstheme="minorEastAsia"/>
          <w:color w:val="auto"/>
          <w:sz w:val="24"/>
          <w:szCs w:val="24"/>
          <w:highlight w:val="none"/>
          <w:lang w:val="en-US" w:eastAsia="zh-CN"/>
        </w:rPr>
        <w:t>小写</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u w:val="none"/>
          <w:lang w:val="en-US" w:eastAsia="zh-CN"/>
        </w:rPr>
        <w:t>元；大写：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元整</w:t>
      </w:r>
      <w:r>
        <w:rPr>
          <w:rFonts w:hint="eastAsia" w:asciiTheme="minorEastAsia" w:hAnsiTheme="minorEastAsia" w:eastAsiaTheme="minorEastAsia" w:cstheme="minorEastAsia"/>
          <w:sz w:val="24"/>
          <w:lang w:bidi="ar"/>
        </w:rPr>
        <w:t>。</w:t>
      </w:r>
    </w:p>
    <w:p w14:paraId="46402950">
      <w:pPr>
        <w:tabs>
          <w:tab w:val="left" w:pos="630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2.我方现提交的比选申请文件为：</w:t>
      </w:r>
      <w:r>
        <w:rPr>
          <w:rFonts w:hint="eastAsia" w:asciiTheme="minorEastAsia" w:hAnsiTheme="minorEastAsia" w:eastAsiaTheme="minorEastAsia" w:cstheme="minorEastAsia"/>
          <w:sz w:val="24"/>
          <w:szCs w:val="24"/>
          <w:lang w:val="en-US" w:eastAsia="zh-CN"/>
        </w:rPr>
        <w:t>盖章</w:t>
      </w:r>
      <w:r>
        <w:rPr>
          <w:rFonts w:hint="eastAsia" w:asciiTheme="minorEastAsia" w:hAnsiTheme="minorEastAsia" w:eastAsiaTheme="minorEastAsia" w:cstheme="minorEastAsia"/>
          <w:sz w:val="24"/>
          <w:szCs w:val="24"/>
        </w:rPr>
        <w:t>比选申请文件电子文档</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rPr>
        <w:t>份。</w:t>
      </w:r>
    </w:p>
    <w:p w14:paraId="5802BD91">
      <w:pPr>
        <w:tabs>
          <w:tab w:val="left" w:pos="630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3.我方承诺：本次竞争性比选的有效期为</w:t>
      </w:r>
      <w:r>
        <w:rPr>
          <w:rFonts w:hint="eastAsia" w:asciiTheme="minorEastAsia" w:hAnsiTheme="minorEastAsia" w:eastAsiaTheme="minorEastAsia" w:cstheme="minorEastAsia"/>
          <w:sz w:val="24"/>
          <w:szCs w:val="24"/>
          <w:u w:val="single"/>
        </w:rPr>
        <w:t xml:space="preserve"> 90 </w:t>
      </w:r>
      <w:r>
        <w:rPr>
          <w:rFonts w:hint="eastAsia" w:asciiTheme="minorEastAsia" w:hAnsiTheme="minorEastAsia" w:eastAsiaTheme="minorEastAsia" w:cstheme="minorEastAsia"/>
          <w:sz w:val="24"/>
          <w:szCs w:val="24"/>
        </w:rPr>
        <w:t>天。</w:t>
      </w:r>
    </w:p>
    <w:p w14:paraId="7A80C11A">
      <w:pPr>
        <w:tabs>
          <w:tab w:val="left" w:pos="630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4.我方完全理解和接受贵方竞争性比选的一切规定和要求及评审办法。</w:t>
      </w:r>
    </w:p>
    <w:p w14:paraId="408E61BF">
      <w:pPr>
        <w:tabs>
          <w:tab w:val="left" w:pos="630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5.在整个竞争性比选中，我方若有违规行为，接受按照相关规定及其实施条例等规定给予惩罚。</w:t>
      </w:r>
    </w:p>
    <w:p w14:paraId="76064BDA">
      <w:pPr>
        <w:tabs>
          <w:tab w:val="left" w:pos="630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6.我方若成为中选人，将按照比选结果签订合同，并且严格履行合同义务。本承诺函将成为合同不可分割的一部分，与合同具有同等的法律效力。</w:t>
      </w:r>
    </w:p>
    <w:p w14:paraId="33196904">
      <w:pPr>
        <w:tabs>
          <w:tab w:val="left" w:pos="630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7.我方理解，最低报价不是成交的唯一条件。</w:t>
      </w:r>
    </w:p>
    <w:p w14:paraId="13B2135E">
      <w:pPr>
        <w:tabs>
          <w:tab w:val="left" w:pos="630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8.我方同意按竞争性比选文件规定，如果我方成为中选人，保证在接到成交通知书后，向比选代理机构交纳</w:t>
      </w:r>
      <w:r>
        <w:rPr>
          <w:rFonts w:hint="eastAsia" w:asciiTheme="minorEastAsia" w:hAnsiTheme="minorEastAsia" w:eastAsiaTheme="minorEastAsia" w:cstheme="minorEastAsia"/>
          <w:sz w:val="24"/>
          <w:szCs w:val="24"/>
          <w:lang w:val="en-US" w:eastAsia="zh-CN"/>
        </w:rPr>
        <w:t>竞争性比选文件</w:t>
      </w:r>
      <w:r>
        <w:rPr>
          <w:rFonts w:hint="eastAsia" w:asciiTheme="minorEastAsia" w:hAnsiTheme="minorEastAsia" w:eastAsiaTheme="minorEastAsia" w:cstheme="minorEastAsia"/>
          <w:sz w:val="24"/>
          <w:szCs w:val="24"/>
        </w:rPr>
        <w:t>规定的</w:t>
      </w:r>
      <w:r>
        <w:rPr>
          <w:rFonts w:hint="eastAsia" w:asciiTheme="minorEastAsia" w:hAnsiTheme="minorEastAsia" w:eastAsiaTheme="minorEastAsia" w:cstheme="minorEastAsia"/>
          <w:sz w:val="24"/>
          <w:szCs w:val="24"/>
          <w:lang w:eastAsia="zh-CN"/>
        </w:rPr>
        <w:t>比选代理服务费</w:t>
      </w:r>
      <w:r>
        <w:rPr>
          <w:rFonts w:hint="eastAsia" w:asciiTheme="minorEastAsia" w:hAnsiTheme="minorEastAsia" w:eastAsiaTheme="minorEastAsia" w:cstheme="minorEastAsia"/>
          <w:sz w:val="24"/>
          <w:szCs w:val="24"/>
        </w:rPr>
        <w:t>。</w:t>
      </w:r>
    </w:p>
    <w:p w14:paraId="24C0F1FB">
      <w:pPr>
        <w:tabs>
          <w:tab w:val="left" w:pos="630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9.我方未为采购项目提供整体设计、规范编制或者项目管理、监理、检测等服务。</w:t>
      </w:r>
    </w:p>
    <w:p w14:paraId="3A436D8D">
      <w:pPr>
        <w:tabs>
          <w:tab w:val="left" w:pos="6300"/>
        </w:tabs>
        <w:snapToGrid w:val="0"/>
        <w:spacing w:line="360" w:lineRule="auto"/>
        <w:rPr>
          <w:rFonts w:hint="eastAsia" w:asciiTheme="minorEastAsia" w:hAnsiTheme="minorEastAsia" w:eastAsiaTheme="minorEastAsia" w:cstheme="minorEastAsia"/>
          <w:sz w:val="24"/>
          <w:szCs w:val="24"/>
        </w:rPr>
      </w:pPr>
    </w:p>
    <w:p w14:paraId="663B3A04">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13046102">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4005CF74">
      <w:pPr>
        <w:tabs>
          <w:tab w:val="left" w:pos="6300"/>
        </w:tabs>
        <w:snapToGrid w:val="0"/>
        <w:spacing w:line="360" w:lineRule="auto"/>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竞选人（公章）：</w:t>
      </w:r>
    </w:p>
    <w:p w14:paraId="4CB12F64">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14:paraId="7FD073DA">
      <w:pPr>
        <w:tabs>
          <w:tab w:val="left" w:pos="2895"/>
        </w:tabs>
        <w:spacing w:line="360" w:lineRule="auto"/>
        <w:ind w:firstLine="560" w:firstLineChars="200"/>
        <w:rPr>
          <w:rFonts w:hint="eastAsia" w:asciiTheme="minorEastAsia" w:hAnsiTheme="minorEastAsia" w:eastAsiaTheme="minorEastAsia" w:cstheme="minorEastAsia"/>
          <w:color w:val="auto"/>
          <w:sz w:val="28"/>
          <w:szCs w:val="28"/>
        </w:rPr>
        <w:sectPr>
          <w:headerReference r:id="rId12" w:type="default"/>
          <w:pgSz w:w="11907" w:h="16840"/>
          <w:pgMar w:top="1134" w:right="1191" w:bottom="1134" w:left="1304" w:header="851" w:footer="992" w:gutter="0"/>
          <w:pgNumType w:fmt="numberInDash"/>
          <w:cols w:space="720" w:num="1"/>
          <w:docGrid w:linePitch="380" w:charSpace="-5735"/>
        </w:sectPr>
      </w:pPr>
    </w:p>
    <w:p w14:paraId="0541ECC6">
      <w:pPr>
        <w:tabs>
          <w:tab w:val="left" w:pos="2895"/>
        </w:tabs>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（二）明细报价表</w:t>
      </w:r>
    </w:p>
    <w:p w14:paraId="3662A153">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明细报价表</w:t>
      </w:r>
    </w:p>
    <w:p w14:paraId="281FCB7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p w14:paraId="46D33298">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采购执行编号</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 xml:space="preserve">                                                     单位：元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6547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noWrap w:val="0"/>
            <w:vAlign w:val="center"/>
          </w:tcPr>
          <w:p w14:paraId="501E1491">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1695" w:type="dxa"/>
            <w:noWrap w:val="0"/>
            <w:vAlign w:val="center"/>
          </w:tcPr>
          <w:p w14:paraId="70E3CDAF">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名称</w:t>
            </w:r>
          </w:p>
        </w:tc>
        <w:tc>
          <w:tcPr>
            <w:tcW w:w="3404" w:type="dxa"/>
            <w:noWrap w:val="0"/>
            <w:vAlign w:val="center"/>
          </w:tcPr>
          <w:p w14:paraId="45A89070">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相关信息</w:t>
            </w:r>
          </w:p>
        </w:tc>
        <w:tc>
          <w:tcPr>
            <w:tcW w:w="1344" w:type="dxa"/>
            <w:noWrap w:val="0"/>
            <w:vAlign w:val="center"/>
          </w:tcPr>
          <w:p w14:paraId="69469ECF">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数量</w:t>
            </w:r>
          </w:p>
        </w:tc>
        <w:tc>
          <w:tcPr>
            <w:tcW w:w="1344" w:type="dxa"/>
            <w:noWrap w:val="0"/>
            <w:vAlign w:val="center"/>
          </w:tcPr>
          <w:p w14:paraId="0DBBE079">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单价</w:t>
            </w:r>
          </w:p>
        </w:tc>
        <w:tc>
          <w:tcPr>
            <w:tcW w:w="1344" w:type="dxa"/>
            <w:noWrap w:val="0"/>
            <w:vAlign w:val="center"/>
          </w:tcPr>
          <w:p w14:paraId="464BCD69">
            <w:pPr>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合计</w:t>
            </w:r>
          </w:p>
        </w:tc>
      </w:tr>
      <w:tr w14:paraId="4A50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3D979DB2">
            <w:pPr>
              <w:pStyle w:val="9"/>
              <w:spacing w:line="240" w:lineRule="atLeast"/>
              <w:ind w:left="3920"/>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695" w:type="dxa"/>
            <w:noWrap w:val="0"/>
            <w:vAlign w:val="center"/>
          </w:tcPr>
          <w:p w14:paraId="3D17E77B">
            <w:pPr>
              <w:jc w:val="center"/>
              <w:rPr>
                <w:rFonts w:hint="eastAsia" w:asciiTheme="minorEastAsia" w:hAnsiTheme="minorEastAsia" w:eastAsiaTheme="minorEastAsia" w:cstheme="minorEastAsia"/>
                <w:color w:val="auto"/>
                <w:sz w:val="24"/>
                <w:szCs w:val="24"/>
              </w:rPr>
            </w:pPr>
          </w:p>
        </w:tc>
        <w:tc>
          <w:tcPr>
            <w:tcW w:w="3404" w:type="dxa"/>
            <w:noWrap w:val="0"/>
            <w:vAlign w:val="top"/>
          </w:tcPr>
          <w:p w14:paraId="5503D5DF">
            <w:pPr>
              <w:jc w:val="center"/>
              <w:rPr>
                <w:rFonts w:hint="eastAsia" w:asciiTheme="minorEastAsia" w:hAnsiTheme="minorEastAsia" w:eastAsiaTheme="minorEastAsia" w:cstheme="minorEastAsia"/>
                <w:color w:val="auto"/>
                <w:sz w:val="24"/>
                <w:szCs w:val="24"/>
              </w:rPr>
            </w:pPr>
          </w:p>
        </w:tc>
        <w:tc>
          <w:tcPr>
            <w:tcW w:w="1344" w:type="dxa"/>
            <w:noWrap w:val="0"/>
            <w:vAlign w:val="center"/>
          </w:tcPr>
          <w:p w14:paraId="0098DC6E">
            <w:pPr>
              <w:jc w:val="center"/>
              <w:rPr>
                <w:rFonts w:hint="eastAsia" w:asciiTheme="minorEastAsia" w:hAnsiTheme="minorEastAsia" w:eastAsiaTheme="minorEastAsia" w:cstheme="minorEastAsia"/>
                <w:color w:val="auto"/>
                <w:sz w:val="24"/>
                <w:szCs w:val="24"/>
              </w:rPr>
            </w:pPr>
          </w:p>
        </w:tc>
        <w:tc>
          <w:tcPr>
            <w:tcW w:w="1344" w:type="dxa"/>
            <w:noWrap w:val="0"/>
            <w:vAlign w:val="top"/>
          </w:tcPr>
          <w:p w14:paraId="50DB2386">
            <w:pPr>
              <w:jc w:val="center"/>
              <w:rPr>
                <w:rFonts w:hint="eastAsia" w:asciiTheme="minorEastAsia" w:hAnsiTheme="minorEastAsia" w:eastAsiaTheme="minorEastAsia" w:cstheme="minorEastAsia"/>
                <w:color w:val="auto"/>
                <w:sz w:val="24"/>
                <w:szCs w:val="24"/>
              </w:rPr>
            </w:pPr>
          </w:p>
        </w:tc>
        <w:tc>
          <w:tcPr>
            <w:tcW w:w="1344" w:type="dxa"/>
            <w:noWrap w:val="0"/>
            <w:vAlign w:val="top"/>
          </w:tcPr>
          <w:p w14:paraId="417B56B5">
            <w:pPr>
              <w:jc w:val="center"/>
              <w:rPr>
                <w:rFonts w:hint="eastAsia" w:asciiTheme="minorEastAsia" w:hAnsiTheme="minorEastAsia" w:eastAsiaTheme="minorEastAsia" w:cstheme="minorEastAsia"/>
                <w:color w:val="auto"/>
                <w:sz w:val="24"/>
                <w:szCs w:val="24"/>
              </w:rPr>
            </w:pPr>
          </w:p>
        </w:tc>
      </w:tr>
      <w:tr w14:paraId="11E8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exact"/>
          <w:jc w:val="center"/>
        </w:trPr>
        <w:tc>
          <w:tcPr>
            <w:tcW w:w="1022" w:type="dxa"/>
            <w:noWrap w:val="0"/>
            <w:vAlign w:val="center"/>
          </w:tcPr>
          <w:p w14:paraId="53D1C6F9">
            <w:pPr>
              <w:pStyle w:val="9"/>
              <w:spacing w:line="240" w:lineRule="atLeast"/>
              <w:ind w:left="3920"/>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695" w:type="dxa"/>
            <w:noWrap w:val="0"/>
            <w:vAlign w:val="center"/>
          </w:tcPr>
          <w:p w14:paraId="5843C085">
            <w:pPr>
              <w:jc w:val="center"/>
              <w:rPr>
                <w:rFonts w:hint="eastAsia" w:asciiTheme="minorEastAsia" w:hAnsiTheme="minorEastAsia" w:eastAsiaTheme="minorEastAsia" w:cstheme="minorEastAsia"/>
                <w:color w:val="auto"/>
                <w:sz w:val="24"/>
                <w:szCs w:val="24"/>
              </w:rPr>
            </w:pPr>
          </w:p>
        </w:tc>
        <w:tc>
          <w:tcPr>
            <w:tcW w:w="3404" w:type="dxa"/>
            <w:noWrap w:val="0"/>
            <w:vAlign w:val="top"/>
          </w:tcPr>
          <w:p w14:paraId="6E9D2456">
            <w:pPr>
              <w:jc w:val="center"/>
              <w:rPr>
                <w:rFonts w:hint="eastAsia" w:asciiTheme="minorEastAsia" w:hAnsiTheme="minorEastAsia" w:eastAsiaTheme="minorEastAsia" w:cstheme="minorEastAsia"/>
                <w:color w:val="auto"/>
                <w:sz w:val="24"/>
                <w:szCs w:val="24"/>
              </w:rPr>
            </w:pPr>
          </w:p>
        </w:tc>
        <w:tc>
          <w:tcPr>
            <w:tcW w:w="1344" w:type="dxa"/>
            <w:noWrap w:val="0"/>
            <w:vAlign w:val="center"/>
          </w:tcPr>
          <w:p w14:paraId="50BC42CA">
            <w:pPr>
              <w:jc w:val="center"/>
              <w:rPr>
                <w:rFonts w:hint="eastAsia" w:asciiTheme="minorEastAsia" w:hAnsiTheme="minorEastAsia" w:eastAsiaTheme="minorEastAsia" w:cstheme="minorEastAsia"/>
                <w:color w:val="auto"/>
                <w:sz w:val="24"/>
                <w:szCs w:val="24"/>
              </w:rPr>
            </w:pPr>
          </w:p>
        </w:tc>
        <w:tc>
          <w:tcPr>
            <w:tcW w:w="1344" w:type="dxa"/>
            <w:noWrap w:val="0"/>
            <w:vAlign w:val="top"/>
          </w:tcPr>
          <w:p w14:paraId="714A19D1">
            <w:pPr>
              <w:jc w:val="center"/>
              <w:rPr>
                <w:rFonts w:hint="eastAsia" w:asciiTheme="minorEastAsia" w:hAnsiTheme="minorEastAsia" w:eastAsiaTheme="minorEastAsia" w:cstheme="minorEastAsia"/>
                <w:color w:val="auto"/>
                <w:sz w:val="24"/>
                <w:szCs w:val="24"/>
              </w:rPr>
            </w:pPr>
          </w:p>
        </w:tc>
        <w:tc>
          <w:tcPr>
            <w:tcW w:w="1344" w:type="dxa"/>
            <w:noWrap w:val="0"/>
            <w:vAlign w:val="top"/>
          </w:tcPr>
          <w:p w14:paraId="2C340FC0">
            <w:pPr>
              <w:jc w:val="center"/>
              <w:rPr>
                <w:rFonts w:hint="eastAsia" w:asciiTheme="minorEastAsia" w:hAnsiTheme="minorEastAsia" w:eastAsiaTheme="minorEastAsia" w:cstheme="minorEastAsia"/>
                <w:color w:val="auto"/>
                <w:sz w:val="24"/>
                <w:szCs w:val="24"/>
              </w:rPr>
            </w:pPr>
          </w:p>
        </w:tc>
      </w:tr>
      <w:tr w14:paraId="7F93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exact"/>
          <w:jc w:val="center"/>
        </w:trPr>
        <w:tc>
          <w:tcPr>
            <w:tcW w:w="1022" w:type="dxa"/>
            <w:noWrap w:val="0"/>
            <w:vAlign w:val="center"/>
          </w:tcPr>
          <w:p w14:paraId="2ED9EE19">
            <w:pPr>
              <w:pStyle w:val="9"/>
              <w:spacing w:line="240" w:lineRule="atLeast"/>
              <w:ind w:left="3920"/>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695" w:type="dxa"/>
            <w:noWrap w:val="0"/>
            <w:vAlign w:val="center"/>
          </w:tcPr>
          <w:p w14:paraId="3DED156C">
            <w:pPr>
              <w:jc w:val="center"/>
              <w:rPr>
                <w:rFonts w:hint="eastAsia" w:asciiTheme="minorEastAsia" w:hAnsiTheme="minorEastAsia" w:eastAsiaTheme="minorEastAsia" w:cstheme="minorEastAsia"/>
                <w:color w:val="auto"/>
                <w:sz w:val="24"/>
                <w:szCs w:val="24"/>
              </w:rPr>
            </w:pPr>
          </w:p>
        </w:tc>
        <w:tc>
          <w:tcPr>
            <w:tcW w:w="3404" w:type="dxa"/>
            <w:noWrap w:val="0"/>
            <w:vAlign w:val="top"/>
          </w:tcPr>
          <w:p w14:paraId="4A90BAF3">
            <w:pPr>
              <w:jc w:val="center"/>
              <w:rPr>
                <w:rFonts w:hint="eastAsia" w:asciiTheme="minorEastAsia" w:hAnsiTheme="minorEastAsia" w:eastAsiaTheme="minorEastAsia" w:cstheme="minorEastAsia"/>
                <w:color w:val="auto"/>
                <w:sz w:val="24"/>
                <w:szCs w:val="24"/>
              </w:rPr>
            </w:pPr>
          </w:p>
        </w:tc>
        <w:tc>
          <w:tcPr>
            <w:tcW w:w="1344" w:type="dxa"/>
            <w:noWrap w:val="0"/>
            <w:vAlign w:val="center"/>
          </w:tcPr>
          <w:p w14:paraId="6DF475E4">
            <w:pPr>
              <w:jc w:val="center"/>
              <w:rPr>
                <w:rFonts w:hint="eastAsia" w:asciiTheme="minorEastAsia" w:hAnsiTheme="minorEastAsia" w:eastAsiaTheme="minorEastAsia" w:cstheme="minorEastAsia"/>
                <w:color w:val="auto"/>
                <w:sz w:val="24"/>
                <w:szCs w:val="24"/>
              </w:rPr>
            </w:pPr>
          </w:p>
        </w:tc>
        <w:tc>
          <w:tcPr>
            <w:tcW w:w="1344" w:type="dxa"/>
            <w:noWrap w:val="0"/>
            <w:vAlign w:val="top"/>
          </w:tcPr>
          <w:p w14:paraId="6428A47D">
            <w:pPr>
              <w:jc w:val="center"/>
              <w:rPr>
                <w:rFonts w:hint="eastAsia" w:asciiTheme="minorEastAsia" w:hAnsiTheme="minorEastAsia" w:eastAsiaTheme="minorEastAsia" w:cstheme="minorEastAsia"/>
                <w:color w:val="auto"/>
                <w:sz w:val="24"/>
                <w:szCs w:val="24"/>
              </w:rPr>
            </w:pPr>
          </w:p>
        </w:tc>
        <w:tc>
          <w:tcPr>
            <w:tcW w:w="1344" w:type="dxa"/>
            <w:noWrap w:val="0"/>
            <w:vAlign w:val="top"/>
          </w:tcPr>
          <w:p w14:paraId="43FB5F55">
            <w:pPr>
              <w:jc w:val="center"/>
              <w:rPr>
                <w:rFonts w:hint="eastAsia" w:asciiTheme="minorEastAsia" w:hAnsiTheme="minorEastAsia" w:eastAsiaTheme="minorEastAsia" w:cstheme="minorEastAsia"/>
                <w:color w:val="auto"/>
                <w:sz w:val="24"/>
                <w:szCs w:val="24"/>
              </w:rPr>
            </w:pPr>
          </w:p>
        </w:tc>
      </w:tr>
      <w:tr w14:paraId="1CDA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7E1E7A2A">
            <w:pPr>
              <w:pStyle w:val="9"/>
              <w:spacing w:line="240" w:lineRule="atLeast"/>
              <w:ind w:left="3920"/>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695" w:type="dxa"/>
            <w:noWrap w:val="0"/>
            <w:vAlign w:val="center"/>
          </w:tcPr>
          <w:p w14:paraId="76D69D54">
            <w:pPr>
              <w:jc w:val="center"/>
              <w:rPr>
                <w:rFonts w:hint="eastAsia" w:asciiTheme="minorEastAsia" w:hAnsiTheme="minorEastAsia" w:eastAsiaTheme="minorEastAsia" w:cstheme="minorEastAsia"/>
                <w:color w:val="auto"/>
                <w:sz w:val="24"/>
                <w:szCs w:val="24"/>
              </w:rPr>
            </w:pPr>
          </w:p>
        </w:tc>
        <w:tc>
          <w:tcPr>
            <w:tcW w:w="3404" w:type="dxa"/>
            <w:noWrap w:val="0"/>
            <w:vAlign w:val="top"/>
          </w:tcPr>
          <w:p w14:paraId="26D499C3">
            <w:pPr>
              <w:jc w:val="center"/>
              <w:rPr>
                <w:rFonts w:hint="eastAsia" w:asciiTheme="minorEastAsia" w:hAnsiTheme="minorEastAsia" w:eastAsiaTheme="minorEastAsia" w:cstheme="minorEastAsia"/>
                <w:color w:val="auto"/>
                <w:sz w:val="24"/>
                <w:szCs w:val="24"/>
              </w:rPr>
            </w:pPr>
          </w:p>
        </w:tc>
        <w:tc>
          <w:tcPr>
            <w:tcW w:w="1344" w:type="dxa"/>
            <w:noWrap w:val="0"/>
            <w:vAlign w:val="center"/>
          </w:tcPr>
          <w:p w14:paraId="18C2FB96">
            <w:pPr>
              <w:jc w:val="center"/>
              <w:rPr>
                <w:rFonts w:hint="eastAsia" w:asciiTheme="minorEastAsia" w:hAnsiTheme="minorEastAsia" w:eastAsiaTheme="minorEastAsia" w:cstheme="minorEastAsia"/>
                <w:color w:val="auto"/>
                <w:sz w:val="24"/>
                <w:szCs w:val="24"/>
              </w:rPr>
            </w:pPr>
          </w:p>
        </w:tc>
        <w:tc>
          <w:tcPr>
            <w:tcW w:w="1344" w:type="dxa"/>
            <w:noWrap w:val="0"/>
            <w:vAlign w:val="top"/>
          </w:tcPr>
          <w:p w14:paraId="1DA336D3">
            <w:pPr>
              <w:jc w:val="center"/>
              <w:rPr>
                <w:rFonts w:hint="eastAsia" w:asciiTheme="minorEastAsia" w:hAnsiTheme="minorEastAsia" w:eastAsiaTheme="minorEastAsia" w:cstheme="minorEastAsia"/>
                <w:color w:val="auto"/>
                <w:sz w:val="24"/>
                <w:szCs w:val="24"/>
              </w:rPr>
            </w:pPr>
          </w:p>
        </w:tc>
        <w:tc>
          <w:tcPr>
            <w:tcW w:w="1344" w:type="dxa"/>
            <w:noWrap w:val="0"/>
            <w:vAlign w:val="top"/>
          </w:tcPr>
          <w:p w14:paraId="104C2204">
            <w:pPr>
              <w:jc w:val="center"/>
              <w:rPr>
                <w:rFonts w:hint="eastAsia" w:asciiTheme="minorEastAsia" w:hAnsiTheme="minorEastAsia" w:eastAsiaTheme="minorEastAsia" w:cstheme="minorEastAsia"/>
                <w:color w:val="auto"/>
                <w:sz w:val="24"/>
                <w:szCs w:val="24"/>
              </w:rPr>
            </w:pPr>
          </w:p>
        </w:tc>
      </w:tr>
      <w:tr w14:paraId="4DF1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exact"/>
          <w:jc w:val="center"/>
        </w:trPr>
        <w:tc>
          <w:tcPr>
            <w:tcW w:w="1022" w:type="dxa"/>
            <w:noWrap w:val="0"/>
            <w:vAlign w:val="center"/>
          </w:tcPr>
          <w:p w14:paraId="216E01FB">
            <w:pPr>
              <w:pStyle w:val="9"/>
              <w:spacing w:line="240" w:lineRule="atLeast"/>
              <w:ind w:left="3920"/>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695" w:type="dxa"/>
            <w:noWrap w:val="0"/>
            <w:vAlign w:val="center"/>
          </w:tcPr>
          <w:p w14:paraId="31B328EE">
            <w:pPr>
              <w:jc w:val="center"/>
              <w:rPr>
                <w:rFonts w:hint="eastAsia" w:asciiTheme="minorEastAsia" w:hAnsiTheme="minorEastAsia" w:eastAsiaTheme="minorEastAsia" w:cstheme="minorEastAsia"/>
                <w:color w:val="auto"/>
                <w:sz w:val="24"/>
                <w:szCs w:val="24"/>
              </w:rPr>
            </w:pPr>
          </w:p>
        </w:tc>
        <w:tc>
          <w:tcPr>
            <w:tcW w:w="3404" w:type="dxa"/>
            <w:noWrap w:val="0"/>
            <w:vAlign w:val="top"/>
          </w:tcPr>
          <w:p w14:paraId="10C97A96">
            <w:pPr>
              <w:jc w:val="center"/>
              <w:rPr>
                <w:rFonts w:hint="eastAsia" w:asciiTheme="minorEastAsia" w:hAnsiTheme="minorEastAsia" w:eastAsiaTheme="minorEastAsia" w:cstheme="minorEastAsia"/>
                <w:color w:val="auto"/>
                <w:sz w:val="24"/>
                <w:szCs w:val="24"/>
              </w:rPr>
            </w:pPr>
          </w:p>
        </w:tc>
        <w:tc>
          <w:tcPr>
            <w:tcW w:w="1344" w:type="dxa"/>
            <w:noWrap w:val="0"/>
            <w:vAlign w:val="center"/>
          </w:tcPr>
          <w:p w14:paraId="7FEABC8E">
            <w:pPr>
              <w:jc w:val="center"/>
              <w:rPr>
                <w:rFonts w:hint="eastAsia" w:asciiTheme="minorEastAsia" w:hAnsiTheme="minorEastAsia" w:eastAsiaTheme="minorEastAsia" w:cstheme="minorEastAsia"/>
                <w:color w:val="auto"/>
                <w:sz w:val="24"/>
                <w:szCs w:val="24"/>
              </w:rPr>
            </w:pPr>
          </w:p>
        </w:tc>
        <w:tc>
          <w:tcPr>
            <w:tcW w:w="1344" w:type="dxa"/>
            <w:noWrap w:val="0"/>
            <w:vAlign w:val="top"/>
          </w:tcPr>
          <w:p w14:paraId="39A38032">
            <w:pPr>
              <w:jc w:val="center"/>
              <w:rPr>
                <w:rFonts w:hint="eastAsia" w:asciiTheme="minorEastAsia" w:hAnsiTheme="minorEastAsia" w:eastAsiaTheme="minorEastAsia" w:cstheme="minorEastAsia"/>
                <w:color w:val="auto"/>
                <w:sz w:val="24"/>
                <w:szCs w:val="24"/>
              </w:rPr>
            </w:pPr>
          </w:p>
        </w:tc>
        <w:tc>
          <w:tcPr>
            <w:tcW w:w="1344" w:type="dxa"/>
            <w:noWrap w:val="0"/>
            <w:vAlign w:val="top"/>
          </w:tcPr>
          <w:p w14:paraId="53A45D3A">
            <w:pPr>
              <w:jc w:val="center"/>
              <w:rPr>
                <w:rFonts w:hint="eastAsia" w:asciiTheme="minorEastAsia" w:hAnsiTheme="minorEastAsia" w:eastAsiaTheme="minorEastAsia" w:cstheme="minorEastAsia"/>
                <w:color w:val="auto"/>
                <w:sz w:val="24"/>
                <w:szCs w:val="24"/>
              </w:rPr>
            </w:pPr>
          </w:p>
        </w:tc>
      </w:tr>
      <w:tr w14:paraId="3BDA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5801784D">
            <w:pPr>
              <w:pStyle w:val="9"/>
              <w:spacing w:line="240" w:lineRule="atLeast"/>
              <w:ind w:left="3920"/>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695" w:type="dxa"/>
            <w:noWrap w:val="0"/>
            <w:vAlign w:val="center"/>
          </w:tcPr>
          <w:p w14:paraId="799DC716">
            <w:pPr>
              <w:jc w:val="center"/>
              <w:rPr>
                <w:rFonts w:hint="eastAsia" w:asciiTheme="minorEastAsia" w:hAnsiTheme="minorEastAsia" w:eastAsiaTheme="minorEastAsia" w:cstheme="minorEastAsia"/>
                <w:color w:val="auto"/>
                <w:sz w:val="24"/>
                <w:szCs w:val="24"/>
              </w:rPr>
            </w:pPr>
          </w:p>
        </w:tc>
        <w:tc>
          <w:tcPr>
            <w:tcW w:w="3404" w:type="dxa"/>
            <w:noWrap w:val="0"/>
            <w:vAlign w:val="top"/>
          </w:tcPr>
          <w:p w14:paraId="0E316F53">
            <w:pPr>
              <w:jc w:val="center"/>
              <w:rPr>
                <w:rFonts w:hint="eastAsia" w:asciiTheme="minorEastAsia" w:hAnsiTheme="minorEastAsia" w:eastAsiaTheme="minorEastAsia" w:cstheme="minorEastAsia"/>
                <w:color w:val="auto"/>
                <w:sz w:val="24"/>
                <w:szCs w:val="24"/>
              </w:rPr>
            </w:pPr>
          </w:p>
        </w:tc>
        <w:tc>
          <w:tcPr>
            <w:tcW w:w="1344" w:type="dxa"/>
            <w:noWrap w:val="0"/>
            <w:vAlign w:val="center"/>
          </w:tcPr>
          <w:p w14:paraId="42C8EE83">
            <w:pPr>
              <w:jc w:val="center"/>
              <w:rPr>
                <w:rFonts w:hint="eastAsia" w:asciiTheme="minorEastAsia" w:hAnsiTheme="minorEastAsia" w:eastAsiaTheme="minorEastAsia" w:cstheme="minorEastAsia"/>
                <w:color w:val="auto"/>
                <w:sz w:val="24"/>
                <w:szCs w:val="24"/>
              </w:rPr>
            </w:pPr>
          </w:p>
        </w:tc>
        <w:tc>
          <w:tcPr>
            <w:tcW w:w="1344" w:type="dxa"/>
            <w:noWrap w:val="0"/>
            <w:vAlign w:val="top"/>
          </w:tcPr>
          <w:p w14:paraId="19328E79">
            <w:pPr>
              <w:jc w:val="center"/>
              <w:rPr>
                <w:rFonts w:hint="eastAsia" w:asciiTheme="minorEastAsia" w:hAnsiTheme="minorEastAsia" w:eastAsiaTheme="minorEastAsia" w:cstheme="minorEastAsia"/>
                <w:color w:val="auto"/>
                <w:sz w:val="24"/>
                <w:szCs w:val="24"/>
              </w:rPr>
            </w:pPr>
          </w:p>
        </w:tc>
        <w:tc>
          <w:tcPr>
            <w:tcW w:w="1344" w:type="dxa"/>
            <w:noWrap w:val="0"/>
            <w:vAlign w:val="top"/>
          </w:tcPr>
          <w:p w14:paraId="480D51DA">
            <w:pPr>
              <w:jc w:val="center"/>
              <w:rPr>
                <w:rFonts w:hint="eastAsia" w:asciiTheme="minorEastAsia" w:hAnsiTheme="minorEastAsia" w:eastAsiaTheme="minorEastAsia" w:cstheme="minorEastAsia"/>
                <w:color w:val="auto"/>
                <w:sz w:val="24"/>
                <w:szCs w:val="24"/>
              </w:rPr>
            </w:pPr>
          </w:p>
        </w:tc>
      </w:tr>
      <w:tr w14:paraId="1386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exact"/>
          <w:jc w:val="center"/>
        </w:trPr>
        <w:tc>
          <w:tcPr>
            <w:tcW w:w="1022" w:type="dxa"/>
            <w:noWrap w:val="0"/>
            <w:vAlign w:val="center"/>
          </w:tcPr>
          <w:p w14:paraId="7162EA5B">
            <w:pPr>
              <w:pStyle w:val="9"/>
              <w:spacing w:line="240" w:lineRule="atLeast"/>
              <w:ind w:left="3920"/>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695" w:type="dxa"/>
            <w:noWrap w:val="0"/>
            <w:vAlign w:val="center"/>
          </w:tcPr>
          <w:p w14:paraId="01B8E1D3">
            <w:pPr>
              <w:jc w:val="center"/>
              <w:rPr>
                <w:rFonts w:hint="eastAsia" w:asciiTheme="minorEastAsia" w:hAnsiTheme="minorEastAsia" w:eastAsiaTheme="minorEastAsia" w:cstheme="minorEastAsia"/>
                <w:color w:val="auto"/>
                <w:sz w:val="24"/>
                <w:szCs w:val="24"/>
              </w:rPr>
            </w:pPr>
          </w:p>
        </w:tc>
        <w:tc>
          <w:tcPr>
            <w:tcW w:w="3404" w:type="dxa"/>
            <w:noWrap w:val="0"/>
            <w:vAlign w:val="top"/>
          </w:tcPr>
          <w:p w14:paraId="5E3AC0C2">
            <w:pPr>
              <w:jc w:val="center"/>
              <w:rPr>
                <w:rFonts w:hint="eastAsia" w:asciiTheme="minorEastAsia" w:hAnsiTheme="minorEastAsia" w:eastAsiaTheme="minorEastAsia" w:cstheme="minorEastAsia"/>
                <w:color w:val="auto"/>
                <w:sz w:val="24"/>
                <w:szCs w:val="24"/>
              </w:rPr>
            </w:pPr>
          </w:p>
        </w:tc>
        <w:tc>
          <w:tcPr>
            <w:tcW w:w="1344" w:type="dxa"/>
            <w:noWrap w:val="0"/>
            <w:vAlign w:val="center"/>
          </w:tcPr>
          <w:p w14:paraId="409CD1BB">
            <w:pPr>
              <w:jc w:val="center"/>
              <w:rPr>
                <w:rFonts w:hint="eastAsia" w:asciiTheme="minorEastAsia" w:hAnsiTheme="minorEastAsia" w:eastAsiaTheme="minorEastAsia" w:cstheme="minorEastAsia"/>
                <w:color w:val="auto"/>
                <w:sz w:val="24"/>
                <w:szCs w:val="24"/>
              </w:rPr>
            </w:pPr>
          </w:p>
        </w:tc>
        <w:tc>
          <w:tcPr>
            <w:tcW w:w="1344" w:type="dxa"/>
            <w:noWrap w:val="0"/>
            <w:vAlign w:val="top"/>
          </w:tcPr>
          <w:p w14:paraId="326DA459">
            <w:pPr>
              <w:jc w:val="center"/>
              <w:rPr>
                <w:rFonts w:hint="eastAsia" w:asciiTheme="minorEastAsia" w:hAnsiTheme="minorEastAsia" w:eastAsiaTheme="minorEastAsia" w:cstheme="minorEastAsia"/>
                <w:color w:val="auto"/>
                <w:sz w:val="24"/>
                <w:szCs w:val="24"/>
              </w:rPr>
            </w:pPr>
          </w:p>
        </w:tc>
        <w:tc>
          <w:tcPr>
            <w:tcW w:w="1344" w:type="dxa"/>
            <w:noWrap w:val="0"/>
            <w:vAlign w:val="top"/>
          </w:tcPr>
          <w:p w14:paraId="442464E4">
            <w:pPr>
              <w:jc w:val="center"/>
              <w:rPr>
                <w:rFonts w:hint="eastAsia" w:asciiTheme="minorEastAsia" w:hAnsiTheme="minorEastAsia" w:eastAsiaTheme="minorEastAsia" w:cstheme="minorEastAsia"/>
                <w:color w:val="auto"/>
                <w:sz w:val="24"/>
                <w:szCs w:val="24"/>
              </w:rPr>
            </w:pPr>
          </w:p>
        </w:tc>
      </w:tr>
      <w:tr w14:paraId="704B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exact"/>
          <w:jc w:val="center"/>
        </w:trPr>
        <w:tc>
          <w:tcPr>
            <w:tcW w:w="1022" w:type="dxa"/>
            <w:noWrap w:val="0"/>
            <w:vAlign w:val="center"/>
          </w:tcPr>
          <w:p w14:paraId="00407D52">
            <w:pPr>
              <w:pStyle w:val="9"/>
              <w:spacing w:line="240" w:lineRule="atLeast"/>
              <w:ind w:left="3920"/>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1695" w:type="dxa"/>
            <w:noWrap w:val="0"/>
            <w:vAlign w:val="center"/>
          </w:tcPr>
          <w:p w14:paraId="0C9FB687">
            <w:pPr>
              <w:jc w:val="center"/>
              <w:rPr>
                <w:rFonts w:hint="eastAsia" w:asciiTheme="minorEastAsia" w:hAnsiTheme="minorEastAsia" w:eastAsiaTheme="minorEastAsia" w:cstheme="minorEastAsia"/>
                <w:color w:val="auto"/>
                <w:sz w:val="24"/>
                <w:szCs w:val="24"/>
              </w:rPr>
            </w:pPr>
          </w:p>
        </w:tc>
        <w:tc>
          <w:tcPr>
            <w:tcW w:w="3404" w:type="dxa"/>
            <w:noWrap w:val="0"/>
            <w:vAlign w:val="top"/>
          </w:tcPr>
          <w:p w14:paraId="2FDF4499">
            <w:pPr>
              <w:jc w:val="center"/>
              <w:rPr>
                <w:rFonts w:hint="eastAsia" w:asciiTheme="minorEastAsia" w:hAnsiTheme="minorEastAsia" w:eastAsiaTheme="minorEastAsia" w:cstheme="minorEastAsia"/>
                <w:color w:val="auto"/>
                <w:sz w:val="24"/>
                <w:szCs w:val="24"/>
              </w:rPr>
            </w:pPr>
          </w:p>
        </w:tc>
        <w:tc>
          <w:tcPr>
            <w:tcW w:w="1344" w:type="dxa"/>
            <w:noWrap w:val="0"/>
            <w:vAlign w:val="center"/>
          </w:tcPr>
          <w:p w14:paraId="0E07E4D6">
            <w:pPr>
              <w:jc w:val="center"/>
              <w:rPr>
                <w:rFonts w:hint="eastAsia" w:asciiTheme="minorEastAsia" w:hAnsiTheme="minorEastAsia" w:eastAsiaTheme="minorEastAsia" w:cstheme="minorEastAsia"/>
                <w:color w:val="auto"/>
                <w:sz w:val="24"/>
                <w:szCs w:val="24"/>
              </w:rPr>
            </w:pPr>
          </w:p>
        </w:tc>
        <w:tc>
          <w:tcPr>
            <w:tcW w:w="1344" w:type="dxa"/>
            <w:noWrap w:val="0"/>
            <w:vAlign w:val="top"/>
          </w:tcPr>
          <w:p w14:paraId="7FE055D4">
            <w:pPr>
              <w:jc w:val="center"/>
              <w:rPr>
                <w:rFonts w:hint="eastAsia" w:asciiTheme="minorEastAsia" w:hAnsiTheme="minorEastAsia" w:eastAsiaTheme="minorEastAsia" w:cstheme="minorEastAsia"/>
                <w:color w:val="auto"/>
                <w:sz w:val="24"/>
                <w:szCs w:val="24"/>
              </w:rPr>
            </w:pPr>
          </w:p>
        </w:tc>
        <w:tc>
          <w:tcPr>
            <w:tcW w:w="1344" w:type="dxa"/>
            <w:noWrap w:val="0"/>
            <w:vAlign w:val="top"/>
          </w:tcPr>
          <w:p w14:paraId="164A6EE5">
            <w:pPr>
              <w:jc w:val="center"/>
              <w:rPr>
                <w:rFonts w:hint="eastAsia" w:asciiTheme="minorEastAsia" w:hAnsiTheme="minorEastAsia" w:eastAsiaTheme="minorEastAsia" w:cstheme="minorEastAsia"/>
                <w:color w:val="auto"/>
                <w:sz w:val="24"/>
                <w:szCs w:val="24"/>
              </w:rPr>
            </w:pPr>
          </w:p>
        </w:tc>
      </w:tr>
      <w:tr w14:paraId="0688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03E96B13">
            <w:pPr>
              <w:pStyle w:val="9"/>
              <w:spacing w:line="240" w:lineRule="atLeast"/>
              <w:ind w:left="3920"/>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1695" w:type="dxa"/>
            <w:noWrap w:val="0"/>
            <w:vAlign w:val="center"/>
          </w:tcPr>
          <w:p w14:paraId="5FB72B7D">
            <w:pPr>
              <w:jc w:val="center"/>
              <w:rPr>
                <w:rFonts w:hint="eastAsia" w:asciiTheme="minorEastAsia" w:hAnsiTheme="minorEastAsia" w:eastAsiaTheme="minorEastAsia" w:cstheme="minorEastAsia"/>
                <w:color w:val="auto"/>
                <w:sz w:val="24"/>
                <w:szCs w:val="24"/>
              </w:rPr>
            </w:pPr>
          </w:p>
        </w:tc>
        <w:tc>
          <w:tcPr>
            <w:tcW w:w="3404" w:type="dxa"/>
            <w:noWrap w:val="0"/>
            <w:vAlign w:val="top"/>
          </w:tcPr>
          <w:p w14:paraId="633B8D90">
            <w:pPr>
              <w:jc w:val="center"/>
              <w:rPr>
                <w:rFonts w:hint="eastAsia" w:asciiTheme="minorEastAsia" w:hAnsiTheme="minorEastAsia" w:eastAsiaTheme="minorEastAsia" w:cstheme="minorEastAsia"/>
                <w:color w:val="auto"/>
                <w:sz w:val="24"/>
                <w:szCs w:val="24"/>
              </w:rPr>
            </w:pPr>
          </w:p>
        </w:tc>
        <w:tc>
          <w:tcPr>
            <w:tcW w:w="1344" w:type="dxa"/>
            <w:noWrap w:val="0"/>
            <w:vAlign w:val="center"/>
          </w:tcPr>
          <w:p w14:paraId="6E4058FD">
            <w:pPr>
              <w:jc w:val="center"/>
              <w:rPr>
                <w:rFonts w:hint="eastAsia" w:asciiTheme="minorEastAsia" w:hAnsiTheme="minorEastAsia" w:eastAsiaTheme="minorEastAsia" w:cstheme="minorEastAsia"/>
                <w:color w:val="auto"/>
                <w:sz w:val="24"/>
                <w:szCs w:val="24"/>
              </w:rPr>
            </w:pPr>
          </w:p>
        </w:tc>
        <w:tc>
          <w:tcPr>
            <w:tcW w:w="1344" w:type="dxa"/>
            <w:noWrap w:val="0"/>
            <w:vAlign w:val="top"/>
          </w:tcPr>
          <w:p w14:paraId="2C8C249E">
            <w:pPr>
              <w:jc w:val="center"/>
              <w:rPr>
                <w:rFonts w:hint="eastAsia" w:asciiTheme="minorEastAsia" w:hAnsiTheme="minorEastAsia" w:eastAsiaTheme="minorEastAsia" w:cstheme="minorEastAsia"/>
                <w:color w:val="auto"/>
                <w:sz w:val="24"/>
                <w:szCs w:val="24"/>
              </w:rPr>
            </w:pPr>
          </w:p>
        </w:tc>
        <w:tc>
          <w:tcPr>
            <w:tcW w:w="1344" w:type="dxa"/>
            <w:noWrap w:val="0"/>
            <w:vAlign w:val="top"/>
          </w:tcPr>
          <w:p w14:paraId="184F3DA2">
            <w:pPr>
              <w:jc w:val="center"/>
              <w:rPr>
                <w:rFonts w:hint="eastAsia" w:asciiTheme="minorEastAsia" w:hAnsiTheme="minorEastAsia" w:eastAsiaTheme="minorEastAsia" w:cstheme="minorEastAsia"/>
                <w:color w:val="auto"/>
                <w:sz w:val="24"/>
                <w:szCs w:val="24"/>
              </w:rPr>
            </w:pPr>
          </w:p>
        </w:tc>
      </w:tr>
      <w:tr w14:paraId="0E91D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362C0590">
            <w:pPr>
              <w:pStyle w:val="9"/>
              <w:spacing w:line="240" w:lineRule="atLeast"/>
              <w:ind w:left="3920"/>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1695" w:type="dxa"/>
            <w:noWrap w:val="0"/>
            <w:vAlign w:val="center"/>
          </w:tcPr>
          <w:p w14:paraId="0CA485D8">
            <w:pPr>
              <w:jc w:val="center"/>
              <w:rPr>
                <w:rFonts w:hint="eastAsia" w:asciiTheme="minorEastAsia" w:hAnsiTheme="minorEastAsia" w:eastAsiaTheme="minorEastAsia" w:cstheme="minorEastAsia"/>
                <w:color w:val="auto"/>
                <w:sz w:val="24"/>
                <w:szCs w:val="24"/>
              </w:rPr>
            </w:pPr>
          </w:p>
        </w:tc>
        <w:tc>
          <w:tcPr>
            <w:tcW w:w="3404" w:type="dxa"/>
            <w:noWrap w:val="0"/>
            <w:vAlign w:val="top"/>
          </w:tcPr>
          <w:p w14:paraId="251B4189">
            <w:pPr>
              <w:jc w:val="center"/>
              <w:rPr>
                <w:rFonts w:hint="eastAsia" w:asciiTheme="minorEastAsia" w:hAnsiTheme="minorEastAsia" w:eastAsiaTheme="minorEastAsia" w:cstheme="minorEastAsia"/>
                <w:color w:val="auto"/>
                <w:sz w:val="24"/>
                <w:szCs w:val="24"/>
              </w:rPr>
            </w:pPr>
          </w:p>
        </w:tc>
        <w:tc>
          <w:tcPr>
            <w:tcW w:w="1344" w:type="dxa"/>
            <w:noWrap w:val="0"/>
            <w:vAlign w:val="center"/>
          </w:tcPr>
          <w:p w14:paraId="2020AC36">
            <w:pPr>
              <w:jc w:val="center"/>
              <w:rPr>
                <w:rFonts w:hint="eastAsia" w:asciiTheme="minorEastAsia" w:hAnsiTheme="minorEastAsia" w:eastAsiaTheme="minorEastAsia" w:cstheme="minorEastAsia"/>
                <w:color w:val="auto"/>
                <w:sz w:val="24"/>
                <w:szCs w:val="24"/>
              </w:rPr>
            </w:pPr>
          </w:p>
        </w:tc>
        <w:tc>
          <w:tcPr>
            <w:tcW w:w="1344" w:type="dxa"/>
            <w:noWrap w:val="0"/>
            <w:vAlign w:val="top"/>
          </w:tcPr>
          <w:p w14:paraId="5CC38591">
            <w:pPr>
              <w:jc w:val="center"/>
              <w:rPr>
                <w:rFonts w:hint="eastAsia" w:asciiTheme="minorEastAsia" w:hAnsiTheme="minorEastAsia" w:eastAsiaTheme="minorEastAsia" w:cstheme="minorEastAsia"/>
                <w:color w:val="auto"/>
                <w:sz w:val="24"/>
                <w:szCs w:val="24"/>
              </w:rPr>
            </w:pPr>
          </w:p>
        </w:tc>
        <w:tc>
          <w:tcPr>
            <w:tcW w:w="1344" w:type="dxa"/>
            <w:noWrap w:val="0"/>
            <w:vAlign w:val="top"/>
          </w:tcPr>
          <w:p w14:paraId="40DAF5BF">
            <w:pPr>
              <w:jc w:val="center"/>
              <w:rPr>
                <w:rFonts w:hint="eastAsia" w:asciiTheme="minorEastAsia" w:hAnsiTheme="minorEastAsia" w:eastAsiaTheme="minorEastAsia" w:cstheme="minorEastAsia"/>
                <w:color w:val="auto"/>
                <w:sz w:val="24"/>
                <w:szCs w:val="24"/>
              </w:rPr>
            </w:pPr>
          </w:p>
        </w:tc>
      </w:tr>
      <w:tr w14:paraId="5D36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1CD54434">
            <w:pPr>
              <w:pStyle w:val="9"/>
              <w:spacing w:line="240" w:lineRule="atLeast"/>
              <w:ind w:left="3920"/>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1695" w:type="dxa"/>
            <w:noWrap w:val="0"/>
            <w:vAlign w:val="center"/>
          </w:tcPr>
          <w:p w14:paraId="0977ADB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3404" w:type="dxa"/>
            <w:noWrap w:val="0"/>
            <w:vAlign w:val="top"/>
          </w:tcPr>
          <w:p w14:paraId="0CF69F6F">
            <w:pPr>
              <w:jc w:val="center"/>
              <w:rPr>
                <w:rFonts w:hint="eastAsia" w:asciiTheme="minorEastAsia" w:hAnsiTheme="minorEastAsia" w:eastAsiaTheme="minorEastAsia" w:cstheme="minorEastAsia"/>
                <w:color w:val="auto"/>
                <w:sz w:val="24"/>
                <w:szCs w:val="24"/>
              </w:rPr>
            </w:pPr>
          </w:p>
        </w:tc>
        <w:tc>
          <w:tcPr>
            <w:tcW w:w="1344" w:type="dxa"/>
            <w:noWrap w:val="0"/>
            <w:vAlign w:val="center"/>
          </w:tcPr>
          <w:p w14:paraId="54BA861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344" w:type="dxa"/>
            <w:noWrap w:val="0"/>
            <w:vAlign w:val="top"/>
          </w:tcPr>
          <w:p w14:paraId="7F38BD34">
            <w:pPr>
              <w:jc w:val="center"/>
              <w:rPr>
                <w:rFonts w:hint="eastAsia" w:asciiTheme="minorEastAsia" w:hAnsiTheme="minorEastAsia" w:eastAsiaTheme="minorEastAsia" w:cstheme="minorEastAsia"/>
                <w:color w:val="auto"/>
                <w:sz w:val="24"/>
                <w:szCs w:val="24"/>
              </w:rPr>
            </w:pPr>
          </w:p>
        </w:tc>
        <w:tc>
          <w:tcPr>
            <w:tcW w:w="1344" w:type="dxa"/>
            <w:noWrap w:val="0"/>
            <w:vAlign w:val="top"/>
          </w:tcPr>
          <w:p w14:paraId="3F0F8863">
            <w:pPr>
              <w:jc w:val="center"/>
              <w:rPr>
                <w:rFonts w:hint="eastAsia" w:asciiTheme="minorEastAsia" w:hAnsiTheme="minorEastAsia" w:eastAsiaTheme="minorEastAsia" w:cstheme="minorEastAsia"/>
                <w:color w:val="auto"/>
                <w:sz w:val="24"/>
                <w:szCs w:val="24"/>
              </w:rPr>
            </w:pPr>
          </w:p>
        </w:tc>
      </w:tr>
      <w:tr w14:paraId="1DAA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exact"/>
          <w:jc w:val="center"/>
        </w:trPr>
        <w:tc>
          <w:tcPr>
            <w:tcW w:w="1022" w:type="dxa"/>
            <w:noWrap w:val="0"/>
            <w:vAlign w:val="center"/>
          </w:tcPr>
          <w:p w14:paraId="6C862787">
            <w:pPr>
              <w:pStyle w:val="9"/>
              <w:spacing w:line="240" w:lineRule="atLeast"/>
              <w:ind w:left="3920"/>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1695" w:type="dxa"/>
            <w:noWrap w:val="0"/>
            <w:vAlign w:val="center"/>
          </w:tcPr>
          <w:p w14:paraId="2187C2ED">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总计</w:t>
            </w:r>
          </w:p>
        </w:tc>
        <w:tc>
          <w:tcPr>
            <w:tcW w:w="7436" w:type="dxa"/>
            <w:gridSpan w:val="4"/>
            <w:noWrap w:val="0"/>
            <w:vAlign w:val="top"/>
          </w:tcPr>
          <w:p w14:paraId="1A32EC2A">
            <w:pPr>
              <w:rPr>
                <w:rFonts w:hint="eastAsia" w:asciiTheme="minorEastAsia" w:hAnsiTheme="minorEastAsia" w:eastAsiaTheme="minorEastAsia" w:cstheme="minorEastAsia"/>
                <w:color w:val="auto"/>
                <w:sz w:val="24"/>
                <w:szCs w:val="24"/>
              </w:rPr>
            </w:pPr>
          </w:p>
        </w:tc>
      </w:tr>
    </w:tbl>
    <w:p w14:paraId="063D35A2">
      <w:pPr>
        <w:snapToGrid w:val="0"/>
        <w:spacing w:line="500" w:lineRule="exact"/>
        <w:ind w:firstLine="480" w:firstLineChars="200"/>
        <w:rPr>
          <w:rFonts w:hint="eastAsia" w:asciiTheme="minorEastAsia" w:hAnsiTheme="minorEastAsia" w:eastAsiaTheme="minorEastAsia" w:cstheme="minorEastAsia"/>
          <w:color w:val="auto"/>
          <w:sz w:val="24"/>
          <w:szCs w:val="24"/>
        </w:rPr>
      </w:pPr>
    </w:p>
    <w:p w14:paraId="318D393B">
      <w:pPr>
        <w:snapToGrid w:val="0"/>
        <w:spacing w:line="5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注：1.请</w:t>
      </w:r>
      <w:r>
        <w:rPr>
          <w:rFonts w:hint="eastAsia" w:asciiTheme="minorEastAsia" w:hAnsiTheme="minorEastAsia" w:eastAsiaTheme="minorEastAsia" w:cstheme="minorEastAsia"/>
          <w:color w:val="auto"/>
          <w:sz w:val="24"/>
          <w:szCs w:val="24"/>
          <w:lang w:eastAsia="zh-CN"/>
        </w:rPr>
        <w:t>竞选人</w:t>
      </w:r>
      <w:r>
        <w:rPr>
          <w:rFonts w:hint="eastAsia" w:asciiTheme="minorEastAsia" w:hAnsiTheme="minorEastAsia" w:eastAsiaTheme="minorEastAsia" w:cstheme="minorEastAsia"/>
          <w:color w:val="auto"/>
          <w:sz w:val="24"/>
          <w:szCs w:val="24"/>
        </w:rPr>
        <w:t>完整填写本表。</w:t>
      </w:r>
    </w:p>
    <w:p w14:paraId="6DB68F08">
      <w:pPr>
        <w:snapToGrid w:val="0"/>
        <w:spacing w:line="5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2.该表可根据项目实际情况调整。</w:t>
      </w:r>
    </w:p>
    <w:p w14:paraId="16E2DFDA">
      <w:pPr>
        <w:snapToGrid w:val="0"/>
        <w:spacing w:line="500" w:lineRule="exact"/>
        <w:rPr>
          <w:rFonts w:hint="eastAsia" w:asciiTheme="minorEastAsia" w:hAnsiTheme="minorEastAsia" w:eastAsiaTheme="minorEastAsia" w:cstheme="minorEastAsia"/>
          <w:color w:val="auto"/>
          <w:sz w:val="24"/>
          <w:szCs w:val="24"/>
        </w:rPr>
      </w:pPr>
    </w:p>
    <w:p w14:paraId="177A65B9">
      <w:pPr>
        <w:snapToGrid w:val="0"/>
        <w:spacing w:line="500" w:lineRule="exact"/>
        <w:rPr>
          <w:rFonts w:hint="eastAsia" w:asciiTheme="minorEastAsia" w:hAnsiTheme="minorEastAsia" w:eastAsiaTheme="minorEastAsia" w:cstheme="minorEastAsia"/>
          <w:color w:val="auto"/>
          <w:sz w:val="24"/>
          <w:szCs w:val="24"/>
        </w:rPr>
      </w:pPr>
    </w:p>
    <w:p w14:paraId="647A0D3D">
      <w:pPr>
        <w:snapToGrid w:val="0"/>
        <w:spacing w:line="5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49503BD8">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竞选人（公章）或自然人签字：</w:t>
      </w:r>
    </w:p>
    <w:p w14:paraId="057A892D">
      <w:pPr>
        <w:spacing w:line="360" w:lineRule="auto"/>
        <w:ind w:firstLine="4320" w:firstLineChars="18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04CD28E1">
      <w:pPr>
        <w:snapToGrid w:val="0"/>
        <w:spacing w:line="360" w:lineRule="auto"/>
        <w:ind w:firstLine="480" w:firstLineChars="200"/>
        <w:rPr>
          <w:rFonts w:hint="eastAsia" w:asciiTheme="minorEastAsia" w:hAnsiTheme="minorEastAsia" w:eastAsiaTheme="minorEastAsia" w:cstheme="minorEastAsia"/>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314522DF">
      <w:pPr>
        <w:pStyle w:val="3"/>
        <w:spacing w:before="0" w:after="0"/>
        <w:ind w:firstLine="321" w:firstLineChars="100"/>
        <w:jc w:val="left"/>
        <w:rPr>
          <w:rFonts w:hint="eastAsia" w:asciiTheme="minorEastAsia" w:hAnsiTheme="minorEastAsia" w:eastAsiaTheme="minorEastAsia" w:cstheme="minorEastAsia"/>
          <w:szCs w:val="32"/>
        </w:rPr>
      </w:pPr>
      <w:bookmarkStart w:id="98" w:name="_Toc106030907"/>
      <w:bookmarkStart w:id="99" w:name="_Toc342913420"/>
      <w:bookmarkStart w:id="100" w:name="_Toc313888361"/>
      <w:bookmarkStart w:id="101" w:name="_Toc313008357"/>
      <w:bookmarkStart w:id="102" w:name="_Toc76462351"/>
      <w:bookmarkStart w:id="103" w:name="_Toc18067"/>
      <w:bookmarkStart w:id="104" w:name="_Toc763"/>
      <w:bookmarkStart w:id="105" w:name="_Toc29845"/>
      <w:bookmarkStart w:id="106" w:name="_Toc313008358"/>
      <w:bookmarkStart w:id="107" w:name="_Toc313888362"/>
      <w:bookmarkStart w:id="108" w:name="_Toc6152"/>
      <w:bookmarkStart w:id="109" w:name="_Toc25084"/>
      <w:bookmarkStart w:id="110" w:name="_Toc342913421"/>
      <w:r>
        <w:rPr>
          <w:rFonts w:hint="eastAsia" w:asciiTheme="minorEastAsia" w:hAnsiTheme="minorEastAsia" w:eastAsiaTheme="minorEastAsia" w:cstheme="minorEastAsia"/>
          <w:szCs w:val="32"/>
        </w:rPr>
        <w:t>二、</w:t>
      </w:r>
      <w:bookmarkEnd w:id="98"/>
      <w:bookmarkEnd w:id="99"/>
      <w:bookmarkEnd w:id="100"/>
      <w:bookmarkEnd w:id="101"/>
      <w:bookmarkEnd w:id="102"/>
      <w:r>
        <w:rPr>
          <w:rFonts w:hint="eastAsia" w:asciiTheme="minorEastAsia" w:hAnsiTheme="minorEastAsia" w:eastAsiaTheme="minorEastAsia" w:cstheme="minorEastAsia"/>
          <w:szCs w:val="32"/>
        </w:rPr>
        <w:t>服务部分</w:t>
      </w:r>
      <w:bookmarkEnd w:id="103"/>
      <w:bookmarkEnd w:id="104"/>
    </w:p>
    <w:p w14:paraId="44B64E87">
      <w:pPr>
        <w:tabs>
          <w:tab w:val="left" w:pos="630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（一）服务响应偏离表                                </w:t>
      </w:r>
    </w:p>
    <w:p w14:paraId="0676566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采购执行编号：</w:t>
      </w:r>
    </w:p>
    <w:p w14:paraId="01F38A1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1E98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2C2406D7">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541" w:type="pct"/>
            <w:noWrap w:val="0"/>
            <w:vAlign w:val="center"/>
          </w:tcPr>
          <w:p w14:paraId="0EB1AC55">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项目服务需求</w:t>
            </w:r>
          </w:p>
        </w:tc>
        <w:tc>
          <w:tcPr>
            <w:tcW w:w="1600" w:type="pct"/>
            <w:noWrap w:val="0"/>
            <w:vAlign w:val="center"/>
          </w:tcPr>
          <w:p w14:paraId="4932C6FD">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响应情况</w:t>
            </w:r>
          </w:p>
        </w:tc>
        <w:tc>
          <w:tcPr>
            <w:tcW w:w="1199" w:type="pct"/>
            <w:noWrap w:val="0"/>
            <w:vAlign w:val="center"/>
          </w:tcPr>
          <w:p w14:paraId="0BD507D6">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差异说明</w:t>
            </w:r>
          </w:p>
        </w:tc>
      </w:tr>
      <w:tr w14:paraId="63C7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54CF6CF3">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541" w:type="pct"/>
            <w:noWrap w:val="0"/>
            <w:vAlign w:val="center"/>
          </w:tcPr>
          <w:p w14:paraId="648EE5F9">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600" w:type="pct"/>
            <w:noWrap w:val="0"/>
            <w:vAlign w:val="center"/>
          </w:tcPr>
          <w:p w14:paraId="2A4B5EC0">
            <w:pPr>
              <w:tabs>
                <w:tab w:val="left" w:pos="6300"/>
              </w:tabs>
              <w:snapToGrid w:val="0"/>
              <w:spacing w:line="360" w:lineRule="auto"/>
              <w:outlineLvl w:val="0"/>
              <w:rPr>
                <w:rFonts w:hint="eastAsia" w:asciiTheme="minorEastAsia" w:hAnsiTheme="minorEastAsia" w:eastAsiaTheme="minorEastAsia" w:cstheme="minorEastAsia"/>
                <w:sz w:val="21"/>
                <w:szCs w:val="21"/>
              </w:rPr>
            </w:pPr>
          </w:p>
        </w:tc>
        <w:tc>
          <w:tcPr>
            <w:tcW w:w="1199" w:type="pct"/>
            <w:noWrap w:val="0"/>
            <w:vAlign w:val="center"/>
          </w:tcPr>
          <w:p w14:paraId="4388A3F4">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r>
      <w:tr w14:paraId="6028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91B4652">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541" w:type="pct"/>
            <w:noWrap w:val="0"/>
            <w:vAlign w:val="center"/>
          </w:tcPr>
          <w:p w14:paraId="191566A4">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600" w:type="pct"/>
            <w:noWrap w:val="0"/>
            <w:vAlign w:val="center"/>
          </w:tcPr>
          <w:p w14:paraId="794208C1">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199" w:type="pct"/>
            <w:noWrap w:val="0"/>
            <w:vAlign w:val="center"/>
          </w:tcPr>
          <w:p w14:paraId="54BC6CEB">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r>
      <w:tr w14:paraId="0028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5F944A9">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541" w:type="pct"/>
            <w:noWrap w:val="0"/>
            <w:vAlign w:val="center"/>
          </w:tcPr>
          <w:p w14:paraId="20B2E310">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600" w:type="pct"/>
            <w:noWrap w:val="0"/>
            <w:vAlign w:val="center"/>
          </w:tcPr>
          <w:p w14:paraId="456FEEF2">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199" w:type="pct"/>
            <w:noWrap w:val="0"/>
            <w:vAlign w:val="center"/>
          </w:tcPr>
          <w:p w14:paraId="1797B644">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r>
      <w:tr w14:paraId="6F5A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B8941CC">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541" w:type="pct"/>
            <w:noWrap w:val="0"/>
            <w:vAlign w:val="center"/>
          </w:tcPr>
          <w:p w14:paraId="471F9341">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600" w:type="pct"/>
            <w:noWrap w:val="0"/>
            <w:vAlign w:val="center"/>
          </w:tcPr>
          <w:p w14:paraId="6434FAF1">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199" w:type="pct"/>
            <w:noWrap w:val="0"/>
            <w:vAlign w:val="center"/>
          </w:tcPr>
          <w:p w14:paraId="1705CD3E">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r>
      <w:tr w14:paraId="5D8C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295FFC6">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541" w:type="pct"/>
            <w:noWrap w:val="0"/>
            <w:vAlign w:val="center"/>
          </w:tcPr>
          <w:p w14:paraId="1DB1F933">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600" w:type="pct"/>
            <w:noWrap w:val="0"/>
            <w:vAlign w:val="center"/>
          </w:tcPr>
          <w:p w14:paraId="54622893">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199" w:type="pct"/>
            <w:noWrap w:val="0"/>
            <w:vAlign w:val="center"/>
          </w:tcPr>
          <w:p w14:paraId="0CA9CA0C">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r>
      <w:tr w14:paraId="23E2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F40FC6F">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541" w:type="pct"/>
            <w:noWrap w:val="0"/>
            <w:vAlign w:val="center"/>
          </w:tcPr>
          <w:p w14:paraId="07E20E0E">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600" w:type="pct"/>
            <w:noWrap w:val="0"/>
            <w:vAlign w:val="center"/>
          </w:tcPr>
          <w:p w14:paraId="2797DE4C">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199" w:type="pct"/>
            <w:noWrap w:val="0"/>
            <w:vAlign w:val="center"/>
          </w:tcPr>
          <w:p w14:paraId="76F15C0E">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r>
      <w:tr w14:paraId="21A0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52A495D">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541" w:type="pct"/>
            <w:noWrap w:val="0"/>
            <w:vAlign w:val="center"/>
          </w:tcPr>
          <w:p w14:paraId="551844CB">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600" w:type="pct"/>
            <w:noWrap w:val="0"/>
            <w:vAlign w:val="center"/>
          </w:tcPr>
          <w:p w14:paraId="0999AAB6">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199" w:type="pct"/>
            <w:noWrap w:val="0"/>
            <w:vAlign w:val="center"/>
          </w:tcPr>
          <w:p w14:paraId="1722EEF9">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r>
      <w:tr w14:paraId="0674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B11F3E5">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541" w:type="pct"/>
            <w:noWrap w:val="0"/>
            <w:vAlign w:val="center"/>
          </w:tcPr>
          <w:p w14:paraId="2CB543CB">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600" w:type="pct"/>
            <w:noWrap w:val="0"/>
            <w:vAlign w:val="center"/>
          </w:tcPr>
          <w:p w14:paraId="22AC5C79">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199" w:type="pct"/>
            <w:noWrap w:val="0"/>
            <w:vAlign w:val="center"/>
          </w:tcPr>
          <w:p w14:paraId="5B22DDAC">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r>
      <w:tr w14:paraId="165F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AFADAA5">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541" w:type="pct"/>
            <w:noWrap w:val="0"/>
            <w:vAlign w:val="center"/>
          </w:tcPr>
          <w:p w14:paraId="0444FAE1">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600" w:type="pct"/>
            <w:noWrap w:val="0"/>
            <w:vAlign w:val="center"/>
          </w:tcPr>
          <w:p w14:paraId="6B80805E">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199" w:type="pct"/>
            <w:noWrap w:val="0"/>
            <w:vAlign w:val="center"/>
          </w:tcPr>
          <w:p w14:paraId="3934DB44">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r>
      <w:tr w14:paraId="5413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D5F033E">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541" w:type="pct"/>
            <w:noWrap w:val="0"/>
            <w:vAlign w:val="center"/>
          </w:tcPr>
          <w:p w14:paraId="1DF6EEB6">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600" w:type="pct"/>
            <w:noWrap w:val="0"/>
            <w:vAlign w:val="center"/>
          </w:tcPr>
          <w:p w14:paraId="48A02FD6">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c>
          <w:tcPr>
            <w:tcW w:w="1199" w:type="pct"/>
            <w:noWrap w:val="0"/>
            <w:vAlign w:val="center"/>
          </w:tcPr>
          <w:p w14:paraId="38C00301">
            <w:pPr>
              <w:tabs>
                <w:tab w:val="left" w:pos="6300"/>
              </w:tabs>
              <w:snapToGrid w:val="0"/>
              <w:spacing w:line="360" w:lineRule="auto"/>
              <w:jc w:val="center"/>
              <w:outlineLvl w:val="0"/>
              <w:rPr>
                <w:rFonts w:hint="eastAsia" w:asciiTheme="minorEastAsia" w:hAnsiTheme="minorEastAsia" w:eastAsiaTheme="minorEastAsia" w:cstheme="minorEastAsia"/>
                <w:sz w:val="21"/>
                <w:szCs w:val="21"/>
              </w:rPr>
            </w:pPr>
          </w:p>
        </w:tc>
      </w:tr>
    </w:tbl>
    <w:p w14:paraId="439849C4">
      <w:pPr>
        <w:spacing w:line="360" w:lineRule="auto"/>
        <w:ind w:firstLine="600" w:firstLineChars="25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 xml:space="preserve">竞选人：                            </w:t>
      </w:r>
      <w:r>
        <w:rPr>
          <w:rFonts w:hint="eastAsia" w:asciiTheme="minorEastAsia" w:hAnsiTheme="minorEastAsia" w:eastAsiaTheme="minorEastAsia" w:cstheme="minorEastAsia"/>
          <w:sz w:val="24"/>
          <w:szCs w:val="24"/>
        </w:rPr>
        <w:t>法定代表人（或其授权代表）或自然人：</w:t>
      </w:r>
    </w:p>
    <w:p w14:paraId="19BC24E6">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 xml:space="preserve">    </w:t>
      </w:r>
    </w:p>
    <w:p w14:paraId="783CDA96">
      <w:pPr>
        <w:spacing w:line="360" w:lineRule="auto"/>
        <w:ind w:firstLine="720" w:firstLineChars="3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（竞选人公章）                               （签署或盖章）</w:t>
      </w:r>
    </w:p>
    <w:p w14:paraId="47C496F1">
      <w:pPr>
        <w:tabs>
          <w:tab w:val="left" w:pos="6300"/>
        </w:tabs>
        <w:snapToGrid w:val="0"/>
        <w:spacing w:line="360" w:lineRule="auto"/>
        <w:ind w:firstLine="5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8"/>
        </w:rPr>
        <w:t xml:space="preserve">                                              年     月     日</w:t>
      </w:r>
    </w:p>
    <w:p w14:paraId="63B4C9E2">
      <w:pPr>
        <w:tabs>
          <w:tab w:val="left" w:pos="6300"/>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549E9AE5">
      <w:pPr>
        <w:tabs>
          <w:tab w:val="left" w:pos="6300"/>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szCs w:val="24"/>
        </w:rPr>
        <w:t>本表即为对本项目“第二篇  项目服务需求”中所列条款进行比较和响应；</w:t>
      </w:r>
    </w:p>
    <w:p w14:paraId="47A9BF15">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2.本表可扩展。</w:t>
      </w:r>
    </w:p>
    <w:p w14:paraId="28726D92">
      <w:pPr>
        <w:tabs>
          <w:tab w:val="left" w:pos="6300"/>
        </w:tabs>
        <w:snapToGrid w:val="0"/>
        <w:spacing w:line="360" w:lineRule="auto"/>
        <w:ind w:firstLine="56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br w:type="page"/>
      </w:r>
      <w:r>
        <w:rPr>
          <w:rFonts w:hint="eastAsia" w:asciiTheme="minorEastAsia" w:hAnsiTheme="minorEastAsia" w:eastAsiaTheme="minorEastAsia" w:cstheme="minorEastAsia"/>
          <w:sz w:val="24"/>
          <w:szCs w:val="24"/>
        </w:rPr>
        <w:t>（二）其他资料（格式自定）</w:t>
      </w:r>
    </w:p>
    <w:p w14:paraId="7E1906E6">
      <w:pPr>
        <w:pStyle w:val="3"/>
        <w:spacing w:before="0" w:after="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bookmarkStart w:id="111" w:name="_Toc16352"/>
      <w:bookmarkStart w:id="112" w:name="_Toc8729"/>
      <w:r>
        <w:rPr>
          <w:rFonts w:hint="eastAsia" w:asciiTheme="minorEastAsia" w:hAnsiTheme="minorEastAsia" w:eastAsiaTheme="minorEastAsia" w:cstheme="minorEastAsia"/>
          <w:sz w:val="28"/>
          <w:szCs w:val="28"/>
        </w:rPr>
        <w:t>三、商务部分</w:t>
      </w:r>
      <w:bookmarkEnd w:id="105"/>
      <w:bookmarkEnd w:id="106"/>
      <w:bookmarkEnd w:id="107"/>
      <w:bookmarkEnd w:id="108"/>
      <w:bookmarkEnd w:id="109"/>
      <w:bookmarkEnd w:id="110"/>
      <w:bookmarkEnd w:id="111"/>
      <w:bookmarkEnd w:id="112"/>
    </w:p>
    <w:p w14:paraId="1E17ECB3">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（一）商务要求响应情况：服务时间及地点、报价要求等（格式自定）</w:t>
      </w:r>
    </w:p>
    <w:p w14:paraId="5A12AA88">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szCs w:val="24"/>
        </w:rPr>
        <w:t>（二）商务响应偏离表</w:t>
      </w:r>
    </w:p>
    <w:p w14:paraId="1DAB120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采购执行编号：</w:t>
      </w:r>
    </w:p>
    <w:p w14:paraId="088C6004">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FF7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10" w:type="dxa"/>
            <w:noWrap w:val="0"/>
            <w:vAlign w:val="center"/>
          </w:tcPr>
          <w:p w14:paraId="0F0A2EE6">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179" w:type="dxa"/>
            <w:noWrap w:val="0"/>
            <w:vAlign w:val="center"/>
          </w:tcPr>
          <w:p w14:paraId="2112B252">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项目商务需求</w:t>
            </w:r>
          </w:p>
        </w:tc>
        <w:tc>
          <w:tcPr>
            <w:tcW w:w="2434" w:type="dxa"/>
            <w:noWrap w:val="0"/>
            <w:vAlign w:val="center"/>
          </w:tcPr>
          <w:p w14:paraId="607982D4">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响应情况</w:t>
            </w:r>
          </w:p>
        </w:tc>
        <w:tc>
          <w:tcPr>
            <w:tcW w:w="2355" w:type="dxa"/>
            <w:noWrap w:val="0"/>
            <w:vAlign w:val="center"/>
          </w:tcPr>
          <w:p w14:paraId="62EBF2C8">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差异说明</w:t>
            </w:r>
          </w:p>
        </w:tc>
      </w:tr>
      <w:tr w14:paraId="2918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E9C6E02">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c>
          <w:tcPr>
            <w:tcW w:w="3179" w:type="dxa"/>
            <w:noWrap w:val="0"/>
            <w:vAlign w:val="center"/>
          </w:tcPr>
          <w:p w14:paraId="4F412C52">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c>
          <w:tcPr>
            <w:tcW w:w="2434" w:type="dxa"/>
            <w:noWrap w:val="0"/>
            <w:vAlign w:val="center"/>
          </w:tcPr>
          <w:p w14:paraId="19A111A9">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c>
          <w:tcPr>
            <w:tcW w:w="2355" w:type="dxa"/>
            <w:noWrap w:val="0"/>
            <w:vAlign w:val="center"/>
          </w:tcPr>
          <w:p w14:paraId="3211646E">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r>
      <w:tr w14:paraId="6600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5A6BA3">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c>
          <w:tcPr>
            <w:tcW w:w="3179" w:type="dxa"/>
            <w:noWrap w:val="0"/>
            <w:vAlign w:val="center"/>
          </w:tcPr>
          <w:p w14:paraId="51249ED4">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c>
          <w:tcPr>
            <w:tcW w:w="2434" w:type="dxa"/>
            <w:noWrap w:val="0"/>
            <w:vAlign w:val="center"/>
          </w:tcPr>
          <w:p w14:paraId="129851A3">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c>
          <w:tcPr>
            <w:tcW w:w="2355" w:type="dxa"/>
            <w:noWrap w:val="0"/>
            <w:vAlign w:val="center"/>
          </w:tcPr>
          <w:p w14:paraId="6F0878B9">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r>
      <w:tr w14:paraId="087F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8213B58">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c>
          <w:tcPr>
            <w:tcW w:w="3179" w:type="dxa"/>
            <w:noWrap w:val="0"/>
            <w:vAlign w:val="center"/>
          </w:tcPr>
          <w:p w14:paraId="1AF9856F">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c>
          <w:tcPr>
            <w:tcW w:w="2434" w:type="dxa"/>
            <w:noWrap w:val="0"/>
            <w:vAlign w:val="center"/>
          </w:tcPr>
          <w:p w14:paraId="490EBC9A">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c>
          <w:tcPr>
            <w:tcW w:w="2355" w:type="dxa"/>
            <w:noWrap w:val="0"/>
            <w:vAlign w:val="center"/>
          </w:tcPr>
          <w:p w14:paraId="561FA8A0">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r>
      <w:tr w14:paraId="3318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8037415">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c>
          <w:tcPr>
            <w:tcW w:w="3179" w:type="dxa"/>
            <w:noWrap w:val="0"/>
            <w:vAlign w:val="center"/>
          </w:tcPr>
          <w:p w14:paraId="303C1E26">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c>
          <w:tcPr>
            <w:tcW w:w="2434" w:type="dxa"/>
            <w:noWrap w:val="0"/>
            <w:vAlign w:val="center"/>
          </w:tcPr>
          <w:p w14:paraId="4E7BA01C">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c>
          <w:tcPr>
            <w:tcW w:w="2355" w:type="dxa"/>
            <w:noWrap w:val="0"/>
            <w:vAlign w:val="center"/>
          </w:tcPr>
          <w:p w14:paraId="208DAB8E">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r>
      <w:tr w14:paraId="6DB6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0789C3B">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c>
          <w:tcPr>
            <w:tcW w:w="3179" w:type="dxa"/>
            <w:noWrap w:val="0"/>
            <w:vAlign w:val="center"/>
          </w:tcPr>
          <w:p w14:paraId="10D8692F">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c>
          <w:tcPr>
            <w:tcW w:w="2434" w:type="dxa"/>
            <w:noWrap w:val="0"/>
            <w:vAlign w:val="center"/>
          </w:tcPr>
          <w:p w14:paraId="28BE3FF3">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c>
          <w:tcPr>
            <w:tcW w:w="2355" w:type="dxa"/>
            <w:noWrap w:val="0"/>
            <w:vAlign w:val="center"/>
          </w:tcPr>
          <w:p w14:paraId="668032A4">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r>
      <w:tr w14:paraId="1467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9A3917E">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c>
          <w:tcPr>
            <w:tcW w:w="3179" w:type="dxa"/>
            <w:noWrap w:val="0"/>
            <w:vAlign w:val="center"/>
          </w:tcPr>
          <w:p w14:paraId="73FDCFC8">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c>
          <w:tcPr>
            <w:tcW w:w="2434" w:type="dxa"/>
            <w:noWrap w:val="0"/>
            <w:vAlign w:val="center"/>
          </w:tcPr>
          <w:p w14:paraId="6832E6F4">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c>
          <w:tcPr>
            <w:tcW w:w="2355" w:type="dxa"/>
            <w:noWrap w:val="0"/>
            <w:vAlign w:val="center"/>
          </w:tcPr>
          <w:p w14:paraId="4973CACA">
            <w:pPr>
              <w:tabs>
                <w:tab w:val="left" w:pos="6300"/>
              </w:tabs>
              <w:snapToGrid w:val="0"/>
              <w:spacing w:line="360" w:lineRule="auto"/>
              <w:jc w:val="center"/>
              <w:outlineLvl w:val="0"/>
              <w:rPr>
                <w:rFonts w:hint="eastAsia" w:asciiTheme="minorEastAsia" w:hAnsiTheme="minorEastAsia" w:eastAsiaTheme="minorEastAsia" w:cstheme="minorEastAsia"/>
                <w:sz w:val="24"/>
                <w:szCs w:val="24"/>
              </w:rPr>
            </w:pPr>
          </w:p>
        </w:tc>
      </w:tr>
    </w:tbl>
    <w:p w14:paraId="0CCBCCBF">
      <w:pPr>
        <w:snapToGrid w:val="0"/>
        <w:spacing w:line="360" w:lineRule="auto"/>
        <w:ind w:firstLine="465"/>
        <w:rPr>
          <w:rFonts w:hint="eastAsia" w:asciiTheme="minorEastAsia" w:hAnsiTheme="minorEastAsia" w:eastAsiaTheme="minorEastAsia" w:cstheme="minorEastAsia"/>
          <w:sz w:val="24"/>
          <w:szCs w:val="24"/>
        </w:rPr>
      </w:pPr>
    </w:p>
    <w:p w14:paraId="355A5F15">
      <w:pPr>
        <w:spacing w:line="360" w:lineRule="auto"/>
        <w:ind w:firstLine="600" w:firstLineChars="25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竞选人：                            法定代表人（或其授权代表）或自然人：</w:t>
      </w:r>
    </w:p>
    <w:p w14:paraId="1E9D8D96">
      <w:p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 xml:space="preserve">    </w:t>
      </w:r>
    </w:p>
    <w:p w14:paraId="7F8C023B">
      <w:pPr>
        <w:spacing w:line="360" w:lineRule="auto"/>
        <w:ind w:firstLine="360" w:firstLineChars="15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（竞选人公章）                                 （签署或盖章）</w:t>
      </w:r>
    </w:p>
    <w:p w14:paraId="1299E452">
      <w:pPr>
        <w:tabs>
          <w:tab w:val="left" w:pos="6300"/>
        </w:tabs>
        <w:snapToGrid w:val="0"/>
        <w:spacing w:line="360" w:lineRule="auto"/>
        <w:ind w:firstLine="5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8"/>
        </w:rPr>
        <w:t xml:space="preserve">                                            年     月     日</w:t>
      </w:r>
    </w:p>
    <w:p w14:paraId="5B51CE47">
      <w:pPr>
        <w:tabs>
          <w:tab w:val="left" w:pos="6300"/>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76B97E89">
      <w:pPr>
        <w:tabs>
          <w:tab w:val="left" w:pos="6300"/>
        </w:tabs>
        <w:snapToGrid w:val="0"/>
        <w:spacing w:line="360" w:lineRule="auto"/>
        <w:ind w:firstLine="480" w:firstLineChars="200"/>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rPr>
        <w:t>.本表即为对本项目“第三篇 项目商务需求”中所列条款进行比较和响应。</w:t>
      </w:r>
    </w:p>
    <w:p w14:paraId="2F26FC85">
      <w:pPr>
        <w:tabs>
          <w:tab w:val="left" w:pos="6300"/>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2.本表可扩展。</w:t>
      </w:r>
    </w:p>
    <w:p w14:paraId="0451E47A">
      <w:pPr>
        <w:tabs>
          <w:tab w:val="left" w:pos="6300"/>
        </w:tabs>
        <w:snapToGrid w:val="0"/>
        <w:spacing w:line="360" w:lineRule="auto"/>
        <w:ind w:firstLine="560" w:firstLineChars="200"/>
        <w:rPr>
          <w:rFonts w:hint="eastAsia" w:asciiTheme="minorEastAsia" w:hAnsiTheme="minorEastAsia" w:eastAsiaTheme="minorEastAsia" w:cstheme="minorEastAsia"/>
          <w:szCs w:val="28"/>
        </w:rPr>
      </w:pPr>
    </w:p>
    <w:p w14:paraId="004B059E">
      <w:pPr>
        <w:snapToGrid w:val="0"/>
        <w:spacing w:line="360" w:lineRule="auto"/>
        <w:rPr>
          <w:rFonts w:hint="eastAsia" w:asciiTheme="minorEastAsia" w:hAnsiTheme="minorEastAsia" w:eastAsiaTheme="minorEastAsia" w:cstheme="minorEastAsia"/>
          <w:sz w:val="24"/>
          <w:szCs w:val="24"/>
        </w:rPr>
      </w:pPr>
    </w:p>
    <w:p w14:paraId="0744EDF3">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szCs w:val="24"/>
        </w:rPr>
        <w:t>（三）其它优惠承诺（格式自定）</w:t>
      </w:r>
    </w:p>
    <w:p w14:paraId="60B233DD">
      <w:pPr>
        <w:spacing w:line="360" w:lineRule="auto"/>
        <w:rPr>
          <w:rFonts w:hint="eastAsia" w:asciiTheme="minorEastAsia" w:hAnsiTheme="minorEastAsia" w:eastAsiaTheme="minorEastAsia" w:cstheme="minorEastAsia"/>
          <w:sz w:val="24"/>
          <w:szCs w:val="24"/>
        </w:rPr>
      </w:pPr>
    </w:p>
    <w:bookmarkEnd w:id="97"/>
    <w:p w14:paraId="4A490ED7">
      <w:pPr>
        <w:pStyle w:val="3"/>
        <w:spacing w:before="0" w:after="0"/>
        <w:rPr>
          <w:rFonts w:hint="eastAsia" w:asciiTheme="minorEastAsia" w:hAnsiTheme="minorEastAsia" w:eastAsiaTheme="minorEastAsia" w:cstheme="minorEastAsia"/>
          <w:sz w:val="28"/>
          <w:szCs w:val="28"/>
        </w:rPr>
      </w:pPr>
      <w:bookmarkStart w:id="113" w:name="_Toc313008359"/>
      <w:bookmarkStart w:id="114" w:name="_Toc313888363"/>
      <w:bookmarkStart w:id="115" w:name="_Toc342913422"/>
      <w:r>
        <w:rPr>
          <w:rFonts w:hint="eastAsia" w:asciiTheme="minorEastAsia" w:hAnsiTheme="minorEastAsia" w:eastAsiaTheme="minorEastAsia" w:cstheme="minorEastAsia"/>
          <w:sz w:val="28"/>
          <w:szCs w:val="28"/>
        </w:rPr>
        <w:br w:type="page"/>
      </w:r>
      <w:bookmarkStart w:id="116" w:name="_Toc12215"/>
      <w:bookmarkStart w:id="117" w:name="_Toc5238"/>
      <w:r>
        <w:rPr>
          <w:rFonts w:hint="eastAsia" w:asciiTheme="minorEastAsia" w:hAnsiTheme="minorEastAsia" w:eastAsiaTheme="minorEastAsia" w:cstheme="minorEastAsia"/>
          <w:sz w:val="28"/>
          <w:szCs w:val="28"/>
        </w:rPr>
        <w:t>四、</w:t>
      </w:r>
      <w:bookmarkEnd w:id="113"/>
      <w:bookmarkEnd w:id="114"/>
      <w:bookmarkEnd w:id="115"/>
      <w:r>
        <w:rPr>
          <w:rFonts w:hint="eastAsia" w:asciiTheme="minorEastAsia" w:hAnsiTheme="minorEastAsia" w:eastAsiaTheme="minorEastAsia" w:cstheme="minorEastAsia"/>
          <w:sz w:val="28"/>
          <w:szCs w:val="28"/>
        </w:rPr>
        <w:t>资格条件及其他</w:t>
      </w:r>
      <w:bookmarkEnd w:id="116"/>
      <w:bookmarkEnd w:id="117"/>
    </w:p>
    <w:p w14:paraId="1C9E0AD0">
      <w:pPr>
        <w:tabs>
          <w:tab w:val="left" w:pos="6300"/>
        </w:tabs>
        <w:snapToGrid w:val="0"/>
        <w:spacing w:line="360" w:lineRule="auto"/>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（一）法人营业执照（副本）或事业单位法人证书（副本）或个体工商户营业执照或有效的自然人身份证明或社会团体法人登记证书复印件</w:t>
      </w:r>
    </w:p>
    <w:p w14:paraId="54DFF750">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4164FBF4">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51C2D6CB">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0555BA54">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4EDC220F">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szCs w:val="24"/>
        </w:rPr>
        <w:t>（二）法定代表人身份证明书（格式）</w:t>
      </w:r>
    </w:p>
    <w:p w14:paraId="5795D1DF">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18561AC8">
      <w:pPr>
        <w:tabs>
          <w:tab w:val="left" w:pos="6300"/>
        </w:tabs>
        <w:snapToGrid w:val="0"/>
        <w:spacing w:line="360" w:lineRule="auto"/>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u w:val="single"/>
        </w:rPr>
        <w:t xml:space="preserve">                                                </w:t>
      </w:r>
    </w:p>
    <w:p w14:paraId="120C23B8">
      <w:pPr>
        <w:tabs>
          <w:tab w:val="left" w:pos="6300"/>
        </w:tabs>
        <w:snapToGrid w:val="0"/>
        <w:spacing w:line="360" w:lineRule="auto"/>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（比选代理机构名称）：</w:t>
      </w:r>
    </w:p>
    <w:p w14:paraId="7131FE6B">
      <w:pPr>
        <w:tabs>
          <w:tab w:val="left" w:pos="6300"/>
        </w:tabs>
        <w:snapToGrid w:val="0"/>
        <w:spacing w:line="360" w:lineRule="auto"/>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（法定代表人姓名）在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（竞选人名称）任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（职务名称）职务，是（竞选人名称）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的法定代表人。</w:t>
      </w:r>
    </w:p>
    <w:p w14:paraId="0405B62A">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6414F473">
      <w:pPr>
        <w:tabs>
          <w:tab w:val="left" w:pos="6300"/>
        </w:tabs>
        <w:snapToGrid w:val="0"/>
        <w:spacing w:line="360" w:lineRule="auto"/>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14:paraId="165400DD">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134ACD59">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42B299D6">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00349B11">
      <w:pPr>
        <w:tabs>
          <w:tab w:val="left" w:pos="6300"/>
        </w:tabs>
        <w:snapToGrid w:val="0"/>
        <w:spacing w:line="360" w:lineRule="auto"/>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（竞选人公章）</w:t>
      </w:r>
    </w:p>
    <w:p w14:paraId="31923DC0">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7B2A349C">
      <w:pPr>
        <w:tabs>
          <w:tab w:val="left" w:pos="6300"/>
        </w:tabs>
        <w:snapToGrid w:val="0"/>
        <w:spacing w:line="360" w:lineRule="auto"/>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14:paraId="73A3EB5B">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04B8CBD4">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30BD594C">
      <w:pPr>
        <w:tabs>
          <w:tab w:val="left" w:pos="6300"/>
        </w:tabs>
        <w:snapToGrid w:val="0"/>
        <w:spacing w:line="360" w:lineRule="auto"/>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法定代表人电话：XXXXXXX      电子邮箱：XXXXXX@XXXXX（若授权他人办理并签署比选申请文件的可不填写法定代表人电话和电子邮箱）</w:t>
      </w:r>
    </w:p>
    <w:p w14:paraId="0DBE6AA5">
      <w:pPr>
        <w:tabs>
          <w:tab w:val="left" w:pos="6300"/>
        </w:tabs>
        <w:snapToGrid w:val="0"/>
        <w:spacing w:line="360" w:lineRule="auto"/>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（附：法定代表人身份证正反面复印件）</w:t>
      </w:r>
    </w:p>
    <w:p w14:paraId="255BC25C">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374B5B3F">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690EBC42">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1224BEFA">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017FE49D">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6762AF66">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39F7EEC2">
      <w:pPr>
        <w:tabs>
          <w:tab w:val="left" w:pos="6300"/>
        </w:tabs>
        <w:snapToGrid w:val="0"/>
        <w:spacing w:line="360" w:lineRule="auto"/>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column"/>
      </w:r>
      <w:r>
        <w:rPr>
          <w:rFonts w:hint="eastAsia" w:asciiTheme="minorEastAsia" w:hAnsiTheme="minorEastAsia" w:eastAsiaTheme="minorEastAsia" w:cstheme="minorEastAsia"/>
          <w:sz w:val="24"/>
          <w:szCs w:val="24"/>
        </w:rPr>
        <w:t>（三）法定代表人授权委托书（格式）</w:t>
      </w:r>
    </w:p>
    <w:p w14:paraId="23CA5C05">
      <w:pPr>
        <w:tabs>
          <w:tab w:val="left" w:pos="6300"/>
        </w:tabs>
        <w:snapToGrid w:val="0"/>
        <w:spacing w:line="360" w:lineRule="auto"/>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BE214B5">
      <w:pPr>
        <w:tabs>
          <w:tab w:val="left" w:pos="6300"/>
        </w:tabs>
        <w:snapToGrid w:val="0"/>
        <w:spacing w:line="360" w:lineRule="auto"/>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u w:val="single"/>
        </w:rPr>
        <w:t xml:space="preserve">                                                </w:t>
      </w:r>
    </w:p>
    <w:p w14:paraId="1129BBE8">
      <w:pPr>
        <w:tabs>
          <w:tab w:val="left" w:pos="630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（比选代理机构名称）：</w:t>
      </w:r>
    </w:p>
    <w:p w14:paraId="2A078580">
      <w:pPr>
        <w:tabs>
          <w:tab w:val="left" w:pos="630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（竞选人法定代表人名称）是</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（竞选人名称）的法定代表人，特授权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（被授权人姓名及身份证代码）代表我单位全权办理上述项目的竞选、签约等具体工作，并签署全部有关文件、协议及合同。</w:t>
      </w:r>
    </w:p>
    <w:p w14:paraId="350DDA62">
      <w:pPr>
        <w:tabs>
          <w:tab w:val="left" w:pos="630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我单位对被授权人的签署负全部责任。</w:t>
      </w:r>
    </w:p>
    <w:p w14:paraId="7308E623">
      <w:pPr>
        <w:tabs>
          <w:tab w:val="left" w:pos="630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在撤销授权的书面通知以前，本授权书一直有效。被授权人在授权书有效期内签署的所有文件不因授权的撤销而失效。</w:t>
      </w:r>
    </w:p>
    <w:p w14:paraId="671BC2A6">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1A77DBC0">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338FCC40">
      <w:pPr>
        <w:tabs>
          <w:tab w:val="left" w:pos="6300"/>
        </w:tabs>
        <w:snapToGrid w:val="0"/>
        <w:spacing w:line="360" w:lineRule="auto"/>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被授权人：                                 竞选人法定代表人：</w:t>
      </w:r>
    </w:p>
    <w:p w14:paraId="37362FF0">
      <w:pPr>
        <w:tabs>
          <w:tab w:val="left" w:pos="6300"/>
        </w:tabs>
        <w:snapToGrid w:val="0"/>
        <w:spacing w:line="360" w:lineRule="auto"/>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（签署或盖章）                                （签署或盖章）</w:t>
      </w:r>
    </w:p>
    <w:p w14:paraId="7C959A2B">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5A1819C9">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682673EC">
      <w:pPr>
        <w:tabs>
          <w:tab w:val="left" w:pos="6300"/>
        </w:tabs>
        <w:snapToGrid w:val="0"/>
        <w:spacing w:line="360" w:lineRule="auto"/>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（附：被授权人身份证正反面复印件）</w:t>
      </w:r>
    </w:p>
    <w:p w14:paraId="4CA05729">
      <w:pPr>
        <w:tabs>
          <w:tab w:val="left" w:pos="6300"/>
        </w:tabs>
        <w:snapToGrid w:val="0"/>
        <w:spacing w:line="360" w:lineRule="auto"/>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5909F1BD">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1822B8F5">
      <w:pPr>
        <w:tabs>
          <w:tab w:val="left" w:pos="6300"/>
        </w:tabs>
        <w:snapToGrid w:val="0"/>
        <w:spacing w:line="360" w:lineRule="auto"/>
        <w:ind w:firstLine="570"/>
        <w:rPr>
          <w:rFonts w:hint="eastAsia" w:asciiTheme="minorEastAsia" w:hAnsiTheme="minorEastAsia" w:eastAsiaTheme="minorEastAsia" w:cstheme="minorEastAsia"/>
          <w:sz w:val="24"/>
          <w:szCs w:val="24"/>
        </w:rPr>
      </w:pPr>
    </w:p>
    <w:p w14:paraId="6A6F47B7">
      <w:pPr>
        <w:tabs>
          <w:tab w:val="left" w:pos="6300"/>
        </w:tabs>
        <w:snapToGrid w:val="0"/>
        <w:spacing w:line="360" w:lineRule="auto"/>
        <w:ind w:right="480" w:firstLine="57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（竞选人公章）</w:t>
      </w:r>
    </w:p>
    <w:p w14:paraId="0C575195">
      <w:pPr>
        <w:tabs>
          <w:tab w:val="left" w:pos="6300"/>
        </w:tabs>
        <w:snapToGrid w:val="0"/>
        <w:spacing w:line="360" w:lineRule="auto"/>
        <w:ind w:right="480" w:firstLine="57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p w14:paraId="05A7DE73">
      <w:pPr>
        <w:tabs>
          <w:tab w:val="left" w:pos="6300"/>
        </w:tabs>
        <w:snapToGrid w:val="0"/>
        <w:spacing w:line="360" w:lineRule="auto"/>
        <w:ind w:right="480" w:firstLine="570"/>
        <w:jc w:val="right"/>
        <w:rPr>
          <w:rFonts w:hint="eastAsia" w:asciiTheme="minorEastAsia" w:hAnsiTheme="minorEastAsia" w:eastAsiaTheme="minorEastAsia" w:cstheme="minorEastAsia"/>
          <w:sz w:val="24"/>
          <w:szCs w:val="24"/>
        </w:rPr>
      </w:pPr>
    </w:p>
    <w:p w14:paraId="7E5FA801">
      <w:pPr>
        <w:tabs>
          <w:tab w:val="left" w:pos="6300"/>
        </w:tabs>
        <w:snapToGrid w:val="0"/>
        <w:spacing w:line="360" w:lineRule="auto"/>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被授权人电话：XXXXXXX     电子邮箱：XXXXXX@XXXXX（若法定代表人办理并签署比选申请文件的可不填写）</w:t>
      </w:r>
    </w:p>
    <w:p w14:paraId="3382F6CA">
      <w:pPr>
        <w:tabs>
          <w:tab w:val="left" w:pos="6300"/>
        </w:tabs>
        <w:snapToGrid w:val="0"/>
        <w:spacing w:line="360" w:lineRule="auto"/>
        <w:ind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注：若为法定代表人办理并签署比选申请文件的，不提供此文件。</w:t>
      </w:r>
    </w:p>
    <w:p w14:paraId="4C8FB1EF">
      <w:pPr>
        <w:spacing w:line="360" w:lineRule="auto"/>
        <w:ind w:firstLine="480" w:firstLineChars="200"/>
        <w:jc w:val="left"/>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4"/>
          <w:szCs w:val="24"/>
        </w:rPr>
        <w:br w:type="column"/>
      </w: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szCs w:val="28"/>
        </w:rPr>
        <w:t>基本资格条件承诺函</w:t>
      </w:r>
    </w:p>
    <w:p w14:paraId="7A742C02">
      <w:pPr>
        <w:spacing w:line="360" w:lineRule="auto"/>
        <w:ind w:firstLine="723" w:firstLineChars="200"/>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基本资格条件承诺函</w:t>
      </w:r>
    </w:p>
    <w:p w14:paraId="1A7FB4DD">
      <w:pPr>
        <w:tabs>
          <w:tab w:val="left" w:pos="6300"/>
        </w:tabs>
        <w:snapToGrid w:val="0"/>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u w:val="single"/>
        </w:rPr>
        <w:t xml:space="preserve">                    </w:t>
      </w:r>
    </w:p>
    <w:p w14:paraId="68783DCF">
      <w:pPr>
        <w:tabs>
          <w:tab w:val="left" w:pos="6300"/>
        </w:tabs>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（比选代理机构名称）：</w:t>
      </w:r>
    </w:p>
    <w:p w14:paraId="4D9B25B6">
      <w:pPr>
        <w:tabs>
          <w:tab w:val="left" w:pos="630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（竞选人名称）郑重承诺：</w:t>
      </w:r>
    </w:p>
    <w:p w14:paraId="3CDAE72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1.我方具有良好的商业信誉和健全的财务会计制度，具有履行合同所必需的设备和专业技术能力，具</w:t>
      </w:r>
      <w:r>
        <w:rPr>
          <w:rFonts w:hint="eastAsia" w:asciiTheme="minorEastAsia" w:hAnsiTheme="minorEastAsia" w:eastAsiaTheme="minorEastAsia" w:cstheme="minorEastAsia"/>
          <w:sz w:val="24"/>
          <w:szCs w:val="24"/>
          <w:lang w:val="zh-CN"/>
        </w:rPr>
        <w:t>有依法缴纳税收和社会保障金的良好记录</w:t>
      </w:r>
      <w:r>
        <w:rPr>
          <w:rFonts w:hint="eastAsia" w:asciiTheme="minorEastAsia" w:hAnsiTheme="minorEastAsia" w:eastAsiaTheme="minorEastAsia" w:cstheme="minorEastAsia"/>
          <w:sz w:val="24"/>
          <w:szCs w:val="24"/>
        </w:rPr>
        <w:t>，参加本项目采购活动前三年内无重大违法活动记录。</w:t>
      </w:r>
    </w:p>
    <w:p w14:paraId="64DD24C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2.我方未列入在信用中国网站（www.creditchina.gov.cn）“失信被执行人”、“重大税收违法案件当事人名单”中，也未列入中国政府采购网（www.ccgp.gov.cn）“政府采购严重违法失信行为记录名单”中。</w:t>
      </w:r>
    </w:p>
    <w:p w14:paraId="6BBE69B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3.我方在采购项目评审（评标）环节结束后，随时接受比选人、比选代理机构的检查验证，配合提供相关证明材料，证明符合《中华人民共和国政府采购法》规定的竞选人基本资格条件。</w:t>
      </w:r>
    </w:p>
    <w:p w14:paraId="2C0DC5DA">
      <w:pPr>
        <w:tabs>
          <w:tab w:val="left" w:pos="630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我方对以上承诺负全部法律责任。</w:t>
      </w:r>
    </w:p>
    <w:p w14:paraId="3962DBB9">
      <w:pPr>
        <w:tabs>
          <w:tab w:val="left" w:pos="630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14:paraId="6F795721">
      <w:pPr>
        <w:tabs>
          <w:tab w:val="left" w:pos="6300"/>
        </w:tabs>
        <w:snapToGrid w:val="0"/>
        <w:spacing w:line="360" w:lineRule="auto"/>
        <w:rPr>
          <w:rFonts w:hint="eastAsia" w:asciiTheme="minorEastAsia" w:hAnsiTheme="minorEastAsia" w:eastAsiaTheme="minorEastAsia" w:cstheme="minorEastAsia"/>
          <w:sz w:val="24"/>
          <w:szCs w:val="24"/>
        </w:rPr>
      </w:pPr>
    </w:p>
    <w:p w14:paraId="2B2766A7">
      <w:pPr>
        <w:tabs>
          <w:tab w:val="left" w:pos="6300"/>
        </w:tabs>
        <w:snapToGrid w:val="0"/>
        <w:spacing w:line="360" w:lineRule="auto"/>
        <w:ind w:right="424" w:firstLine="57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（竞选人公章）</w:t>
      </w:r>
    </w:p>
    <w:p w14:paraId="2AFFC2E9">
      <w:pPr>
        <w:spacing w:line="360" w:lineRule="auto"/>
        <w:ind w:firstLine="7440" w:firstLineChars="31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4"/>
        </w:rPr>
        <w:t>年   月   日</w:t>
      </w:r>
    </w:p>
    <w:p w14:paraId="36A43BD8">
      <w:pPr>
        <w:tabs>
          <w:tab w:val="left" w:pos="6300"/>
        </w:tabs>
        <w:snapToGrid w:val="0"/>
        <w:spacing w:line="360" w:lineRule="auto"/>
        <w:ind w:firstLine="570"/>
        <w:rPr>
          <w:rFonts w:hint="eastAsia" w:asciiTheme="minorEastAsia" w:hAnsiTheme="minorEastAsia" w:eastAsiaTheme="minorEastAsia" w:cstheme="minorEastAsia"/>
          <w:szCs w:val="28"/>
        </w:rPr>
      </w:pPr>
    </w:p>
    <w:p w14:paraId="6CD7734C">
      <w:pPr>
        <w:tabs>
          <w:tab w:val="left" w:pos="6300"/>
        </w:tabs>
        <w:snapToGrid w:val="0"/>
        <w:spacing w:line="360" w:lineRule="auto"/>
        <w:jc w:val="left"/>
        <w:rPr>
          <w:rFonts w:hint="eastAsia" w:asciiTheme="minorEastAsia" w:hAnsiTheme="minorEastAsia" w:eastAsiaTheme="minorEastAsia" w:cstheme="minorEastAsia"/>
          <w:szCs w:val="28"/>
        </w:rPr>
      </w:pPr>
    </w:p>
    <w:p w14:paraId="008056BD">
      <w:pPr>
        <w:tabs>
          <w:tab w:val="left" w:pos="6300"/>
        </w:tabs>
        <w:snapToGrid w:val="0"/>
        <w:spacing w:line="360" w:lineRule="auto"/>
        <w:ind w:firstLine="570"/>
        <w:jc w:val="left"/>
        <w:rPr>
          <w:rFonts w:hint="eastAsia" w:asciiTheme="minorEastAsia" w:hAnsiTheme="minorEastAsia" w:eastAsiaTheme="minorEastAsia" w:cstheme="minorEastAsia"/>
          <w:szCs w:val="28"/>
        </w:rPr>
      </w:pPr>
    </w:p>
    <w:p w14:paraId="7365F9DB">
      <w:pPr>
        <w:tabs>
          <w:tab w:val="left" w:pos="6300"/>
        </w:tabs>
        <w:snapToGrid w:val="0"/>
        <w:spacing w:line="360" w:lineRule="auto"/>
        <w:ind w:firstLine="570"/>
        <w:jc w:val="left"/>
        <w:rPr>
          <w:rFonts w:hint="eastAsia" w:asciiTheme="minorEastAsia" w:hAnsiTheme="minorEastAsia" w:eastAsiaTheme="minorEastAsia" w:cstheme="minorEastAsia"/>
          <w:szCs w:val="28"/>
        </w:rPr>
      </w:pPr>
    </w:p>
    <w:p w14:paraId="18B3B5AC">
      <w:pPr>
        <w:tabs>
          <w:tab w:val="left" w:pos="6300"/>
        </w:tabs>
        <w:snapToGrid w:val="0"/>
        <w:spacing w:line="360" w:lineRule="auto"/>
        <w:ind w:firstLine="570"/>
        <w:jc w:val="left"/>
        <w:rPr>
          <w:rFonts w:hint="eastAsia" w:asciiTheme="minorEastAsia" w:hAnsiTheme="minorEastAsia" w:eastAsiaTheme="minorEastAsia" w:cstheme="minorEastAsia"/>
          <w:szCs w:val="28"/>
        </w:rPr>
      </w:pPr>
    </w:p>
    <w:p w14:paraId="4BE6E413">
      <w:pPr>
        <w:keepNext/>
        <w:keepLines/>
        <w:spacing w:line="360" w:lineRule="auto"/>
        <w:rPr>
          <w:rFonts w:hint="eastAsia" w:asciiTheme="minorEastAsia" w:hAnsiTheme="minorEastAsia" w:eastAsiaTheme="minorEastAsia" w:cstheme="minorEastAsia"/>
        </w:rPr>
      </w:pPr>
    </w:p>
    <w:p w14:paraId="25C2B741">
      <w:pPr>
        <w:spacing w:line="360" w:lineRule="auto"/>
        <w:rPr>
          <w:rFonts w:hint="eastAsia" w:asciiTheme="minorEastAsia" w:hAnsiTheme="minorEastAsia" w:eastAsiaTheme="minorEastAsia" w:cstheme="minorEastAsia"/>
          <w:sz w:val="24"/>
          <w:szCs w:val="24"/>
        </w:rPr>
        <w:sectPr>
          <w:headerReference r:id="rId13" w:type="default"/>
          <w:pgSz w:w="11907" w:h="16840"/>
          <w:pgMar w:top="1134" w:right="1191" w:bottom="1134" w:left="1304" w:header="851" w:footer="992" w:gutter="0"/>
          <w:pgNumType w:fmt="numberInDash"/>
          <w:cols w:space="720" w:num="1"/>
          <w:docGrid w:linePitch="380" w:charSpace="-5735"/>
        </w:sectPr>
      </w:pPr>
    </w:p>
    <w:p w14:paraId="019D558F">
      <w:pPr>
        <w:pStyle w:val="3"/>
        <w:spacing w:before="0" w:after="0"/>
        <w:rPr>
          <w:rFonts w:hint="eastAsia" w:asciiTheme="minorEastAsia" w:hAnsiTheme="minorEastAsia" w:eastAsiaTheme="minorEastAsia" w:cstheme="minorEastAsia"/>
          <w:sz w:val="28"/>
          <w:szCs w:val="28"/>
        </w:rPr>
      </w:pPr>
      <w:bookmarkStart w:id="118" w:name="_Toc11215"/>
      <w:bookmarkStart w:id="119" w:name="_Toc25603"/>
      <w:r>
        <w:rPr>
          <w:rFonts w:hint="eastAsia" w:asciiTheme="minorEastAsia" w:hAnsiTheme="minorEastAsia" w:eastAsiaTheme="minorEastAsia" w:cstheme="minorEastAsia"/>
          <w:sz w:val="28"/>
          <w:szCs w:val="28"/>
        </w:rPr>
        <w:t>五、其他应提供的资料</w:t>
      </w:r>
      <w:bookmarkEnd w:id="118"/>
      <w:bookmarkEnd w:id="119"/>
    </w:p>
    <w:p w14:paraId="58E18633">
      <w:pPr>
        <w:tabs>
          <w:tab w:val="left" w:pos="6300"/>
        </w:tabs>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（一）其他与项目有关的资料（自附）；</w:t>
      </w:r>
    </w:p>
    <w:p w14:paraId="0B0528D6">
      <w:pPr>
        <w:spacing w:line="360" w:lineRule="auto"/>
        <w:rPr>
          <w:rFonts w:hint="eastAsia" w:asciiTheme="minorEastAsia" w:hAnsiTheme="minorEastAsia" w:eastAsiaTheme="minorEastAsia" w:cstheme="minorEastAsia"/>
          <w:sz w:val="24"/>
          <w:szCs w:val="24"/>
        </w:rPr>
      </w:pPr>
    </w:p>
    <w:p w14:paraId="73174AEA">
      <w:pPr>
        <w:pStyle w:val="5"/>
        <w:rPr>
          <w:rFonts w:hint="eastAsia" w:asciiTheme="minorEastAsia" w:hAnsiTheme="minorEastAsia" w:eastAsiaTheme="minorEastAsia" w:cstheme="minorEastAsia"/>
          <w:sz w:val="24"/>
          <w:szCs w:val="24"/>
        </w:rPr>
      </w:pPr>
    </w:p>
    <w:p w14:paraId="5DC0F1D6">
      <w:pPr>
        <w:pStyle w:val="6"/>
        <w:rPr>
          <w:rFonts w:hint="eastAsia" w:asciiTheme="minorEastAsia" w:hAnsiTheme="minorEastAsia" w:eastAsiaTheme="minorEastAsia" w:cstheme="minorEastAsia"/>
          <w:sz w:val="24"/>
          <w:szCs w:val="24"/>
        </w:rPr>
      </w:pPr>
    </w:p>
    <w:p w14:paraId="3502260E">
      <w:pPr>
        <w:pStyle w:val="8"/>
        <w:rPr>
          <w:rFonts w:hint="eastAsia" w:asciiTheme="minorEastAsia" w:hAnsiTheme="minorEastAsia" w:eastAsiaTheme="minorEastAsia" w:cstheme="minorEastAsia"/>
          <w:sz w:val="24"/>
          <w:szCs w:val="24"/>
        </w:rPr>
      </w:pPr>
    </w:p>
    <w:p w14:paraId="6FB24186">
      <w:pPr>
        <w:rPr>
          <w:rFonts w:hint="eastAsia" w:asciiTheme="minorEastAsia" w:hAnsiTheme="minorEastAsia" w:eastAsiaTheme="minorEastAsia" w:cstheme="minorEastAsia"/>
          <w:sz w:val="24"/>
          <w:szCs w:val="24"/>
        </w:rPr>
      </w:pPr>
    </w:p>
    <w:p w14:paraId="7D1A4F03">
      <w:pPr>
        <w:pStyle w:val="5"/>
        <w:rPr>
          <w:rFonts w:hint="eastAsia" w:asciiTheme="minorEastAsia" w:hAnsiTheme="minorEastAsia" w:eastAsiaTheme="minorEastAsia" w:cstheme="minorEastAsia"/>
          <w:sz w:val="24"/>
          <w:szCs w:val="24"/>
        </w:rPr>
      </w:pPr>
    </w:p>
    <w:p w14:paraId="4DF0971D">
      <w:pPr>
        <w:pStyle w:val="6"/>
        <w:rPr>
          <w:rFonts w:hint="eastAsia" w:asciiTheme="minorEastAsia" w:hAnsiTheme="minorEastAsia" w:eastAsiaTheme="minorEastAsia" w:cstheme="minorEastAsia"/>
          <w:sz w:val="24"/>
          <w:szCs w:val="24"/>
        </w:rPr>
      </w:pPr>
    </w:p>
    <w:p w14:paraId="25371CED">
      <w:pPr>
        <w:pStyle w:val="8"/>
        <w:rPr>
          <w:rFonts w:hint="eastAsia" w:asciiTheme="minorEastAsia" w:hAnsiTheme="minorEastAsia" w:eastAsiaTheme="minorEastAsia" w:cstheme="minorEastAsia"/>
          <w:sz w:val="24"/>
          <w:szCs w:val="24"/>
        </w:rPr>
      </w:pPr>
    </w:p>
    <w:p w14:paraId="4201A45F">
      <w:pPr>
        <w:rPr>
          <w:rFonts w:hint="eastAsia" w:asciiTheme="minorEastAsia" w:hAnsiTheme="minorEastAsia" w:eastAsiaTheme="minorEastAsia" w:cstheme="minorEastAsia"/>
          <w:sz w:val="24"/>
          <w:szCs w:val="24"/>
        </w:rPr>
      </w:pPr>
    </w:p>
    <w:p w14:paraId="6AB3F43A">
      <w:pPr>
        <w:pStyle w:val="5"/>
        <w:rPr>
          <w:rFonts w:hint="eastAsia" w:asciiTheme="minorEastAsia" w:hAnsiTheme="minorEastAsia" w:eastAsiaTheme="minorEastAsia" w:cstheme="minorEastAsia"/>
          <w:sz w:val="24"/>
          <w:szCs w:val="24"/>
        </w:rPr>
      </w:pPr>
    </w:p>
    <w:p w14:paraId="32D08B74">
      <w:pPr>
        <w:pStyle w:val="6"/>
        <w:rPr>
          <w:rFonts w:hint="eastAsia" w:asciiTheme="minorEastAsia" w:hAnsiTheme="minorEastAsia" w:eastAsiaTheme="minorEastAsia" w:cstheme="minorEastAsia"/>
          <w:sz w:val="24"/>
          <w:szCs w:val="24"/>
        </w:rPr>
      </w:pPr>
    </w:p>
    <w:p w14:paraId="4B52C759">
      <w:pPr>
        <w:pStyle w:val="8"/>
        <w:rPr>
          <w:rFonts w:hint="eastAsia" w:asciiTheme="minorEastAsia" w:hAnsiTheme="minorEastAsia" w:eastAsiaTheme="minorEastAsia" w:cstheme="minorEastAsia"/>
          <w:sz w:val="24"/>
          <w:szCs w:val="24"/>
        </w:rPr>
      </w:pPr>
    </w:p>
    <w:p w14:paraId="4D796131">
      <w:pPr>
        <w:rPr>
          <w:rFonts w:hint="eastAsia" w:asciiTheme="minorEastAsia" w:hAnsiTheme="minorEastAsia" w:eastAsiaTheme="minorEastAsia" w:cstheme="minorEastAsia"/>
          <w:sz w:val="24"/>
          <w:szCs w:val="24"/>
        </w:rPr>
      </w:pPr>
    </w:p>
    <w:p w14:paraId="4028776A">
      <w:pPr>
        <w:pStyle w:val="5"/>
        <w:rPr>
          <w:rFonts w:hint="eastAsia" w:asciiTheme="minorEastAsia" w:hAnsiTheme="minorEastAsia" w:eastAsiaTheme="minorEastAsia" w:cstheme="minorEastAsia"/>
          <w:sz w:val="24"/>
          <w:szCs w:val="24"/>
        </w:rPr>
      </w:pPr>
    </w:p>
    <w:p w14:paraId="5DDA4D4C">
      <w:pPr>
        <w:pStyle w:val="6"/>
        <w:rPr>
          <w:rFonts w:hint="eastAsia" w:asciiTheme="minorEastAsia" w:hAnsiTheme="minorEastAsia" w:eastAsiaTheme="minorEastAsia" w:cstheme="minorEastAsia"/>
          <w:sz w:val="24"/>
          <w:szCs w:val="24"/>
        </w:rPr>
      </w:pPr>
    </w:p>
    <w:p w14:paraId="511346D7">
      <w:pPr>
        <w:pStyle w:val="8"/>
        <w:rPr>
          <w:rFonts w:hint="eastAsia" w:asciiTheme="minorEastAsia" w:hAnsiTheme="minorEastAsia" w:eastAsiaTheme="minorEastAsia" w:cstheme="minorEastAsia"/>
          <w:sz w:val="24"/>
          <w:szCs w:val="24"/>
        </w:rPr>
      </w:pPr>
    </w:p>
    <w:p w14:paraId="0676F637">
      <w:pPr>
        <w:rPr>
          <w:rFonts w:hint="eastAsia" w:asciiTheme="minorEastAsia" w:hAnsiTheme="minorEastAsia" w:eastAsiaTheme="minorEastAsia" w:cstheme="minorEastAsia"/>
          <w:sz w:val="24"/>
          <w:szCs w:val="24"/>
        </w:rPr>
      </w:pPr>
    </w:p>
    <w:p w14:paraId="16A134FF">
      <w:pPr>
        <w:pStyle w:val="5"/>
        <w:rPr>
          <w:rFonts w:hint="eastAsia" w:asciiTheme="minorEastAsia" w:hAnsiTheme="minorEastAsia" w:eastAsiaTheme="minorEastAsia" w:cstheme="minorEastAsia"/>
          <w:sz w:val="24"/>
          <w:szCs w:val="24"/>
        </w:rPr>
      </w:pPr>
    </w:p>
    <w:p w14:paraId="045E0E6E">
      <w:pPr>
        <w:pStyle w:val="6"/>
        <w:rPr>
          <w:rFonts w:hint="eastAsia" w:asciiTheme="minorEastAsia" w:hAnsiTheme="minorEastAsia" w:eastAsiaTheme="minorEastAsia" w:cstheme="minorEastAsia"/>
          <w:sz w:val="24"/>
          <w:szCs w:val="24"/>
        </w:rPr>
      </w:pPr>
    </w:p>
    <w:p w14:paraId="4540673E">
      <w:pPr>
        <w:pStyle w:val="8"/>
        <w:rPr>
          <w:rFonts w:hint="eastAsia" w:asciiTheme="minorEastAsia" w:hAnsiTheme="minorEastAsia" w:eastAsiaTheme="minorEastAsia" w:cstheme="minorEastAsia"/>
          <w:sz w:val="24"/>
          <w:szCs w:val="24"/>
        </w:rPr>
      </w:pPr>
    </w:p>
    <w:p w14:paraId="571F881E">
      <w:pPr>
        <w:rPr>
          <w:rFonts w:hint="eastAsia" w:asciiTheme="minorEastAsia" w:hAnsiTheme="minorEastAsia" w:eastAsiaTheme="minorEastAsia" w:cstheme="minorEastAsia"/>
          <w:sz w:val="24"/>
          <w:szCs w:val="24"/>
        </w:rPr>
      </w:pPr>
    </w:p>
    <w:p w14:paraId="78D4E07B">
      <w:pPr>
        <w:pStyle w:val="5"/>
        <w:rPr>
          <w:rFonts w:hint="eastAsia" w:asciiTheme="minorEastAsia" w:hAnsiTheme="minorEastAsia" w:eastAsiaTheme="minorEastAsia" w:cstheme="minorEastAsia"/>
          <w:sz w:val="24"/>
          <w:szCs w:val="24"/>
        </w:rPr>
      </w:pPr>
    </w:p>
    <w:p w14:paraId="03A31A01">
      <w:pPr>
        <w:pStyle w:val="6"/>
        <w:rPr>
          <w:rFonts w:hint="eastAsia" w:asciiTheme="minorEastAsia" w:hAnsiTheme="minorEastAsia" w:eastAsiaTheme="minorEastAsia" w:cstheme="minorEastAsia"/>
          <w:sz w:val="24"/>
          <w:szCs w:val="24"/>
        </w:rPr>
      </w:pPr>
    </w:p>
    <w:p w14:paraId="173C31BE">
      <w:pPr>
        <w:pStyle w:val="8"/>
        <w:rPr>
          <w:rFonts w:hint="eastAsia" w:asciiTheme="minorEastAsia" w:hAnsiTheme="minorEastAsia" w:eastAsiaTheme="minorEastAsia" w:cstheme="minorEastAsia"/>
          <w:sz w:val="24"/>
          <w:szCs w:val="24"/>
        </w:rPr>
      </w:pPr>
    </w:p>
    <w:p w14:paraId="2F4972FC">
      <w:pPr>
        <w:rPr>
          <w:rFonts w:hint="eastAsia" w:asciiTheme="minorEastAsia" w:hAnsiTheme="minorEastAsia" w:eastAsiaTheme="minorEastAsia" w:cstheme="minorEastAsia"/>
          <w:sz w:val="24"/>
          <w:szCs w:val="24"/>
        </w:rPr>
      </w:pPr>
    </w:p>
    <w:p w14:paraId="568D999D">
      <w:pPr>
        <w:pStyle w:val="5"/>
        <w:rPr>
          <w:rFonts w:hint="eastAsia" w:asciiTheme="minorEastAsia" w:hAnsiTheme="minorEastAsia" w:eastAsiaTheme="minorEastAsia" w:cstheme="minorEastAsia"/>
          <w:sz w:val="24"/>
          <w:szCs w:val="24"/>
        </w:rPr>
      </w:pPr>
    </w:p>
    <w:p w14:paraId="427A7D3C">
      <w:pPr>
        <w:pStyle w:val="6"/>
        <w:rPr>
          <w:rFonts w:hint="eastAsia" w:asciiTheme="minorEastAsia" w:hAnsiTheme="minorEastAsia" w:eastAsiaTheme="minorEastAsia" w:cstheme="minorEastAsia"/>
          <w:sz w:val="24"/>
          <w:szCs w:val="24"/>
        </w:rPr>
      </w:pPr>
    </w:p>
    <w:p w14:paraId="3BF33CCC">
      <w:pPr>
        <w:pStyle w:val="8"/>
        <w:rPr>
          <w:rFonts w:hint="eastAsia" w:asciiTheme="minorEastAsia" w:hAnsiTheme="minorEastAsia" w:eastAsiaTheme="minorEastAsia" w:cstheme="minorEastAsia"/>
          <w:sz w:val="24"/>
          <w:szCs w:val="24"/>
        </w:rPr>
      </w:pPr>
    </w:p>
    <w:p w14:paraId="34B3AB96">
      <w:pPr>
        <w:rPr>
          <w:rFonts w:hint="eastAsia" w:asciiTheme="minorEastAsia" w:hAnsiTheme="minorEastAsia" w:eastAsiaTheme="minorEastAsia" w:cstheme="minorEastAsia"/>
          <w:sz w:val="24"/>
          <w:szCs w:val="24"/>
        </w:rPr>
      </w:pPr>
    </w:p>
    <w:p w14:paraId="02C29188">
      <w:pPr>
        <w:pStyle w:val="5"/>
        <w:rPr>
          <w:rFonts w:hint="eastAsia" w:asciiTheme="minorEastAsia" w:hAnsiTheme="minorEastAsia" w:eastAsiaTheme="minorEastAsia" w:cstheme="minorEastAsia"/>
          <w:sz w:val="24"/>
          <w:szCs w:val="24"/>
        </w:rPr>
      </w:pPr>
    </w:p>
    <w:p w14:paraId="6C83136C">
      <w:pPr>
        <w:pStyle w:val="6"/>
        <w:rPr>
          <w:rFonts w:hint="eastAsia" w:asciiTheme="minorEastAsia" w:hAnsiTheme="minorEastAsia" w:eastAsiaTheme="minorEastAsia" w:cstheme="minorEastAsia"/>
          <w:sz w:val="24"/>
          <w:szCs w:val="24"/>
        </w:rPr>
      </w:pPr>
    </w:p>
    <w:p w14:paraId="2D8F74F9">
      <w:pPr>
        <w:pStyle w:val="8"/>
        <w:rPr>
          <w:rFonts w:hint="eastAsia" w:asciiTheme="minorEastAsia" w:hAnsiTheme="minorEastAsia" w:eastAsiaTheme="minorEastAsia" w:cstheme="minorEastAsia"/>
          <w:sz w:val="24"/>
          <w:szCs w:val="24"/>
        </w:rPr>
      </w:pPr>
    </w:p>
    <w:p w14:paraId="5F869872">
      <w:pPr>
        <w:rPr>
          <w:rFonts w:hint="eastAsia" w:asciiTheme="minorEastAsia" w:hAnsiTheme="minorEastAsia" w:eastAsiaTheme="minorEastAsia" w:cstheme="minorEastAsia"/>
          <w:sz w:val="24"/>
          <w:szCs w:val="24"/>
        </w:rPr>
      </w:pPr>
    </w:p>
    <w:p w14:paraId="2DA5F142">
      <w:pPr>
        <w:pStyle w:val="5"/>
        <w:rPr>
          <w:rFonts w:hint="eastAsia" w:asciiTheme="minorEastAsia" w:hAnsiTheme="minorEastAsia" w:eastAsiaTheme="minorEastAsia" w:cstheme="minorEastAsia"/>
        </w:rPr>
      </w:pPr>
    </w:p>
    <w:p w14:paraId="734BD709">
      <w:pPr>
        <w:spacing w:line="360" w:lineRule="auto"/>
        <w:rPr>
          <w:rFonts w:hint="eastAsia" w:asciiTheme="minorEastAsia" w:hAnsiTheme="minorEastAsia" w:eastAsiaTheme="minorEastAsia" w:cstheme="minorEastAsia"/>
          <w:sz w:val="24"/>
          <w:szCs w:val="24"/>
        </w:rPr>
      </w:pPr>
    </w:p>
    <w:p w14:paraId="5D6E67E2">
      <w:pPr>
        <w:spacing w:line="360" w:lineRule="auto"/>
        <w:rPr>
          <w:rFonts w:hint="eastAsia" w:asciiTheme="minorEastAsia" w:hAnsiTheme="minorEastAsia" w:eastAsiaTheme="minorEastAsia" w:cstheme="minorEastAsia"/>
          <w:sz w:val="24"/>
          <w:szCs w:val="24"/>
        </w:rPr>
      </w:pPr>
    </w:p>
    <w:p w14:paraId="6F6507E4">
      <w:pPr>
        <w:spacing w:line="360" w:lineRule="auto"/>
        <w:rPr>
          <w:rFonts w:hint="eastAsia" w:asciiTheme="minorEastAsia" w:hAnsiTheme="minorEastAsia" w:eastAsiaTheme="minorEastAsia" w:cstheme="minorEastAsia"/>
          <w:sz w:val="24"/>
          <w:szCs w:val="24"/>
        </w:rPr>
      </w:pPr>
    </w:p>
    <w:p w14:paraId="76F3C9E2">
      <w:pPr>
        <w:pStyle w:val="24"/>
        <w:jc w:val="both"/>
        <w:rPr>
          <w:rFonts w:hint="eastAsia" w:asciiTheme="minorEastAsia" w:hAnsiTheme="minorEastAsia" w:eastAsiaTheme="minorEastAsia" w:cstheme="minorEastAsia"/>
          <w:color w:val="auto"/>
        </w:rPr>
      </w:pPr>
      <w:bookmarkStart w:id="120" w:name="_Toc20409"/>
      <w:bookmarkStart w:id="121" w:name="_Toc29039"/>
      <w:bookmarkStart w:id="122" w:name="_Toc14518"/>
      <w:bookmarkStart w:id="123" w:name="_Toc14483"/>
      <w:bookmarkStart w:id="124" w:name="_Toc17865"/>
      <w:bookmarkStart w:id="125" w:name="_Toc2735"/>
      <w:bookmarkStart w:id="126" w:name="_Toc11006"/>
      <w:bookmarkStart w:id="127" w:name="_Toc7410"/>
      <w:r>
        <w:rPr>
          <w:rFonts w:hint="eastAsia" w:asciiTheme="minorEastAsia" w:hAnsiTheme="minorEastAsia" w:eastAsiaTheme="minorEastAsia" w:cstheme="minorEastAsia"/>
          <w:color w:val="auto"/>
        </w:rPr>
        <w:t>附件1:</w:t>
      </w:r>
      <w:r>
        <w:rPr>
          <w:rFonts w:hint="eastAsia" w:asciiTheme="minorEastAsia" w:hAnsiTheme="minorEastAsia" w:eastAsiaTheme="minorEastAsia" w:cstheme="minorEastAsia"/>
          <w:color w:val="auto"/>
          <w:lang w:val="en-US" w:eastAsia="zh-CN"/>
        </w:rPr>
        <w:t>竞争性比选</w:t>
      </w:r>
      <w:r>
        <w:rPr>
          <w:rFonts w:hint="eastAsia" w:asciiTheme="minorEastAsia" w:hAnsiTheme="minorEastAsia" w:eastAsiaTheme="minorEastAsia" w:cstheme="minorEastAsia"/>
          <w:color w:val="auto"/>
        </w:rPr>
        <w:t>文件发售登记表</w:t>
      </w:r>
      <w:bookmarkEnd w:id="120"/>
      <w:bookmarkEnd w:id="121"/>
      <w:bookmarkEnd w:id="122"/>
      <w:bookmarkEnd w:id="123"/>
      <w:bookmarkEnd w:id="124"/>
      <w:bookmarkEnd w:id="125"/>
      <w:bookmarkEnd w:id="126"/>
      <w:bookmarkEnd w:id="127"/>
    </w:p>
    <w:p w14:paraId="54AF03F8">
      <w:pPr>
        <w:rPr>
          <w:rFonts w:hint="eastAsia" w:asciiTheme="minorEastAsia" w:hAnsiTheme="minorEastAsia" w:eastAsiaTheme="minorEastAsia" w:cstheme="minorEastAsia"/>
          <w:color w:val="auto"/>
        </w:rPr>
      </w:pPr>
    </w:p>
    <w:tbl>
      <w:tblPr>
        <w:tblStyle w:val="18"/>
        <w:tblW w:w="0" w:type="auto"/>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8"/>
        <w:gridCol w:w="2268"/>
        <w:gridCol w:w="998"/>
        <w:gridCol w:w="3765"/>
      </w:tblGrid>
      <w:tr w14:paraId="359130F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jc w:val="center"/>
        </w:trPr>
        <w:tc>
          <w:tcPr>
            <w:tcW w:w="2208" w:type="dxa"/>
            <w:noWrap w:val="0"/>
            <w:vAlign w:val="center"/>
          </w:tcPr>
          <w:p w14:paraId="479FE6D2">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 w:val="24"/>
                <w:szCs w:val="24"/>
              </w:rPr>
              <w:t>项目名称</w:t>
            </w:r>
          </w:p>
        </w:tc>
        <w:tc>
          <w:tcPr>
            <w:tcW w:w="7031" w:type="dxa"/>
            <w:gridSpan w:val="3"/>
            <w:noWrap w:val="0"/>
            <w:vAlign w:val="center"/>
          </w:tcPr>
          <w:p w14:paraId="36D7B98D">
            <w:pPr>
              <w:jc w:val="center"/>
              <w:rPr>
                <w:rFonts w:hint="eastAsia" w:asciiTheme="minorEastAsia" w:hAnsiTheme="minorEastAsia" w:eastAsiaTheme="minorEastAsia" w:cstheme="minorEastAsia"/>
                <w:color w:val="auto"/>
                <w:szCs w:val="21"/>
              </w:rPr>
            </w:pPr>
          </w:p>
        </w:tc>
      </w:tr>
      <w:tr w14:paraId="784778E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2208" w:type="dxa"/>
            <w:noWrap w:val="0"/>
            <w:vAlign w:val="center"/>
          </w:tcPr>
          <w:p w14:paraId="6E4F24C3">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 w:val="24"/>
                <w:szCs w:val="24"/>
              </w:rPr>
              <w:t>项目号</w:t>
            </w:r>
          </w:p>
        </w:tc>
        <w:tc>
          <w:tcPr>
            <w:tcW w:w="7031" w:type="dxa"/>
            <w:gridSpan w:val="3"/>
            <w:noWrap w:val="0"/>
            <w:vAlign w:val="center"/>
          </w:tcPr>
          <w:p w14:paraId="0266D655">
            <w:pPr>
              <w:jc w:val="center"/>
              <w:rPr>
                <w:rFonts w:hint="eastAsia" w:asciiTheme="minorEastAsia" w:hAnsiTheme="minorEastAsia" w:eastAsiaTheme="minorEastAsia" w:cstheme="minorEastAsia"/>
                <w:color w:val="auto"/>
                <w:szCs w:val="21"/>
              </w:rPr>
            </w:pPr>
          </w:p>
        </w:tc>
      </w:tr>
      <w:tr w14:paraId="75AFDA1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2208" w:type="dxa"/>
            <w:noWrap w:val="0"/>
            <w:vAlign w:val="center"/>
          </w:tcPr>
          <w:p w14:paraId="62E611B0">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 w:val="24"/>
                <w:szCs w:val="24"/>
                <w:lang w:val="en-US" w:eastAsia="zh-CN"/>
              </w:rPr>
              <w:t>竞选人</w:t>
            </w:r>
            <w:r>
              <w:rPr>
                <w:rFonts w:hint="eastAsia" w:asciiTheme="minorEastAsia" w:hAnsiTheme="minorEastAsia" w:eastAsiaTheme="minorEastAsia" w:cstheme="minorEastAsia"/>
                <w:bCs/>
                <w:color w:val="auto"/>
                <w:sz w:val="24"/>
                <w:szCs w:val="24"/>
              </w:rPr>
              <w:t>名称</w:t>
            </w:r>
          </w:p>
        </w:tc>
        <w:tc>
          <w:tcPr>
            <w:tcW w:w="7031" w:type="dxa"/>
            <w:gridSpan w:val="3"/>
            <w:noWrap w:val="0"/>
            <w:vAlign w:val="center"/>
          </w:tcPr>
          <w:p w14:paraId="74330B75">
            <w:pPr>
              <w:ind w:firstLine="4320" w:firstLineChars="18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竞选人</w:t>
            </w:r>
            <w:r>
              <w:rPr>
                <w:rFonts w:hint="eastAsia" w:asciiTheme="minorEastAsia" w:hAnsiTheme="minorEastAsia" w:eastAsiaTheme="minorEastAsia" w:cstheme="minorEastAsia"/>
                <w:bCs/>
                <w:color w:val="auto"/>
                <w:sz w:val="24"/>
                <w:szCs w:val="24"/>
              </w:rPr>
              <w:t>公章）</w:t>
            </w:r>
          </w:p>
        </w:tc>
      </w:tr>
      <w:tr w14:paraId="5999C71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2208" w:type="dxa"/>
            <w:noWrap w:val="0"/>
            <w:vAlign w:val="center"/>
          </w:tcPr>
          <w:p w14:paraId="48EF0305">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 w:val="24"/>
                <w:szCs w:val="24"/>
              </w:rPr>
              <w:t>联系人</w:t>
            </w:r>
          </w:p>
        </w:tc>
        <w:tc>
          <w:tcPr>
            <w:tcW w:w="2268" w:type="dxa"/>
            <w:noWrap w:val="0"/>
            <w:vAlign w:val="center"/>
          </w:tcPr>
          <w:p w14:paraId="5B2770A6">
            <w:pPr>
              <w:jc w:val="left"/>
              <w:rPr>
                <w:rFonts w:hint="eastAsia" w:asciiTheme="minorEastAsia" w:hAnsiTheme="minorEastAsia" w:eastAsiaTheme="minorEastAsia" w:cstheme="minorEastAsia"/>
                <w:color w:val="auto"/>
                <w:szCs w:val="21"/>
              </w:rPr>
            </w:pPr>
          </w:p>
        </w:tc>
        <w:tc>
          <w:tcPr>
            <w:tcW w:w="998" w:type="dxa"/>
            <w:noWrap w:val="0"/>
            <w:vAlign w:val="center"/>
          </w:tcPr>
          <w:p w14:paraId="3A74949C">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 w:val="24"/>
                <w:szCs w:val="24"/>
              </w:rPr>
              <w:t>手机</w:t>
            </w:r>
          </w:p>
        </w:tc>
        <w:tc>
          <w:tcPr>
            <w:tcW w:w="3765" w:type="dxa"/>
            <w:noWrap w:val="0"/>
            <w:vAlign w:val="center"/>
          </w:tcPr>
          <w:p w14:paraId="13D813ED">
            <w:pPr>
              <w:jc w:val="left"/>
              <w:rPr>
                <w:rFonts w:hint="eastAsia" w:asciiTheme="minorEastAsia" w:hAnsiTheme="minorEastAsia" w:eastAsiaTheme="minorEastAsia" w:cstheme="minorEastAsia"/>
                <w:color w:val="auto"/>
                <w:szCs w:val="21"/>
              </w:rPr>
            </w:pPr>
          </w:p>
        </w:tc>
      </w:tr>
      <w:tr w14:paraId="6C75D02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2208" w:type="dxa"/>
            <w:noWrap w:val="0"/>
            <w:vAlign w:val="center"/>
          </w:tcPr>
          <w:p w14:paraId="06CF04A1">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 w:val="24"/>
                <w:szCs w:val="24"/>
              </w:rPr>
              <w:t>办公电话</w:t>
            </w:r>
          </w:p>
        </w:tc>
        <w:tc>
          <w:tcPr>
            <w:tcW w:w="2268" w:type="dxa"/>
            <w:noWrap w:val="0"/>
            <w:vAlign w:val="center"/>
          </w:tcPr>
          <w:p w14:paraId="750DD738">
            <w:pPr>
              <w:jc w:val="left"/>
              <w:rPr>
                <w:rFonts w:hint="eastAsia" w:asciiTheme="minorEastAsia" w:hAnsiTheme="minorEastAsia" w:eastAsiaTheme="minorEastAsia" w:cstheme="minorEastAsia"/>
                <w:color w:val="auto"/>
                <w:szCs w:val="21"/>
              </w:rPr>
            </w:pPr>
          </w:p>
        </w:tc>
        <w:tc>
          <w:tcPr>
            <w:tcW w:w="998" w:type="dxa"/>
            <w:noWrap w:val="0"/>
            <w:vAlign w:val="center"/>
          </w:tcPr>
          <w:p w14:paraId="62D5394F">
            <w:pPr>
              <w:jc w:val="left"/>
              <w:rPr>
                <w:rFonts w:hint="eastAsia" w:asciiTheme="minorEastAsia" w:hAnsiTheme="minorEastAsia" w:eastAsiaTheme="minorEastAsia" w:cstheme="minorEastAsia"/>
                <w:color w:val="auto"/>
                <w:sz w:val="21"/>
                <w:szCs w:val="16"/>
              </w:rPr>
            </w:pPr>
            <w:r>
              <w:rPr>
                <w:rFonts w:hint="eastAsia" w:asciiTheme="minorEastAsia" w:hAnsiTheme="minorEastAsia" w:eastAsiaTheme="minorEastAsia" w:cstheme="minorEastAsia"/>
                <w:bCs/>
                <w:color w:val="auto"/>
                <w:sz w:val="24"/>
                <w:szCs w:val="24"/>
              </w:rPr>
              <w:t>传真</w:t>
            </w:r>
          </w:p>
        </w:tc>
        <w:tc>
          <w:tcPr>
            <w:tcW w:w="3765" w:type="dxa"/>
            <w:noWrap w:val="0"/>
            <w:vAlign w:val="center"/>
          </w:tcPr>
          <w:p w14:paraId="3255F548">
            <w:pPr>
              <w:jc w:val="left"/>
              <w:rPr>
                <w:rFonts w:hint="eastAsia" w:asciiTheme="minorEastAsia" w:hAnsiTheme="minorEastAsia" w:eastAsiaTheme="minorEastAsia" w:cstheme="minorEastAsia"/>
                <w:color w:val="auto"/>
                <w:szCs w:val="21"/>
              </w:rPr>
            </w:pPr>
          </w:p>
        </w:tc>
      </w:tr>
      <w:tr w14:paraId="0FB4F6D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208" w:type="dxa"/>
            <w:noWrap w:val="0"/>
            <w:vAlign w:val="center"/>
          </w:tcPr>
          <w:p w14:paraId="20B95D86">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 w:val="24"/>
                <w:szCs w:val="24"/>
              </w:rPr>
              <w:t>E-mail</w:t>
            </w:r>
          </w:p>
        </w:tc>
        <w:tc>
          <w:tcPr>
            <w:tcW w:w="7031" w:type="dxa"/>
            <w:gridSpan w:val="3"/>
            <w:noWrap w:val="0"/>
            <w:vAlign w:val="center"/>
          </w:tcPr>
          <w:p w14:paraId="26F127EA">
            <w:pPr>
              <w:jc w:val="left"/>
              <w:rPr>
                <w:rFonts w:hint="eastAsia" w:asciiTheme="minorEastAsia" w:hAnsiTheme="minorEastAsia" w:eastAsiaTheme="minorEastAsia" w:cstheme="minorEastAsia"/>
                <w:color w:val="auto"/>
                <w:szCs w:val="21"/>
              </w:rPr>
            </w:pPr>
          </w:p>
        </w:tc>
      </w:tr>
      <w:tr w14:paraId="16FA452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2208" w:type="dxa"/>
            <w:noWrap w:val="0"/>
            <w:vAlign w:val="center"/>
          </w:tcPr>
          <w:p w14:paraId="7632FFFC">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4"/>
                <w:szCs w:val="24"/>
              </w:rPr>
              <w:t>单位地址</w:t>
            </w:r>
          </w:p>
        </w:tc>
        <w:tc>
          <w:tcPr>
            <w:tcW w:w="7031" w:type="dxa"/>
            <w:gridSpan w:val="3"/>
            <w:noWrap w:val="0"/>
            <w:vAlign w:val="center"/>
          </w:tcPr>
          <w:p w14:paraId="72E17EDF">
            <w:pPr>
              <w:jc w:val="left"/>
              <w:rPr>
                <w:rFonts w:hint="eastAsia" w:asciiTheme="minorEastAsia" w:hAnsiTheme="minorEastAsia" w:eastAsiaTheme="minorEastAsia" w:cstheme="minorEastAsia"/>
                <w:color w:val="auto"/>
                <w:szCs w:val="21"/>
              </w:rPr>
            </w:pPr>
          </w:p>
        </w:tc>
      </w:tr>
    </w:tbl>
    <w:p w14:paraId="1AD822F7">
      <w:pPr>
        <w:widowControl/>
        <w:spacing w:line="6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发售人：</w:t>
      </w:r>
      <w:r>
        <w:rPr>
          <w:rFonts w:hint="eastAsia" w:asciiTheme="minorEastAsia" w:hAnsiTheme="minorEastAsia" w:eastAsiaTheme="minorEastAsia" w:cstheme="minorEastAsia"/>
          <w:color w:val="auto"/>
          <w:sz w:val="24"/>
          <w:szCs w:val="24"/>
          <w:lang w:eastAsia="zh-CN"/>
        </w:rPr>
        <w:t>四川川咨建设工程咨询有限责任公司</w:t>
      </w:r>
      <w:r>
        <w:rPr>
          <w:rFonts w:hint="eastAsia" w:asciiTheme="minorEastAsia" w:hAnsiTheme="minorEastAsia" w:eastAsiaTheme="minorEastAsia" w:cstheme="minorEastAsia"/>
          <w:color w:val="auto"/>
          <w:sz w:val="24"/>
          <w:szCs w:val="24"/>
        </w:rPr>
        <w:t xml:space="preserve">             日期： 年  月  日</w:t>
      </w:r>
    </w:p>
    <w:p w14:paraId="6921E2E2">
      <w:pPr>
        <w:widowControl/>
        <w:spacing w:line="600" w:lineRule="exact"/>
        <w:ind w:firstLine="482" w:firstLineChars="200"/>
        <w:rPr>
          <w:rFonts w:hint="eastAsia" w:asciiTheme="minorEastAsia" w:hAnsiTheme="minorEastAsia" w:eastAsiaTheme="minorEastAsia" w:cstheme="minorEastAsia"/>
          <w:b/>
          <w:bCs/>
          <w:color w:val="auto"/>
          <w:sz w:val="24"/>
          <w:szCs w:val="24"/>
        </w:rPr>
      </w:pPr>
    </w:p>
    <w:p w14:paraId="07FFBD05">
      <w:pPr>
        <w:spacing w:line="360" w:lineRule="auto"/>
        <w:rPr>
          <w:rFonts w:hint="eastAsia" w:asciiTheme="minorEastAsia" w:hAnsiTheme="minorEastAsia" w:eastAsiaTheme="minorEastAsia" w:cstheme="minorEastAsia"/>
          <w:sz w:val="24"/>
          <w:szCs w:val="24"/>
        </w:rPr>
      </w:pPr>
    </w:p>
    <w:p w14:paraId="267C33AF">
      <w:pPr>
        <w:spacing w:line="360" w:lineRule="auto"/>
        <w:rPr>
          <w:rFonts w:hint="eastAsia" w:asciiTheme="minorEastAsia" w:hAnsiTheme="minorEastAsia" w:eastAsiaTheme="minorEastAsia" w:cstheme="minorEastAsia"/>
          <w:sz w:val="24"/>
          <w:szCs w:val="24"/>
        </w:rPr>
      </w:pPr>
    </w:p>
    <w:p w14:paraId="42C9AE78">
      <w:pPr>
        <w:tabs>
          <w:tab w:val="left" w:pos="6300"/>
        </w:tabs>
        <w:snapToGrid w:val="0"/>
        <w:spacing w:line="360" w:lineRule="auto"/>
        <w:ind w:firstLine="560" w:firstLineChars="200"/>
        <w:jc w:val="center"/>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szCs w:val="28"/>
        </w:rPr>
        <w:t>（结束）</w:t>
      </w:r>
    </w:p>
    <w:p w14:paraId="5BC83102">
      <w:pPr>
        <w:rPr>
          <w:rFonts w:hint="eastAsia" w:asciiTheme="minorEastAsia" w:hAnsiTheme="minorEastAsia" w:eastAsiaTheme="minorEastAsia" w:cstheme="minorEastAsia"/>
        </w:rPr>
      </w:pPr>
    </w:p>
    <w:p w14:paraId="2FB16FB2">
      <w:pPr>
        <w:rPr>
          <w:rFonts w:hint="eastAsia" w:asciiTheme="minorEastAsia" w:hAnsiTheme="minorEastAsia" w:eastAsiaTheme="minorEastAsia" w:cstheme="minorEastAsia"/>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方正仿宋_GBK">
    <w:altName w:val="微软雅黑"/>
    <w:panose1 w:val="02000000000000000000"/>
    <w:charset w:val="86"/>
    <w:family w:val="script"/>
    <w:pitch w:val="default"/>
    <w:sig w:usb0="00000000" w:usb1="00000000" w:usb2="00082016"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CD02">
    <w:pPr>
      <w:pStyle w:val="14"/>
      <w:framePr w:wrap="around" w:vAnchor="text" w:hAnchor="margin" w:xAlign="center" w:y="1"/>
      <w:rPr>
        <w:rStyle w:val="20"/>
      </w:rPr>
    </w:pPr>
    <w:r>
      <w:fldChar w:fldCharType="begin"/>
    </w:r>
    <w:r>
      <w:rPr>
        <w:rStyle w:val="20"/>
      </w:rPr>
      <w:instrText xml:space="preserve">PAGE  </w:instrText>
    </w:r>
    <w:r>
      <w:fldChar w:fldCharType="separate"/>
    </w:r>
    <w:r>
      <w:fldChar w:fldCharType="end"/>
    </w:r>
  </w:p>
  <w:p w14:paraId="01E47BD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F3E60">
    <w:pPr>
      <w:pStyle w:val="14"/>
      <w:framePr w:wrap="around" w:vAnchor="text" w:hAnchor="margin" w:xAlign="center" w:y="1"/>
      <w:rPr>
        <w:rStyle w:val="20"/>
      </w:rPr>
    </w:pPr>
  </w:p>
  <w:p w14:paraId="77FE598B">
    <w:pPr>
      <w:pStyle w:val="14"/>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F0DF">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4EF71E">
                          <w:pPr>
                            <w:pStyle w:val="14"/>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44EF71E">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3E93B">
    <w:pPr>
      <w:pStyle w:val="14"/>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27F730">
                          <w:pPr>
                            <w:pStyle w:val="14"/>
                          </w:pPr>
                          <w:r>
                            <w:fldChar w:fldCharType="begin"/>
                          </w:r>
                          <w:r>
                            <w:instrText xml:space="preserve"> PAGE  \* MERGEFORMAT </w:instrText>
                          </w:r>
                          <w:r>
                            <w:fldChar w:fldCharType="separate"/>
                          </w:r>
                          <w:r>
                            <w:t>- 12 -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F27F730">
                    <w:pPr>
                      <w:pStyle w:val="14"/>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FD72">
    <w:pPr>
      <w:pStyle w:val="14"/>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C7FD5A">
                          <w:pPr>
                            <w:pStyle w:val="14"/>
                          </w:pPr>
                          <w:r>
                            <w:fldChar w:fldCharType="begin"/>
                          </w:r>
                          <w:r>
                            <w:instrText xml:space="preserve"> PAGE  \* MERGEFORMAT </w:instrText>
                          </w:r>
                          <w:r>
                            <w:fldChar w:fldCharType="separate"/>
                          </w:r>
                          <w:r>
                            <w:t>- 17 -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3C7FD5A">
                    <w:pPr>
                      <w:pStyle w:val="14"/>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D8374">
    <w:pPr>
      <w:pStyle w:val="14"/>
      <w:rPr>
        <w:rFonts w:hint="eastAsia"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5E90EE">
                          <w:pPr>
                            <w:pStyle w:val="14"/>
                          </w:pPr>
                          <w:r>
                            <w:fldChar w:fldCharType="begin"/>
                          </w:r>
                          <w:r>
                            <w:instrText xml:space="preserve"> PAGE  \* MERGEFORMAT </w:instrText>
                          </w:r>
                          <w:r>
                            <w:fldChar w:fldCharType="separate"/>
                          </w:r>
                          <w:r>
                            <w:t>- 21 -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F5E90EE">
                    <w:pPr>
                      <w:pStyle w:val="14"/>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EDEB1">
    <w:pPr>
      <w:pStyle w:val="15"/>
      <w:ind w:firstLine="180" w:firstLineChars="100"/>
      <w:jc w:val="left"/>
    </w:pPr>
    <w:r>
      <w:rPr>
        <w:rFonts w:hint="eastAsia"/>
      </w:rPr>
      <w:t xml:space="preserve">                                                                       </w:t>
    </w:r>
    <w:r>
      <w:rPr>
        <w:rFonts w:hint="eastAsia"/>
        <w:lang w:val="en-US" w:eastAsia="zh-CN"/>
      </w:rPr>
      <w:t xml:space="preserve">       </w:t>
    </w:r>
    <w:r>
      <w:rPr>
        <w:rFonts w:hint="eastAsia"/>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27A20">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4520">
    <w:pPr>
      <w:pStyle w:val="15"/>
      <w:ind w:firstLine="180" w:firstLineChars="100"/>
      <w:jc w:val="right"/>
      <w:rPr>
        <w:rFonts w:hint="eastAsia"/>
      </w:rPr>
    </w:pPr>
    <w:r>
      <w:rPr>
        <w:rFonts w:hint="eastAsia"/>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912F0">
    <w:pPr>
      <w:pStyle w:val="15"/>
      <w:jc w:val="both"/>
      <w:rPr>
        <w:rFonts w:hint="eastAsia" w:ascii="方正仿宋_GBK" w:eastAsia="方正仿宋_GBK"/>
        <w:sz w:val="21"/>
        <w:szCs w:val="21"/>
      </w:rPr>
    </w:pPr>
    <w:r>
      <w:rPr>
        <w:rFonts w:hint="eastAsia" w:ascii="方正仿宋_GBK" w:eastAsia="方正仿宋_GBK"/>
        <w:sz w:val="21"/>
        <w:szCs w:val="21"/>
      </w:rPr>
      <w:t xml:space="preserve">                                                                     竞争性</w:t>
    </w:r>
    <w:r>
      <w:rPr>
        <w:rFonts w:hint="eastAsia" w:ascii="方正仿宋_GBK" w:eastAsia="方正仿宋_GBK"/>
        <w:sz w:val="21"/>
        <w:szCs w:val="21"/>
        <w:lang w:val="en-US" w:eastAsia="zh-CN"/>
      </w:rPr>
      <w:t>比选</w:t>
    </w:r>
    <w:r>
      <w:rPr>
        <w:rFonts w:hint="eastAsia" w:ascii="方正仿宋_GBK" w:eastAsia="方正仿宋_GBK"/>
        <w:sz w:val="21"/>
        <w:szCs w:val="21"/>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B32BA">
    <w:pPr>
      <w:pStyle w:val="15"/>
      <w:ind w:firstLine="210" w:firstLineChars="100"/>
      <w:jc w:val="right"/>
      <w:rPr>
        <w:rFonts w:hint="eastAsia" w:ascii="方正仿宋_GBK" w:eastAsia="方正仿宋_GBK"/>
        <w:sz w:val="21"/>
        <w:szCs w:val="21"/>
      </w:rPr>
    </w:pPr>
    <w:r>
      <w:rPr>
        <w:rFonts w:hint="eastAsia" w:ascii="方正仿宋_GBK" w:eastAsia="方正仿宋_GBK"/>
        <w:sz w:val="21"/>
        <w:szCs w:val="21"/>
      </w:rPr>
      <w:t xml:space="preserve"> </w:t>
    </w:r>
    <w:r>
      <w:rPr>
        <w:rFonts w:hint="eastAsia"/>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5A88F"/>
    <w:multiLevelType w:val="singleLevel"/>
    <w:tmpl w:val="89F5A88F"/>
    <w:lvl w:ilvl="0" w:tentative="0">
      <w:start w:val="1"/>
      <w:numFmt w:val="decimal"/>
      <w:suff w:val="nothing"/>
      <w:lvlText w:val="（%1）"/>
      <w:lvlJc w:val="left"/>
    </w:lvl>
  </w:abstractNum>
  <w:abstractNum w:abstractNumId="1">
    <w:nsid w:val="AC7E2BE5"/>
    <w:multiLevelType w:val="singleLevel"/>
    <w:tmpl w:val="AC7E2BE5"/>
    <w:lvl w:ilvl="0" w:tentative="0">
      <w:start w:val="1"/>
      <w:numFmt w:val="decimal"/>
      <w:suff w:val="nothing"/>
      <w:lvlText w:val="（%1）"/>
      <w:lvlJc w:val="left"/>
    </w:lvl>
  </w:abstractNum>
  <w:abstractNum w:abstractNumId="2">
    <w:nsid w:val="BDB50AE2"/>
    <w:multiLevelType w:val="singleLevel"/>
    <w:tmpl w:val="BDB50AE2"/>
    <w:lvl w:ilvl="0" w:tentative="0">
      <w:start w:val="2"/>
      <w:numFmt w:val="chineseCounting"/>
      <w:suff w:val="nothing"/>
      <w:lvlText w:val="（%1）"/>
      <w:lvlJc w:val="left"/>
      <w:rPr>
        <w:rFonts w:hint="eastAsia"/>
      </w:rPr>
    </w:lvl>
  </w:abstractNum>
  <w:abstractNum w:abstractNumId="3">
    <w:nsid w:val="BFBA355F"/>
    <w:multiLevelType w:val="singleLevel"/>
    <w:tmpl w:val="BFBA355F"/>
    <w:lvl w:ilvl="0" w:tentative="0">
      <w:start w:val="1"/>
      <w:numFmt w:val="decimal"/>
      <w:suff w:val="space"/>
      <w:lvlText w:val="%1."/>
      <w:lvlJc w:val="left"/>
      <w:pPr>
        <w:ind w:left="0" w:firstLine="285"/>
      </w:pPr>
    </w:lvl>
  </w:abstractNum>
  <w:abstractNum w:abstractNumId="4">
    <w:nsid w:val="BFBEDD51"/>
    <w:multiLevelType w:val="singleLevel"/>
    <w:tmpl w:val="BFBEDD51"/>
    <w:lvl w:ilvl="0" w:tentative="0">
      <w:start w:val="1"/>
      <w:numFmt w:val="decimal"/>
      <w:suff w:val="space"/>
      <w:lvlText w:val="%1."/>
      <w:lvlJc w:val="left"/>
      <w:pPr>
        <w:ind w:left="0" w:firstLine="285"/>
      </w:pPr>
    </w:lvl>
  </w:abstractNum>
  <w:abstractNum w:abstractNumId="5">
    <w:nsid w:val="D93BA1EE"/>
    <w:multiLevelType w:val="singleLevel"/>
    <w:tmpl w:val="D93BA1EE"/>
    <w:lvl w:ilvl="0" w:tentative="0">
      <w:start w:val="1"/>
      <w:numFmt w:val="decimal"/>
      <w:suff w:val="space"/>
      <w:lvlText w:val="%1."/>
      <w:lvlJc w:val="left"/>
      <w:pPr>
        <w:ind w:left="0" w:leftChars="0" w:firstLine="285" w:firstLineChars="0"/>
      </w:pPr>
    </w:lvl>
  </w:abstractNum>
  <w:abstractNum w:abstractNumId="6">
    <w:nsid w:val="EDD735A4"/>
    <w:multiLevelType w:val="singleLevel"/>
    <w:tmpl w:val="EDD735A4"/>
    <w:lvl w:ilvl="0" w:tentative="0">
      <w:start w:val="1"/>
      <w:numFmt w:val="decimal"/>
      <w:suff w:val="space"/>
      <w:lvlText w:val="%1."/>
      <w:lvlJc w:val="left"/>
      <w:pPr>
        <w:ind w:left="0" w:leftChars="0" w:firstLine="285" w:firstLineChars="0"/>
      </w:pPr>
    </w:lvl>
  </w:abstractNum>
  <w:abstractNum w:abstractNumId="7">
    <w:nsid w:val="F9FEECE1"/>
    <w:multiLevelType w:val="singleLevel"/>
    <w:tmpl w:val="F9FEECE1"/>
    <w:lvl w:ilvl="0" w:tentative="0">
      <w:start w:val="1"/>
      <w:numFmt w:val="decimal"/>
      <w:suff w:val="nothing"/>
      <w:lvlText w:val="（%1）"/>
      <w:lvlJc w:val="left"/>
    </w:lvl>
  </w:abstractNum>
  <w:abstractNum w:abstractNumId="8">
    <w:nsid w:val="FBD2620C"/>
    <w:multiLevelType w:val="singleLevel"/>
    <w:tmpl w:val="FBD2620C"/>
    <w:lvl w:ilvl="0" w:tentative="0">
      <w:start w:val="1"/>
      <w:numFmt w:val="decimal"/>
      <w:suff w:val="space"/>
      <w:lvlText w:val="%1."/>
      <w:lvlJc w:val="left"/>
      <w:pPr>
        <w:ind w:left="0" w:leftChars="0" w:firstLine="285" w:firstLineChars="0"/>
      </w:pPr>
      <w:rPr>
        <w:rFonts w:hint="default"/>
        <w:color w:val="auto"/>
      </w:rPr>
    </w:lvl>
  </w:abstractNum>
  <w:abstractNum w:abstractNumId="9">
    <w:nsid w:val="FC5F1D70"/>
    <w:multiLevelType w:val="singleLevel"/>
    <w:tmpl w:val="FC5F1D70"/>
    <w:lvl w:ilvl="0" w:tentative="0">
      <w:start w:val="1"/>
      <w:numFmt w:val="decimal"/>
      <w:suff w:val="nothing"/>
      <w:lvlText w:val="（%1）"/>
      <w:lvlJc w:val="left"/>
    </w:lvl>
  </w:abstractNum>
  <w:abstractNum w:abstractNumId="10">
    <w:nsid w:val="FFFE089D"/>
    <w:multiLevelType w:val="singleLevel"/>
    <w:tmpl w:val="FFFE089D"/>
    <w:lvl w:ilvl="0" w:tentative="0">
      <w:start w:val="1"/>
      <w:numFmt w:val="chineseCounting"/>
      <w:suff w:val="nothing"/>
      <w:lvlText w:val="%1、"/>
      <w:lvlJc w:val="left"/>
      <w:rPr>
        <w:rFonts w:hint="eastAsia"/>
      </w:rPr>
    </w:lvl>
  </w:abstractNum>
  <w:abstractNum w:abstractNumId="11">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7"/>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6B15351"/>
    <w:multiLevelType w:val="multilevel"/>
    <w:tmpl w:val="06B15351"/>
    <w:lvl w:ilvl="0" w:tentative="0">
      <w:start w:val="1"/>
      <w:numFmt w:val="japaneseCounting"/>
      <w:lvlText w:val="%1、"/>
      <w:lvlJc w:val="left"/>
      <w:pPr>
        <w:ind w:left="1129" w:hanging="540"/>
        <w:textAlignment w:val="baseline"/>
      </w:pPr>
    </w:lvl>
    <w:lvl w:ilvl="1" w:tentative="0">
      <w:start w:val="1"/>
      <w:numFmt w:val="lowerLetter"/>
      <w:lvlText w:val="%1)"/>
      <w:lvlJc w:val="left"/>
      <w:pPr>
        <w:ind w:left="1429" w:hanging="420"/>
        <w:textAlignment w:val="baseline"/>
      </w:pPr>
    </w:lvl>
    <w:lvl w:ilvl="2" w:tentative="0">
      <w:start w:val="1"/>
      <w:numFmt w:val="lowerRoman"/>
      <w:lvlText w:val="%1."/>
      <w:lvlJc w:val="right"/>
      <w:pPr>
        <w:ind w:left="1849" w:hanging="420"/>
        <w:textAlignment w:val="baseline"/>
      </w:pPr>
    </w:lvl>
    <w:lvl w:ilvl="3" w:tentative="0">
      <w:start w:val="1"/>
      <w:numFmt w:val="decimal"/>
      <w:lvlText w:val="%1."/>
      <w:lvlJc w:val="left"/>
      <w:pPr>
        <w:ind w:left="2269" w:hanging="420"/>
        <w:textAlignment w:val="baseline"/>
      </w:pPr>
    </w:lvl>
    <w:lvl w:ilvl="4" w:tentative="0">
      <w:start w:val="1"/>
      <w:numFmt w:val="lowerLetter"/>
      <w:lvlText w:val="%1)"/>
      <w:lvlJc w:val="left"/>
      <w:pPr>
        <w:ind w:left="2689" w:hanging="420"/>
        <w:textAlignment w:val="baseline"/>
      </w:pPr>
    </w:lvl>
    <w:lvl w:ilvl="5" w:tentative="0">
      <w:start w:val="1"/>
      <w:numFmt w:val="lowerRoman"/>
      <w:lvlText w:val="%1."/>
      <w:lvlJc w:val="right"/>
      <w:pPr>
        <w:ind w:left="3109" w:hanging="420"/>
        <w:textAlignment w:val="baseline"/>
      </w:pPr>
    </w:lvl>
    <w:lvl w:ilvl="6" w:tentative="0">
      <w:start w:val="1"/>
      <w:numFmt w:val="decimal"/>
      <w:lvlText w:val="%1."/>
      <w:lvlJc w:val="left"/>
      <w:pPr>
        <w:ind w:left="3529" w:hanging="420"/>
        <w:textAlignment w:val="baseline"/>
      </w:pPr>
    </w:lvl>
    <w:lvl w:ilvl="7" w:tentative="0">
      <w:start w:val="1"/>
      <w:numFmt w:val="lowerLetter"/>
      <w:lvlText w:val="%1)"/>
      <w:lvlJc w:val="left"/>
      <w:pPr>
        <w:ind w:left="3949" w:hanging="420"/>
        <w:textAlignment w:val="baseline"/>
      </w:pPr>
    </w:lvl>
    <w:lvl w:ilvl="8" w:tentative="0">
      <w:start w:val="1"/>
      <w:numFmt w:val="lowerRoman"/>
      <w:lvlText w:val="%1."/>
      <w:lvlJc w:val="right"/>
      <w:pPr>
        <w:ind w:left="4369" w:hanging="420"/>
        <w:textAlignment w:val="baseline"/>
      </w:pPr>
    </w:lvl>
  </w:abstractNum>
  <w:abstractNum w:abstractNumId="13">
    <w:nsid w:val="1099F425"/>
    <w:multiLevelType w:val="singleLevel"/>
    <w:tmpl w:val="1099F425"/>
    <w:lvl w:ilvl="0" w:tentative="0">
      <w:start w:val="1"/>
      <w:numFmt w:val="chineseCounting"/>
      <w:suff w:val="nothing"/>
      <w:lvlText w:val="（%1）"/>
      <w:lvlJc w:val="left"/>
      <w:rPr>
        <w:rFonts w:hint="eastAsia"/>
      </w:rPr>
    </w:lvl>
  </w:abstractNum>
  <w:abstractNum w:abstractNumId="14">
    <w:nsid w:val="2DF37390"/>
    <w:multiLevelType w:val="singleLevel"/>
    <w:tmpl w:val="2DF37390"/>
    <w:lvl w:ilvl="0" w:tentative="0">
      <w:start w:val="1"/>
      <w:numFmt w:val="chineseCounting"/>
      <w:suff w:val="nothing"/>
      <w:lvlText w:val="（%1）"/>
      <w:lvlJc w:val="left"/>
      <w:rPr>
        <w:rFonts w:hint="eastAsia"/>
      </w:rPr>
    </w:lvl>
  </w:abstractNum>
  <w:abstractNum w:abstractNumId="15">
    <w:nsid w:val="5FFF1BD7"/>
    <w:multiLevelType w:val="singleLevel"/>
    <w:tmpl w:val="5FFF1BD7"/>
    <w:lvl w:ilvl="0" w:tentative="0">
      <w:start w:val="1"/>
      <w:numFmt w:val="decimal"/>
      <w:suff w:val="nothing"/>
      <w:lvlText w:val="（%1）"/>
      <w:lvlJc w:val="left"/>
    </w:lvl>
  </w:abstractNum>
  <w:abstractNum w:abstractNumId="16">
    <w:nsid w:val="6FFF99DE"/>
    <w:multiLevelType w:val="singleLevel"/>
    <w:tmpl w:val="6FFF99DE"/>
    <w:lvl w:ilvl="0" w:tentative="0">
      <w:start w:val="2"/>
      <w:numFmt w:val="chineseCounting"/>
      <w:suff w:val="space"/>
      <w:lvlText w:val="第%1篇"/>
      <w:lvlJc w:val="left"/>
      <w:rPr>
        <w:rFonts w:hint="eastAsia"/>
      </w:rPr>
    </w:lvl>
  </w:abstractNum>
  <w:abstractNum w:abstractNumId="17">
    <w:nsid w:val="7376FF70"/>
    <w:multiLevelType w:val="singleLevel"/>
    <w:tmpl w:val="7376FF70"/>
    <w:lvl w:ilvl="0" w:tentative="0">
      <w:start w:val="1"/>
      <w:numFmt w:val="decimal"/>
      <w:suff w:val="nothing"/>
      <w:lvlText w:val="（%1）"/>
      <w:lvlJc w:val="left"/>
    </w:lvl>
  </w:abstractNum>
  <w:abstractNum w:abstractNumId="18">
    <w:nsid w:val="7DD7C31F"/>
    <w:multiLevelType w:val="singleLevel"/>
    <w:tmpl w:val="7DD7C31F"/>
    <w:lvl w:ilvl="0" w:tentative="0">
      <w:start w:val="1"/>
      <w:numFmt w:val="chineseCounting"/>
      <w:suff w:val="nothing"/>
      <w:lvlText w:val="（%1）"/>
      <w:lvlJc w:val="left"/>
      <w:rPr>
        <w:rFonts w:hint="eastAsia"/>
      </w:rPr>
    </w:lvl>
  </w:abstractNum>
  <w:abstractNum w:abstractNumId="19">
    <w:nsid w:val="7FD49A94"/>
    <w:multiLevelType w:val="singleLevel"/>
    <w:tmpl w:val="7FD49A94"/>
    <w:lvl w:ilvl="0" w:tentative="0">
      <w:start w:val="1"/>
      <w:numFmt w:val="decimal"/>
      <w:suff w:val="nothing"/>
      <w:lvlText w:val="（%1）"/>
      <w:lvlJc w:val="left"/>
    </w:lvl>
  </w:abstractNum>
  <w:abstractNum w:abstractNumId="20">
    <w:nsid w:val="7FFD5DF0"/>
    <w:multiLevelType w:val="singleLevel"/>
    <w:tmpl w:val="7FFD5DF0"/>
    <w:lvl w:ilvl="0" w:tentative="0">
      <w:start w:val="1"/>
      <w:numFmt w:val="decimal"/>
      <w:suff w:val="space"/>
      <w:lvlText w:val="%1."/>
      <w:lvlJc w:val="left"/>
      <w:pPr>
        <w:ind w:left="0" w:leftChars="0" w:firstLine="285" w:firstLineChars="0"/>
      </w:pPr>
    </w:lvl>
  </w:abstractNum>
  <w:num w:numId="1">
    <w:abstractNumId w:val="11"/>
  </w:num>
  <w:num w:numId="2">
    <w:abstractNumId w:val="2"/>
  </w:num>
  <w:num w:numId="3">
    <w:abstractNumId w:val="16"/>
  </w:num>
  <w:num w:numId="4">
    <w:abstractNumId w:val="10"/>
  </w:num>
  <w:num w:numId="5">
    <w:abstractNumId w:val="3"/>
  </w:num>
  <w:num w:numId="6">
    <w:abstractNumId w:val="4"/>
  </w:num>
  <w:num w:numId="7">
    <w:abstractNumId w:val="20"/>
  </w:num>
  <w:num w:numId="8">
    <w:abstractNumId w:val="18"/>
  </w:num>
  <w:num w:numId="9">
    <w:abstractNumId w:val="6"/>
  </w:num>
  <w:num w:numId="10">
    <w:abstractNumId w:val="5"/>
  </w:num>
  <w:num w:numId="11">
    <w:abstractNumId w:val="14"/>
  </w:num>
  <w:num w:numId="12">
    <w:abstractNumId w:val="8"/>
  </w:num>
  <w:num w:numId="13">
    <w:abstractNumId w:val="9"/>
  </w:num>
  <w:num w:numId="14">
    <w:abstractNumId w:val="17"/>
  </w:num>
  <w:num w:numId="15">
    <w:abstractNumId w:val="7"/>
  </w:num>
  <w:num w:numId="16">
    <w:abstractNumId w:val="1"/>
  </w:num>
  <w:num w:numId="17">
    <w:abstractNumId w:val="19"/>
  </w:num>
  <w:num w:numId="18">
    <w:abstractNumId w:val="15"/>
  </w:num>
  <w:num w:numId="19">
    <w:abstractNumId w:val="12"/>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868DB"/>
    <w:rsid w:val="0EB6599B"/>
    <w:rsid w:val="316A187B"/>
    <w:rsid w:val="323D5BFB"/>
    <w:rsid w:val="35CB4D74"/>
    <w:rsid w:val="426A38A2"/>
    <w:rsid w:val="48C2276C"/>
    <w:rsid w:val="4D2F60FC"/>
    <w:rsid w:val="60D87424"/>
    <w:rsid w:val="6D436322"/>
    <w:rsid w:val="70D07922"/>
    <w:rsid w:val="755868DB"/>
    <w:rsid w:val="7DAB61E8"/>
    <w:rsid w:val="CF6D0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2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140" w:beforeLines="0" w:beforeAutospacing="0" w:after="140" w:afterLines="0" w:afterAutospacing="0" w:line="360" w:lineRule="auto"/>
      <w:outlineLvl w:val="2"/>
    </w:pPr>
    <w:rPr>
      <w:b/>
      <w:sz w:val="32"/>
    </w:rPr>
  </w:style>
  <w:style w:type="paragraph" w:styleId="4">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character" w:default="1" w:styleId="19">
    <w:name w:val="Default Paragraph Font"/>
    <w:semiHidden/>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customStyle="1" w:styleId="6">
    <w:name w:val="一级条标题"/>
    <w:basedOn w:val="7"/>
    <w:next w:val="8"/>
    <w:qFormat/>
    <w:uiPriority w:val="0"/>
    <w:pPr>
      <w:numPr>
        <w:ilvl w:val="0"/>
        <w:numId w:val="0"/>
      </w:numPr>
      <w:spacing w:before="0" w:after="0"/>
      <w:ind w:left="525"/>
      <w:outlineLvl w:val="2"/>
    </w:pPr>
    <w:rPr>
      <w:sz w:val="21"/>
    </w:rPr>
  </w:style>
  <w:style w:type="paragraph" w:customStyle="1" w:styleId="7">
    <w:name w:val="章标题"/>
    <w:next w:val="1"/>
    <w:qFormat/>
    <w:uiPriority w:val="0"/>
    <w:pPr>
      <w:numPr>
        <w:ilvl w:val="1"/>
        <w:numId w:val="1"/>
      </w:numPr>
      <w:spacing w:before="156" w:after="156"/>
      <w:ind w:left="0"/>
      <w:jc w:val="both"/>
      <w:outlineLvl w:val="1"/>
    </w:pPr>
    <w:rPr>
      <w:rFonts w:ascii="黑体" w:hAnsi="Times New Roman" w:eastAsia="黑体" w:cs="Times New Roman"/>
      <w:sz w:val="24"/>
      <w:lang w:val="en-US" w:eastAsia="zh-CN" w:bidi="ar-SA"/>
    </w:rPr>
  </w:style>
  <w:style w:type="paragraph" w:customStyle="1" w:styleId="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9">
    <w:name w:val="Body Text Indent"/>
    <w:basedOn w:val="1"/>
    <w:qFormat/>
    <w:uiPriority w:val="0"/>
    <w:pPr>
      <w:spacing w:line="700" w:lineRule="exact"/>
      <w:ind w:left="960"/>
    </w:pPr>
    <w:rPr>
      <w:sz w:val="44"/>
    </w:rPr>
  </w:style>
  <w:style w:type="paragraph" w:styleId="10">
    <w:name w:val="toc 3"/>
    <w:basedOn w:val="1"/>
    <w:next w:val="1"/>
    <w:qFormat/>
    <w:uiPriority w:val="39"/>
    <w:pPr>
      <w:ind w:left="840" w:leftChars="400"/>
    </w:pPr>
  </w:style>
  <w:style w:type="paragraph" w:styleId="11">
    <w:name w:val="Plain Text"/>
    <w:basedOn w:val="1"/>
    <w:next w:val="4"/>
    <w:qFormat/>
    <w:uiPriority w:val="0"/>
    <w:rPr>
      <w:rFonts w:ascii="宋体" w:hAnsi="Courier New"/>
      <w:sz w:val="21"/>
    </w:rPr>
  </w:style>
  <w:style w:type="paragraph" w:styleId="12">
    <w:name w:val="Date"/>
    <w:basedOn w:val="1"/>
    <w:next w:val="1"/>
    <w:qFormat/>
    <w:uiPriority w:val="0"/>
  </w:style>
  <w:style w:type="paragraph" w:styleId="13">
    <w:name w:val="Body Text Indent 2"/>
    <w:basedOn w:val="1"/>
    <w:qFormat/>
    <w:uiPriority w:val="0"/>
    <w:pPr>
      <w:snapToGrid w:val="0"/>
      <w:spacing w:line="560" w:lineRule="atLeast"/>
      <w:ind w:firstLine="54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pPr>
      <w:spacing w:line="180" w:lineRule="auto"/>
      <w:jc w:val="center"/>
    </w:pPr>
    <w:rPr>
      <w:sz w:val="30"/>
    </w:rPr>
  </w:style>
  <w:style w:type="paragraph" w:styleId="17">
    <w:name w:val="toc 2"/>
    <w:basedOn w:val="1"/>
    <w:next w:val="1"/>
    <w:qFormat/>
    <w:uiPriority w:val="39"/>
    <w:pPr>
      <w:ind w:left="420" w:leftChars="200"/>
    </w:pPr>
  </w:style>
  <w:style w:type="character" w:styleId="20">
    <w:name w:val="page number"/>
    <w:qFormat/>
    <w:uiPriority w:val="0"/>
  </w:style>
  <w:style w:type="character" w:customStyle="1" w:styleId="21">
    <w:name w:val="标题 2 字符"/>
    <w:link w:val="2"/>
    <w:qFormat/>
    <w:uiPriority w:val="0"/>
    <w:rPr>
      <w:rFonts w:ascii="Arial" w:hAnsi="Arial" w:eastAsia="黑体"/>
      <w:b/>
      <w:sz w:val="32"/>
    </w:rPr>
  </w:style>
  <w:style w:type="paragraph" w:customStyle="1" w:styleId="22">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3">
    <w:name w:val="1"/>
    <w:basedOn w:val="1"/>
    <w:next w:val="11"/>
    <w:qFormat/>
    <w:uiPriority w:val="0"/>
    <w:rPr>
      <w:rFonts w:ascii="宋体" w:hAnsi="Courier New"/>
      <w:sz w:val="21"/>
    </w:rPr>
  </w:style>
  <w:style w:type="paragraph" w:customStyle="1" w:styleId="24">
    <w:name w:val="附件"/>
    <w:qFormat/>
    <w:uiPriority w:val="0"/>
    <w:pPr>
      <w:tabs>
        <w:tab w:val="right" w:leader="dot" w:pos="9402"/>
      </w:tabs>
      <w:spacing w:line="400" w:lineRule="exact"/>
      <w:jc w:val="center"/>
      <w:outlineLvl w:val="0"/>
    </w:pPr>
    <w:rPr>
      <w:rFonts w:ascii="Times New Roman" w:hAnsi="Times New Roman" w:eastAsia="方正黑体_GBK" w:cs="Times New Roman"/>
      <w:b/>
      <w:bCs/>
      <w:kern w:val="2"/>
      <w:sz w:val="28"/>
      <w:lang w:val="en-US" w:eastAsia="zh-CN" w:bidi="ar-SA"/>
    </w:rPr>
  </w:style>
  <w:style w:type="character" w:customStyle="1" w:styleId="25">
    <w:name w:val="NormalCharacter"/>
    <w:qFormat/>
    <w:uiPriority w:val="0"/>
  </w:style>
  <w:style w:type="paragraph" w:customStyle="1" w:styleId="26">
    <w:name w:val="Table Text"/>
    <w:qFormat/>
    <w:uiPriority w:val="0"/>
    <w:pPr>
      <w:snapToGrid w:val="0"/>
      <w:spacing w:before="80" w:after="80"/>
    </w:pPr>
    <w:rPr>
      <w:rFonts w:ascii="Arial" w:hAnsi="Arial" w:eastAsia="宋体" w:cs="Times New Roman"/>
      <w:kern w:val="2"/>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10341</Words>
  <Characters>11075</Characters>
  <Lines>0</Lines>
  <Paragraphs>0</Paragraphs>
  <TotalTime>2</TotalTime>
  <ScaleCrop>false</ScaleCrop>
  <LinksUpToDate>false</LinksUpToDate>
  <CharactersWithSpaces>11332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2026-02-06T01:21:00Z</dcterms:created>
  <dc:creator>饭局改变人生</dc:creator>
  <cp:lastModifiedBy>饭局改变人生</cp:lastModifiedBy>
  <dcterms:modified xsi:type="dcterms:W3CDTF">2026-02-05T14:40:15Z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D46C6B88F871446A953171826B4294FA_13</vt:lpwstr>
  </property>
  <property fmtid="{D5CDD505-2E9C-101B-9397-08002B2CF9AE}" pid="4" name="KSOTemplateDocerSaveRecord">
    <vt:lpwstr>eyJoZGlkIjoiYzNkMTg4YjAyZDQ5MmQzYjE2MzBhNGQ4NWQ4MGNkOWQiLCJ1c2VySWQiOiI2MjQyMDE1MzkifQ==</vt:lpwstr>
  </property>
</Properties>
</file>